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8B455C" w:rsidRDefault="008E4FD6" w:rsidP="008E4FD6">
      <w:pPr>
        <w:jc w:val="center"/>
        <w:rPr>
          <w:b/>
        </w:rPr>
      </w:pPr>
      <w:r w:rsidRPr="008B455C">
        <w:rPr>
          <w:b/>
        </w:rPr>
        <w:t>BEFORE THE</w:t>
      </w:r>
    </w:p>
    <w:p w:rsidR="008E4FD6" w:rsidRPr="008B455C" w:rsidRDefault="008E4FD6" w:rsidP="008E4FD6">
      <w:pPr>
        <w:jc w:val="center"/>
        <w:rPr>
          <w:b/>
        </w:rPr>
      </w:pPr>
      <w:smartTag w:uri="urn:schemas-microsoft-com:office:smarttags" w:element="State">
        <w:smartTag w:uri="urn:schemas-microsoft-com:office:smarttags" w:element="place">
          <w:r w:rsidRPr="008B455C">
            <w:rPr>
              <w:b/>
            </w:rPr>
            <w:t>PENNSYLVANIA</w:t>
          </w:r>
        </w:smartTag>
      </w:smartTag>
      <w:r w:rsidRPr="008B455C">
        <w:rPr>
          <w:b/>
        </w:rPr>
        <w:t xml:space="preserve"> PUBLIC UTILITY COMMISSION</w:t>
      </w:r>
    </w:p>
    <w:p w:rsidR="008E4FD6" w:rsidRPr="008B455C" w:rsidRDefault="008E4FD6" w:rsidP="008E4FD6">
      <w:pPr>
        <w:jc w:val="center"/>
        <w:rPr>
          <w:b/>
        </w:rPr>
      </w:pPr>
    </w:p>
    <w:p w:rsidR="008E4FD6" w:rsidRPr="008B455C" w:rsidRDefault="008E4FD6" w:rsidP="008E4FD6">
      <w:pPr>
        <w:jc w:val="center"/>
        <w:rPr>
          <w:b/>
        </w:rPr>
      </w:pPr>
    </w:p>
    <w:p w:rsidR="008E4FD6" w:rsidRPr="008B455C" w:rsidRDefault="008E4FD6" w:rsidP="008E4FD6">
      <w:pPr>
        <w:jc w:val="center"/>
        <w:rPr>
          <w:b/>
        </w:rPr>
      </w:pPr>
    </w:p>
    <w:p w:rsidR="005C4542" w:rsidRDefault="005C4542" w:rsidP="005C4542">
      <w:pPr>
        <w:pStyle w:val="Style"/>
        <w:rPr>
          <w:bCs/>
          <w:color w:val="000000"/>
        </w:rPr>
      </w:pPr>
      <w:r>
        <w:rPr>
          <w:bCs/>
          <w:color w:val="000000"/>
        </w:rPr>
        <w:t xml:space="preserve">Robert J. Kramer </w:t>
      </w:r>
      <w:r>
        <w:rPr>
          <w:bCs/>
          <w:color w:val="000000"/>
        </w:rPr>
        <w:tab/>
      </w:r>
      <w:r>
        <w:rPr>
          <w:bCs/>
          <w:color w:val="000000"/>
        </w:rPr>
        <w:tab/>
      </w:r>
      <w:r>
        <w:rPr>
          <w:bCs/>
          <w:color w:val="000000"/>
        </w:rPr>
        <w:tab/>
      </w:r>
      <w:r>
        <w:rPr>
          <w:bCs/>
          <w:color w:val="000000"/>
        </w:rPr>
        <w:tab/>
      </w:r>
      <w:r>
        <w:rPr>
          <w:bCs/>
          <w:color w:val="000000"/>
        </w:rPr>
        <w:tab/>
        <w:t>:</w:t>
      </w:r>
    </w:p>
    <w:p w:rsidR="005C4542" w:rsidRDefault="005C4542" w:rsidP="005C4542">
      <w:pPr>
        <w:pStyle w:val="Style"/>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5C4542" w:rsidRDefault="005C4542" w:rsidP="005C4542">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F-2015-2499181</w:t>
      </w:r>
    </w:p>
    <w:p w:rsidR="005C4542" w:rsidRDefault="005C4542" w:rsidP="005C4542">
      <w:pPr>
        <w:pStyle w:val="Style"/>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r>
    </w:p>
    <w:p w:rsidR="005C4542" w:rsidRDefault="005C4542" w:rsidP="005C4542">
      <w:pPr>
        <w:pStyle w:val="Style"/>
        <w:rPr>
          <w:bCs/>
          <w:color w:val="000000"/>
        </w:rPr>
      </w:pPr>
      <w:r>
        <w:rPr>
          <w:bCs/>
          <w:color w:val="000000"/>
        </w:rPr>
        <w:t>Duquesne Light Company</w:t>
      </w:r>
      <w:r>
        <w:rPr>
          <w:bCs/>
          <w:color w:val="000000"/>
        </w:rPr>
        <w:tab/>
      </w:r>
      <w:r>
        <w:rPr>
          <w:bCs/>
          <w:color w:val="000000"/>
        </w:rPr>
        <w:tab/>
      </w:r>
      <w:r>
        <w:rPr>
          <w:bCs/>
          <w:color w:val="000000"/>
        </w:rPr>
        <w:tab/>
      </w:r>
      <w:r>
        <w:rPr>
          <w:bCs/>
          <w:color w:val="000000"/>
        </w:rPr>
        <w:tab/>
        <w:t>:</w:t>
      </w:r>
    </w:p>
    <w:p w:rsidR="008E4FD6" w:rsidRDefault="008E4FD6" w:rsidP="008E4FD6">
      <w:pPr>
        <w:tabs>
          <w:tab w:val="left" w:pos="1076"/>
        </w:tabs>
      </w:pPr>
    </w:p>
    <w:p w:rsidR="00A6304C" w:rsidRPr="008B455C" w:rsidRDefault="00A6304C" w:rsidP="008E4FD6">
      <w:pPr>
        <w:tabs>
          <w:tab w:val="left" w:pos="1076"/>
        </w:tabs>
      </w:pPr>
    </w:p>
    <w:p w:rsidR="008E4FD6" w:rsidRPr="008B455C" w:rsidRDefault="008E4FD6" w:rsidP="008E4FD6">
      <w:pPr>
        <w:tabs>
          <w:tab w:val="left" w:pos="1076"/>
        </w:tabs>
      </w:pPr>
    </w:p>
    <w:p w:rsidR="008E4FD6" w:rsidRPr="008B455C" w:rsidRDefault="008E4FD6" w:rsidP="008E4FD6">
      <w:pPr>
        <w:jc w:val="center"/>
        <w:rPr>
          <w:b/>
          <w:u w:val="single"/>
        </w:rPr>
      </w:pPr>
      <w:r w:rsidRPr="008B455C">
        <w:rPr>
          <w:b/>
          <w:u w:val="single"/>
        </w:rPr>
        <w:t>INITIAL DECISION</w:t>
      </w:r>
    </w:p>
    <w:p w:rsidR="008E4FD6" w:rsidRPr="008B455C" w:rsidRDefault="008E4FD6" w:rsidP="008E4FD6">
      <w:pPr>
        <w:jc w:val="center"/>
      </w:pPr>
    </w:p>
    <w:p w:rsidR="009D47A5" w:rsidRPr="008B455C" w:rsidRDefault="009D47A5" w:rsidP="008E4FD6">
      <w:pPr>
        <w:jc w:val="center"/>
      </w:pPr>
    </w:p>
    <w:p w:rsidR="008E4FD6" w:rsidRPr="008B455C" w:rsidRDefault="008E4FD6" w:rsidP="008E4FD6">
      <w:pPr>
        <w:jc w:val="center"/>
      </w:pPr>
      <w:r w:rsidRPr="008B455C">
        <w:t>Before</w:t>
      </w:r>
    </w:p>
    <w:p w:rsidR="008E4FD6" w:rsidRPr="008B455C" w:rsidRDefault="00DF0974" w:rsidP="008E4FD6">
      <w:pPr>
        <w:jc w:val="center"/>
      </w:pPr>
      <w:r w:rsidRPr="008B455C">
        <w:t>Katrina L. Dunderdale</w:t>
      </w:r>
    </w:p>
    <w:p w:rsidR="008E4FD6" w:rsidRPr="008B455C" w:rsidRDefault="008E4FD6" w:rsidP="008E4FD6">
      <w:pPr>
        <w:jc w:val="center"/>
      </w:pPr>
      <w:r w:rsidRPr="008B455C">
        <w:t>Administrative Law Judge</w:t>
      </w:r>
    </w:p>
    <w:p w:rsidR="008E4FD6" w:rsidRDefault="008E4FD6" w:rsidP="00126B45">
      <w:pPr>
        <w:spacing w:line="360" w:lineRule="auto"/>
        <w:jc w:val="center"/>
      </w:pPr>
    </w:p>
    <w:p w:rsidR="005C437C" w:rsidRPr="008B455C" w:rsidRDefault="005C437C" w:rsidP="005C437C">
      <w:pPr>
        <w:jc w:val="center"/>
      </w:pPr>
    </w:p>
    <w:p w:rsidR="00126B45" w:rsidRPr="000B0551" w:rsidRDefault="00126B45" w:rsidP="00126B45">
      <w:pPr>
        <w:spacing w:line="360" w:lineRule="auto"/>
        <w:jc w:val="center"/>
        <w:rPr>
          <w:u w:val="single"/>
        </w:rPr>
      </w:pPr>
      <w:r w:rsidRPr="000B0551">
        <w:rPr>
          <w:u w:val="single"/>
        </w:rPr>
        <w:t>INTRODUCTION</w:t>
      </w:r>
    </w:p>
    <w:p w:rsidR="00126B45" w:rsidRDefault="00126B45" w:rsidP="00126B45">
      <w:pPr>
        <w:spacing w:line="360" w:lineRule="auto"/>
      </w:pPr>
    </w:p>
    <w:p w:rsidR="00126B45" w:rsidRDefault="00126B45" w:rsidP="00126B45">
      <w:pPr>
        <w:spacing w:line="360" w:lineRule="auto"/>
      </w:pPr>
      <w:r>
        <w:tab/>
      </w:r>
      <w:r>
        <w:tab/>
        <w:t xml:space="preserve">This decision </w:t>
      </w:r>
      <w:r w:rsidR="0038653C">
        <w:t>sustains</w:t>
      </w:r>
      <w:r>
        <w:t xml:space="preserve"> the complaint </w:t>
      </w:r>
      <w:r w:rsidR="00DA1ED0">
        <w:t xml:space="preserve">and </w:t>
      </w:r>
      <w:r w:rsidR="0038653C">
        <w:t>grants</w:t>
      </w:r>
      <w:r w:rsidR="00DA1ED0">
        <w:t xml:space="preserve"> Complainant’s </w:t>
      </w:r>
      <w:r>
        <w:t xml:space="preserve">request </w:t>
      </w:r>
      <w:r w:rsidR="0038653C">
        <w:t xml:space="preserve">to be reimbursed </w:t>
      </w:r>
      <w:r w:rsidR="000B3867">
        <w:t>because</w:t>
      </w:r>
      <w:r w:rsidR="0038653C">
        <w:t xml:space="preserve"> Respondent overcharged for electric service over four years.  This decision also assesses a </w:t>
      </w:r>
      <w:r w:rsidR="00AB155F">
        <w:t>$10,000</w:t>
      </w:r>
      <w:r w:rsidR="00941165">
        <w:t>.00</w:t>
      </w:r>
      <w:r w:rsidR="00AB155F">
        <w:t xml:space="preserve"> </w:t>
      </w:r>
      <w:r w:rsidR="0038653C">
        <w:t>civil penalty against Respondent for failing to provide reasonable and adequate customer service</w:t>
      </w:r>
      <w:r w:rsidR="00AB155F">
        <w:t xml:space="preserve">, pursuant to 66 </w:t>
      </w:r>
      <w:proofErr w:type="spellStart"/>
      <w:r w:rsidR="00AB155F">
        <w:t>Pa.C.S.A</w:t>
      </w:r>
      <w:proofErr w:type="spellEnd"/>
      <w:r w:rsidR="00AB155F">
        <w:t>. §</w:t>
      </w:r>
      <w:r w:rsidR="00161E91">
        <w:t xml:space="preserve"> </w:t>
      </w:r>
      <w:r w:rsidR="00AB155F">
        <w:t xml:space="preserve">1501, and failing to compute billing statements under the rate most advantageous to Complainant, pursuant to 66 </w:t>
      </w:r>
      <w:proofErr w:type="spellStart"/>
      <w:r w:rsidR="00AB155F">
        <w:t>Pa.C.S.A</w:t>
      </w:r>
      <w:proofErr w:type="spellEnd"/>
      <w:r w:rsidR="00AB155F">
        <w:t>. §</w:t>
      </w:r>
      <w:r w:rsidR="00161E91">
        <w:t xml:space="preserve"> </w:t>
      </w:r>
      <w:r w:rsidR="00AB155F">
        <w:t>1303</w:t>
      </w:r>
      <w:r w:rsidR="0038653C">
        <w:t>.</w:t>
      </w:r>
      <w:r w:rsidR="003937E3">
        <w:t xml:space="preserve">  </w:t>
      </w:r>
    </w:p>
    <w:p w:rsidR="00126B45" w:rsidRDefault="00126B45" w:rsidP="00126B45">
      <w:pPr>
        <w:spacing w:line="360" w:lineRule="auto"/>
      </w:pPr>
    </w:p>
    <w:p w:rsidR="00126B45" w:rsidRPr="00FB448C" w:rsidRDefault="00126B45" w:rsidP="00126B45">
      <w:pPr>
        <w:pStyle w:val="Heading1"/>
        <w:spacing w:line="360" w:lineRule="auto"/>
        <w:rPr>
          <w:sz w:val="24"/>
          <w:szCs w:val="24"/>
          <w:u w:val="none"/>
        </w:rPr>
      </w:pPr>
      <w:r w:rsidRPr="00FB448C">
        <w:rPr>
          <w:sz w:val="24"/>
          <w:szCs w:val="24"/>
        </w:rPr>
        <w:t>HISTORY OF THE PROCEEDING</w:t>
      </w:r>
    </w:p>
    <w:p w:rsidR="005C4542" w:rsidRDefault="005C4542" w:rsidP="00BD4CEA">
      <w:pPr>
        <w:pStyle w:val="Style"/>
        <w:spacing w:line="360" w:lineRule="auto"/>
        <w:jc w:val="center"/>
        <w:rPr>
          <w:bCs/>
          <w:color w:val="000000"/>
        </w:rPr>
      </w:pPr>
    </w:p>
    <w:p w:rsidR="0038653C" w:rsidRDefault="005C4542" w:rsidP="005C4542">
      <w:pPr>
        <w:pStyle w:val="Style"/>
        <w:spacing w:line="360" w:lineRule="auto"/>
        <w:ind w:firstLine="1440"/>
        <w:rPr>
          <w:bCs/>
          <w:color w:val="000000"/>
        </w:rPr>
      </w:pPr>
      <w:r>
        <w:rPr>
          <w:bCs/>
          <w:color w:val="000000"/>
        </w:rPr>
        <w:t xml:space="preserve">On August 10, 2015, Robert J. Kramer (Complainant or Mr. Kramer) filed a </w:t>
      </w:r>
      <w:r w:rsidR="007F2184">
        <w:rPr>
          <w:bCs/>
          <w:color w:val="000000"/>
        </w:rPr>
        <w:t>timely appeal</w:t>
      </w:r>
      <w:r>
        <w:rPr>
          <w:bCs/>
          <w:color w:val="000000"/>
        </w:rPr>
        <w:t xml:space="preserve"> with the Pennsylvania Public Utility Commission (Commission) </w:t>
      </w:r>
      <w:r w:rsidR="007F2184">
        <w:rPr>
          <w:bCs/>
          <w:color w:val="000000"/>
        </w:rPr>
        <w:t>from a decision made by the Bureau of Consumer Services (BCS)</w:t>
      </w:r>
      <w:r w:rsidR="00CF1863">
        <w:rPr>
          <w:bCs/>
          <w:color w:val="000000"/>
        </w:rPr>
        <w:t xml:space="preserve"> at BCS Case No. 4048350000</w:t>
      </w:r>
      <w:r w:rsidR="007F2184">
        <w:rPr>
          <w:bCs/>
          <w:color w:val="000000"/>
        </w:rPr>
        <w:t>.  Complainant alleged</w:t>
      </w:r>
      <w:r>
        <w:rPr>
          <w:bCs/>
          <w:color w:val="000000"/>
        </w:rPr>
        <w:t xml:space="preserve"> Duquesne Light Company (</w:t>
      </w:r>
      <w:r w:rsidR="007F2184">
        <w:rPr>
          <w:bCs/>
          <w:color w:val="000000"/>
        </w:rPr>
        <w:t xml:space="preserve">Duquesne Light </w:t>
      </w:r>
      <w:r>
        <w:rPr>
          <w:bCs/>
          <w:color w:val="000000"/>
        </w:rPr>
        <w:t xml:space="preserve">or Respondent) failed to provide reasonable and adequate customer service when </w:t>
      </w:r>
      <w:r w:rsidR="007F2184">
        <w:rPr>
          <w:bCs/>
          <w:color w:val="000000"/>
        </w:rPr>
        <w:t xml:space="preserve">Duquesne Light </w:t>
      </w:r>
      <w:r>
        <w:rPr>
          <w:bCs/>
          <w:color w:val="000000"/>
        </w:rPr>
        <w:t xml:space="preserve">charged Mr. Kramer based on the higher </w:t>
      </w:r>
      <w:r w:rsidR="000B3867">
        <w:rPr>
          <w:bCs/>
          <w:color w:val="000000"/>
        </w:rPr>
        <w:t xml:space="preserve">residential </w:t>
      </w:r>
      <w:r w:rsidR="0038653C">
        <w:rPr>
          <w:bCs/>
          <w:color w:val="000000"/>
        </w:rPr>
        <w:t>heating (</w:t>
      </w:r>
      <w:r>
        <w:rPr>
          <w:bCs/>
          <w:color w:val="000000"/>
        </w:rPr>
        <w:t>RH</w:t>
      </w:r>
      <w:r w:rsidR="0038653C">
        <w:rPr>
          <w:bCs/>
          <w:color w:val="000000"/>
        </w:rPr>
        <w:t>)</w:t>
      </w:r>
      <w:r>
        <w:rPr>
          <w:bCs/>
          <w:color w:val="000000"/>
        </w:rPr>
        <w:t xml:space="preserve"> rate instead of the lower </w:t>
      </w:r>
      <w:r w:rsidR="0038653C">
        <w:rPr>
          <w:bCs/>
          <w:color w:val="000000"/>
        </w:rPr>
        <w:t>residential add-on heat pump (</w:t>
      </w:r>
      <w:r>
        <w:rPr>
          <w:bCs/>
          <w:color w:val="000000"/>
        </w:rPr>
        <w:t>RA</w:t>
      </w:r>
      <w:r w:rsidR="0038653C">
        <w:rPr>
          <w:bCs/>
          <w:color w:val="000000"/>
        </w:rPr>
        <w:t>)</w:t>
      </w:r>
      <w:r>
        <w:rPr>
          <w:bCs/>
          <w:color w:val="000000"/>
        </w:rPr>
        <w:t xml:space="preserve"> rate, resulting in Respondent issuing billing statements with incorrect charges.  </w:t>
      </w:r>
      <w:r w:rsidR="0038653C">
        <w:rPr>
          <w:bCs/>
          <w:color w:val="000000"/>
        </w:rPr>
        <w:t xml:space="preserve">Complainant </w:t>
      </w:r>
      <w:r w:rsidR="0038653C">
        <w:rPr>
          <w:bCs/>
          <w:color w:val="000000"/>
        </w:rPr>
        <w:lastRenderedPageBreak/>
        <w:t xml:space="preserve">requested the Commission order Duquesne Light to reimburse him by paying the difference between the lower RA </w:t>
      </w:r>
      <w:proofErr w:type="gramStart"/>
      <w:r w:rsidR="0038653C">
        <w:rPr>
          <w:bCs/>
          <w:color w:val="000000"/>
        </w:rPr>
        <w:t>rate</w:t>
      </w:r>
      <w:proofErr w:type="gramEnd"/>
      <w:r w:rsidR="0038653C">
        <w:rPr>
          <w:bCs/>
          <w:color w:val="000000"/>
        </w:rPr>
        <w:t xml:space="preserve"> that should have been used versus the higher RH rate which was used</w:t>
      </w:r>
      <w:r w:rsidR="000B3867">
        <w:rPr>
          <w:bCs/>
          <w:color w:val="000000"/>
        </w:rPr>
        <w:t>,</w:t>
      </w:r>
      <w:r w:rsidR="0038653C">
        <w:rPr>
          <w:bCs/>
          <w:color w:val="000000"/>
        </w:rPr>
        <w:t xml:space="preserve"> from December 2010 to November 2014.</w:t>
      </w:r>
    </w:p>
    <w:p w:rsidR="0038653C" w:rsidRDefault="0038653C" w:rsidP="005C4542">
      <w:pPr>
        <w:pStyle w:val="Style"/>
        <w:spacing w:line="360" w:lineRule="auto"/>
        <w:ind w:firstLine="1440"/>
        <w:rPr>
          <w:bCs/>
          <w:color w:val="000000"/>
        </w:rPr>
      </w:pPr>
    </w:p>
    <w:p w:rsidR="005C4542" w:rsidRDefault="005C4542" w:rsidP="005C4542">
      <w:pPr>
        <w:pStyle w:val="Style"/>
        <w:spacing w:line="360" w:lineRule="auto"/>
        <w:ind w:firstLine="1440"/>
        <w:rPr>
          <w:bCs/>
          <w:color w:val="000000"/>
        </w:rPr>
      </w:pPr>
      <w:r>
        <w:rPr>
          <w:bCs/>
          <w:color w:val="000000"/>
        </w:rPr>
        <w:t xml:space="preserve">On October 8, 2015, Respondent filed its Answer and New Matter in which </w:t>
      </w:r>
      <w:r w:rsidR="007F2184">
        <w:rPr>
          <w:bCs/>
          <w:color w:val="000000"/>
        </w:rPr>
        <w:t xml:space="preserve">Duquesne Light </w:t>
      </w:r>
      <w:r>
        <w:rPr>
          <w:bCs/>
          <w:color w:val="000000"/>
        </w:rPr>
        <w:t xml:space="preserve">denied all material allegations.  In New Matter, </w:t>
      </w:r>
      <w:r w:rsidR="007F2184">
        <w:rPr>
          <w:bCs/>
          <w:color w:val="000000"/>
        </w:rPr>
        <w:t xml:space="preserve">Duquesne Light </w:t>
      </w:r>
      <w:r>
        <w:rPr>
          <w:bCs/>
          <w:color w:val="000000"/>
        </w:rPr>
        <w:t>request</w:t>
      </w:r>
      <w:r w:rsidR="000B3867">
        <w:rPr>
          <w:bCs/>
          <w:color w:val="000000"/>
        </w:rPr>
        <w:t>ed</w:t>
      </w:r>
      <w:r>
        <w:rPr>
          <w:bCs/>
          <w:color w:val="000000"/>
        </w:rPr>
        <w:t xml:space="preserve"> the Commission categorically deny Complainant any refund which extends more than four years before Mr. Kramer filed the formal complaint.   </w:t>
      </w:r>
    </w:p>
    <w:p w:rsidR="005C4542" w:rsidRDefault="005C4542" w:rsidP="005C4542">
      <w:pPr>
        <w:pStyle w:val="Style"/>
        <w:spacing w:line="360" w:lineRule="auto"/>
        <w:ind w:firstLine="1440"/>
        <w:rPr>
          <w:bCs/>
          <w:color w:val="000000"/>
        </w:rPr>
      </w:pPr>
    </w:p>
    <w:p w:rsidR="005C4542" w:rsidRDefault="005C4542" w:rsidP="005C4542">
      <w:pPr>
        <w:pStyle w:val="Style"/>
        <w:spacing w:line="360" w:lineRule="auto"/>
        <w:ind w:firstLine="1440"/>
        <w:rPr>
          <w:bCs/>
          <w:color w:val="000000"/>
        </w:rPr>
      </w:pPr>
      <w:r>
        <w:rPr>
          <w:bCs/>
          <w:color w:val="000000"/>
        </w:rPr>
        <w:t xml:space="preserve">On the same date, Respondent also filed </w:t>
      </w:r>
      <w:r w:rsidR="007F2184">
        <w:rPr>
          <w:bCs/>
          <w:color w:val="000000"/>
        </w:rPr>
        <w:t xml:space="preserve">a </w:t>
      </w:r>
      <w:r>
        <w:rPr>
          <w:bCs/>
          <w:color w:val="000000"/>
        </w:rPr>
        <w:t xml:space="preserve">Motion to Strike.  Respondent requested the Commission strike allegations from the formal complaint which allegedly set forth confidential information about former customers who are not parties in the instant proceeding.  Respondent included a Notice to Plead.  Complainant </w:t>
      </w:r>
      <w:r w:rsidR="0038653C">
        <w:rPr>
          <w:bCs/>
          <w:color w:val="000000"/>
        </w:rPr>
        <w:t>did</w:t>
      </w:r>
      <w:r>
        <w:rPr>
          <w:bCs/>
          <w:color w:val="000000"/>
        </w:rPr>
        <w:t xml:space="preserve"> not respond to the Motion to Strike.    </w:t>
      </w:r>
    </w:p>
    <w:p w:rsidR="005C4542" w:rsidRDefault="005C4542" w:rsidP="005C4542">
      <w:pPr>
        <w:pStyle w:val="Style"/>
        <w:spacing w:line="360" w:lineRule="auto"/>
        <w:ind w:firstLine="1440"/>
        <w:rPr>
          <w:bCs/>
          <w:color w:val="000000"/>
        </w:rPr>
      </w:pPr>
    </w:p>
    <w:p w:rsidR="005C4542" w:rsidRDefault="005C4542" w:rsidP="005C4542">
      <w:pPr>
        <w:pStyle w:val="Style"/>
        <w:spacing w:line="360" w:lineRule="auto"/>
        <w:ind w:firstLine="1440"/>
        <w:rPr>
          <w:bCs/>
          <w:color w:val="000000"/>
        </w:rPr>
      </w:pPr>
      <w:r>
        <w:rPr>
          <w:bCs/>
          <w:color w:val="000000"/>
        </w:rPr>
        <w:t xml:space="preserve">On October 19, 2015, the Office of Administrative Law Judge issued a Call-In Telephonic Hearing Notice scheduling the initial hearing to be conducted on Tuesday, November 24, 2015 at 10:00 a.m. from the Commission’s hearing room in Pittsburgh, Pennsylvania.  On October 20, 2015, the presiding officer issued the Prehearing Order in which the parties were advised about procedural matters.  </w:t>
      </w:r>
    </w:p>
    <w:p w:rsidR="005C4542" w:rsidRDefault="005C4542" w:rsidP="00126B45">
      <w:pPr>
        <w:spacing w:line="360" w:lineRule="auto"/>
      </w:pPr>
    </w:p>
    <w:p w:rsidR="006D3C17" w:rsidRDefault="006D3C17" w:rsidP="00126B45">
      <w:pPr>
        <w:spacing w:line="360" w:lineRule="auto"/>
      </w:pPr>
      <w:r>
        <w:tab/>
      </w:r>
      <w:r>
        <w:tab/>
      </w:r>
      <w:r w:rsidR="007F2184">
        <w:t>On</w:t>
      </w:r>
      <w:r w:rsidR="005C4542">
        <w:t xml:space="preserve"> November 17, 2015, </w:t>
      </w:r>
      <w:r>
        <w:t xml:space="preserve">the presiding officer issued the First Interim Order which </w:t>
      </w:r>
      <w:r w:rsidR="005C4542">
        <w:t>denied Respondent’s Motion to Strike filed on October 8, 2015</w:t>
      </w:r>
      <w:r>
        <w:t>.</w:t>
      </w:r>
      <w:r w:rsidR="005C4542">
        <w:t xml:space="preserve">  The First Interim Order specified the only issue at the upcoming telephonic initial hearing would be whether Duquesne Light correctly applied the RH rate to Complainant’s service account.  </w:t>
      </w:r>
    </w:p>
    <w:p w:rsidR="00085A77" w:rsidRDefault="00085A77" w:rsidP="00126B45">
      <w:pPr>
        <w:spacing w:line="360" w:lineRule="auto"/>
      </w:pPr>
    </w:p>
    <w:p w:rsidR="00126B45" w:rsidRDefault="00126B45" w:rsidP="00126B45">
      <w:pPr>
        <w:spacing w:line="360" w:lineRule="auto"/>
      </w:pPr>
      <w:r>
        <w:tab/>
      </w:r>
      <w:r>
        <w:tab/>
        <w:t xml:space="preserve">The presiding officer convened the initial hearing as scheduled on </w:t>
      </w:r>
      <w:r w:rsidR="005C4542">
        <w:t>November 24</w:t>
      </w:r>
      <w:r w:rsidR="00085A77">
        <w:t>, 2015</w:t>
      </w:r>
      <w:r>
        <w:t>.  Complainant</w:t>
      </w:r>
      <w:r w:rsidR="00A96A71">
        <w:t xml:space="preserve"> </w:t>
      </w:r>
      <w:r>
        <w:t xml:space="preserve">appeared </w:t>
      </w:r>
      <w:r w:rsidR="00A96A71" w:rsidRPr="00A96A71">
        <w:rPr>
          <w:i/>
        </w:rPr>
        <w:t>pro se</w:t>
      </w:r>
      <w:r w:rsidR="00A96A71">
        <w:t xml:space="preserve"> and testified </w:t>
      </w:r>
      <w:r>
        <w:t xml:space="preserve">on </w:t>
      </w:r>
      <w:r w:rsidR="00A96A71">
        <w:t>his own behalf</w:t>
      </w:r>
      <w:r>
        <w:t>.</w:t>
      </w:r>
      <w:r w:rsidR="00A96A71">
        <w:t xml:space="preserve">  Complainant offered </w:t>
      </w:r>
      <w:r w:rsidR="00085A77">
        <w:t>no exhibits</w:t>
      </w:r>
      <w:r w:rsidR="00A96A71">
        <w:t>.</w:t>
      </w:r>
      <w:r>
        <w:t xml:space="preserve">  Respondent was represented by </w:t>
      </w:r>
      <w:r w:rsidR="005C4542">
        <w:t>Jeremy V. Farrell</w:t>
      </w:r>
      <w:r>
        <w:t xml:space="preserve">, Esquire.  </w:t>
      </w:r>
      <w:r w:rsidR="00A96A71" w:rsidRPr="00B73D10">
        <w:t xml:space="preserve">Attorney </w:t>
      </w:r>
      <w:r w:rsidR="005C4542">
        <w:t>Farrell</w:t>
      </w:r>
      <w:r w:rsidR="00A96A71" w:rsidRPr="00B73D10">
        <w:t xml:space="preserve"> presented the testimony of </w:t>
      </w:r>
      <w:r w:rsidR="005C4542">
        <w:t>two</w:t>
      </w:r>
      <w:r w:rsidR="00A96A71">
        <w:t xml:space="preserve"> witnesses</w:t>
      </w:r>
      <w:r w:rsidR="00A96A71" w:rsidRPr="00B73D10">
        <w:t xml:space="preserve"> and offered </w:t>
      </w:r>
      <w:r w:rsidR="005C4542">
        <w:t>nine</w:t>
      </w:r>
      <w:r w:rsidR="00A96A71">
        <w:t xml:space="preserve"> (</w:t>
      </w:r>
      <w:r w:rsidR="005C4542">
        <w:t>9</w:t>
      </w:r>
      <w:r w:rsidR="00A96A71">
        <w:t>)</w:t>
      </w:r>
      <w:r w:rsidR="00A96A71" w:rsidRPr="00B73D10">
        <w:t xml:space="preserve"> exhibits, </w:t>
      </w:r>
      <w:r w:rsidR="00A96A71">
        <w:t xml:space="preserve">which were </w:t>
      </w:r>
      <w:r w:rsidR="00A96A71" w:rsidRPr="00B73D10">
        <w:t xml:space="preserve">marked </w:t>
      </w:r>
      <w:r w:rsidR="005C4542">
        <w:t>Duquesne Light</w:t>
      </w:r>
      <w:r w:rsidR="00A96A71">
        <w:t xml:space="preserve"> Exhibits</w:t>
      </w:r>
      <w:r w:rsidR="003067FE">
        <w:t> </w:t>
      </w:r>
      <w:r w:rsidR="005C4542">
        <w:t>1 through 9</w:t>
      </w:r>
      <w:r w:rsidR="00A96A71">
        <w:t xml:space="preserve"> and were </w:t>
      </w:r>
      <w:r w:rsidR="00A96A71" w:rsidRPr="00B73D10">
        <w:t>admitted into evidence.  The transcript of the hearing</w:t>
      </w:r>
      <w:r w:rsidR="00A96A71">
        <w:t>,</w:t>
      </w:r>
      <w:r w:rsidR="00A96A71" w:rsidRPr="00B73D10">
        <w:t xml:space="preserve"> contain</w:t>
      </w:r>
      <w:r w:rsidR="00A96A71">
        <w:t>ing</w:t>
      </w:r>
      <w:r w:rsidR="00A96A71" w:rsidRPr="00B73D10">
        <w:t xml:space="preserve"> </w:t>
      </w:r>
      <w:r w:rsidR="005C4542">
        <w:t>63</w:t>
      </w:r>
      <w:r w:rsidR="00A96A71">
        <w:t xml:space="preserve"> </w:t>
      </w:r>
      <w:r w:rsidR="00A96A71" w:rsidRPr="00B73D10">
        <w:t>pages</w:t>
      </w:r>
      <w:r w:rsidR="00A96A71">
        <w:t>, was received in the C</w:t>
      </w:r>
      <w:r w:rsidR="00085A77">
        <w:t xml:space="preserve">ommission’s offices on </w:t>
      </w:r>
      <w:r w:rsidR="005C4542">
        <w:t>December 1</w:t>
      </w:r>
      <w:r w:rsidR="00085A77">
        <w:t>, 2015</w:t>
      </w:r>
      <w:r w:rsidR="00A96A71">
        <w:t xml:space="preserve"> and was </w:t>
      </w:r>
      <w:r w:rsidR="00A96A71">
        <w:lastRenderedPageBreak/>
        <w:t xml:space="preserve">received in the presiding officer’s office on </w:t>
      </w:r>
      <w:r w:rsidR="005C4542">
        <w:t>December 14</w:t>
      </w:r>
      <w:r w:rsidR="00085A77">
        <w:t>, 2015</w:t>
      </w:r>
      <w:r w:rsidR="00A96A71">
        <w:t>.</w:t>
      </w:r>
      <w:r w:rsidR="00A96A71" w:rsidRPr="00B73D10">
        <w:t xml:space="preserve">  Complainant and Respondent issued final statements on the hearing record in lieu of filing briefs.</w:t>
      </w:r>
    </w:p>
    <w:p w:rsidR="00126B45" w:rsidRDefault="00126B45" w:rsidP="00126B45">
      <w:pPr>
        <w:spacing w:line="360" w:lineRule="auto"/>
      </w:pPr>
    </w:p>
    <w:p w:rsidR="00126B45" w:rsidRPr="00B73D10" w:rsidRDefault="00126B45" w:rsidP="00126B45">
      <w:pPr>
        <w:tabs>
          <w:tab w:val="left" w:pos="2160"/>
        </w:tabs>
        <w:spacing w:line="360" w:lineRule="auto"/>
        <w:ind w:firstLine="1440"/>
      </w:pPr>
      <w:r w:rsidRPr="00B73D10">
        <w:t xml:space="preserve">On </w:t>
      </w:r>
      <w:r w:rsidR="005C4542">
        <w:t>December 18</w:t>
      </w:r>
      <w:r w:rsidR="00085A77">
        <w:t>, 2015</w:t>
      </w:r>
      <w:r>
        <w:t>,</w:t>
      </w:r>
      <w:r w:rsidRPr="00B73D10">
        <w:t xml:space="preserve"> the </w:t>
      </w:r>
      <w:r w:rsidR="00A96A71">
        <w:t>presidin</w:t>
      </w:r>
      <w:r w:rsidR="00085A77">
        <w:t xml:space="preserve">g officer closed the hearing </w:t>
      </w:r>
      <w:r w:rsidR="00EC3279">
        <w:t xml:space="preserve">with the </w:t>
      </w:r>
      <w:r w:rsidR="00085A77">
        <w:t xml:space="preserve">issuance of the </w:t>
      </w:r>
      <w:r w:rsidRPr="00B73D10">
        <w:t>Interim Order Closing the Hearing Record.</w:t>
      </w:r>
    </w:p>
    <w:p w:rsidR="00126B45" w:rsidRPr="00B73D10" w:rsidRDefault="00126B45" w:rsidP="00126B45">
      <w:pPr>
        <w:tabs>
          <w:tab w:val="left" w:pos="2160"/>
        </w:tabs>
        <w:spacing w:line="360" w:lineRule="auto"/>
        <w:ind w:firstLine="1440"/>
      </w:pPr>
    </w:p>
    <w:p w:rsidR="00126B45" w:rsidRPr="00B73D10" w:rsidRDefault="00126B45" w:rsidP="00126B45">
      <w:pPr>
        <w:tabs>
          <w:tab w:val="left" w:pos="2160"/>
        </w:tabs>
        <w:spacing w:line="360" w:lineRule="auto"/>
        <w:jc w:val="center"/>
        <w:rPr>
          <w:u w:val="single"/>
        </w:rPr>
      </w:pPr>
      <w:r w:rsidRPr="00B73D10">
        <w:rPr>
          <w:u w:val="single"/>
        </w:rPr>
        <w:t xml:space="preserve">FINDINGS OF </w:t>
      </w:r>
      <w:smartTag w:uri="urn:schemas-microsoft-com:office:smarttags" w:element="stockticker">
        <w:r w:rsidRPr="00B73D10">
          <w:rPr>
            <w:u w:val="single"/>
          </w:rPr>
          <w:t>FACT</w:t>
        </w:r>
      </w:smartTag>
    </w:p>
    <w:p w:rsidR="00126B45" w:rsidRPr="00B73D10" w:rsidRDefault="00126B45" w:rsidP="00126B45">
      <w:pPr>
        <w:tabs>
          <w:tab w:val="left" w:pos="2160"/>
        </w:tabs>
        <w:spacing w:line="360" w:lineRule="auto"/>
        <w:rPr>
          <w:u w:val="single"/>
        </w:rPr>
      </w:pPr>
    </w:p>
    <w:p w:rsidR="00126B45" w:rsidRPr="00B73D10" w:rsidRDefault="005C4542" w:rsidP="00126B45">
      <w:pPr>
        <w:tabs>
          <w:tab w:val="left" w:pos="2160"/>
        </w:tabs>
        <w:spacing w:line="360" w:lineRule="auto"/>
        <w:ind w:firstLine="1440"/>
      </w:pPr>
      <w:r>
        <w:t>1.</w:t>
      </w:r>
      <w:r>
        <w:tab/>
        <w:t xml:space="preserve">Complainant </w:t>
      </w:r>
      <w:r w:rsidR="00126B45">
        <w:t xml:space="preserve">resides at </w:t>
      </w:r>
      <w:r w:rsidR="007D7E84">
        <w:t>111 Green Forest Drive, Baden</w:t>
      </w:r>
      <w:r w:rsidR="00126B45">
        <w:t>, Pennsylvania (service address)</w:t>
      </w:r>
      <w:r w:rsidR="003C1F6E">
        <w:t>,</w:t>
      </w:r>
      <w:r w:rsidR="004A0254">
        <w:t xml:space="preserve"> where he has resided </w:t>
      </w:r>
      <w:r w:rsidR="007D7E84">
        <w:t xml:space="preserve">for fifteen (15) </w:t>
      </w:r>
      <w:r w:rsidR="00085A77">
        <w:t>years</w:t>
      </w:r>
      <w:r w:rsidR="00126B45">
        <w:t xml:space="preserve">.  </w:t>
      </w:r>
      <w:proofErr w:type="gramStart"/>
      <w:r w:rsidR="00126B45" w:rsidRPr="00B73D10">
        <w:t xml:space="preserve">(Tr. </w:t>
      </w:r>
      <w:r w:rsidR="007D7E84">
        <w:t>9, 10</w:t>
      </w:r>
      <w:r w:rsidR="00DD053A">
        <w:t>, 22</w:t>
      </w:r>
      <w:r w:rsidR="00126B45" w:rsidRPr="00B73D10">
        <w:t>).</w:t>
      </w:r>
      <w:proofErr w:type="gramEnd"/>
      <w:r w:rsidR="00126B45" w:rsidRPr="00B73D10">
        <w:t xml:space="preserve"> </w:t>
      </w:r>
    </w:p>
    <w:p w:rsidR="00126B45" w:rsidRDefault="00126B45" w:rsidP="00126B45">
      <w:pPr>
        <w:tabs>
          <w:tab w:val="left" w:pos="2160"/>
        </w:tabs>
        <w:spacing w:line="360" w:lineRule="auto"/>
        <w:ind w:firstLine="1440"/>
      </w:pPr>
    </w:p>
    <w:p w:rsidR="00126B45" w:rsidRDefault="00126B45" w:rsidP="00126B45">
      <w:pPr>
        <w:tabs>
          <w:tab w:val="left" w:pos="2160"/>
        </w:tabs>
        <w:spacing w:line="360" w:lineRule="auto"/>
        <w:ind w:firstLine="1440"/>
      </w:pPr>
      <w:r>
        <w:t>2.</w:t>
      </w:r>
      <w:r>
        <w:tab/>
        <w:t xml:space="preserve">Respondent </w:t>
      </w:r>
      <w:r w:rsidR="003660D6">
        <w:t xml:space="preserve">has </w:t>
      </w:r>
      <w:r>
        <w:t>provide</w:t>
      </w:r>
      <w:r w:rsidR="003660D6">
        <w:t>d</w:t>
      </w:r>
      <w:r>
        <w:t xml:space="preserve"> electric </w:t>
      </w:r>
      <w:r w:rsidR="00D63CF0">
        <w:t xml:space="preserve">distribution </w:t>
      </w:r>
      <w:r>
        <w:t>service to Complainant at the service address</w:t>
      </w:r>
      <w:r w:rsidR="00DD053A">
        <w:t xml:space="preserve"> since December 19, 2000</w:t>
      </w:r>
      <w:r>
        <w:t xml:space="preserve">.  </w:t>
      </w:r>
      <w:proofErr w:type="gramStart"/>
      <w:r>
        <w:t xml:space="preserve">(Tr. </w:t>
      </w:r>
      <w:r w:rsidR="007D7E84">
        <w:t>9</w:t>
      </w:r>
      <w:r w:rsidR="00DD053A">
        <w:t>, 22</w:t>
      </w:r>
      <w:r>
        <w:t>).</w:t>
      </w:r>
      <w:proofErr w:type="gramEnd"/>
    </w:p>
    <w:p w:rsidR="00126B45" w:rsidRDefault="00126B45" w:rsidP="00126B45">
      <w:pPr>
        <w:tabs>
          <w:tab w:val="left" w:pos="2160"/>
        </w:tabs>
        <w:spacing w:line="360" w:lineRule="auto"/>
        <w:ind w:firstLine="1440"/>
      </w:pPr>
    </w:p>
    <w:p w:rsidR="00126B45" w:rsidRDefault="00A44074" w:rsidP="00126B45">
      <w:pPr>
        <w:tabs>
          <w:tab w:val="left" w:pos="2160"/>
        </w:tabs>
        <w:spacing w:line="360" w:lineRule="auto"/>
        <w:ind w:firstLine="1440"/>
      </w:pPr>
      <w:r>
        <w:t xml:space="preserve">3. </w:t>
      </w:r>
      <w:r>
        <w:tab/>
      </w:r>
      <w:r w:rsidR="00E56835">
        <w:t xml:space="preserve">When Complainant bought his </w:t>
      </w:r>
      <w:r w:rsidR="003660D6">
        <w:t xml:space="preserve">single-family </w:t>
      </w:r>
      <w:r w:rsidR="00E56835">
        <w:t>residence and established electric service in his name at the service address</w:t>
      </w:r>
      <w:r w:rsidR="003660D6">
        <w:t xml:space="preserve"> in 2000</w:t>
      </w:r>
      <w:r w:rsidR="00E56835">
        <w:t xml:space="preserve">, the service address </w:t>
      </w:r>
      <w:r w:rsidR="000B3867">
        <w:t>used</w:t>
      </w:r>
      <w:r w:rsidR="00E56835">
        <w:t xml:space="preserve"> an add-on heat pump installed by a prior owner.  (Tr. 10-17).</w:t>
      </w:r>
    </w:p>
    <w:p w:rsidR="00A44074" w:rsidRDefault="00A44074" w:rsidP="00A44074">
      <w:pPr>
        <w:tabs>
          <w:tab w:val="left" w:pos="2160"/>
        </w:tabs>
        <w:spacing w:line="360" w:lineRule="auto"/>
        <w:ind w:firstLine="1440"/>
      </w:pPr>
    </w:p>
    <w:p w:rsidR="00A44074" w:rsidRDefault="00EF5E30" w:rsidP="00A44074">
      <w:pPr>
        <w:tabs>
          <w:tab w:val="left" w:pos="2160"/>
        </w:tabs>
        <w:spacing w:line="360" w:lineRule="auto"/>
        <w:ind w:firstLine="1440"/>
      </w:pPr>
      <w:r>
        <w:t>4</w:t>
      </w:r>
      <w:r w:rsidR="00A44074">
        <w:t xml:space="preserve">. </w:t>
      </w:r>
      <w:r w:rsidR="00A44074">
        <w:tab/>
      </w:r>
      <w:r w:rsidR="007114B6">
        <w:t>On October 15,</w:t>
      </w:r>
      <w:r w:rsidR="005E0321">
        <w:t xml:space="preserve"> 2014, Complainant’s electric supplier, FirstEnergy Solutions, informed Complainant it would no longer be </w:t>
      </w:r>
      <w:r w:rsidR="003660D6">
        <w:t>his</w:t>
      </w:r>
      <w:r w:rsidR="005E0321">
        <w:t xml:space="preserve"> supplier of electricity.  </w:t>
      </w:r>
      <w:proofErr w:type="gramStart"/>
      <w:r w:rsidR="005E0321">
        <w:t>(Tr. 10</w:t>
      </w:r>
      <w:r w:rsidR="007114B6">
        <w:t>, 12</w:t>
      </w:r>
      <w:r w:rsidR="005E0321">
        <w:t>).</w:t>
      </w:r>
      <w:proofErr w:type="gramEnd"/>
    </w:p>
    <w:p w:rsidR="00126B45" w:rsidRDefault="00126B45" w:rsidP="00126B45">
      <w:pPr>
        <w:tabs>
          <w:tab w:val="left" w:pos="2160"/>
        </w:tabs>
        <w:spacing w:line="360" w:lineRule="auto"/>
        <w:ind w:firstLine="1440"/>
      </w:pPr>
    </w:p>
    <w:p w:rsidR="00A44074" w:rsidRDefault="00EF5E30" w:rsidP="00A44074">
      <w:pPr>
        <w:tabs>
          <w:tab w:val="left" w:pos="2160"/>
        </w:tabs>
        <w:spacing w:line="360" w:lineRule="auto"/>
        <w:ind w:firstLine="1440"/>
      </w:pPr>
      <w:r>
        <w:t>5</w:t>
      </w:r>
      <w:r w:rsidR="00126B45">
        <w:t>.</w:t>
      </w:r>
      <w:r w:rsidR="00126B45">
        <w:tab/>
      </w:r>
      <w:r w:rsidR="005E0321">
        <w:t xml:space="preserve">In December 2014, </w:t>
      </w:r>
      <w:r w:rsidR="00E56835">
        <w:t>Complainant</w:t>
      </w:r>
      <w:r w:rsidR="005E0321">
        <w:t xml:space="preserve"> reviewed Respondent’s available price</w:t>
      </w:r>
      <w:r w:rsidR="003660D6">
        <w:t>-</w:t>
      </w:r>
      <w:r w:rsidR="005E0321">
        <w:t>to</w:t>
      </w:r>
      <w:r w:rsidR="003660D6">
        <w:t>-</w:t>
      </w:r>
      <w:r w:rsidR="005E0321">
        <w:t>compare rates</w:t>
      </w:r>
      <w:r w:rsidR="000B3867">
        <w:t>, when he began shopping for a new electric supplier to replace FirstEnergy Solutions</w:t>
      </w:r>
      <w:r w:rsidR="005E0321">
        <w:t xml:space="preserve">.  </w:t>
      </w:r>
      <w:proofErr w:type="gramStart"/>
      <w:r w:rsidR="005E0321">
        <w:t>(Tr. 10, 11).</w:t>
      </w:r>
      <w:proofErr w:type="gramEnd"/>
      <w:r w:rsidR="005E0321">
        <w:t xml:space="preserve">  </w:t>
      </w:r>
    </w:p>
    <w:p w:rsidR="004B2419" w:rsidRDefault="004B2419" w:rsidP="00A44074">
      <w:pPr>
        <w:tabs>
          <w:tab w:val="left" w:pos="2160"/>
        </w:tabs>
        <w:spacing w:line="360" w:lineRule="auto"/>
        <w:ind w:firstLine="1440"/>
      </w:pPr>
    </w:p>
    <w:p w:rsidR="004B2419" w:rsidRDefault="00EF5E30" w:rsidP="00A44074">
      <w:pPr>
        <w:tabs>
          <w:tab w:val="left" w:pos="2160"/>
        </w:tabs>
        <w:spacing w:line="360" w:lineRule="auto"/>
        <w:ind w:firstLine="1440"/>
      </w:pPr>
      <w:r>
        <w:t>6</w:t>
      </w:r>
      <w:r w:rsidR="004B2419">
        <w:t xml:space="preserve">. </w:t>
      </w:r>
      <w:r w:rsidR="004B2419">
        <w:tab/>
      </w:r>
      <w:r w:rsidR="005E0321">
        <w:t>When reviewing Respondent’s available price</w:t>
      </w:r>
      <w:r w:rsidR="003660D6">
        <w:t>-</w:t>
      </w:r>
      <w:r w:rsidR="005E0321">
        <w:t>to</w:t>
      </w:r>
      <w:r w:rsidR="003660D6">
        <w:t>-</w:t>
      </w:r>
      <w:r w:rsidR="005E0321">
        <w:t>compare rates, Compla</w:t>
      </w:r>
      <w:r w:rsidR="00E56835">
        <w:t>inant learned Duquesne Light had</w:t>
      </w:r>
      <w:r w:rsidR="005E0321">
        <w:t xml:space="preserve"> separate electric supply rates dependent upon whether a residential service address heats with electricity or without electricity</w:t>
      </w:r>
      <w:r w:rsidR="00E56835">
        <w:t xml:space="preserve"> and/or a heat pump</w:t>
      </w:r>
      <w:r w:rsidR="005E0321">
        <w:t xml:space="preserve">.  </w:t>
      </w:r>
      <w:proofErr w:type="gramStart"/>
      <w:r w:rsidR="005E0321">
        <w:t>(Tr.</w:t>
      </w:r>
      <w:r w:rsidR="00222123">
        <w:t> </w:t>
      </w:r>
      <w:r w:rsidR="005E0321">
        <w:t>10).</w:t>
      </w:r>
      <w:proofErr w:type="gramEnd"/>
    </w:p>
    <w:p w:rsidR="00126B45" w:rsidRDefault="00126B45" w:rsidP="00126B45">
      <w:pPr>
        <w:tabs>
          <w:tab w:val="left" w:pos="2160"/>
        </w:tabs>
        <w:spacing w:line="360" w:lineRule="auto"/>
        <w:ind w:firstLine="1440"/>
      </w:pPr>
    </w:p>
    <w:p w:rsidR="00126B45" w:rsidRDefault="00EF5E30" w:rsidP="00126B45">
      <w:pPr>
        <w:tabs>
          <w:tab w:val="left" w:pos="2160"/>
        </w:tabs>
        <w:spacing w:line="360" w:lineRule="auto"/>
        <w:ind w:firstLine="1440"/>
      </w:pPr>
      <w:r>
        <w:lastRenderedPageBreak/>
        <w:t>7</w:t>
      </w:r>
      <w:r w:rsidR="00CE3A66">
        <w:t xml:space="preserve">.  </w:t>
      </w:r>
      <w:r w:rsidR="00CE3A66">
        <w:tab/>
      </w:r>
      <w:r w:rsidR="007114B6">
        <w:t xml:space="preserve">On </w:t>
      </w:r>
      <w:r w:rsidR="005E0321">
        <w:t>December</w:t>
      </w:r>
      <w:r w:rsidR="007114B6">
        <w:t xml:space="preserve"> 2,</w:t>
      </w:r>
      <w:r w:rsidR="005E0321">
        <w:t xml:space="preserve"> 2014, Complainant called Duquesne Light and requested Duquesne Light reimburse him for fourteen (14) years’ worth of overpayments</w:t>
      </w:r>
      <w:r w:rsidR="006E04DD">
        <w:t xml:space="preserve"> because Respondent charged him the higher </w:t>
      </w:r>
      <w:r w:rsidR="00DD053A">
        <w:t>Residential Heating (</w:t>
      </w:r>
      <w:r w:rsidR="006E04DD">
        <w:t>RH</w:t>
      </w:r>
      <w:r w:rsidR="00DD053A">
        <w:t>)</w:t>
      </w:r>
      <w:r w:rsidR="006E04DD">
        <w:t xml:space="preserve"> rate instead of the lower </w:t>
      </w:r>
      <w:r w:rsidR="00243639">
        <w:t>Residential Add-On heat pump (</w:t>
      </w:r>
      <w:r w:rsidR="006E04DD">
        <w:t>RA</w:t>
      </w:r>
      <w:r w:rsidR="00243639">
        <w:t>)</w:t>
      </w:r>
      <w:r w:rsidR="006E04DD">
        <w:t xml:space="preserve"> rate for customers with heat pumps</w:t>
      </w:r>
      <w:r w:rsidR="005E0321">
        <w:t xml:space="preserve">.  </w:t>
      </w:r>
      <w:proofErr w:type="gramStart"/>
      <w:r w:rsidR="005E0321">
        <w:t>(Tr. 11</w:t>
      </w:r>
      <w:r w:rsidR="007114B6">
        <w:t>-13</w:t>
      </w:r>
      <w:r w:rsidR="00243639">
        <w:t>, 22, 29</w:t>
      </w:r>
      <w:r w:rsidR="005E0321">
        <w:t>).</w:t>
      </w:r>
      <w:proofErr w:type="gramEnd"/>
    </w:p>
    <w:p w:rsidR="00126B45" w:rsidRDefault="00126B45" w:rsidP="00126B45">
      <w:pPr>
        <w:tabs>
          <w:tab w:val="left" w:pos="2160"/>
        </w:tabs>
        <w:spacing w:line="360" w:lineRule="auto"/>
        <w:ind w:firstLine="1440"/>
      </w:pPr>
    </w:p>
    <w:p w:rsidR="00126B45" w:rsidRDefault="00EF5E30" w:rsidP="00126B45">
      <w:pPr>
        <w:tabs>
          <w:tab w:val="left" w:pos="2160"/>
        </w:tabs>
        <w:spacing w:line="360" w:lineRule="auto"/>
        <w:ind w:firstLine="1440"/>
      </w:pPr>
      <w:r>
        <w:t>8</w:t>
      </w:r>
      <w:r w:rsidR="00CE3A66">
        <w:t>.</w:t>
      </w:r>
      <w:r w:rsidR="007114B6">
        <w:tab/>
      </w:r>
      <w:r w:rsidR="00DD053A">
        <w:t xml:space="preserve">On December </w:t>
      </w:r>
      <w:r w:rsidR="007114B6">
        <w:t xml:space="preserve">2, 2014, Duquesne Light </w:t>
      </w:r>
      <w:r w:rsidR="00DD053A">
        <w:t>indicated it would switch</w:t>
      </w:r>
      <w:r w:rsidR="007114B6">
        <w:t xml:space="preserve"> from charging Complainant the RH rate and </w:t>
      </w:r>
      <w:r w:rsidR="00E56835">
        <w:t xml:space="preserve">would </w:t>
      </w:r>
      <w:r w:rsidR="007114B6">
        <w:t>charge him the RA rate effective that date, but Respondent refused to reimburse Mr. Kramer for past overcharges</w:t>
      </w:r>
      <w:r w:rsidR="00DD053A">
        <w:t xml:space="preserve"> prior to December 1, 2014</w:t>
      </w:r>
      <w:r w:rsidR="007114B6">
        <w:t xml:space="preserve">.  </w:t>
      </w:r>
      <w:proofErr w:type="gramStart"/>
      <w:r w:rsidR="007114B6">
        <w:t>(Tr. 14</w:t>
      </w:r>
      <w:r w:rsidR="00DD053A">
        <w:t>-17</w:t>
      </w:r>
      <w:r w:rsidR="008C508F">
        <w:t>, 30; Duquesne Light Exhibit 1</w:t>
      </w:r>
      <w:r w:rsidR="007114B6">
        <w:t>).</w:t>
      </w:r>
      <w:proofErr w:type="gramEnd"/>
    </w:p>
    <w:p w:rsidR="008C508F" w:rsidRDefault="008C508F" w:rsidP="00126B45">
      <w:pPr>
        <w:tabs>
          <w:tab w:val="left" w:pos="2160"/>
        </w:tabs>
        <w:spacing w:line="360" w:lineRule="auto"/>
        <w:ind w:firstLine="1440"/>
      </w:pPr>
    </w:p>
    <w:p w:rsidR="008C508F" w:rsidRDefault="00EF5E30" w:rsidP="00126B45">
      <w:pPr>
        <w:tabs>
          <w:tab w:val="left" w:pos="2160"/>
        </w:tabs>
        <w:spacing w:line="360" w:lineRule="auto"/>
        <w:ind w:firstLine="1440"/>
      </w:pPr>
      <w:r>
        <w:t>9</w:t>
      </w:r>
      <w:r w:rsidR="008C508F">
        <w:t xml:space="preserve">. </w:t>
      </w:r>
      <w:r w:rsidR="008C508F">
        <w:tab/>
        <w:t>On December 3, 201</w:t>
      </w:r>
      <w:r w:rsidR="003660D6">
        <w:t>4</w:t>
      </w:r>
      <w:r w:rsidR="008C508F">
        <w:t>, Duquesne Light verified a heat pump was in use at the service address.  (Tr. 32-35</w:t>
      </w:r>
      <w:r w:rsidR="00AF62CC">
        <w:t>, 55</w:t>
      </w:r>
      <w:r w:rsidR="008C508F">
        <w:t>; Duquesne Light Exhibit 2).</w:t>
      </w:r>
    </w:p>
    <w:p w:rsidR="00126B45" w:rsidRDefault="00126B45" w:rsidP="00126B45">
      <w:pPr>
        <w:tabs>
          <w:tab w:val="left" w:pos="2160"/>
        </w:tabs>
        <w:spacing w:line="360" w:lineRule="auto"/>
        <w:ind w:firstLine="1440"/>
      </w:pPr>
    </w:p>
    <w:p w:rsidR="00126B45" w:rsidRDefault="008C508F" w:rsidP="00126B45">
      <w:pPr>
        <w:tabs>
          <w:tab w:val="left" w:pos="2160"/>
        </w:tabs>
        <w:spacing w:line="360" w:lineRule="auto"/>
        <w:ind w:firstLine="1440"/>
      </w:pPr>
      <w:r>
        <w:t>1</w:t>
      </w:r>
      <w:r w:rsidR="00EF5E30">
        <w:t>0</w:t>
      </w:r>
      <w:r w:rsidR="00CE3A66">
        <w:t>.</w:t>
      </w:r>
      <w:r w:rsidR="00CE3A66">
        <w:tab/>
      </w:r>
      <w:r w:rsidR="00DD053A">
        <w:t xml:space="preserve">On December 9, 2014, Complainant filed an informal complaint against Respondent with </w:t>
      </w:r>
      <w:r w:rsidR="003660D6">
        <w:t xml:space="preserve">the </w:t>
      </w:r>
      <w:r w:rsidR="00DD053A">
        <w:t xml:space="preserve">BCS at BCS No. 3312169, which informal complaint was denied </w:t>
      </w:r>
      <w:r w:rsidR="00E56835">
        <w:t>on</w:t>
      </w:r>
      <w:r w:rsidR="00DD053A">
        <w:t xml:space="preserve"> July</w:t>
      </w:r>
      <w:r w:rsidR="006861FA">
        <w:t> </w:t>
      </w:r>
      <w:r w:rsidR="00DD053A">
        <w:t xml:space="preserve">11, 2015.  </w:t>
      </w:r>
      <w:proofErr w:type="gramStart"/>
      <w:r w:rsidR="00DD053A">
        <w:t>(Tr. 18).</w:t>
      </w:r>
      <w:proofErr w:type="gramEnd"/>
      <w:r w:rsidR="00DD053A">
        <w:t xml:space="preserve"> </w:t>
      </w:r>
    </w:p>
    <w:p w:rsidR="00126B45" w:rsidRDefault="00126B45" w:rsidP="00126B45">
      <w:pPr>
        <w:tabs>
          <w:tab w:val="left" w:pos="2160"/>
        </w:tabs>
        <w:spacing w:line="360" w:lineRule="auto"/>
        <w:ind w:firstLine="1440"/>
      </w:pPr>
    </w:p>
    <w:p w:rsidR="00126B45" w:rsidRDefault="004B2419" w:rsidP="00126B45">
      <w:pPr>
        <w:tabs>
          <w:tab w:val="left" w:pos="2160"/>
        </w:tabs>
        <w:spacing w:line="360" w:lineRule="auto"/>
        <w:ind w:firstLine="1440"/>
      </w:pPr>
      <w:r>
        <w:t>1</w:t>
      </w:r>
      <w:r w:rsidR="00EF5E30">
        <w:t>1</w:t>
      </w:r>
      <w:r w:rsidR="00126B45">
        <w:t xml:space="preserve">. </w:t>
      </w:r>
      <w:r w:rsidR="00126B45">
        <w:tab/>
      </w:r>
      <w:r w:rsidR="00DD053A">
        <w:t xml:space="preserve">Duquesne Light </w:t>
      </w:r>
      <w:r w:rsidR="003660D6">
        <w:t>does</w:t>
      </w:r>
      <w:r w:rsidR="00DD053A">
        <w:t xml:space="preserve"> not change the rate applied to a customer’s account until the customer calls and asks for a rate change.  </w:t>
      </w:r>
      <w:proofErr w:type="gramStart"/>
      <w:r w:rsidR="00DD053A">
        <w:t>(Tr. 23).</w:t>
      </w:r>
      <w:proofErr w:type="gramEnd"/>
    </w:p>
    <w:p w:rsidR="00126B45" w:rsidRDefault="00126B45" w:rsidP="00126B45">
      <w:pPr>
        <w:tabs>
          <w:tab w:val="left" w:pos="2160"/>
        </w:tabs>
        <w:spacing w:line="360" w:lineRule="auto"/>
        <w:ind w:firstLine="1440"/>
      </w:pPr>
    </w:p>
    <w:p w:rsidR="00126B45" w:rsidRDefault="00EF5E30" w:rsidP="00126B45">
      <w:pPr>
        <w:tabs>
          <w:tab w:val="left" w:pos="2160"/>
        </w:tabs>
        <w:spacing w:line="360" w:lineRule="auto"/>
        <w:ind w:firstLine="1440"/>
      </w:pPr>
      <w:r>
        <w:t>12</w:t>
      </w:r>
      <w:r w:rsidR="00126B45">
        <w:t xml:space="preserve">. </w:t>
      </w:r>
      <w:r w:rsidR="00126B45">
        <w:tab/>
      </w:r>
      <w:r w:rsidR="009E5767">
        <w:t xml:space="preserve"> </w:t>
      </w:r>
      <w:r w:rsidR="00DD053A">
        <w:t xml:space="preserve">When opening a new account for a new customer, Duquesne Light </w:t>
      </w:r>
      <w:r w:rsidR="003660D6">
        <w:t>does</w:t>
      </w:r>
      <w:r w:rsidR="00DD053A">
        <w:t xml:space="preserve"> not inquire if </w:t>
      </w:r>
      <w:r w:rsidR="000B3867">
        <w:t xml:space="preserve">(1) electricity is the primary heating source, (2) </w:t>
      </w:r>
      <w:r w:rsidR="00DD053A">
        <w:t>a heat pump</w:t>
      </w:r>
      <w:r w:rsidR="00E56835">
        <w:t xml:space="preserve"> is</w:t>
      </w:r>
      <w:r w:rsidR="00DD053A">
        <w:t xml:space="preserve"> </w:t>
      </w:r>
      <w:r w:rsidR="003660D6">
        <w:t xml:space="preserve">currently </w:t>
      </w:r>
      <w:r w:rsidR="00DD053A">
        <w:t xml:space="preserve">in use at the service address, or </w:t>
      </w:r>
      <w:r w:rsidR="000B3867">
        <w:t xml:space="preserve">(3) another </w:t>
      </w:r>
      <w:r w:rsidR="00DD053A">
        <w:t xml:space="preserve">rate schedule is the </w:t>
      </w:r>
      <w:r w:rsidR="000B3867">
        <w:t xml:space="preserve">most </w:t>
      </w:r>
      <w:r w:rsidR="00DD053A">
        <w:t xml:space="preserve">appropriate schedule </w:t>
      </w:r>
      <w:r w:rsidR="003660D6">
        <w:t>to</w:t>
      </w:r>
      <w:r w:rsidR="00DD053A">
        <w:t xml:space="preserve"> use.  (Tr. 22-24).</w:t>
      </w:r>
    </w:p>
    <w:p w:rsidR="00126B45" w:rsidRDefault="00126B45" w:rsidP="00126B45">
      <w:pPr>
        <w:tabs>
          <w:tab w:val="left" w:pos="2160"/>
        </w:tabs>
        <w:spacing w:line="360" w:lineRule="auto"/>
        <w:ind w:firstLine="1440"/>
      </w:pPr>
    </w:p>
    <w:p w:rsidR="00F82A4B" w:rsidRDefault="00F82A4B" w:rsidP="00F82A4B">
      <w:pPr>
        <w:tabs>
          <w:tab w:val="left" w:pos="2160"/>
        </w:tabs>
        <w:spacing w:line="360" w:lineRule="auto"/>
        <w:ind w:firstLine="1440"/>
      </w:pPr>
      <w:r>
        <w:t>1</w:t>
      </w:r>
      <w:r w:rsidR="00EF5E30">
        <w:t>3</w:t>
      </w:r>
      <w:r>
        <w:t xml:space="preserve">. </w:t>
      </w:r>
      <w:r>
        <w:tab/>
        <w:t xml:space="preserve"> </w:t>
      </w:r>
      <w:r w:rsidR="00243639">
        <w:t xml:space="preserve">Respondent’s tariff indicates customers shall notify Duquesne Light if </w:t>
      </w:r>
      <w:r w:rsidR="00243639" w:rsidRPr="003660D6">
        <w:rPr>
          <w:u w:val="single"/>
        </w:rPr>
        <w:t>changes</w:t>
      </w:r>
      <w:r w:rsidR="00243639">
        <w:t xml:space="preserve"> are “made to the connected load, demand or other conditions of use.”  </w:t>
      </w:r>
      <w:proofErr w:type="gramStart"/>
      <w:r w:rsidR="00243639">
        <w:t>(Tr. 28, 29; Duquesne Light Exhibit 6).</w:t>
      </w:r>
      <w:proofErr w:type="gramEnd"/>
      <w:r w:rsidR="00243639">
        <w:t xml:space="preserve">  </w:t>
      </w:r>
    </w:p>
    <w:p w:rsidR="00126B45" w:rsidRDefault="00126B45" w:rsidP="00126B45">
      <w:pPr>
        <w:tabs>
          <w:tab w:val="left" w:pos="2160"/>
        </w:tabs>
        <w:spacing w:line="360" w:lineRule="auto"/>
        <w:ind w:firstLine="1440"/>
      </w:pPr>
    </w:p>
    <w:p w:rsidR="00CF1863" w:rsidRDefault="00CF1863" w:rsidP="00126B45">
      <w:pPr>
        <w:tabs>
          <w:tab w:val="left" w:pos="2160"/>
        </w:tabs>
        <w:spacing w:line="360" w:lineRule="auto"/>
        <w:ind w:firstLine="1440"/>
      </w:pPr>
      <w:r>
        <w:t>14.</w:t>
      </w:r>
      <w:r>
        <w:tab/>
        <w:t xml:space="preserve">On February 13, 2008, Complainant replaced the heat pump, which was installed by a previous owner, with another similar heat pump.  </w:t>
      </w:r>
      <w:proofErr w:type="gramStart"/>
      <w:r>
        <w:t>(Tr. 10, 11).</w:t>
      </w:r>
      <w:proofErr w:type="gramEnd"/>
    </w:p>
    <w:p w:rsidR="00126B45" w:rsidRDefault="00EF5E30" w:rsidP="00E56835">
      <w:pPr>
        <w:tabs>
          <w:tab w:val="left" w:pos="2160"/>
        </w:tabs>
        <w:spacing w:line="360" w:lineRule="auto"/>
        <w:ind w:firstLine="1440"/>
      </w:pPr>
      <w:r>
        <w:lastRenderedPageBreak/>
        <w:t>1</w:t>
      </w:r>
      <w:r w:rsidR="00CF1863">
        <w:t>5</w:t>
      </w:r>
      <w:r w:rsidR="00E56835">
        <w:t xml:space="preserve">. </w:t>
      </w:r>
      <w:r w:rsidR="00E56835">
        <w:tab/>
        <w:t xml:space="preserve">Complainant did not make any </w:t>
      </w:r>
      <w:r w:rsidR="00E56835" w:rsidRPr="003660D6">
        <w:rPr>
          <w:u w:val="single"/>
        </w:rPr>
        <w:t>changes</w:t>
      </w:r>
      <w:r w:rsidR="00E56835">
        <w:t xml:space="preserve"> to the connected load, demand or other conditions of use from what </w:t>
      </w:r>
      <w:r w:rsidR="003660D6">
        <w:t xml:space="preserve">connected load, demand or other conditions of use </w:t>
      </w:r>
      <w:r w:rsidR="00E56835">
        <w:t>existed at the time he bought the service address</w:t>
      </w:r>
      <w:r w:rsidR="00CF1863">
        <w:t xml:space="preserve"> in 2000</w:t>
      </w:r>
      <w:r w:rsidR="00E56835">
        <w:t xml:space="preserve">.  </w:t>
      </w:r>
      <w:proofErr w:type="gramStart"/>
      <w:r w:rsidR="00E56835">
        <w:t>(Tr. 10-17, 28, 29).</w:t>
      </w:r>
      <w:proofErr w:type="gramEnd"/>
      <w:r w:rsidR="00243639">
        <w:t xml:space="preserve">  </w:t>
      </w:r>
    </w:p>
    <w:p w:rsidR="00126B45" w:rsidRDefault="00126B45" w:rsidP="00126B45">
      <w:pPr>
        <w:tabs>
          <w:tab w:val="left" w:pos="2160"/>
        </w:tabs>
        <w:spacing w:line="360" w:lineRule="auto"/>
        <w:ind w:firstLine="1440"/>
      </w:pPr>
    </w:p>
    <w:p w:rsidR="00126B45" w:rsidRDefault="00EF5E30" w:rsidP="00126B45">
      <w:pPr>
        <w:tabs>
          <w:tab w:val="left" w:pos="2160"/>
        </w:tabs>
        <w:spacing w:line="360" w:lineRule="auto"/>
        <w:ind w:firstLine="1440"/>
      </w:pPr>
      <w:r>
        <w:t>1</w:t>
      </w:r>
      <w:r w:rsidR="00CF1863">
        <w:t>6</w:t>
      </w:r>
      <w:r w:rsidR="00126B45">
        <w:t>.</w:t>
      </w:r>
      <w:r w:rsidR="00126B45">
        <w:tab/>
      </w:r>
      <w:r w:rsidR="00D41A54">
        <w:t xml:space="preserve">Duquesne Light has three different </w:t>
      </w:r>
      <w:r w:rsidR="003660D6">
        <w:t xml:space="preserve">residential </w:t>
      </w:r>
      <w:r w:rsidR="00D41A54">
        <w:t xml:space="preserve">distribution rates currently: residential heat (RH); residential add-on heat pump (RA); and regular residential service (RS).  </w:t>
      </w:r>
      <w:proofErr w:type="gramStart"/>
      <w:r w:rsidR="00D41A54">
        <w:t>(Tr. 44).</w:t>
      </w:r>
      <w:proofErr w:type="gramEnd"/>
    </w:p>
    <w:p w:rsidR="00D41A54" w:rsidRDefault="00D41A54" w:rsidP="00126B45">
      <w:pPr>
        <w:tabs>
          <w:tab w:val="left" w:pos="2160"/>
        </w:tabs>
        <w:spacing w:line="360" w:lineRule="auto"/>
        <w:ind w:firstLine="1440"/>
      </w:pPr>
    </w:p>
    <w:p w:rsidR="00D41A54" w:rsidRDefault="00EF5E30" w:rsidP="00126B45">
      <w:pPr>
        <w:tabs>
          <w:tab w:val="left" w:pos="2160"/>
        </w:tabs>
        <w:spacing w:line="360" w:lineRule="auto"/>
        <w:ind w:firstLine="1440"/>
      </w:pPr>
      <w:r>
        <w:t>1</w:t>
      </w:r>
      <w:r w:rsidR="00CF1863">
        <w:t>7</w:t>
      </w:r>
      <w:r w:rsidR="00D41A54">
        <w:t xml:space="preserve">. </w:t>
      </w:r>
      <w:r w:rsidR="00D41A54">
        <w:tab/>
        <w:t xml:space="preserve">When </w:t>
      </w:r>
      <w:r w:rsidR="00E56835">
        <w:t>Complainant, as an</w:t>
      </w:r>
      <w:r w:rsidR="00D41A54">
        <w:t xml:space="preserve"> applicant, </w:t>
      </w:r>
      <w:r w:rsidR="00E56835">
        <w:t>contacted</w:t>
      </w:r>
      <w:r w:rsidR="00D41A54">
        <w:t xml:space="preserve"> Duquesne Light </w:t>
      </w:r>
      <w:r w:rsidR="00CF1863">
        <w:t xml:space="preserve">in 2000 </w:t>
      </w:r>
      <w:r w:rsidR="00D41A54">
        <w:t>to initiate</w:t>
      </w:r>
      <w:r w:rsidR="00E56835">
        <w:t xml:space="preserve"> service, Duquesne Light did</w:t>
      </w:r>
      <w:r w:rsidR="00D41A54">
        <w:t xml:space="preserve"> not </w:t>
      </w:r>
      <w:r>
        <w:t>ask</w:t>
      </w:r>
      <w:r w:rsidR="00D41A54">
        <w:t xml:space="preserve"> whether </w:t>
      </w:r>
      <w:r w:rsidR="00E56835">
        <w:t>Mr. Kramer would</w:t>
      </w:r>
      <w:r w:rsidR="00D41A54">
        <w:t xml:space="preserve"> use electricity as the primary heating source.  </w:t>
      </w:r>
      <w:proofErr w:type="gramStart"/>
      <w:r w:rsidR="00D41A54">
        <w:t>(Tr. 44).</w:t>
      </w:r>
      <w:proofErr w:type="gramEnd"/>
    </w:p>
    <w:p w:rsidR="00D41A54" w:rsidRDefault="00D41A54" w:rsidP="00126B45">
      <w:pPr>
        <w:tabs>
          <w:tab w:val="left" w:pos="2160"/>
        </w:tabs>
        <w:spacing w:line="360" w:lineRule="auto"/>
        <w:ind w:firstLine="1440"/>
      </w:pPr>
    </w:p>
    <w:p w:rsidR="00D41A54" w:rsidRDefault="00EF5E30" w:rsidP="00126B45">
      <w:pPr>
        <w:tabs>
          <w:tab w:val="left" w:pos="2160"/>
        </w:tabs>
        <w:spacing w:line="360" w:lineRule="auto"/>
        <w:ind w:firstLine="1440"/>
      </w:pPr>
      <w:r>
        <w:t>1</w:t>
      </w:r>
      <w:r w:rsidR="00CF1863">
        <w:t>8</w:t>
      </w:r>
      <w:r w:rsidR="00D41A54">
        <w:t xml:space="preserve">. </w:t>
      </w:r>
      <w:r w:rsidR="00D41A54">
        <w:tab/>
      </w:r>
      <w:r w:rsidR="00E56835">
        <w:t>When Complainant, as an applicant, contacted</w:t>
      </w:r>
      <w:r w:rsidR="00D41A54">
        <w:t xml:space="preserve"> Duquesne Light to initiate</w:t>
      </w:r>
      <w:r w:rsidR="00E56835">
        <w:t xml:space="preserve"> service, Duquesne Light reviewed its records concerning</w:t>
      </w:r>
      <w:r w:rsidR="00D41A54">
        <w:t xml:space="preserve"> the most immediate prior account for the service address, and </w:t>
      </w:r>
      <w:r w:rsidR="00E56835">
        <w:t>assumed</w:t>
      </w:r>
      <w:r w:rsidR="00D41A54">
        <w:t xml:space="preserve"> the rate </w:t>
      </w:r>
      <w:r w:rsidR="000B3867">
        <w:t>charged</w:t>
      </w:r>
      <w:r w:rsidR="00D41A54">
        <w:t xml:space="preserve"> to the previous </w:t>
      </w:r>
      <w:r w:rsidR="003660D6">
        <w:t xml:space="preserve">account holder (i.e., prior </w:t>
      </w:r>
      <w:r w:rsidR="00D41A54">
        <w:t>owner</w:t>
      </w:r>
      <w:r w:rsidR="003660D6">
        <w:t>)</w:t>
      </w:r>
      <w:r w:rsidR="00E56835">
        <w:t xml:space="preserve"> was applicable to Complainant</w:t>
      </w:r>
      <w:r w:rsidR="00D41A54">
        <w:t>.  (Tr. 45</w:t>
      </w:r>
      <w:r w:rsidR="00676AF9">
        <w:t>-47</w:t>
      </w:r>
      <w:r w:rsidR="00D41A54">
        <w:t>).</w:t>
      </w:r>
    </w:p>
    <w:p w:rsidR="00E56835" w:rsidRDefault="00E56835" w:rsidP="00126B45">
      <w:pPr>
        <w:tabs>
          <w:tab w:val="left" w:pos="2160"/>
        </w:tabs>
        <w:spacing w:line="360" w:lineRule="auto"/>
        <w:ind w:firstLine="1440"/>
      </w:pPr>
    </w:p>
    <w:p w:rsidR="00E56835" w:rsidRDefault="00EF5E30" w:rsidP="00126B45">
      <w:pPr>
        <w:tabs>
          <w:tab w:val="left" w:pos="2160"/>
        </w:tabs>
        <w:spacing w:line="360" w:lineRule="auto"/>
        <w:ind w:firstLine="1440"/>
      </w:pPr>
      <w:r>
        <w:t>1</w:t>
      </w:r>
      <w:r w:rsidR="00CF1863">
        <w:t>9</w:t>
      </w:r>
      <w:r w:rsidR="00E56835">
        <w:t xml:space="preserve">. </w:t>
      </w:r>
      <w:r w:rsidR="00E56835">
        <w:tab/>
        <w:t xml:space="preserve">When Complainant, as an applicant, contacted Duquesne Light to initiate service, Duquesne Light did not </w:t>
      </w:r>
      <w:r w:rsidR="003660D6">
        <w:t>ask</w:t>
      </w:r>
      <w:r w:rsidR="00E56835">
        <w:t xml:space="preserve"> whether an add-on heat pump was present and operational at the service address.  (Tr. 10-17).</w:t>
      </w:r>
    </w:p>
    <w:p w:rsidR="00D41A54" w:rsidRDefault="00D41A54" w:rsidP="00126B45">
      <w:pPr>
        <w:tabs>
          <w:tab w:val="left" w:pos="2160"/>
        </w:tabs>
        <w:spacing w:line="360" w:lineRule="auto"/>
        <w:ind w:firstLine="1440"/>
      </w:pPr>
    </w:p>
    <w:p w:rsidR="00D41A54" w:rsidRDefault="00CF1863" w:rsidP="00126B45">
      <w:pPr>
        <w:tabs>
          <w:tab w:val="left" w:pos="2160"/>
        </w:tabs>
        <w:spacing w:line="360" w:lineRule="auto"/>
        <w:ind w:firstLine="1440"/>
      </w:pPr>
      <w:r>
        <w:t>20</w:t>
      </w:r>
      <w:r w:rsidR="00D41A54">
        <w:t xml:space="preserve">. </w:t>
      </w:r>
      <w:r w:rsidR="00D41A54">
        <w:tab/>
        <w:t xml:space="preserve">When </w:t>
      </w:r>
      <w:r w:rsidR="00E56835">
        <w:t xml:space="preserve">Complainant, as </w:t>
      </w:r>
      <w:r w:rsidR="00D41A54">
        <w:t>an applicant</w:t>
      </w:r>
      <w:r w:rsidR="00E56835">
        <w:t>,</w:t>
      </w:r>
      <w:r w:rsidR="00D41A54">
        <w:t xml:space="preserve"> contact</w:t>
      </w:r>
      <w:r w:rsidR="00E56835">
        <w:t>ed</w:t>
      </w:r>
      <w:r w:rsidR="00D41A54">
        <w:t xml:space="preserve"> Duquesne Light to initiate service, Duquesne Light assume</w:t>
      </w:r>
      <w:r w:rsidR="003660D6">
        <w:t>d</w:t>
      </w:r>
      <w:r w:rsidR="00D41A54">
        <w:t xml:space="preserve"> the rate applied </w:t>
      </w:r>
      <w:r w:rsidR="003660D6">
        <w:t xml:space="preserve">prior to 2000 should </w:t>
      </w:r>
      <w:r w:rsidR="00D41A54">
        <w:t xml:space="preserve">be </w:t>
      </w:r>
      <w:r w:rsidR="000B3867">
        <w:t>charged</w:t>
      </w:r>
      <w:r w:rsidR="00D41A54">
        <w:t xml:space="preserve"> to </w:t>
      </w:r>
      <w:r w:rsidR="00425756">
        <w:t xml:space="preserve">Complainant as </w:t>
      </w:r>
      <w:r w:rsidR="00D41A54">
        <w:t>the applicant.  (Tr. 45</w:t>
      </w:r>
      <w:r w:rsidR="00676AF9">
        <w:t>-47</w:t>
      </w:r>
      <w:r w:rsidR="00D41A54">
        <w:t>).</w:t>
      </w:r>
    </w:p>
    <w:p w:rsidR="00C70EDB" w:rsidRDefault="00C70EDB" w:rsidP="00C70EDB">
      <w:pPr>
        <w:tabs>
          <w:tab w:val="left" w:pos="2160"/>
        </w:tabs>
        <w:spacing w:line="360" w:lineRule="auto"/>
        <w:ind w:firstLine="1440"/>
      </w:pPr>
    </w:p>
    <w:p w:rsidR="00C70EDB" w:rsidRDefault="00EF5E30" w:rsidP="00C70EDB">
      <w:pPr>
        <w:tabs>
          <w:tab w:val="left" w:pos="2160"/>
        </w:tabs>
        <w:spacing w:line="360" w:lineRule="auto"/>
        <w:ind w:firstLine="1440"/>
      </w:pPr>
      <w:r>
        <w:t>2</w:t>
      </w:r>
      <w:r w:rsidR="00CF1863">
        <w:t>1</w:t>
      </w:r>
      <w:r w:rsidR="00C70EDB">
        <w:t xml:space="preserve">. </w:t>
      </w:r>
      <w:r w:rsidR="00C70EDB">
        <w:tab/>
        <w:t xml:space="preserve">When Complainant, as an applicant, contacted Duquesne Light to initiate service, Duquesne Light did not advise Mr. Kramer other </w:t>
      </w:r>
      <w:r w:rsidR="000B3867">
        <w:t xml:space="preserve">residential </w:t>
      </w:r>
      <w:r w:rsidR="00C70EDB">
        <w:t>distribution rates were available.  (Tr. 45-47).</w:t>
      </w:r>
    </w:p>
    <w:p w:rsidR="00126B45" w:rsidRDefault="00126B45" w:rsidP="00126B45">
      <w:pPr>
        <w:tabs>
          <w:tab w:val="left" w:pos="2160"/>
        </w:tabs>
        <w:spacing w:line="360" w:lineRule="auto"/>
        <w:ind w:firstLine="1440"/>
      </w:pPr>
    </w:p>
    <w:p w:rsidR="00425756" w:rsidRDefault="00425756">
      <w:pPr>
        <w:rPr>
          <w:u w:val="single"/>
        </w:rPr>
      </w:pPr>
      <w:r>
        <w:rPr>
          <w:u w:val="single"/>
        </w:rPr>
        <w:br w:type="page"/>
      </w:r>
    </w:p>
    <w:p w:rsidR="00126B45" w:rsidRPr="00FB448C" w:rsidRDefault="00126B45" w:rsidP="00126B45">
      <w:pPr>
        <w:spacing w:line="360" w:lineRule="auto"/>
        <w:jc w:val="center"/>
      </w:pPr>
      <w:r w:rsidRPr="00FB448C">
        <w:rPr>
          <w:u w:val="single"/>
        </w:rPr>
        <w:lastRenderedPageBreak/>
        <w:t>DISCUSSION</w:t>
      </w:r>
    </w:p>
    <w:p w:rsidR="00126B45" w:rsidRDefault="00126B45" w:rsidP="00126B45">
      <w:pPr>
        <w:spacing w:line="360" w:lineRule="auto"/>
      </w:pPr>
    </w:p>
    <w:p w:rsidR="004A0254" w:rsidRDefault="004A0254" w:rsidP="00126B45">
      <w:pPr>
        <w:spacing w:line="360" w:lineRule="auto"/>
      </w:pPr>
      <w:r>
        <w:tab/>
      </w:r>
      <w:r>
        <w:tab/>
        <w:t>Complainant allege</w:t>
      </w:r>
      <w:r w:rsidR="000B3867">
        <w:t>d</w:t>
      </w:r>
      <w:r>
        <w:t xml:space="preserve"> </w:t>
      </w:r>
      <w:r w:rsidR="00425756">
        <w:t xml:space="preserve">Duquesne Light applied </w:t>
      </w:r>
      <w:r w:rsidR="005C4542">
        <w:rPr>
          <w:bCs/>
          <w:color w:val="000000"/>
        </w:rPr>
        <w:t xml:space="preserve">the wrong rate to the billing statements </w:t>
      </w:r>
      <w:r w:rsidR="00425756">
        <w:rPr>
          <w:bCs/>
          <w:color w:val="000000"/>
        </w:rPr>
        <w:t xml:space="preserve">it </w:t>
      </w:r>
      <w:r w:rsidR="005C4542">
        <w:rPr>
          <w:bCs/>
          <w:color w:val="000000"/>
        </w:rPr>
        <w:t>issued to him from December 2000 to December 2014</w:t>
      </w:r>
      <w:r w:rsidR="00425756">
        <w:rPr>
          <w:bCs/>
          <w:color w:val="000000"/>
        </w:rPr>
        <w:t>, which resulted in him being overcharged for electric service</w:t>
      </w:r>
      <w:r w:rsidR="005C4542">
        <w:rPr>
          <w:bCs/>
          <w:color w:val="000000"/>
        </w:rPr>
        <w:t>.  In the formal complaint, Mr. Kramer specifie</w:t>
      </w:r>
      <w:r w:rsidR="000B3867">
        <w:rPr>
          <w:bCs/>
          <w:color w:val="000000"/>
        </w:rPr>
        <w:t>d</w:t>
      </w:r>
      <w:r w:rsidR="005C4542">
        <w:rPr>
          <w:bCs/>
          <w:color w:val="000000"/>
        </w:rPr>
        <w:t xml:space="preserve"> the four previous title owners of the service address (which is a single-family home).  Complainant list</w:t>
      </w:r>
      <w:r w:rsidR="000B3867">
        <w:rPr>
          <w:bCs/>
          <w:color w:val="000000"/>
        </w:rPr>
        <w:t>ed</w:t>
      </w:r>
      <w:r w:rsidR="005C4542">
        <w:rPr>
          <w:bCs/>
          <w:color w:val="000000"/>
        </w:rPr>
        <w:t xml:space="preserve"> the owners’ names, dates of occupancy, and the electric rates charged by Respondent.  In the case of one previ</w:t>
      </w:r>
      <w:r w:rsidR="000B3867">
        <w:rPr>
          <w:bCs/>
          <w:color w:val="000000"/>
        </w:rPr>
        <w:t xml:space="preserve">ous owner, Complainant specified in his formal complaint the date when an </w:t>
      </w:r>
      <w:r w:rsidR="005C4542">
        <w:rPr>
          <w:bCs/>
          <w:color w:val="000000"/>
        </w:rPr>
        <w:t>add-on heat pump was installed, the cost of the new pump and includes a copy of the original receipt.  Complainant attache</w:t>
      </w:r>
      <w:r w:rsidR="000B3867">
        <w:rPr>
          <w:bCs/>
          <w:color w:val="000000"/>
        </w:rPr>
        <w:t>d</w:t>
      </w:r>
      <w:r w:rsidR="005C4542">
        <w:rPr>
          <w:bCs/>
          <w:color w:val="000000"/>
        </w:rPr>
        <w:t xml:space="preserve"> a copy of a computer printout with a list of all property owners, including purcha</w:t>
      </w:r>
      <w:r w:rsidR="000B3867">
        <w:rPr>
          <w:bCs/>
          <w:color w:val="000000"/>
        </w:rPr>
        <w:t>se prices.  Complainant requested</w:t>
      </w:r>
      <w:r w:rsidR="005C4542">
        <w:rPr>
          <w:bCs/>
          <w:color w:val="000000"/>
        </w:rPr>
        <w:t xml:space="preserve"> the Commission require </w:t>
      </w:r>
      <w:r w:rsidR="007F2184">
        <w:rPr>
          <w:bCs/>
          <w:color w:val="000000"/>
        </w:rPr>
        <w:t>Duquesne Light</w:t>
      </w:r>
      <w:r w:rsidR="00890670">
        <w:rPr>
          <w:bCs/>
          <w:color w:val="000000"/>
        </w:rPr>
        <w:t xml:space="preserve"> </w:t>
      </w:r>
      <w:r w:rsidR="005C4542">
        <w:rPr>
          <w:bCs/>
          <w:color w:val="000000"/>
        </w:rPr>
        <w:t xml:space="preserve">to reimburse </w:t>
      </w:r>
      <w:r w:rsidR="00425756">
        <w:rPr>
          <w:bCs/>
          <w:color w:val="000000"/>
        </w:rPr>
        <w:t>him for the amounts he was overcharged by Duquesne Light</w:t>
      </w:r>
      <w:r w:rsidR="005C4542">
        <w:rPr>
          <w:bCs/>
          <w:color w:val="000000"/>
        </w:rPr>
        <w:t xml:space="preserve"> </w:t>
      </w:r>
      <w:r w:rsidR="00890670">
        <w:rPr>
          <w:bCs/>
          <w:color w:val="000000"/>
        </w:rPr>
        <w:t>since December 2010</w:t>
      </w:r>
      <w:r w:rsidR="0047367A">
        <w:t>.</w:t>
      </w:r>
      <w:r w:rsidR="00890670">
        <w:rPr>
          <w:rStyle w:val="FootnoteReference"/>
        </w:rPr>
        <w:footnoteReference w:id="1"/>
      </w:r>
    </w:p>
    <w:p w:rsidR="006C773F" w:rsidRPr="00B524A4" w:rsidRDefault="006C773F" w:rsidP="006C773F">
      <w:pPr>
        <w:pStyle w:val="BodyText"/>
        <w:jc w:val="left"/>
        <w:rPr>
          <w:sz w:val="24"/>
          <w:szCs w:val="24"/>
        </w:rPr>
      </w:pPr>
    </w:p>
    <w:p w:rsidR="006C773F" w:rsidRDefault="006C773F" w:rsidP="00CC6833">
      <w:pPr>
        <w:spacing w:line="360" w:lineRule="auto"/>
      </w:pPr>
      <w:r w:rsidRPr="008B455C">
        <w:tab/>
      </w:r>
      <w:r w:rsidRPr="008B455C">
        <w:tab/>
      </w:r>
      <w:r w:rsidRPr="00B73D10">
        <w:t xml:space="preserve">Respondent </w:t>
      </w:r>
      <w:r>
        <w:t xml:space="preserve">contends it provided reasonable and adequate service in how it </w:t>
      </w:r>
      <w:r w:rsidR="00C70EDB">
        <w:t>billed Complainant.</w:t>
      </w:r>
      <w:r>
        <w:t xml:space="preserve">  </w:t>
      </w:r>
      <w:r w:rsidRPr="008B455C">
        <w:t>Respondent</w:t>
      </w:r>
      <w:r>
        <w:t xml:space="preserve"> argues</w:t>
      </w:r>
      <w:r w:rsidR="00CC6833">
        <w:t xml:space="preserve"> Complainant is required under Respondent’s tariff to notify Respondent if any changes are made to the connected load, demand or other conditions of use.</w:t>
      </w:r>
      <w:r w:rsidR="000B3867">
        <w:t xml:space="preserve">  Respondent avers the presence of a heat pump qualifies as a change to the connected load, demand or other condition of use.  Respondent insists Complainant should have told Duquesne Light when he applied for service in 2000 that the prior owner installed a heat pump.</w:t>
      </w:r>
      <w:r w:rsidR="00CC6833">
        <w:t xml:space="preserve">  Respondent avers that because Complainant did not contact Duquesne Light until December 2014 to notify Respondent that an operational heat pump was in use at the service address, Respondent cannot be held responsible for overcharges incurred prior to </w:t>
      </w:r>
      <w:r w:rsidR="00425756">
        <w:t xml:space="preserve">December 2014.  </w:t>
      </w:r>
    </w:p>
    <w:p w:rsidR="00CC6833" w:rsidRDefault="00CC6833" w:rsidP="00CC6833">
      <w:pPr>
        <w:spacing w:line="360" w:lineRule="auto"/>
      </w:pPr>
    </w:p>
    <w:p w:rsidR="00126B45" w:rsidRPr="00A41132" w:rsidRDefault="00126B45" w:rsidP="00126B45">
      <w:pPr>
        <w:spacing w:line="360" w:lineRule="auto"/>
        <w:rPr>
          <w:u w:val="single"/>
        </w:rPr>
      </w:pPr>
      <w:r w:rsidRPr="00A41132">
        <w:rPr>
          <w:u w:val="single"/>
        </w:rPr>
        <w:t>Burden of Proof</w:t>
      </w:r>
    </w:p>
    <w:p w:rsidR="00126B45" w:rsidRPr="00A41132" w:rsidRDefault="00126B45" w:rsidP="00126B45">
      <w:pPr>
        <w:spacing w:line="360" w:lineRule="auto"/>
      </w:pPr>
    </w:p>
    <w:p w:rsidR="004A0254" w:rsidRDefault="00126B45" w:rsidP="004A0254">
      <w:pPr>
        <w:spacing w:line="360" w:lineRule="auto"/>
        <w:ind w:firstLine="1440"/>
      </w:pPr>
      <w:r w:rsidRPr="00A41132">
        <w:t>As the party seeking affirmative relief from the Commission, Complainant bears the burden of provin</w:t>
      </w:r>
      <w:r>
        <w:t xml:space="preserve">g by substantial evidence </w:t>
      </w:r>
      <w:r w:rsidRPr="00A41132">
        <w:t xml:space="preserve">he is entitled to the requested relief.  66 </w:t>
      </w:r>
      <w:proofErr w:type="spellStart"/>
      <w:r w:rsidRPr="00A41132">
        <w:t>Pa.C.S.</w:t>
      </w:r>
      <w:r>
        <w:t>A</w:t>
      </w:r>
      <w:proofErr w:type="spellEnd"/>
      <w:r>
        <w:t>.</w:t>
      </w:r>
      <w:r w:rsidRPr="00A41132">
        <w:t xml:space="preserve"> § 332(a).  To satisfy this burden, Complainant must show </w:t>
      </w:r>
      <w:r>
        <w:t>Respondent utility</w:t>
      </w:r>
      <w:r w:rsidRPr="00A41132">
        <w:t xml:space="preserve"> is responsible or </w:t>
      </w:r>
      <w:r w:rsidRPr="00A41132">
        <w:lastRenderedPageBreak/>
        <w:t>accountable for the problem described.</w:t>
      </w:r>
      <w:r>
        <w:rPr>
          <w:rStyle w:val="FootnoteReference"/>
        </w:rPr>
        <w:footnoteReference w:id="2"/>
      </w:r>
      <w:r w:rsidRPr="00A41132">
        <w:t xml:space="preserve">  </w:t>
      </w:r>
      <w:r>
        <w:t xml:space="preserve">Complainant must show this fact to be true </w:t>
      </w:r>
      <w:r w:rsidRPr="00A41132">
        <w:t xml:space="preserve">by a preponderance of the evidence, that is, by presenting evidence more convincing, by even the smallest amount, than that </w:t>
      </w:r>
      <w:r>
        <w:t xml:space="preserve">evidence </w:t>
      </w:r>
      <w:r w:rsidRPr="00A41132">
        <w:t>presented by the other party.</w:t>
      </w:r>
      <w:r>
        <w:rPr>
          <w:rStyle w:val="FootnoteReference"/>
        </w:rPr>
        <w:footnoteReference w:id="3"/>
      </w:r>
      <w:r w:rsidRPr="00A41132">
        <w:t xml:space="preserve">  Additionally, any finding of fact necessary to support the Commission’s adjudication must be based upon substantial evidence.</w:t>
      </w:r>
      <w:r>
        <w:rPr>
          <w:rStyle w:val="FootnoteReference"/>
        </w:rPr>
        <w:footnoteReference w:id="4"/>
      </w:r>
      <w:r w:rsidRPr="00A41132">
        <w:t xml:space="preserve">  </w:t>
      </w:r>
      <w:r>
        <w:t xml:space="preserve">Furthermore, more evidence </w:t>
      </w:r>
      <w:r w:rsidRPr="00A41132">
        <w:t>is required than a mere trace of evidence or a suspicion of the existence of a fact sought to be established.</w:t>
      </w:r>
      <w:r>
        <w:rPr>
          <w:rStyle w:val="FootnoteReference"/>
        </w:rPr>
        <w:footnoteReference w:id="5"/>
      </w:r>
      <w:r w:rsidRPr="00A41132">
        <w:t xml:space="preserve">  </w:t>
      </w:r>
      <w:r w:rsidR="004A0254" w:rsidRPr="004E7308">
        <w:t>As the party seeking affirmative relief from the Commission, Complainant bears the burden of proof</w:t>
      </w:r>
      <w:r w:rsidR="004A0254">
        <w:t xml:space="preserve"> by substantial evidence</w:t>
      </w:r>
      <w:r w:rsidR="004A0254" w:rsidRPr="004E7308">
        <w:t xml:space="preserve">.  </w:t>
      </w:r>
      <w:proofErr w:type="gramStart"/>
      <w:r w:rsidR="004A0254" w:rsidRPr="004E7308">
        <w:t xml:space="preserve">66 </w:t>
      </w:r>
      <w:proofErr w:type="spellStart"/>
      <w:r w:rsidR="004A0254" w:rsidRPr="004E7308">
        <w:t>Pa.C.S.</w:t>
      </w:r>
      <w:r w:rsidR="004A0254">
        <w:t>A</w:t>
      </w:r>
      <w:proofErr w:type="spellEnd"/>
      <w:r w:rsidR="004A0254">
        <w:t>.</w:t>
      </w:r>
      <w:proofErr w:type="gramEnd"/>
      <w:r w:rsidR="004A0254" w:rsidRPr="004E7308">
        <w:t xml:space="preserve"> §</w:t>
      </w:r>
      <w:r w:rsidR="0028164C">
        <w:t> </w:t>
      </w:r>
      <w:r w:rsidR="004A0254" w:rsidRPr="004E7308">
        <w:t>332(a).</w:t>
      </w:r>
      <w:r w:rsidR="004A0254">
        <w:t xml:space="preserve">  </w:t>
      </w:r>
    </w:p>
    <w:p w:rsidR="00CB4325" w:rsidRDefault="00CB4325" w:rsidP="004A0254">
      <w:pPr>
        <w:spacing w:line="360" w:lineRule="auto"/>
        <w:ind w:firstLine="1440"/>
      </w:pPr>
    </w:p>
    <w:p w:rsidR="00CB4325" w:rsidRDefault="0041639A" w:rsidP="004A0254">
      <w:pPr>
        <w:spacing w:line="360" w:lineRule="auto"/>
        <w:ind w:firstLine="1440"/>
      </w:pPr>
      <w:r>
        <w:t>Specifically to the facts and issue pertaining to this proceeding</w:t>
      </w:r>
      <w:r w:rsidR="00CB4325">
        <w:t>, Complainant</w:t>
      </w:r>
      <w:r w:rsidR="000C7B56">
        <w:t xml:space="preserve"> </w:t>
      </w:r>
      <w:r>
        <w:t>must show</w:t>
      </w:r>
      <w:r w:rsidR="000C7B56">
        <w:t xml:space="preserve"> Duquesne Light failed to compute his billing statements consistent with the tariff and the Commission’s statutes</w:t>
      </w:r>
      <w:r>
        <w:t>.  T</w:t>
      </w:r>
      <w:r w:rsidR="000C7B56">
        <w:t xml:space="preserve">he burden of proof is on Mr. Kramer to establish all elements of the </w:t>
      </w:r>
      <w:r>
        <w:t>statutory provisions</w:t>
      </w:r>
      <w:r w:rsidR="000C7B56">
        <w:t xml:space="preserve"> at 66 </w:t>
      </w:r>
      <w:proofErr w:type="spellStart"/>
      <w:r w:rsidR="000C7B56">
        <w:t>Pa.C.S.A</w:t>
      </w:r>
      <w:proofErr w:type="spellEnd"/>
      <w:r w:rsidR="000C7B56">
        <w:t xml:space="preserve">. § 1303 </w:t>
      </w:r>
      <w:r>
        <w:t xml:space="preserve">and at 66 </w:t>
      </w:r>
      <w:proofErr w:type="spellStart"/>
      <w:r>
        <w:t>Pa.C.S.A</w:t>
      </w:r>
      <w:proofErr w:type="spellEnd"/>
      <w:r>
        <w:t xml:space="preserve">. § 1501 </w:t>
      </w:r>
      <w:r w:rsidR="000C7B56">
        <w:t xml:space="preserve">were violated when Duquesne Light failed to compute the billing statements under the rate most advantageous to him as an applicant and customer. </w:t>
      </w:r>
      <w:r w:rsidR="000C7B56">
        <w:rPr>
          <w:rStyle w:val="FootnoteReference"/>
        </w:rPr>
        <w:footnoteReference w:id="6"/>
      </w:r>
      <w:r w:rsidR="000C7B56">
        <w:t xml:space="preserve"> </w:t>
      </w:r>
    </w:p>
    <w:p w:rsidR="004A0254" w:rsidRDefault="004A0254" w:rsidP="007E48E1">
      <w:pPr>
        <w:pStyle w:val="BodyText"/>
        <w:jc w:val="left"/>
        <w:rPr>
          <w:sz w:val="24"/>
          <w:szCs w:val="24"/>
        </w:rPr>
      </w:pPr>
    </w:p>
    <w:p w:rsidR="00B32996" w:rsidRPr="004A0254" w:rsidRDefault="004A0254" w:rsidP="007E48E1">
      <w:pPr>
        <w:pStyle w:val="BodyText"/>
        <w:jc w:val="left"/>
        <w:rPr>
          <w:sz w:val="24"/>
          <w:szCs w:val="24"/>
          <w:u w:val="single"/>
        </w:rPr>
      </w:pPr>
      <w:r w:rsidRPr="004A0254">
        <w:rPr>
          <w:sz w:val="24"/>
          <w:szCs w:val="24"/>
          <w:u w:val="single"/>
        </w:rPr>
        <w:t>Responsibility of Public Utility Companies</w:t>
      </w:r>
    </w:p>
    <w:p w:rsidR="004A0254" w:rsidRPr="008B455C" w:rsidRDefault="004A0254" w:rsidP="007E48E1">
      <w:pPr>
        <w:pStyle w:val="BodyText"/>
        <w:jc w:val="left"/>
        <w:rPr>
          <w:sz w:val="24"/>
          <w:szCs w:val="24"/>
        </w:rPr>
      </w:pPr>
    </w:p>
    <w:p w:rsidR="007E48E1" w:rsidRDefault="007E48E1" w:rsidP="007E48E1">
      <w:pPr>
        <w:pStyle w:val="BodyText"/>
        <w:ind w:firstLine="1440"/>
        <w:jc w:val="left"/>
        <w:rPr>
          <w:sz w:val="24"/>
          <w:szCs w:val="24"/>
        </w:rPr>
      </w:pPr>
      <w:r>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w:t>
      </w:r>
      <w:r>
        <w:rPr>
          <w:sz w:val="24"/>
          <w:szCs w:val="24"/>
        </w:rPr>
        <w:lastRenderedPageBreak/>
        <w:t xml:space="preserve">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66 </w:t>
      </w:r>
      <w:proofErr w:type="spellStart"/>
      <w:r>
        <w:rPr>
          <w:sz w:val="24"/>
          <w:szCs w:val="24"/>
        </w:rPr>
        <w:t>Pa.C.S.A</w:t>
      </w:r>
      <w:proofErr w:type="spellEnd"/>
      <w:r>
        <w:rPr>
          <w:sz w:val="24"/>
          <w:szCs w:val="24"/>
        </w:rPr>
        <w:t>. §</w:t>
      </w:r>
      <w:r w:rsidR="0093152B">
        <w:rPr>
          <w:sz w:val="24"/>
          <w:szCs w:val="24"/>
        </w:rPr>
        <w:t xml:space="preserve"> </w:t>
      </w:r>
      <w:r>
        <w:rPr>
          <w:sz w:val="24"/>
          <w:szCs w:val="24"/>
        </w:rPr>
        <w:t>1501.</w:t>
      </w:r>
    </w:p>
    <w:p w:rsidR="007E48E1" w:rsidRDefault="007E48E1" w:rsidP="007E48E1">
      <w:pPr>
        <w:pStyle w:val="BodyText"/>
        <w:ind w:firstLine="1440"/>
        <w:jc w:val="left"/>
        <w:rPr>
          <w:sz w:val="24"/>
          <w:szCs w:val="24"/>
        </w:rPr>
      </w:pPr>
    </w:p>
    <w:p w:rsidR="00E9204D" w:rsidRDefault="007E48E1" w:rsidP="00E9204D">
      <w:pPr>
        <w:pStyle w:val="BodyText"/>
        <w:ind w:firstLine="1440"/>
        <w:jc w:val="left"/>
        <w:rPr>
          <w:sz w:val="24"/>
          <w:szCs w:val="24"/>
        </w:rPr>
      </w:pPr>
      <w:r>
        <w:rPr>
          <w:sz w:val="24"/>
          <w:szCs w:val="24"/>
        </w:rPr>
        <w:t>T</w:t>
      </w:r>
      <w:r w:rsidRPr="00BF51E4">
        <w:rPr>
          <w:sz w:val="24"/>
          <w:szCs w:val="24"/>
        </w:rPr>
        <w:t xml:space="preserve">he Commission </w:t>
      </w:r>
      <w:r>
        <w:rPr>
          <w:sz w:val="24"/>
          <w:szCs w:val="24"/>
        </w:rPr>
        <w:t>has</w:t>
      </w:r>
      <w:r w:rsidRPr="00BF51E4">
        <w:rPr>
          <w:sz w:val="24"/>
          <w:szCs w:val="24"/>
        </w:rPr>
        <w:t xml:space="preserve"> the authority and responsibility to define reasonable service.  66 </w:t>
      </w:r>
      <w:proofErr w:type="spellStart"/>
      <w:r w:rsidRPr="00BF51E4">
        <w:rPr>
          <w:sz w:val="24"/>
          <w:szCs w:val="24"/>
        </w:rPr>
        <w:t>Pa.C.S.</w:t>
      </w:r>
      <w:r>
        <w:rPr>
          <w:sz w:val="24"/>
          <w:szCs w:val="24"/>
        </w:rPr>
        <w:t>A</w:t>
      </w:r>
      <w:proofErr w:type="spellEnd"/>
      <w:r>
        <w:rPr>
          <w:sz w:val="24"/>
          <w:szCs w:val="24"/>
        </w:rPr>
        <w:t>.</w:t>
      </w:r>
      <w:r w:rsidRPr="00BF51E4">
        <w:rPr>
          <w:sz w:val="24"/>
          <w:szCs w:val="24"/>
        </w:rPr>
        <w:t xml:space="preserve"> §</w:t>
      </w:r>
      <w:r w:rsidR="0093152B">
        <w:rPr>
          <w:sz w:val="24"/>
          <w:szCs w:val="24"/>
        </w:rPr>
        <w:t xml:space="preserve"> </w:t>
      </w:r>
      <w:r w:rsidRPr="00BF51E4">
        <w:rPr>
          <w:sz w:val="24"/>
          <w:szCs w:val="24"/>
        </w:rPr>
        <w:t>1501</w:t>
      </w:r>
      <w:r>
        <w:rPr>
          <w:sz w:val="24"/>
          <w:szCs w:val="24"/>
        </w:rPr>
        <w:t xml:space="preserve"> and §</w:t>
      </w:r>
      <w:r w:rsidR="0093152B">
        <w:rPr>
          <w:sz w:val="24"/>
          <w:szCs w:val="24"/>
        </w:rPr>
        <w:t xml:space="preserve"> </w:t>
      </w:r>
      <w:r w:rsidRPr="00BF51E4">
        <w:rPr>
          <w:sz w:val="24"/>
          <w:szCs w:val="24"/>
        </w:rPr>
        <w:t xml:space="preserve">1502.  The Commission approves the cost of providing a utility system that is designed to provide reasonable service at reasonable rates </w:t>
      </w:r>
      <w:r w:rsidR="0093152B">
        <w:rPr>
          <w:sz w:val="24"/>
          <w:szCs w:val="24"/>
        </w:rPr>
        <w:t>–</w:t>
      </w:r>
      <w:r w:rsidRPr="00BF51E4">
        <w:rPr>
          <w:sz w:val="24"/>
          <w:szCs w:val="24"/>
        </w:rPr>
        <w:t xml:space="preserve"> not perfect service without regard to cost.  Since reasonable service may result in occasional loss of service or property damage, the Commission </w:t>
      </w:r>
      <w:r>
        <w:rPr>
          <w:sz w:val="24"/>
          <w:szCs w:val="24"/>
        </w:rPr>
        <w:t xml:space="preserve">is permitted </w:t>
      </w:r>
      <w:r w:rsidRPr="00BF51E4">
        <w:rPr>
          <w:sz w:val="24"/>
          <w:szCs w:val="24"/>
        </w:rPr>
        <w:t>to limit liability.</w:t>
      </w:r>
      <w:r w:rsidR="00A6043D">
        <w:rPr>
          <w:rStyle w:val="FootnoteReference"/>
          <w:sz w:val="24"/>
          <w:szCs w:val="24"/>
        </w:rPr>
        <w:footnoteReference w:id="7"/>
      </w:r>
      <w:r w:rsidRPr="00BF51E4">
        <w:rPr>
          <w:sz w:val="24"/>
          <w:szCs w:val="24"/>
        </w:rPr>
        <w:t xml:space="preserve">  </w:t>
      </w:r>
      <w:r>
        <w:rPr>
          <w:sz w:val="24"/>
          <w:szCs w:val="24"/>
        </w:rPr>
        <w:t xml:space="preserve">  </w:t>
      </w:r>
    </w:p>
    <w:p w:rsidR="004A0254" w:rsidRDefault="004A0254" w:rsidP="004A0254">
      <w:pPr>
        <w:pStyle w:val="BodyText"/>
        <w:jc w:val="left"/>
        <w:rPr>
          <w:sz w:val="24"/>
          <w:szCs w:val="24"/>
        </w:rPr>
      </w:pPr>
    </w:p>
    <w:p w:rsidR="00245699" w:rsidRPr="00245699" w:rsidRDefault="00245699" w:rsidP="004A0254">
      <w:pPr>
        <w:pStyle w:val="BodyText"/>
        <w:jc w:val="left"/>
        <w:rPr>
          <w:sz w:val="24"/>
          <w:szCs w:val="24"/>
          <w:u w:val="single"/>
        </w:rPr>
      </w:pPr>
      <w:r w:rsidRPr="00245699">
        <w:rPr>
          <w:sz w:val="24"/>
          <w:szCs w:val="24"/>
          <w:u w:val="single"/>
        </w:rPr>
        <w:t>Tariffs</w:t>
      </w:r>
    </w:p>
    <w:p w:rsidR="00245699" w:rsidRDefault="00245699" w:rsidP="004A0254">
      <w:pPr>
        <w:pStyle w:val="BodyText"/>
        <w:jc w:val="left"/>
        <w:rPr>
          <w:sz w:val="24"/>
          <w:szCs w:val="24"/>
        </w:rPr>
      </w:pPr>
    </w:p>
    <w:p w:rsidR="00245699" w:rsidRDefault="00245699" w:rsidP="004A0254">
      <w:pPr>
        <w:pStyle w:val="BodyText"/>
        <w:jc w:val="left"/>
        <w:rPr>
          <w:sz w:val="24"/>
          <w:szCs w:val="24"/>
        </w:rPr>
      </w:pPr>
      <w:r>
        <w:rPr>
          <w:sz w:val="24"/>
          <w:szCs w:val="24"/>
        </w:rPr>
        <w:tab/>
      </w:r>
      <w:r w:rsidR="00F34B20">
        <w:rPr>
          <w:sz w:val="24"/>
          <w:szCs w:val="24"/>
        </w:rPr>
        <w:tab/>
      </w:r>
      <w:r>
        <w:rPr>
          <w:sz w:val="24"/>
          <w:szCs w:val="24"/>
        </w:rPr>
        <w:t xml:space="preserve">The Legislature provides at 66 </w:t>
      </w:r>
      <w:proofErr w:type="spellStart"/>
      <w:r>
        <w:rPr>
          <w:sz w:val="24"/>
          <w:szCs w:val="24"/>
        </w:rPr>
        <w:t>Pa.C.S.A</w:t>
      </w:r>
      <w:proofErr w:type="spellEnd"/>
      <w:r>
        <w:rPr>
          <w:sz w:val="24"/>
          <w:szCs w:val="24"/>
        </w:rPr>
        <w:t xml:space="preserve">. § 1301 that every rate charged by a public utility “shall be just and reasonable, and in conformity with regulations or orders of the commission.”  </w:t>
      </w:r>
      <w:r w:rsidR="000B3867">
        <w:rPr>
          <w:sz w:val="24"/>
          <w:szCs w:val="24"/>
        </w:rPr>
        <w:t>Further, it</w:t>
      </w:r>
      <w:r w:rsidR="00292C13">
        <w:rPr>
          <w:sz w:val="24"/>
          <w:szCs w:val="24"/>
        </w:rPr>
        <w:t xml:space="preserve"> </w:t>
      </w:r>
      <w:r w:rsidR="000B3867">
        <w:rPr>
          <w:sz w:val="24"/>
          <w:szCs w:val="24"/>
        </w:rPr>
        <w:t>“</w:t>
      </w:r>
      <w:r w:rsidR="00292C13">
        <w:rPr>
          <w:sz w:val="24"/>
          <w:szCs w:val="24"/>
        </w:rPr>
        <w:t xml:space="preserve">is well established that in the absence of an exception by the Commission, a public </w:t>
      </w:r>
      <w:proofErr w:type="spellStart"/>
      <w:r w:rsidR="00292C13">
        <w:rPr>
          <w:sz w:val="24"/>
          <w:szCs w:val="24"/>
        </w:rPr>
        <w:t>utilty</w:t>
      </w:r>
      <w:proofErr w:type="spellEnd"/>
      <w:r w:rsidR="00292C13">
        <w:rPr>
          <w:sz w:val="24"/>
          <w:szCs w:val="24"/>
        </w:rPr>
        <w:t xml:space="preserve"> may not charge any rate for services other than that lawfully tariffed.”</w:t>
      </w:r>
      <w:r w:rsidR="00292C13">
        <w:rPr>
          <w:rStyle w:val="FootnoteReference"/>
          <w:sz w:val="24"/>
          <w:szCs w:val="24"/>
        </w:rPr>
        <w:footnoteReference w:id="8"/>
      </w:r>
      <w:r w:rsidR="00292C13">
        <w:rPr>
          <w:sz w:val="24"/>
          <w:szCs w:val="24"/>
        </w:rPr>
        <w:t xml:space="preserve">  </w:t>
      </w:r>
      <w:r>
        <w:rPr>
          <w:sz w:val="24"/>
          <w:szCs w:val="24"/>
        </w:rPr>
        <w:t>In order to avoid any discriminatory behavior for a customer’s disallowed benefit or to a customer’s disallowed detriment,</w:t>
      </w:r>
      <w:r>
        <w:rPr>
          <w:rStyle w:val="FootnoteReference"/>
          <w:sz w:val="24"/>
          <w:szCs w:val="24"/>
        </w:rPr>
        <w:footnoteReference w:id="9"/>
      </w:r>
      <w:r>
        <w:rPr>
          <w:sz w:val="24"/>
          <w:szCs w:val="24"/>
        </w:rPr>
        <w:t xml:space="preserve"> the Commission requires adherence to these published tariff provisions.  </w:t>
      </w:r>
      <w:r w:rsidR="000B3867">
        <w:rPr>
          <w:sz w:val="24"/>
          <w:szCs w:val="24"/>
        </w:rPr>
        <w:t>As</w:t>
      </w:r>
      <w:r w:rsidR="004F44A1">
        <w:rPr>
          <w:sz w:val="24"/>
          <w:szCs w:val="24"/>
        </w:rPr>
        <w:t xml:space="preserve"> specifie</w:t>
      </w:r>
      <w:r w:rsidR="00D63CF0">
        <w:rPr>
          <w:sz w:val="24"/>
          <w:szCs w:val="24"/>
        </w:rPr>
        <w:t>d</w:t>
      </w:r>
      <w:r w:rsidR="000B3867">
        <w:rPr>
          <w:sz w:val="24"/>
          <w:szCs w:val="24"/>
        </w:rPr>
        <w:t xml:space="preserve"> in </w:t>
      </w:r>
      <w:r w:rsidR="00D63CF0">
        <w:rPr>
          <w:sz w:val="24"/>
          <w:szCs w:val="24"/>
        </w:rPr>
        <w:t>the</w:t>
      </w:r>
      <w:r w:rsidR="000B3867">
        <w:rPr>
          <w:sz w:val="24"/>
          <w:szCs w:val="24"/>
        </w:rPr>
        <w:t xml:space="preserve"> statute at 66 </w:t>
      </w:r>
      <w:proofErr w:type="spellStart"/>
      <w:r w:rsidR="000B3867">
        <w:rPr>
          <w:sz w:val="24"/>
          <w:szCs w:val="24"/>
        </w:rPr>
        <w:t>Pa.C.S.A</w:t>
      </w:r>
      <w:proofErr w:type="spellEnd"/>
      <w:r w:rsidR="000B3867">
        <w:rPr>
          <w:sz w:val="24"/>
          <w:szCs w:val="24"/>
        </w:rPr>
        <w:t>. § 1303</w:t>
      </w:r>
      <w:r>
        <w:rPr>
          <w:sz w:val="24"/>
          <w:szCs w:val="24"/>
        </w:rPr>
        <w:t>:</w:t>
      </w:r>
    </w:p>
    <w:p w:rsidR="00245699" w:rsidRDefault="00245699" w:rsidP="004A0254">
      <w:pPr>
        <w:pStyle w:val="BodyText"/>
        <w:jc w:val="left"/>
        <w:rPr>
          <w:sz w:val="24"/>
          <w:szCs w:val="24"/>
        </w:rPr>
      </w:pPr>
    </w:p>
    <w:p w:rsidR="00245699" w:rsidRDefault="00245699" w:rsidP="00B00632">
      <w:pPr>
        <w:pStyle w:val="BodyText"/>
        <w:spacing w:line="240" w:lineRule="auto"/>
        <w:ind w:left="1440" w:right="720"/>
        <w:jc w:val="left"/>
        <w:rPr>
          <w:sz w:val="24"/>
          <w:szCs w:val="24"/>
        </w:rPr>
      </w:pPr>
      <w:r>
        <w:rPr>
          <w:sz w:val="24"/>
          <w:szCs w:val="24"/>
        </w:rPr>
        <w:t xml:space="preserve">No public utility shall, directly or indirectly, by any device whatsoever, or in anywise, demand or receive from any person, corporation, or municipal corporation a greater or less rate for any service rendered or to be rendered by such public utility than that specified in the tariffs of such public utility applicable thereto.  The rates specified in such tariffs shall be the lawful rates of such public utility until changed, as provided in this part.  </w:t>
      </w:r>
      <w:r w:rsidRPr="00245699">
        <w:rPr>
          <w:b/>
          <w:sz w:val="24"/>
          <w:szCs w:val="24"/>
        </w:rPr>
        <w:t>Any public utility, having more than one rate applicable to service rendered to a patron, shall, after notice of service conditions, compute bills under the rate most advantageous to the patron.</w:t>
      </w:r>
      <w:r>
        <w:rPr>
          <w:sz w:val="24"/>
          <w:szCs w:val="24"/>
        </w:rPr>
        <w:t xml:space="preserve">  </w:t>
      </w:r>
      <w:proofErr w:type="gramStart"/>
      <w:r>
        <w:rPr>
          <w:sz w:val="24"/>
          <w:szCs w:val="24"/>
        </w:rPr>
        <w:t>66 Pa. C.S.A. §</w:t>
      </w:r>
      <w:r w:rsidR="00B00632">
        <w:rPr>
          <w:sz w:val="24"/>
          <w:szCs w:val="24"/>
        </w:rPr>
        <w:t> </w:t>
      </w:r>
      <w:r>
        <w:rPr>
          <w:sz w:val="24"/>
          <w:szCs w:val="24"/>
        </w:rPr>
        <w:t>1303.</w:t>
      </w:r>
      <w:proofErr w:type="gramEnd"/>
      <w:r>
        <w:rPr>
          <w:sz w:val="24"/>
          <w:szCs w:val="24"/>
        </w:rPr>
        <w:t xml:space="preserve">  (Emphasis added).</w:t>
      </w:r>
    </w:p>
    <w:p w:rsidR="004F44A1" w:rsidRDefault="004F44A1" w:rsidP="004A0254">
      <w:pPr>
        <w:pStyle w:val="BodyText"/>
        <w:jc w:val="left"/>
        <w:rPr>
          <w:sz w:val="24"/>
          <w:szCs w:val="24"/>
        </w:rPr>
      </w:pPr>
      <w:r>
        <w:rPr>
          <w:sz w:val="24"/>
          <w:szCs w:val="24"/>
        </w:rPr>
        <w:lastRenderedPageBreak/>
        <w:tab/>
      </w:r>
      <w:r>
        <w:rPr>
          <w:sz w:val="24"/>
          <w:szCs w:val="24"/>
        </w:rPr>
        <w:tab/>
        <w:t>The Commission’s statutory provisions include the requirement that a public utility must compute its billing statements under the applicable distribution rate that is most advantageous to the customer using only the last tariff rate published by the public utility.  Where a public utility has more than one rate applicable to a customer, Section 1303 requires that the billing statements must be computed under the rate most advantageous to the customer.</w:t>
      </w:r>
      <w:r>
        <w:rPr>
          <w:rStyle w:val="FootnoteReference"/>
          <w:sz w:val="24"/>
          <w:szCs w:val="24"/>
        </w:rPr>
        <w:footnoteReference w:id="10"/>
      </w:r>
      <w:r>
        <w:rPr>
          <w:sz w:val="24"/>
          <w:szCs w:val="24"/>
        </w:rPr>
        <w:t xml:space="preserve">  </w:t>
      </w:r>
    </w:p>
    <w:p w:rsidR="00245699" w:rsidRDefault="00245699" w:rsidP="004A0254">
      <w:pPr>
        <w:pStyle w:val="BodyText"/>
        <w:jc w:val="left"/>
        <w:rPr>
          <w:sz w:val="24"/>
          <w:szCs w:val="24"/>
        </w:rPr>
      </w:pPr>
    </w:p>
    <w:p w:rsidR="00292C13" w:rsidRPr="00292C13" w:rsidRDefault="00292C13" w:rsidP="004A0254">
      <w:pPr>
        <w:pStyle w:val="BodyText"/>
        <w:jc w:val="left"/>
        <w:rPr>
          <w:sz w:val="24"/>
          <w:szCs w:val="24"/>
          <w:u w:val="single"/>
        </w:rPr>
      </w:pPr>
      <w:r w:rsidRPr="00292C13">
        <w:rPr>
          <w:sz w:val="24"/>
          <w:szCs w:val="24"/>
          <w:u w:val="single"/>
        </w:rPr>
        <w:t>Most Advantageous Rate Obligation</w:t>
      </w:r>
    </w:p>
    <w:p w:rsidR="00292C13" w:rsidRDefault="00292C13" w:rsidP="004A0254">
      <w:pPr>
        <w:pStyle w:val="BodyText"/>
        <w:jc w:val="left"/>
        <w:rPr>
          <w:sz w:val="24"/>
          <w:szCs w:val="24"/>
        </w:rPr>
      </w:pPr>
    </w:p>
    <w:p w:rsidR="00B401EC" w:rsidRDefault="00292C13" w:rsidP="000B3867">
      <w:pPr>
        <w:pStyle w:val="BodyText"/>
        <w:jc w:val="left"/>
        <w:rPr>
          <w:sz w:val="24"/>
          <w:szCs w:val="24"/>
        </w:rPr>
      </w:pPr>
      <w:r>
        <w:rPr>
          <w:sz w:val="24"/>
          <w:szCs w:val="24"/>
        </w:rPr>
        <w:tab/>
      </w:r>
      <w:r>
        <w:rPr>
          <w:sz w:val="24"/>
          <w:szCs w:val="24"/>
        </w:rPr>
        <w:tab/>
        <w:t xml:space="preserve">In order to prove a public utility is obligated to compute the most advantageous rate, pursuant to Section 1303, Mr. Kramer must establish Duquesne Light had actual notice the service condition included a heat pump.  Constructive notice is insufficient.  Citing to </w:t>
      </w:r>
      <w:r w:rsidRPr="00292C13">
        <w:rPr>
          <w:sz w:val="24"/>
          <w:szCs w:val="24"/>
          <w:u w:val="single"/>
        </w:rPr>
        <w:t>City of Pittsburgh v. Duquesne Light Co.</w:t>
      </w:r>
      <w:r>
        <w:rPr>
          <w:sz w:val="24"/>
          <w:szCs w:val="24"/>
        </w:rPr>
        <w:t xml:space="preserve">, 54 PUC 460 (1980), the Commission has said that public utilities “cannot be expected to know more about their customers’ businesses than the customers themselves and cannot be expected to </w:t>
      </w:r>
      <w:r w:rsidR="00D54D0E">
        <w:rPr>
          <w:sz w:val="24"/>
          <w:szCs w:val="24"/>
        </w:rPr>
        <w:t>make their decisions for them</w:t>
      </w:r>
      <w:r>
        <w:rPr>
          <w:sz w:val="24"/>
          <w:szCs w:val="24"/>
        </w:rPr>
        <w:t>.”</w:t>
      </w:r>
      <w:r>
        <w:rPr>
          <w:rStyle w:val="FootnoteReference"/>
          <w:sz w:val="24"/>
          <w:szCs w:val="24"/>
        </w:rPr>
        <w:footnoteReference w:id="11"/>
      </w:r>
      <w:r w:rsidR="000B3867">
        <w:rPr>
          <w:sz w:val="24"/>
          <w:szCs w:val="24"/>
        </w:rPr>
        <w:t xml:space="preserve">  </w:t>
      </w:r>
      <w:r w:rsidR="00B401EC">
        <w:rPr>
          <w:sz w:val="24"/>
          <w:szCs w:val="24"/>
        </w:rPr>
        <w:t xml:space="preserve">In that proceeding, the allegation from a township was that the public utility had an affirmative duty to monitor its customers’ accounts </w:t>
      </w:r>
      <w:r w:rsidR="00F34B20">
        <w:rPr>
          <w:sz w:val="24"/>
          <w:szCs w:val="24"/>
        </w:rPr>
        <w:t xml:space="preserve">and usage levels </w:t>
      </w:r>
      <w:r w:rsidR="00B401EC">
        <w:rPr>
          <w:sz w:val="24"/>
          <w:szCs w:val="24"/>
        </w:rPr>
        <w:t>in order to compute the most advantageous rate.  Commonwealth Court disagreed and held, under Section 1303, that “the public utility must have actual knowledge of service conditions before it is required to compute the most favorable rate for its customers.”</w:t>
      </w:r>
      <w:r w:rsidR="00D54D0E">
        <w:rPr>
          <w:sz w:val="24"/>
          <w:szCs w:val="24"/>
        </w:rPr>
        <w:t xml:space="preserve">  </w:t>
      </w:r>
    </w:p>
    <w:p w:rsidR="00D54D0E" w:rsidRPr="00D54D0E" w:rsidRDefault="00D54D0E" w:rsidP="00B401EC">
      <w:pPr>
        <w:pStyle w:val="BodyText"/>
        <w:ind w:firstLine="1440"/>
        <w:jc w:val="left"/>
        <w:rPr>
          <w:sz w:val="24"/>
          <w:szCs w:val="24"/>
        </w:rPr>
      </w:pPr>
    </w:p>
    <w:p w:rsidR="00D54D0E" w:rsidRDefault="00F34B20" w:rsidP="00B401EC">
      <w:pPr>
        <w:pStyle w:val="BodyText"/>
        <w:ind w:firstLine="1440"/>
        <w:jc w:val="left"/>
        <w:rPr>
          <w:sz w:val="24"/>
          <w:szCs w:val="24"/>
        </w:rPr>
      </w:pPr>
      <w:r>
        <w:rPr>
          <w:sz w:val="24"/>
          <w:szCs w:val="24"/>
        </w:rPr>
        <w:t xml:space="preserve">In addition, the Pennsylvania Supreme Court has </w:t>
      </w:r>
      <w:r w:rsidR="003A156E">
        <w:rPr>
          <w:sz w:val="24"/>
          <w:szCs w:val="24"/>
        </w:rPr>
        <w:t>noted</w:t>
      </w:r>
      <w:r w:rsidR="00D54D0E" w:rsidRPr="00D54D0E">
        <w:rPr>
          <w:sz w:val="24"/>
          <w:szCs w:val="24"/>
        </w:rPr>
        <w:t xml:space="preserve"> in </w:t>
      </w:r>
      <w:r w:rsidR="00D54D0E">
        <w:rPr>
          <w:sz w:val="24"/>
          <w:szCs w:val="24"/>
          <w:u w:val="single"/>
        </w:rPr>
        <w:t>Springfield Tp. v</w:t>
      </w:r>
      <w:r w:rsidR="00D54D0E" w:rsidRPr="00D54D0E">
        <w:rPr>
          <w:sz w:val="24"/>
          <w:szCs w:val="24"/>
          <w:u w:val="single"/>
        </w:rPr>
        <w:t>. Pa.</w:t>
      </w:r>
      <w:r w:rsidR="00A85CE8">
        <w:rPr>
          <w:sz w:val="24"/>
          <w:szCs w:val="24"/>
          <w:u w:val="single"/>
        </w:rPr>
        <w:t xml:space="preserve"> </w:t>
      </w:r>
      <w:r w:rsidR="00D54D0E" w:rsidRPr="00D54D0E">
        <w:rPr>
          <w:sz w:val="24"/>
          <w:szCs w:val="24"/>
          <w:u w:val="single"/>
        </w:rPr>
        <w:t>Pub.</w:t>
      </w:r>
      <w:r w:rsidR="00A85CE8">
        <w:rPr>
          <w:sz w:val="24"/>
          <w:szCs w:val="24"/>
          <w:u w:val="single"/>
        </w:rPr>
        <w:t xml:space="preserve"> </w:t>
      </w:r>
      <w:r w:rsidR="00D54D0E" w:rsidRPr="00D54D0E">
        <w:rPr>
          <w:sz w:val="24"/>
          <w:szCs w:val="24"/>
          <w:u w:val="single"/>
        </w:rPr>
        <w:t>Util.</w:t>
      </w:r>
      <w:r w:rsidR="00A85CE8">
        <w:rPr>
          <w:sz w:val="24"/>
          <w:szCs w:val="24"/>
          <w:u w:val="single"/>
        </w:rPr>
        <w:t xml:space="preserve"> </w:t>
      </w:r>
      <w:proofErr w:type="spellStart"/>
      <w:r w:rsidR="00D54D0E" w:rsidRPr="00D54D0E">
        <w:rPr>
          <w:sz w:val="24"/>
          <w:szCs w:val="24"/>
          <w:u w:val="single"/>
        </w:rPr>
        <w:t>Comm’n</w:t>
      </w:r>
      <w:proofErr w:type="spellEnd"/>
      <w:r w:rsidR="00D54D0E" w:rsidRPr="00D54D0E">
        <w:rPr>
          <w:sz w:val="24"/>
          <w:szCs w:val="24"/>
        </w:rPr>
        <w:t xml:space="preserve">, 676 A.2d 304, at 307 (1996), </w:t>
      </w:r>
      <w:r w:rsidR="00D54D0E">
        <w:rPr>
          <w:sz w:val="24"/>
          <w:szCs w:val="24"/>
        </w:rPr>
        <w:t>the utility company had specific provisions in its tariff which indicated that, if two or more rates were available to a rate class, the applicant for electric services must select the rate and the utility company would “upon request…, to a reasonable extent, assist an applicant in selecting the most advantageous rate or rate application.”</w:t>
      </w:r>
      <w:r w:rsidR="003A156E">
        <w:rPr>
          <w:rStyle w:val="FootnoteReference"/>
          <w:sz w:val="24"/>
          <w:szCs w:val="24"/>
        </w:rPr>
        <w:footnoteReference w:id="12"/>
      </w:r>
      <w:r>
        <w:rPr>
          <w:sz w:val="24"/>
          <w:szCs w:val="24"/>
        </w:rPr>
        <w:t xml:space="preserve">  In this appellate decision, Springfield Township wanted seven years’ worth of alleged overcharges after the utility established a new rate schedule for government-owned street </w:t>
      </w:r>
      <w:r>
        <w:rPr>
          <w:sz w:val="24"/>
          <w:szCs w:val="24"/>
        </w:rPr>
        <w:lastRenderedPageBreak/>
        <w:t xml:space="preserve">light fixtures.  The utility did not apply the new lower rate to street lights which were installed by the Department of Transportation but, unbeknownst to the utility, the township owned and operated </w:t>
      </w:r>
      <w:r w:rsidR="00CF1863">
        <w:rPr>
          <w:sz w:val="24"/>
          <w:szCs w:val="24"/>
        </w:rPr>
        <w:t xml:space="preserve">the street lights </w:t>
      </w:r>
      <w:r>
        <w:rPr>
          <w:sz w:val="24"/>
          <w:szCs w:val="24"/>
        </w:rPr>
        <w:t>with the Department of Transportation.  The township pointed to Section 1303 of the Code as authority for its contention the utility was under an obligation to provide the most advantageous rate.  The utility argued it did not have a responsibility to change the rate until the township requested the rate change, and the appellate court agreed the new lower rate should be charged when the township notified the utility about the township’s ownership and maintenance of the street</w:t>
      </w:r>
      <w:r w:rsidR="0012306D">
        <w:rPr>
          <w:sz w:val="24"/>
          <w:szCs w:val="24"/>
        </w:rPr>
        <w:t xml:space="preserve"> </w:t>
      </w:r>
      <w:r>
        <w:rPr>
          <w:sz w:val="24"/>
          <w:szCs w:val="24"/>
        </w:rPr>
        <w:t>lights.</w:t>
      </w:r>
    </w:p>
    <w:p w:rsidR="00531F8B" w:rsidRPr="00D54D0E" w:rsidRDefault="00531F8B" w:rsidP="00B401EC">
      <w:pPr>
        <w:pStyle w:val="BodyText"/>
        <w:ind w:firstLine="1440"/>
        <w:jc w:val="left"/>
        <w:rPr>
          <w:sz w:val="24"/>
          <w:szCs w:val="24"/>
        </w:rPr>
      </w:pPr>
    </w:p>
    <w:p w:rsidR="00F34B20" w:rsidRPr="00B401EC" w:rsidRDefault="00F34B20" w:rsidP="00F34B20">
      <w:pPr>
        <w:pStyle w:val="BodyText"/>
        <w:jc w:val="left"/>
        <w:rPr>
          <w:sz w:val="24"/>
          <w:szCs w:val="24"/>
        </w:rPr>
      </w:pPr>
      <w:r w:rsidRPr="00B401EC">
        <w:rPr>
          <w:sz w:val="24"/>
          <w:szCs w:val="24"/>
        </w:rPr>
        <w:tab/>
      </w:r>
      <w:r w:rsidRPr="00B401EC">
        <w:rPr>
          <w:sz w:val="24"/>
          <w:szCs w:val="24"/>
        </w:rPr>
        <w:tab/>
      </w:r>
      <w:proofErr w:type="gramStart"/>
      <w:r w:rsidRPr="00B401EC">
        <w:rPr>
          <w:sz w:val="24"/>
          <w:szCs w:val="24"/>
        </w:rPr>
        <w:t xml:space="preserve">The appellate decision in </w:t>
      </w:r>
      <w:r w:rsidRPr="00B401EC">
        <w:rPr>
          <w:sz w:val="24"/>
          <w:szCs w:val="24"/>
          <w:u w:val="single"/>
        </w:rPr>
        <w:t xml:space="preserve">Springfield Tp. </w:t>
      </w:r>
      <w:r>
        <w:rPr>
          <w:sz w:val="24"/>
          <w:szCs w:val="24"/>
          <w:u w:val="single"/>
        </w:rPr>
        <w:t>v</w:t>
      </w:r>
      <w:r w:rsidRPr="00B401EC">
        <w:rPr>
          <w:sz w:val="24"/>
          <w:szCs w:val="24"/>
          <w:u w:val="single"/>
        </w:rPr>
        <w:t>. Pa.</w:t>
      </w:r>
      <w:r w:rsidR="00A85CE8">
        <w:rPr>
          <w:sz w:val="24"/>
          <w:szCs w:val="24"/>
          <w:u w:val="single"/>
        </w:rPr>
        <w:t xml:space="preserve"> </w:t>
      </w:r>
      <w:r w:rsidRPr="00B401EC">
        <w:rPr>
          <w:sz w:val="24"/>
          <w:szCs w:val="24"/>
          <w:u w:val="single"/>
        </w:rPr>
        <w:t>Pub.</w:t>
      </w:r>
      <w:proofErr w:type="gramEnd"/>
      <w:r w:rsidR="00A85CE8">
        <w:rPr>
          <w:sz w:val="24"/>
          <w:szCs w:val="24"/>
          <w:u w:val="single"/>
        </w:rPr>
        <w:t xml:space="preserve"> </w:t>
      </w:r>
      <w:r w:rsidRPr="00B401EC">
        <w:rPr>
          <w:sz w:val="24"/>
          <w:szCs w:val="24"/>
          <w:u w:val="single"/>
        </w:rPr>
        <w:t>Util.</w:t>
      </w:r>
      <w:r w:rsidR="00A85CE8">
        <w:rPr>
          <w:sz w:val="24"/>
          <w:szCs w:val="24"/>
          <w:u w:val="single"/>
        </w:rPr>
        <w:t xml:space="preserve"> </w:t>
      </w:r>
      <w:proofErr w:type="spellStart"/>
      <w:r w:rsidRPr="00B401EC">
        <w:rPr>
          <w:sz w:val="24"/>
          <w:szCs w:val="24"/>
          <w:u w:val="single"/>
        </w:rPr>
        <w:t>Comm’n</w:t>
      </w:r>
      <w:proofErr w:type="spellEnd"/>
      <w:r w:rsidRPr="00B401EC">
        <w:rPr>
          <w:sz w:val="24"/>
          <w:szCs w:val="24"/>
        </w:rPr>
        <w:t>,</w:t>
      </w:r>
      <w:r w:rsidR="00531F8B">
        <w:rPr>
          <w:sz w:val="24"/>
          <w:szCs w:val="24"/>
        </w:rPr>
        <w:t xml:space="preserve"> supra, </w:t>
      </w:r>
      <w:r>
        <w:rPr>
          <w:sz w:val="24"/>
          <w:szCs w:val="24"/>
        </w:rPr>
        <w:t xml:space="preserve">is illustrative to the </w:t>
      </w:r>
      <w:r w:rsidR="00531F8B">
        <w:rPr>
          <w:sz w:val="24"/>
          <w:szCs w:val="24"/>
        </w:rPr>
        <w:t xml:space="preserve">need for notification but is not determinative to </w:t>
      </w:r>
      <w:r>
        <w:rPr>
          <w:sz w:val="24"/>
          <w:szCs w:val="24"/>
        </w:rPr>
        <w:t>this proceeding</w:t>
      </w:r>
      <w:r w:rsidR="00531F8B">
        <w:rPr>
          <w:sz w:val="24"/>
          <w:szCs w:val="24"/>
        </w:rPr>
        <w:t xml:space="preserve"> because of the differing facts.  I</w:t>
      </w:r>
      <w:r>
        <w:rPr>
          <w:sz w:val="24"/>
          <w:szCs w:val="24"/>
        </w:rPr>
        <w:t xml:space="preserve">n </w:t>
      </w:r>
      <w:r>
        <w:rPr>
          <w:sz w:val="24"/>
          <w:szCs w:val="24"/>
          <w:u w:val="single"/>
        </w:rPr>
        <w:t>Springfield Tp.</w:t>
      </w:r>
      <w:r>
        <w:rPr>
          <w:sz w:val="24"/>
          <w:szCs w:val="24"/>
        </w:rPr>
        <w:t xml:space="preserve">, the township </w:t>
      </w:r>
      <w:r w:rsidR="00531F8B">
        <w:rPr>
          <w:sz w:val="24"/>
          <w:szCs w:val="24"/>
        </w:rPr>
        <w:t>already knew its street</w:t>
      </w:r>
      <w:r w:rsidR="00A85CE8">
        <w:rPr>
          <w:sz w:val="24"/>
          <w:szCs w:val="24"/>
        </w:rPr>
        <w:t xml:space="preserve"> </w:t>
      </w:r>
      <w:r w:rsidR="00531F8B">
        <w:rPr>
          <w:sz w:val="24"/>
          <w:szCs w:val="24"/>
        </w:rPr>
        <w:t>lights met a precondition for the new rate when the lower rate was implemented.  The township was in possession of the knowledge it met the requirements when the new rate was implemented.  In this proceeding, Mr.</w:t>
      </w:r>
      <w:r w:rsidR="008E70D0">
        <w:rPr>
          <w:sz w:val="24"/>
          <w:szCs w:val="24"/>
        </w:rPr>
        <w:t> </w:t>
      </w:r>
      <w:r w:rsidR="00531F8B">
        <w:rPr>
          <w:sz w:val="24"/>
          <w:szCs w:val="24"/>
        </w:rPr>
        <w:t xml:space="preserve">Kramer did not own the service address when the heat pump was installed prior to 2000.  He also did not own the service address when the RH and RA rates were implemented.  Therefore, the holding in </w:t>
      </w:r>
      <w:r w:rsidR="00531F8B" w:rsidRPr="00531F8B">
        <w:rPr>
          <w:sz w:val="24"/>
          <w:szCs w:val="24"/>
          <w:u w:val="single"/>
        </w:rPr>
        <w:t xml:space="preserve">Springfield </w:t>
      </w:r>
      <w:proofErr w:type="spellStart"/>
      <w:r w:rsidR="00531F8B" w:rsidRPr="00531F8B">
        <w:rPr>
          <w:sz w:val="24"/>
          <w:szCs w:val="24"/>
          <w:u w:val="single"/>
        </w:rPr>
        <w:t>Tp</w:t>
      </w:r>
      <w:proofErr w:type="spellEnd"/>
      <w:r w:rsidR="00531F8B">
        <w:rPr>
          <w:sz w:val="24"/>
          <w:szCs w:val="24"/>
        </w:rPr>
        <w:t>, supra, does not control the outcome here.</w:t>
      </w:r>
    </w:p>
    <w:p w:rsidR="00292C13" w:rsidRPr="00D54D0E" w:rsidRDefault="00292C13" w:rsidP="004A0254">
      <w:pPr>
        <w:pStyle w:val="BodyText"/>
        <w:jc w:val="left"/>
        <w:rPr>
          <w:sz w:val="24"/>
          <w:szCs w:val="24"/>
        </w:rPr>
      </w:pPr>
    </w:p>
    <w:p w:rsidR="004A0254" w:rsidRPr="004A0254" w:rsidRDefault="00B43878" w:rsidP="004A0254">
      <w:pPr>
        <w:pStyle w:val="BodyText"/>
        <w:jc w:val="left"/>
        <w:rPr>
          <w:sz w:val="24"/>
          <w:szCs w:val="24"/>
          <w:u w:val="single"/>
        </w:rPr>
      </w:pPr>
      <w:r>
        <w:rPr>
          <w:sz w:val="24"/>
          <w:szCs w:val="24"/>
          <w:u w:val="single"/>
        </w:rPr>
        <w:t>Discussion</w:t>
      </w:r>
    </w:p>
    <w:p w:rsidR="004A0254" w:rsidRDefault="004A0254" w:rsidP="004A0254">
      <w:pPr>
        <w:pStyle w:val="BodyText"/>
        <w:jc w:val="left"/>
        <w:rPr>
          <w:sz w:val="24"/>
          <w:szCs w:val="24"/>
        </w:rPr>
      </w:pPr>
    </w:p>
    <w:p w:rsidR="00CC6833" w:rsidRDefault="00425756" w:rsidP="004A0254">
      <w:pPr>
        <w:pStyle w:val="BodyText"/>
        <w:jc w:val="left"/>
        <w:rPr>
          <w:sz w:val="24"/>
          <w:szCs w:val="24"/>
        </w:rPr>
      </w:pPr>
      <w:r>
        <w:rPr>
          <w:sz w:val="24"/>
          <w:szCs w:val="24"/>
        </w:rPr>
        <w:tab/>
      </w:r>
      <w:r>
        <w:rPr>
          <w:sz w:val="24"/>
          <w:szCs w:val="24"/>
        </w:rPr>
        <w:tab/>
        <w:t>Complainant sustained the burden of proof in this proceeding</w:t>
      </w:r>
      <w:r w:rsidR="00531F8B">
        <w:rPr>
          <w:sz w:val="24"/>
          <w:szCs w:val="24"/>
        </w:rPr>
        <w:t>, as explained below.  I</w:t>
      </w:r>
      <w:r>
        <w:rPr>
          <w:sz w:val="24"/>
          <w:szCs w:val="24"/>
        </w:rPr>
        <w:t>n the Ordering Paragraphs below, Duquesne Light will be ordered to recalculate Complainant’s billing statement</w:t>
      </w:r>
      <w:r w:rsidR="00531F8B">
        <w:rPr>
          <w:sz w:val="24"/>
          <w:szCs w:val="24"/>
        </w:rPr>
        <w:t>s</w:t>
      </w:r>
      <w:r>
        <w:rPr>
          <w:sz w:val="24"/>
          <w:szCs w:val="24"/>
        </w:rPr>
        <w:t xml:space="preserve"> from December 2010 through November 2014, using the lower </w:t>
      </w:r>
      <w:r w:rsidR="00531F8B">
        <w:rPr>
          <w:sz w:val="24"/>
          <w:szCs w:val="24"/>
        </w:rPr>
        <w:t>RA</w:t>
      </w:r>
      <w:r>
        <w:rPr>
          <w:sz w:val="24"/>
          <w:szCs w:val="24"/>
        </w:rPr>
        <w:t xml:space="preserve"> distribution rate</w:t>
      </w:r>
      <w:r w:rsidR="003E43AF">
        <w:rPr>
          <w:sz w:val="24"/>
          <w:szCs w:val="24"/>
        </w:rPr>
        <w:t>s in effect during that time frame</w:t>
      </w:r>
      <w:r>
        <w:rPr>
          <w:sz w:val="24"/>
          <w:szCs w:val="24"/>
        </w:rPr>
        <w:t xml:space="preserve">.  </w:t>
      </w:r>
      <w:r w:rsidR="00C82554">
        <w:rPr>
          <w:sz w:val="24"/>
          <w:szCs w:val="24"/>
        </w:rPr>
        <w:t>The recalculation period (December 2010 through November 2014) is four years from when Mr. Kramer first inquired with Duquesne Light specifically about the RA rate.</w:t>
      </w:r>
      <w:r w:rsidR="002B4C42">
        <w:rPr>
          <w:rStyle w:val="FootnoteReference"/>
          <w:sz w:val="24"/>
          <w:szCs w:val="24"/>
        </w:rPr>
        <w:footnoteReference w:id="13"/>
      </w:r>
    </w:p>
    <w:p w:rsidR="00425756" w:rsidRDefault="00425756" w:rsidP="004A0254">
      <w:pPr>
        <w:pStyle w:val="BodyText"/>
        <w:jc w:val="left"/>
        <w:rPr>
          <w:sz w:val="24"/>
          <w:szCs w:val="24"/>
        </w:rPr>
      </w:pPr>
    </w:p>
    <w:p w:rsidR="003E43AF" w:rsidRDefault="00425756" w:rsidP="004A0254">
      <w:pPr>
        <w:pStyle w:val="BodyText"/>
        <w:jc w:val="left"/>
        <w:rPr>
          <w:sz w:val="24"/>
          <w:szCs w:val="24"/>
        </w:rPr>
      </w:pPr>
      <w:r>
        <w:rPr>
          <w:sz w:val="24"/>
          <w:szCs w:val="24"/>
        </w:rPr>
        <w:tab/>
      </w:r>
      <w:r>
        <w:rPr>
          <w:sz w:val="24"/>
          <w:szCs w:val="24"/>
        </w:rPr>
        <w:tab/>
        <w:t xml:space="preserve">Complainant proved through his credible testimony and through the credible testimonies of Respondent’s witnesses that Duquesne Light failed to provide reasonable and </w:t>
      </w:r>
      <w:r>
        <w:rPr>
          <w:sz w:val="24"/>
          <w:szCs w:val="24"/>
        </w:rPr>
        <w:lastRenderedPageBreak/>
        <w:t xml:space="preserve">adequate customer service to Complainant when Complainant initiated electric service in his name in 2000.  As Duquesne Light correctly pointed out in its Motion to Strike (filed October 8, 2015), Duquesne Light may not reveal confidential information about a prior account holder at the service address to an applicant.  </w:t>
      </w:r>
      <w:r w:rsidR="003E43AF">
        <w:rPr>
          <w:sz w:val="24"/>
          <w:szCs w:val="24"/>
        </w:rPr>
        <w:t>To restate that averment more clearly, Duquesne Light contends it was not allowed to tell Complainant, as an applicant, what rat</w:t>
      </w:r>
      <w:r w:rsidR="00531F8B">
        <w:rPr>
          <w:sz w:val="24"/>
          <w:szCs w:val="24"/>
        </w:rPr>
        <w:t>e was paid by the prior owner.  Duquesne Light</w:t>
      </w:r>
      <w:r w:rsidR="00796894">
        <w:rPr>
          <w:sz w:val="24"/>
          <w:szCs w:val="24"/>
        </w:rPr>
        <w:t>’s policy and practice is to not</w:t>
      </w:r>
      <w:r w:rsidR="00531F8B">
        <w:rPr>
          <w:sz w:val="24"/>
          <w:szCs w:val="24"/>
        </w:rPr>
        <w:t xml:space="preserve"> inform applicant</w:t>
      </w:r>
      <w:r w:rsidR="00796894">
        <w:rPr>
          <w:sz w:val="24"/>
          <w:szCs w:val="24"/>
        </w:rPr>
        <w:t>s</w:t>
      </w:r>
      <w:r w:rsidR="00531F8B">
        <w:rPr>
          <w:sz w:val="24"/>
          <w:szCs w:val="24"/>
        </w:rPr>
        <w:t xml:space="preserve"> what rate will be charged to the account, or that the rate charge</w:t>
      </w:r>
      <w:r w:rsidR="00796894">
        <w:rPr>
          <w:sz w:val="24"/>
          <w:szCs w:val="24"/>
        </w:rPr>
        <w:t>d</w:t>
      </w:r>
      <w:r w:rsidR="00531F8B">
        <w:rPr>
          <w:sz w:val="24"/>
          <w:szCs w:val="24"/>
        </w:rPr>
        <w:t xml:space="preserve"> is based on historical data exclusively in Duquesne Light’s possession.  </w:t>
      </w:r>
    </w:p>
    <w:p w:rsidR="00D54D0E" w:rsidRDefault="00D54D0E" w:rsidP="004A0254">
      <w:pPr>
        <w:pStyle w:val="BodyText"/>
        <w:jc w:val="left"/>
        <w:rPr>
          <w:sz w:val="24"/>
          <w:szCs w:val="24"/>
        </w:rPr>
      </w:pPr>
    </w:p>
    <w:p w:rsidR="00223741" w:rsidRDefault="00D54D0E" w:rsidP="004A0254">
      <w:pPr>
        <w:pStyle w:val="BodyText"/>
        <w:jc w:val="left"/>
        <w:rPr>
          <w:sz w:val="24"/>
          <w:szCs w:val="24"/>
        </w:rPr>
      </w:pPr>
      <w:r>
        <w:rPr>
          <w:sz w:val="24"/>
          <w:szCs w:val="24"/>
        </w:rPr>
        <w:tab/>
      </w:r>
      <w:r>
        <w:rPr>
          <w:sz w:val="24"/>
          <w:szCs w:val="24"/>
        </w:rPr>
        <w:tab/>
      </w:r>
      <w:r w:rsidR="00705E08">
        <w:rPr>
          <w:sz w:val="24"/>
          <w:szCs w:val="24"/>
        </w:rPr>
        <w:t>During direct questioning from the presiding officer, Duquesne Light’s regulatory consumer relations specialist, Ms. Mueller, testified credibly about the questions asked by Duquesne Light when an individual calls to apply for electric service.</w:t>
      </w:r>
      <w:r w:rsidR="00223741">
        <w:rPr>
          <w:rStyle w:val="FootnoteReference"/>
          <w:sz w:val="24"/>
          <w:szCs w:val="24"/>
        </w:rPr>
        <w:footnoteReference w:id="14"/>
      </w:r>
      <w:r w:rsidR="00705E08">
        <w:rPr>
          <w:sz w:val="24"/>
          <w:szCs w:val="24"/>
        </w:rPr>
        <w:t xml:space="preserve">  </w:t>
      </w:r>
      <w:r w:rsidR="00223741">
        <w:rPr>
          <w:sz w:val="24"/>
          <w:szCs w:val="24"/>
        </w:rPr>
        <w:t>Duquesne Light currently has three residential distribution rates available to applicants.  One rate</w:t>
      </w:r>
      <w:r w:rsidR="003A156E">
        <w:rPr>
          <w:sz w:val="24"/>
          <w:szCs w:val="24"/>
        </w:rPr>
        <w:t xml:space="preserve"> (RS)</w:t>
      </w:r>
      <w:r w:rsidR="00223741">
        <w:rPr>
          <w:sz w:val="24"/>
          <w:szCs w:val="24"/>
        </w:rPr>
        <w:t xml:space="preserve"> is available if the residence is heating using any source other than electricity, while two rates</w:t>
      </w:r>
      <w:r w:rsidR="003A156E">
        <w:rPr>
          <w:sz w:val="24"/>
          <w:szCs w:val="24"/>
        </w:rPr>
        <w:t xml:space="preserve"> (RH and RA)</w:t>
      </w:r>
      <w:r w:rsidR="00223741">
        <w:rPr>
          <w:sz w:val="24"/>
          <w:szCs w:val="24"/>
        </w:rPr>
        <w:t xml:space="preserve"> are available if electricity is used as the primary heating source.</w:t>
      </w:r>
      <w:r w:rsidR="00223741">
        <w:rPr>
          <w:rStyle w:val="FootnoteReference"/>
          <w:sz w:val="24"/>
          <w:szCs w:val="24"/>
        </w:rPr>
        <w:footnoteReference w:id="15"/>
      </w:r>
      <w:r w:rsidR="00223741">
        <w:rPr>
          <w:sz w:val="24"/>
          <w:szCs w:val="24"/>
        </w:rPr>
        <w:t xml:space="preserve">   To differentiate between the two rates </w:t>
      </w:r>
      <w:r w:rsidR="003A156E">
        <w:rPr>
          <w:sz w:val="24"/>
          <w:szCs w:val="24"/>
        </w:rPr>
        <w:t>(RH and RA)</w:t>
      </w:r>
      <w:r w:rsidR="00223741">
        <w:rPr>
          <w:sz w:val="24"/>
          <w:szCs w:val="24"/>
        </w:rPr>
        <w:t>, applicants may take advantage of the cheaper rate</w:t>
      </w:r>
      <w:r w:rsidR="003A156E">
        <w:rPr>
          <w:sz w:val="24"/>
          <w:szCs w:val="24"/>
        </w:rPr>
        <w:t xml:space="preserve"> (RA) but </w:t>
      </w:r>
      <w:r w:rsidR="003A156E" w:rsidRPr="003A156E">
        <w:rPr>
          <w:b/>
          <w:sz w:val="24"/>
          <w:szCs w:val="24"/>
        </w:rPr>
        <w:t>only</w:t>
      </w:r>
      <w:r w:rsidR="00223741">
        <w:rPr>
          <w:sz w:val="24"/>
          <w:szCs w:val="24"/>
        </w:rPr>
        <w:t xml:space="preserve"> </w:t>
      </w:r>
      <w:r w:rsidR="00223741" w:rsidRPr="00223741">
        <w:rPr>
          <w:b/>
          <w:sz w:val="24"/>
          <w:szCs w:val="24"/>
          <w:u w:val="single"/>
        </w:rPr>
        <w:t>if</w:t>
      </w:r>
      <w:r w:rsidR="00223741">
        <w:rPr>
          <w:sz w:val="24"/>
          <w:szCs w:val="24"/>
        </w:rPr>
        <w:t xml:space="preserve"> a heat pump is currently in use.  </w:t>
      </w:r>
    </w:p>
    <w:p w:rsidR="00223741" w:rsidRDefault="00223741" w:rsidP="004A0254">
      <w:pPr>
        <w:pStyle w:val="BodyText"/>
        <w:jc w:val="left"/>
        <w:rPr>
          <w:sz w:val="24"/>
          <w:szCs w:val="24"/>
        </w:rPr>
      </w:pPr>
    </w:p>
    <w:p w:rsidR="00D54D0E" w:rsidRDefault="00223741" w:rsidP="00223741">
      <w:pPr>
        <w:pStyle w:val="BodyText"/>
        <w:ind w:firstLine="1440"/>
        <w:jc w:val="left"/>
        <w:rPr>
          <w:sz w:val="24"/>
          <w:szCs w:val="24"/>
        </w:rPr>
      </w:pPr>
      <w:r>
        <w:rPr>
          <w:sz w:val="24"/>
          <w:szCs w:val="24"/>
        </w:rPr>
        <w:t xml:space="preserve">However, when an individual calls to apply for electric service, Duquesne Light </w:t>
      </w:r>
      <w:r w:rsidRPr="00223741">
        <w:rPr>
          <w:b/>
          <w:sz w:val="24"/>
          <w:szCs w:val="24"/>
        </w:rPr>
        <w:t>does not ask</w:t>
      </w:r>
      <w:r>
        <w:rPr>
          <w:sz w:val="24"/>
          <w:szCs w:val="24"/>
        </w:rPr>
        <w:t xml:space="preserve"> if electricity is used as a primary heating source in the home.  Duquesne Light </w:t>
      </w:r>
      <w:r w:rsidRPr="00223741">
        <w:rPr>
          <w:b/>
          <w:sz w:val="24"/>
          <w:szCs w:val="24"/>
        </w:rPr>
        <w:t>does not ask</w:t>
      </w:r>
      <w:r>
        <w:rPr>
          <w:sz w:val="24"/>
          <w:szCs w:val="24"/>
        </w:rPr>
        <w:t xml:space="preserve"> what type of heat source is used (i.e., with or without a heat pump).  </w:t>
      </w:r>
      <w:r w:rsidRPr="00223741">
        <w:rPr>
          <w:sz w:val="24"/>
          <w:szCs w:val="24"/>
          <w:u w:val="single"/>
        </w:rPr>
        <w:t>Duquesne Light</w:t>
      </w:r>
      <w:r>
        <w:rPr>
          <w:sz w:val="24"/>
          <w:szCs w:val="24"/>
        </w:rPr>
        <w:t xml:space="preserve"> determines which rate is most applicable for applicant’s new electric service.  Duquesne Light’s policy is to “review the account, and the rate that is on the account at that time is the rate that is assigned to the new customer,” using historical data provided by the previous owner or tenant at the service address.</w:t>
      </w:r>
      <w:r>
        <w:rPr>
          <w:rStyle w:val="FootnoteReference"/>
          <w:sz w:val="24"/>
          <w:szCs w:val="24"/>
        </w:rPr>
        <w:footnoteReference w:id="16"/>
      </w:r>
      <w:r>
        <w:rPr>
          <w:sz w:val="24"/>
          <w:szCs w:val="24"/>
        </w:rPr>
        <w:t xml:space="preserve"> </w:t>
      </w:r>
      <w:r w:rsidR="00A85CE8">
        <w:rPr>
          <w:sz w:val="24"/>
          <w:szCs w:val="24"/>
        </w:rPr>
        <w:t xml:space="preserve"> </w:t>
      </w:r>
      <w:r>
        <w:rPr>
          <w:sz w:val="24"/>
          <w:szCs w:val="24"/>
        </w:rPr>
        <w:t xml:space="preserve">Duquesne Light “verifies” the accuracy of the historical data by relying on its own records and does not change the rate class </w:t>
      </w:r>
      <w:r w:rsidR="00250A77">
        <w:rPr>
          <w:sz w:val="24"/>
          <w:szCs w:val="24"/>
        </w:rPr>
        <w:t xml:space="preserve">applied to an account unless a customer advises Duquesne Light of a change.  Duquesne Light </w:t>
      </w:r>
      <w:r w:rsidR="00250A77" w:rsidRPr="00250A77">
        <w:rPr>
          <w:sz w:val="24"/>
          <w:szCs w:val="24"/>
          <w:u w:val="single"/>
        </w:rPr>
        <w:t>assumes</w:t>
      </w:r>
      <w:r w:rsidR="00250A77">
        <w:rPr>
          <w:sz w:val="24"/>
          <w:szCs w:val="24"/>
        </w:rPr>
        <w:t xml:space="preserve"> an applicant should know the rate </w:t>
      </w:r>
      <w:r w:rsidR="00250A77">
        <w:rPr>
          <w:sz w:val="24"/>
          <w:szCs w:val="24"/>
        </w:rPr>
        <w:lastRenderedPageBreak/>
        <w:t>the public utility provided to the previous tenant.</w:t>
      </w:r>
      <w:r w:rsidR="00250A77">
        <w:rPr>
          <w:rStyle w:val="FootnoteReference"/>
          <w:sz w:val="24"/>
          <w:szCs w:val="24"/>
        </w:rPr>
        <w:footnoteReference w:id="17"/>
      </w:r>
      <w:r w:rsidR="00531F8B">
        <w:rPr>
          <w:sz w:val="24"/>
          <w:szCs w:val="24"/>
        </w:rPr>
        <w:t xml:space="preserve">  Duquesne Light </w:t>
      </w:r>
      <w:r w:rsidR="00531F8B" w:rsidRPr="00531F8B">
        <w:rPr>
          <w:b/>
          <w:sz w:val="24"/>
          <w:szCs w:val="24"/>
        </w:rPr>
        <w:t>does not inform</w:t>
      </w:r>
      <w:r w:rsidR="00531F8B">
        <w:rPr>
          <w:sz w:val="24"/>
          <w:szCs w:val="24"/>
        </w:rPr>
        <w:t xml:space="preserve"> an applicant that the utility is making all of these assumptions even when applying a higher rate which is the least advantageous.</w:t>
      </w:r>
    </w:p>
    <w:p w:rsidR="003E43AF" w:rsidRDefault="003E43AF" w:rsidP="004A0254">
      <w:pPr>
        <w:pStyle w:val="BodyText"/>
        <w:jc w:val="left"/>
        <w:rPr>
          <w:sz w:val="24"/>
          <w:szCs w:val="24"/>
        </w:rPr>
      </w:pPr>
    </w:p>
    <w:p w:rsidR="003E43AF" w:rsidRDefault="00425756" w:rsidP="003E43AF">
      <w:pPr>
        <w:pStyle w:val="BodyText"/>
        <w:ind w:firstLine="1440"/>
        <w:jc w:val="left"/>
        <w:rPr>
          <w:sz w:val="24"/>
          <w:szCs w:val="24"/>
        </w:rPr>
      </w:pPr>
      <w:r>
        <w:rPr>
          <w:sz w:val="24"/>
          <w:szCs w:val="24"/>
        </w:rPr>
        <w:t xml:space="preserve">Therefore, when Complainant initiated service in 2000, Duquesne Light expected Complainant to know what residential distribution rate was used by the previous account holder.  </w:t>
      </w:r>
      <w:r w:rsidR="003E43AF">
        <w:rPr>
          <w:sz w:val="24"/>
          <w:szCs w:val="24"/>
        </w:rPr>
        <w:t xml:space="preserve">Respondent expected Mr. Kramer to know facts about the electric service enjoyed by an unrelated third party in an arms-length transaction.  Being unable to tell Mr. Kramer about the previous rate applied to the service address, </w:t>
      </w:r>
      <w:r>
        <w:rPr>
          <w:sz w:val="24"/>
          <w:szCs w:val="24"/>
        </w:rPr>
        <w:t xml:space="preserve">Duquesne Light made no attempt to ascertain what </w:t>
      </w:r>
      <w:r w:rsidRPr="00C94329">
        <w:rPr>
          <w:sz w:val="24"/>
          <w:szCs w:val="24"/>
          <w:u w:val="single"/>
        </w:rPr>
        <w:t>should have been</w:t>
      </w:r>
      <w:r>
        <w:rPr>
          <w:sz w:val="24"/>
          <w:szCs w:val="24"/>
        </w:rPr>
        <w:t xml:space="preserve"> the most applicable residential distribution rate</w:t>
      </w:r>
      <w:r w:rsidR="00C94329">
        <w:rPr>
          <w:sz w:val="24"/>
          <w:szCs w:val="24"/>
        </w:rPr>
        <w:t xml:space="preserve"> when Mr. Kramer initiated service.  Duquesne Light assumed the rate applicable to the previous owner would remain the applicable rate for Mr. Kramer</w:t>
      </w:r>
      <w:r w:rsidR="003A156E">
        <w:rPr>
          <w:sz w:val="24"/>
          <w:szCs w:val="24"/>
        </w:rPr>
        <w:t xml:space="preserve"> </w:t>
      </w:r>
      <w:r w:rsidR="003A156E" w:rsidRPr="003A156E">
        <w:rPr>
          <w:b/>
          <w:sz w:val="24"/>
          <w:szCs w:val="24"/>
          <w:u w:val="single"/>
        </w:rPr>
        <w:t>but</w:t>
      </w:r>
      <w:r w:rsidR="003A156E">
        <w:rPr>
          <w:sz w:val="24"/>
          <w:szCs w:val="24"/>
        </w:rPr>
        <w:t xml:space="preserve"> </w:t>
      </w:r>
      <w:r w:rsidR="00C94329">
        <w:rPr>
          <w:sz w:val="24"/>
          <w:szCs w:val="24"/>
        </w:rPr>
        <w:t>Duquesne Light made that assumption without advising Mr.</w:t>
      </w:r>
      <w:r w:rsidR="00747DEE">
        <w:rPr>
          <w:sz w:val="24"/>
          <w:szCs w:val="24"/>
        </w:rPr>
        <w:t> </w:t>
      </w:r>
      <w:r w:rsidR="00C94329">
        <w:rPr>
          <w:sz w:val="24"/>
          <w:szCs w:val="24"/>
        </w:rPr>
        <w:t xml:space="preserve">Kramer of </w:t>
      </w:r>
      <w:r w:rsidR="00531F8B">
        <w:rPr>
          <w:sz w:val="24"/>
          <w:szCs w:val="24"/>
        </w:rPr>
        <w:t>its</w:t>
      </w:r>
      <w:r w:rsidR="00C94329">
        <w:rPr>
          <w:sz w:val="24"/>
          <w:szCs w:val="24"/>
        </w:rPr>
        <w:t xml:space="preserve"> assumption.  </w:t>
      </w:r>
    </w:p>
    <w:p w:rsidR="003E43AF" w:rsidRDefault="003E43AF" w:rsidP="003E43AF">
      <w:pPr>
        <w:pStyle w:val="BodyText"/>
        <w:ind w:firstLine="1440"/>
        <w:jc w:val="left"/>
        <w:rPr>
          <w:sz w:val="24"/>
          <w:szCs w:val="24"/>
        </w:rPr>
      </w:pPr>
    </w:p>
    <w:p w:rsidR="0034169F" w:rsidRDefault="003E43AF" w:rsidP="0034169F">
      <w:pPr>
        <w:pStyle w:val="BodyText"/>
        <w:ind w:firstLine="1440"/>
        <w:jc w:val="left"/>
        <w:rPr>
          <w:sz w:val="24"/>
          <w:szCs w:val="24"/>
        </w:rPr>
      </w:pPr>
      <w:r>
        <w:rPr>
          <w:sz w:val="24"/>
          <w:szCs w:val="24"/>
        </w:rPr>
        <w:t xml:space="preserve">Duquesne Light also made the assumption – that the rate applicable to the previous owner would remain the applicable rate for Mr. Kramer – without advising Mr. Kramer there might be options as to which distribution rate was most applicable to the service address.  </w:t>
      </w:r>
      <w:r w:rsidR="00C94329" w:rsidRPr="00C94329">
        <w:rPr>
          <w:sz w:val="24"/>
          <w:szCs w:val="24"/>
          <w:u w:val="single"/>
        </w:rPr>
        <w:t>At the very least</w:t>
      </w:r>
      <w:r w:rsidR="00C94329">
        <w:rPr>
          <w:sz w:val="24"/>
          <w:szCs w:val="24"/>
        </w:rPr>
        <w:t xml:space="preserve">, knowing it had at least three applicable residential distribution rates available, Duquesne Light should have asked Mr. Kramer </w:t>
      </w:r>
      <w:r w:rsidR="003A156E">
        <w:rPr>
          <w:sz w:val="24"/>
          <w:szCs w:val="24"/>
        </w:rPr>
        <w:t xml:space="preserve">two simple questions: (1) will electricity be required to heat the premises; and (2) </w:t>
      </w:r>
      <w:r w:rsidR="0034169F">
        <w:rPr>
          <w:sz w:val="24"/>
          <w:szCs w:val="24"/>
        </w:rPr>
        <w:t xml:space="preserve">if the answer is “yes,” is there an add-on heat pump?  </w:t>
      </w:r>
      <w:r w:rsidR="00C94329" w:rsidRPr="0034169F">
        <w:rPr>
          <w:sz w:val="24"/>
          <w:szCs w:val="24"/>
          <w:u w:val="single"/>
        </w:rPr>
        <w:t>I</w:t>
      </w:r>
      <w:r w:rsidR="00796894">
        <w:rPr>
          <w:sz w:val="24"/>
          <w:szCs w:val="24"/>
          <w:u w:val="single"/>
        </w:rPr>
        <w:t>f</w:t>
      </w:r>
      <w:r w:rsidR="00C94329">
        <w:rPr>
          <w:sz w:val="24"/>
          <w:szCs w:val="24"/>
        </w:rPr>
        <w:t xml:space="preserve"> Duquesne Light had asked </w:t>
      </w:r>
      <w:r w:rsidR="0034169F">
        <w:rPr>
          <w:sz w:val="24"/>
          <w:szCs w:val="24"/>
        </w:rPr>
        <w:t>those two</w:t>
      </w:r>
      <w:r w:rsidR="00C94329">
        <w:rPr>
          <w:sz w:val="24"/>
          <w:szCs w:val="24"/>
        </w:rPr>
        <w:t xml:space="preserve"> </w:t>
      </w:r>
      <w:r w:rsidR="00531F8B">
        <w:rPr>
          <w:sz w:val="24"/>
          <w:szCs w:val="24"/>
        </w:rPr>
        <w:t xml:space="preserve">simple </w:t>
      </w:r>
      <w:r w:rsidR="00C94329">
        <w:rPr>
          <w:sz w:val="24"/>
          <w:szCs w:val="24"/>
        </w:rPr>
        <w:t>question</w:t>
      </w:r>
      <w:r w:rsidR="0034169F">
        <w:rPr>
          <w:sz w:val="24"/>
          <w:szCs w:val="24"/>
        </w:rPr>
        <w:t>s</w:t>
      </w:r>
      <w:r w:rsidR="00C94329">
        <w:rPr>
          <w:sz w:val="24"/>
          <w:szCs w:val="24"/>
        </w:rPr>
        <w:t>,</w:t>
      </w:r>
      <w:r w:rsidR="0034169F">
        <w:rPr>
          <w:sz w:val="24"/>
          <w:szCs w:val="24"/>
        </w:rPr>
        <w:t xml:space="preserve"> Mr. Kramer would have been billed correctly.  By asking the questions, Duquesne Light would have received the notice which a previous owner failed to provide</w:t>
      </w:r>
      <w:r w:rsidR="00531F8B">
        <w:rPr>
          <w:sz w:val="24"/>
          <w:szCs w:val="24"/>
        </w:rPr>
        <w:t xml:space="preserve"> when a heat pump was installed</w:t>
      </w:r>
      <w:r w:rsidR="0034169F">
        <w:rPr>
          <w:sz w:val="24"/>
          <w:szCs w:val="24"/>
        </w:rPr>
        <w:t xml:space="preserve">.  Respondent would have learned a heat pump was in use and, by comparing that information to its historical data, Duquesne Light would know it needed to schedule a service call to verify the existence and use of the heat pump.  </w:t>
      </w:r>
    </w:p>
    <w:p w:rsidR="0034169F" w:rsidRDefault="0034169F" w:rsidP="003E43AF">
      <w:pPr>
        <w:pStyle w:val="BodyText"/>
        <w:ind w:firstLine="1440"/>
        <w:jc w:val="left"/>
        <w:rPr>
          <w:sz w:val="24"/>
          <w:szCs w:val="24"/>
        </w:rPr>
      </w:pPr>
    </w:p>
    <w:p w:rsidR="00425756" w:rsidRDefault="0034169F" w:rsidP="003E43AF">
      <w:pPr>
        <w:pStyle w:val="BodyText"/>
        <w:ind w:firstLine="1440"/>
        <w:jc w:val="left"/>
        <w:rPr>
          <w:sz w:val="24"/>
          <w:szCs w:val="24"/>
        </w:rPr>
      </w:pPr>
      <w:r>
        <w:rPr>
          <w:sz w:val="24"/>
          <w:szCs w:val="24"/>
        </w:rPr>
        <w:lastRenderedPageBreak/>
        <w:t>Lastly, if no heat pump was in operation</w:t>
      </w:r>
      <w:r w:rsidR="00531F8B">
        <w:rPr>
          <w:sz w:val="24"/>
          <w:szCs w:val="24"/>
        </w:rPr>
        <w:t xml:space="preserve"> at the time of application</w:t>
      </w:r>
      <w:r>
        <w:rPr>
          <w:sz w:val="24"/>
          <w:szCs w:val="24"/>
        </w:rPr>
        <w:t>, Duquesne Light could have informed</w:t>
      </w:r>
      <w:r w:rsidR="00C94329">
        <w:rPr>
          <w:sz w:val="24"/>
          <w:szCs w:val="24"/>
        </w:rPr>
        <w:t xml:space="preserve"> </w:t>
      </w:r>
      <w:r w:rsidR="00E65E00">
        <w:rPr>
          <w:sz w:val="24"/>
          <w:szCs w:val="24"/>
        </w:rPr>
        <w:t xml:space="preserve">and educated </w:t>
      </w:r>
      <w:r w:rsidR="00C94329">
        <w:rPr>
          <w:sz w:val="24"/>
          <w:szCs w:val="24"/>
        </w:rPr>
        <w:t xml:space="preserve">Mr. Kramer </w:t>
      </w:r>
      <w:r>
        <w:rPr>
          <w:sz w:val="24"/>
          <w:szCs w:val="24"/>
        </w:rPr>
        <w:t xml:space="preserve">that installing one would </w:t>
      </w:r>
      <w:r w:rsidR="00E65E00">
        <w:rPr>
          <w:sz w:val="24"/>
          <w:szCs w:val="24"/>
        </w:rPr>
        <w:t xml:space="preserve">allow him to consume less electricity and would </w:t>
      </w:r>
      <w:r>
        <w:rPr>
          <w:sz w:val="24"/>
          <w:szCs w:val="24"/>
        </w:rPr>
        <w:t>give him access to a lower cost rate</w:t>
      </w:r>
      <w:r w:rsidR="00E65E00">
        <w:rPr>
          <w:sz w:val="24"/>
          <w:szCs w:val="24"/>
        </w:rPr>
        <w:t xml:space="preserve"> – </w:t>
      </w:r>
      <w:r w:rsidR="00E65E00" w:rsidRPr="00E65E00">
        <w:rPr>
          <w:b/>
          <w:sz w:val="24"/>
          <w:szCs w:val="24"/>
        </w:rPr>
        <w:t>if</w:t>
      </w:r>
      <w:r w:rsidR="00E65E00">
        <w:rPr>
          <w:sz w:val="24"/>
          <w:szCs w:val="24"/>
        </w:rPr>
        <w:t xml:space="preserve"> Duquesne Light ha</w:t>
      </w:r>
      <w:r w:rsidR="001B0EE6">
        <w:rPr>
          <w:sz w:val="24"/>
          <w:szCs w:val="24"/>
        </w:rPr>
        <w:t>d</w:t>
      </w:r>
      <w:r w:rsidR="00E65E00">
        <w:rPr>
          <w:sz w:val="24"/>
          <w:szCs w:val="24"/>
        </w:rPr>
        <w:t xml:space="preserve"> asked those two simple questions</w:t>
      </w:r>
      <w:r w:rsidR="00C94329">
        <w:rPr>
          <w:sz w:val="24"/>
          <w:szCs w:val="24"/>
        </w:rPr>
        <w:t xml:space="preserve">.  </w:t>
      </w:r>
      <w:r>
        <w:rPr>
          <w:sz w:val="24"/>
          <w:szCs w:val="24"/>
        </w:rPr>
        <w:t xml:space="preserve">This information, with the encouragement to save money, would also mean less energy would be consumed by the residential class in Respondent’s territory.  </w:t>
      </w:r>
      <w:proofErr w:type="gramStart"/>
      <w:r>
        <w:rPr>
          <w:sz w:val="24"/>
          <w:szCs w:val="24"/>
        </w:rPr>
        <w:t>With the implementation of Act 129</w:t>
      </w:r>
      <w:r w:rsidR="00F34B20">
        <w:rPr>
          <w:sz w:val="24"/>
          <w:szCs w:val="24"/>
        </w:rPr>
        <w:t xml:space="preserve"> of 2008</w:t>
      </w:r>
      <w:r w:rsidR="00F34B20">
        <w:rPr>
          <w:rStyle w:val="FootnoteReference"/>
          <w:sz w:val="24"/>
          <w:szCs w:val="24"/>
        </w:rPr>
        <w:footnoteReference w:id="18"/>
      </w:r>
      <w:r>
        <w:rPr>
          <w:sz w:val="24"/>
          <w:szCs w:val="24"/>
        </w:rPr>
        <w:t xml:space="preserve"> and </w:t>
      </w:r>
      <w:r w:rsidR="00F34B20">
        <w:rPr>
          <w:sz w:val="24"/>
          <w:szCs w:val="24"/>
        </w:rPr>
        <w:t xml:space="preserve">its codification at 66 </w:t>
      </w:r>
      <w:proofErr w:type="spellStart"/>
      <w:r w:rsidR="00F34B20">
        <w:rPr>
          <w:sz w:val="24"/>
          <w:szCs w:val="24"/>
        </w:rPr>
        <w:t>Pa.C.S.A</w:t>
      </w:r>
      <w:proofErr w:type="spellEnd"/>
      <w:r w:rsidR="00F34B20">
        <w:rPr>
          <w:sz w:val="24"/>
          <w:szCs w:val="24"/>
        </w:rPr>
        <w:t>.</w:t>
      </w:r>
      <w:proofErr w:type="gramEnd"/>
      <w:r w:rsidR="00F34B20">
        <w:rPr>
          <w:sz w:val="24"/>
          <w:szCs w:val="24"/>
        </w:rPr>
        <w:t xml:space="preserve"> §</w:t>
      </w:r>
      <w:r w:rsidR="0048213D">
        <w:rPr>
          <w:sz w:val="24"/>
          <w:szCs w:val="24"/>
        </w:rPr>
        <w:t> </w:t>
      </w:r>
      <w:r w:rsidR="00F34B20">
        <w:rPr>
          <w:sz w:val="24"/>
          <w:szCs w:val="24"/>
        </w:rPr>
        <w:t xml:space="preserve">2806.1 and </w:t>
      </w:r>
      <w:r w:rsidR="00A85CE8">
        <w:rPr>
          <w:sz w:val="24"/>
          <w:szCs w:val="24"/>
        </w:rPr>
        <w:t xml:space="preserve">§ </w:t>
      </w:r>
      <w:r w:rsidR="00F34B20">
        <w:rPr>
          <w:sz w:val="24"/>
          <w:szCs w:val="24"/>
        </w:rPr>
        <w:t>2806.2</w:t>
      </w:r>
      <w:r>
        <w:rPr>
          <w:sz w:val="24"/>
          <w:szCs w:val="24"/>
        </w:rPr>
        <w:t>, the Pennsylvania Legislature and the Commission have asked electric distribution companies such as Duquesne Light to implement programs and consumer education efforts as means to reduce the overall electric usage</w:t>
      </w:r>
      <w:r w:rsidR="00EF5E30">
        <w:rPr>
          <w:sz w:val="24"/>
          <w:szCs w:val="24"/>
        </w:rPr>
        <w:t xml:space="preserve"> in its territory.  By failing to ask a simple question when accepting an application for service, Duquesne Light eliminate</w:t>
      </w:r>
      <w:r w:rsidR="00E65E00">
        <w:rPr>
          <w:sz w:val="24"/>
          <w:szCs w:val="24"/>
        </w:rPr>
        <w:t>d and continues to eliminate</w:t>
      </w:r>
      <w:r w:rsidR="00EF5E30">
        <w:rPr>
          <w:sz w:val="24"/>
          <w:szCs w:val="24"/>
        </w:rPr>
        <w:t xml:space="preserve"> </w:t>
      </w:r>
      <w:r w:rsidR="00E65E00">
        <w:rPr>
          <w:sz w:val="24"/>
          <w:szCs w:val="24"/>
        </w:rPr>
        <w:t>excellent opportunities</w:t>
      </w:r>
      <w:r w:rsidR="00EF5E30">
        <w:rPr>
          <w:sz w:val="24"/>
          <w:szCs w:val="24"/>
        </w:rPr>
        <w:t xml:space="preserve"> to encourage electricity conservation amongst its customers.  </w:t>
      </w:r>
    </w:p>
    <w:p w:rsidR="00C94329" w:rsidRDefault="00C94329" w:rsidP="004A0254">
      <w:pPr>
        <w:pStyle w:val="BodyText"/>
        <w:jc w:val="left"/>
        <w:rPr>
          <w:sz w:val="24"/>
          <w:szCs w:val="24"/>
        </w:rPr>
      </w:pPr>
    </w:p>
    <w:p w:rsidR="006F3487" w:rsidRDefault="00C94329" w:rsidP="004A0254">
      <w:pPr>
        <w:pStyle w:val="BodyText"/>
        <w:jc w:val="left"/>
        <w:rPr>
          <w:sz w:val="24"/>
          <w:szCs w:val="24"/>
        </w:rPr>
      </w:pPr>
      <w:r>
        <w:rPr>
          <w:sz w:val="24"/>
          <w:szCs w:val="24"/>
        </w:rPr>
        <w:tab/>
      </w:r>
      <w:r>
        <w:rPr>
          <w:sz w:val="24"/>
          <w:szCs w:val="24"/>
        </w:rPr>
        <w:tab/>
        <w:t xml:space="preserve">Duquesne Light </w:t>
      </w:r>
      <w:r w:rsidR="003E43AF">
        <w:rPr>
          <w:sz w:val="24"/>
          <w:szCs w:val="24"/>
        </w:rPr>
        <w:t xml:space="preserve">engaged in conduct which left Mr. Kramer in the dark, figuratively, about available electric service options and without providing him with any information which might reasonably have led him to conclude he needed to inquire or investigate.  Looking at the facts in the light more favorable to Duquesne Light, an applicant initiates </w:t>
      </w:r>
      <w:r w:rsidR="006F3487">
        <w:rPr>
          <w:sz w:val="24"/>
          <w:szCs w:val="24"/>
        </w:rPr>
        <w:t xml:space="preserve">residential electric </w:t>
      </w:r>
      <w:r w:rsidR="003E43AF">
        <w:rPr>
          <w:sz w:val="24"/>
          <w:szCs w:val="24"/>
        </w:rPr>
        <w:t>service unaware there are three potentially applicable rates</w:t>
      </w:r>
      <w:r w:rsidR="006F3487">
        <w:rPr>
          <w:sz w:val="24"/>
          <w:szCs w:val="24"/>
        </w:rPr>
        <w:t xml:space="preserve">, unaware the previous owners were charged the highest distribution rate available, and unaware the previous owners who installed a heat pump </w:t>
      </w:r>
      <w:r w:rsidR="006F3487" w:rsidRPr="006F3487">
        <w:rPr>
          <w:sz w:val="24"/>
          <w:szCs w:val="24"/>
          <w:u w:val="single"/>
        </w:rPr>
        <w:t>should have</w:t>
      </w:r>
      <w:r w:rsidR="00EF5E30">
        <w:rPr>
          <w:sz w:val="24"/>
          <w:szCs w:val="24"/>
        </w:rPr>
        <w:t xml:space="preserve"> notified but did not notify </w:t>
      </w:r>
      <w:r w:rsidR="006F3487">
        <w:rPr>
          <w:sz w:val="24"/>
          <w:szCs w:val="24"/>
        </w:rPr>
        <w:t xml:space="preserve">Duquesne Light about </w:t>
      </w:r>
      <w:r w:rsidR="00EF5E30">
        <w:rPr>
          <w:sz w:val="24"/>
          <w:szCs w:val="24"/>
        </w:rPr>
        <w:t>the installation of the heat pump</w:t>
      </w:r>
      <w:r w:rsidR="006F3487">
        <w:rPr>
          <w:sz w:val="24"/>
          <w:szCs w:val="24"/>
        </w:rPr>
        <w:t>.</w:t>
      </w:r>
      <w:r w:rsidR="00E65E00">
        <w:rPr>
          <w:sz w:val="24"/>
          <w:szCs w:val="24"/>
        </w:rPr>
        <w:t xml:space="preserve">  Between the two parties herein, the party </w:t>
      </w:r>
      <w:r w:rsidR="00E65E00" w:rsidRPr="00E65E00">
        <w:rPr>
          <w:sz w:val="24"/>
          <w:szCs w:val="24"/>
          <w:u w:val="single"/>
        </w:rPr>
        <w:t>most</w:t>
      </w:r>
      <w:r w:rsidR="00E65E00">
        <w:rPr>
          <w:sz w:val="24"/>
          <w:szCs w:val="24"/>
        </w:rPr>
        <w:t xml:space="preserve"> in possession of salient and vital facts was Duquesne Light, not Mr. Kramer.</w:t>
      </w:r>
    </w:p>
    <w:p w:rsidR="006F3487" w:rsidRDefault="006F3487" w:rsidP="004A0254">
      <w:pPr>
        <w:pStyle w:val="BodyText"/>
        <w:jc w:val="left"/>
        <w:rPr>
          <w:sz w:val="24"/>
          <w:szCs w:val="24"/>
        </w:rPr>
      </w:pPr>
    </w:p>
    <w:p w:rsidR="00EF5E30" w:rsidRDefault="006F3487" w:rsidP="004A0254">
      <w:pPr>
        <w:pStyle w:val="BodyText"/>
        <w:jc w:val="left"/>
        <w:rPr>
          <w:sz w:val="24"/>
          <w:szCs w:val="24"/>
        </w:rPr>
      </w:pPr>
      <w:r>
        <w:rPr>
          <w:sz w:val="24"/>
          <w:szCs w:val="24"/>
        </w:rPr>
        <w:tab/>
      </w:r>
      <w:r>
        <w:rPr>
          <w:sz w:val="24"/>
          <w:szCs w:val="24"/>
        </w:rPr>
        <w:tab/>
        <w:t xml:space="preserve">Looking at the facts from Mr. Kramer’s perspective, he purchased a home in an arms-length transaction from an unrelated third party who previously installed a heat pump.  The change </w:t>
      </w:r>
      <w:r w:rsidR="00EF5E30">
        <w:rPr>
          <w:sz w:val="24"/>
          <w:szCs w:val="24"/>
        </w:rPr>
        <w:t xml:space="preserve">in heat source (by installing a heat pump) </w:t>
      </w:r>
      <w:r>
        <w:rPr>
          <w:sz w:val="24"/>
          <w:szCs w:val="24"/>
        </w:rPr>
        <w:t xml:space="preserve">was made </w:t>
      </w:r>
      <w:r w:rsidR="00EF5E30">
        <w:rPr>
          <w:sz w:val="24"/>
          <w:szCs w:val="24"/>
        </w:rPr>
        <w:t xml:space="preserve">by </w:t>
      </w:r>
      <w:r>
        <w:rPr>
          <w:sz w:val="24"/>
          <w:szCs w:val="24"/>
        </w:rPr>
        <w:t xml:space="preserve">a predecessor in title </w:t>
      </w:r>
      <w:r w:rsidR="00EF5E30">
        <w:rPr>
          <w:sz w:val="24"/>
          <w:szCs w:val="24"/>
        </w:rPr>
        <w:t>at</w:t>
      </w:r>
      <w:r>
        <w:rPr>
          <w:sz w:val="24"/>
          <w:szCs w:val="24"/>
        </w:rPr>
        <w:t xml:space="preserve"> the service address.  </w:t>
      </w:r>
      <w:r w:rsidR="00E65E00">
        <w:rPr>
          <w:sz w:val="24"/>
          <w:szCs w:val="24"/>
        </w:rPr>
        <w:t>M</w:t>
      </w:r>
      <w:r w:rsidR="00E3697B">
        <w:rPr>
          <w:sz w:val="24"/>
          <w:szCs w:val="24"/>
        </w:rPr>
        <w:t>r</w:t>
      </w:r>
      <w:r w:rsidR="00E65E00">
        <w:rPr>
          <w:sz w:val="24"/>
          <w:szCs w:val="24"/>
        </w:rPr>
        <w:t xml:space="preserve">. Kramer had </w:t>
      </w:r>
      <w:r w:rsidR="00E65E00" w:rsidRPr="00E65E00">
        <w:rPr>
          <w:sz w:val="24"/>
          <w:szCs w:val="24"/>
          <w:u w:val="single"/>
        </w:rPr>
        <w:t>no way</w:t>
      </w:r>
      <w:r w:rsidR="00E65E00">
        <w:rPr>
          <w:sz w:val="24"/>
          <w:szCs w:val="24"/>
        </w:rPr>
        <w:t xml:space="preserve"> to know if the unrelated third party notified the electric distribution company (i.e., Duquesne Light) when installing the heat pump.</w:t>
      </w:r>
    </w:p>
    <w:p w:rsidR="00EF5E30" w:rsidRDefault="00EF5E30" w:rsidP="004A0254">
      <w:pPr>
        <w:pStyle w:val="BodyText"/>
        <w:jc w:val="left"/>
        <w:rPr>
          <w:sz w:val="24"/>
          <w:szCs w:val="24"/>
        </w:rPr>
      </w:pPr>
    </w:p>
    <w:p w:rsidR="001B0EE6" w:rsidRDefault="001B0EE6" w:rsidP="004A0254">
      <w:pPr>
        <w:pStyle w:val="BodyText"/>
        <w:jc w:val="left"/>
        <w:rPr>
          <w:sz w:val="24"/>
          <w:szCs w:val="24"/>
          <w:u w:val="single"/>
        </w:rPr>
      </w:pPr>
    </w:p>
    <w:p w:rsidR="00EF5E30" w:rsidRDefault="00EF5E30" w:rsidP="004A0254">
      <w:pPr>
        <w:pStyle w:val="BodyText"/>
        <w:jc w:val="left"/>
        <w:rPr>
          <w:sz w:val="24"/>
          <w:szCs w:val="24"/>
        </w:rPr>
      </w:pPr>
      <w:r w:rsidRPr="00EF5E30">
        <w:rPr>
          <w:sz w:val="24"/>
          <w:szCs w:val="24"/>
          <w:u w:val="single"/>
        </w:rPr>
        <w:lastRenderedPageBreak/>
        <w:t>Conclusion</w:t>
      </w:r>
    </w:p>
    <w:p w:rsidR="00EF5E30" w:rsidRDefault="00EF5E30" w:rsidP="004A0254">
      <w:pPr>
        <w:pStyle w:val="BodyText"/>
        <w:jc w:val="left"/>
        <w:rPr>
          <w:sz w:val="24"/>
          <w:szCs w:val="24"/>
        </w:rPr>
      </w:pPr>
    </w:p>
    <w:p w:rsidR="00EF5E30" w:rsidRDefault="00EF5E30" w:rsidP="004A0254">
      <w:pPr>
        <w:pStyle w:val="BodyText"/>
        <w:jc w:val="left"/>
        <w:rPr>
          <w:sz w:val="24"/>
          <w:szCs w:val="24"/>
        </w:rPr>
      </w:pPr>
      <w:r>
        <w:rPr>
          <w:sz w:val="24"/>
          <w:szCs w:val="24"/>
        </w:rPr>
        <w:tab/>
      </w:r>
      <w:r>
        <w:rPr>
          <w:sz w:val="24"/>
          <w:szCs w:val="24"/>
        </w:rPr>
        <w:tab/>
        <w:t>This proceeding involves two parties who were never provided notice.  Both parties should have been provided notice.  If notice had been provided when it should have been,</w:t>
      </w:r>
      <w:r w:rsidR="00796894">
        <w:rPr>
          <w:sz w:val="24"/>
          <w:szCs w:val="24"/>
        </w:rPr>
        <w:t xml:space="preserve"> by Mr. Kramer’s predecessor in title,</w:t>
      </w:r>
      <w:r>
        <w:rPr>
          <w:sz w:val="24"/>
          <w:szCs w:val="24"/>
        </w:rPr>
        <w:t xml:space="preserve"> Duquesne Light would have applied the correct rate to Mr. Kramer’s billing statements.  Unfortunately, a third party who is not connected to this proceeding failed to notify Duquesne Light</w:t>
      </w:r>
      <w:r w:rsidR="00796894">
        <w:rPr>
          <w:sz w:val="24"/>
          <w:szCs w:val="24"/>
        </w:rPr>
        <w:t xml:space="preserve"> when a heat pump was installed</w:t>
      </w:r>
      <w:r>
        <w:rPr>
          <w:sz w:val="24"/>
          <w:szCs w:val="24"/>
        </w:rPr>
        <w:t xml:space="preserve">.  It is the Commission’s responsibility to determine between the two parties which party carries the </w:t>
      </w:r>
      <w:r w:rsidR="001B0D2F">
        <w:rPr>
          <w:sz w:val="24"/>
          <w:szCs w:val="24"/>
        </w:rPr>
        <w:t xml:space="preserve">greater responsibility to have known, or should have known, the previous rate applied to the </w:t>
      </w:r>
      <w:r w:rsidR="00E65E00">
        <w:rPr>
          <w:sz w:val="24"/>
          <w:szCs w:val="24"/>
        </w:rPr>
        <w:t>prior owner’s</w:t>
      </w:r>
      <w:r w:rsidR="001B0D2F">
        <w:rPr>
          <w:sz w:val="24"/>
          <w:szCs w:val="24"/>
        </w:rPr>
        <w:t xml:space="preserve"> account was incorrect</w:t>
      </w:r>
      <w:r w:rsidR="00E65E00">
        <w:rPr>
          <w:sz w:val="24"/>
          <w:szCs w:val="24"/>
        </w:rPr>
        <w:t xml:space="preserve"> when applied to Mr. Kramer</w:t>
      </w:r>
      <w:r w:rsidR="001B0D2F">
        <w:rPr>
          <w:sz w:val="24"/>
          <w:szCs w:val="24"/>
        </w:rPr>
        <w:t>.</w:t>
      </w:r>
    </w:p>
    <w:p w:rsidR="001B0D2F" w:rsidRDefault="001B0D2F" w:rsidP="004A0254">
      <w:pPr>
        <w:pStyle w:val="BodyText"/>
        <w:jc w:val="left"/>
        <w:rPr>
          <w:sz w:val="24"/>
          <w:szCs w:val="24"/>
        </w:rPr>
      </w:pPr>
    </w:p>
    <w:p w:rsidR="001B0D2F" w:rsidRDefault="00EF5E30" w:rsidP="00EF5E30">
      <w:pPr>
        <w:pStyle w:val="BodyText"/>
        <w:ind w:firstLine="1440"/>
        <w:jc w:val="left"/>
        <w:rPr>
          <w:sz w:val="24"/>
          <w:szCs w:val="24"/>
        </w:rPr>
      </w:pPr>
      <w:r>
        <w:rPr>
          <w:sz w:val="24"/>
          <w:szCs w:val="24"/>
        </w:rPr>
        <w:t xml:space="preserve">Duquesne Light </w:t>
      </w:r>
      <w:r w:rsidR="001B0D2F">
        <w:rPr>
          <w:sz w:val="24"/>
          <w:szCs w:val="24"/>
        </w:rPr>
        <w:t xml:space="preserve">was in the superior position and in the better position to be in possession of the salient and determinative facts.  It clearly knew it had three rates available.  It knew what rate was applied previously.  It knew the RA rate was significantly lower than the RH rate.  It knew the Commission wanted all electric distribution companies to teach consumers how to save money and </w:t>
      </w:r>
      <w:r w:rsidR="00796894">
        <w:rPr>
          <w:sz w:val="24"/>
          <w:szCs w:val="24"/>
        </w:rPr>
        <w:t xml:space="preserve">reduce </w:t>
      </w:r>
      <w:r w:rsidR="001B0D2F">
        <w:rPr>
          <w:sz w:val="24"/>
          <w:szCs w:val="24"/>
        </w:rPr>
        <w:t xml:space="preserve">electricity usage.  </w:t>
      </w:r>
      <w:r w:rsidR="00E65E00">
        <w:rPr>
          <w:sz w:val="24"/>
          <w:szCs w:val="24"/>
        </w:rPr>
        <w:t xml:space="preserve">Duquesne Light knew this property might consume less electricity and cost less to heat if a heat pump was installed.  </w:t>
      </w:r>
      <w:r w:rsidR="001B0D2F">
        <w:rPr>
          <w:sz w:val="24"/>
          <w:szCs w:val="24"/>
        </w:rPr>
        <w:t xml:space="preserve">In contrast, Mr. Kramer knew he needed electricity to run his heat pump and other appliances.  </w:t>
      </w:r>
      <w:r w:rsidR="004D5119">
        <w:rPr>
          <w:sz w:val="24"/>
          <w:szCs w:val="24"/>
        </w:rPr>
        <w:t>He knew he bought his new residence with the heat pump already installed.  He knew he needed to contact Duquesne Light as his electric distribution company.</w:t>
      </w:r>
    </w:p>
    <w:p w:rsidR="001B0D2F" w:rsidRDefault="001B0D2F" w:rsidP="00EF5E30">
      <w:pPr>
        <w:pStyle w:val="BodyText"/>
        <w:ind w:firstLine="1440"/>
        <w:jc w:val="left"/>
        <w:rPr>
          <w:sz w:val="24"/>
          <w:szCs w:val="24"/>
        </w:rPr>
      </w:pPr>
    </w:p>
    <w:p w:rsidR="004D5119" w:rsidRDefault="001B0D2F" w:rsidP="00EF5E30">
      <w:pPr>
        <w:pStyle w:val="BodyText"/>
        <w:ind w:firstLine="1440"/>
        <w:jc w:val="left"/>
        <w:rPr>
          <w:sz w:val="24"/>
          <w:szCs w:val="24"/>
        </w:rPr>
      </w:pPr>
      <w:r>
        <w:rPr>
          <w:sz w:val="24"/>
          <w:szCs w:val="24"/>
        </w:rPr>
        <w:t xml:space="preserve">Respondent </w:t>
      </w:r>
      <w:r w:rsidR="00EF5E30">
        <w:rPr>
          <w:sz w:val="24"/>
          <w:szCs w:val="24"/>
        </w:rPr>
        <w:t>unfair</w:t>
      </w:r>
      <w:r w:rsidR="00796894">
        <w:rPr>
          <w:sz w:val="24"/>
          <w:szCs w:val="24"/>
        </w:rPr>
        <w:t>ly</w:t>
      </w:r>
      <w:r w:rsidR="00EF5E30">
        <w:rPr>
          <w:sz w:val="24"/>
          <w:szCs w:val="24"/>
        </w:rPr>
        <w:t xml:space="preserve"> expect</w:t>
      </w:r>
      <w:r w:rsidR="00796894">
        <w:rPr>
          <w:sz w:val="24"/>
          <w:szCs w:val="24"/>
        </w:rPr>
        <w:t>ed</w:t>
      </w:r>
      <w:r w:rsidR="00EF5E30">
        <w:rPr>
          <w:sz w:val="24"/>
          <w:szCs w:val="24"/>
        </w:rPr>
        <w:t xml:space="preserve"> Mr. Kramer </w:t>
      </w:r>
      <w:r w:rsidR="00796894">
        <w:rPr>
          <w:sz w:val="24"/>
          <w:szCs w:val="24"/>
        </w:rPr>
        <w:t>to know</w:t>
      </w:r>
      <w:r w:rsidR="00EF5E30">
        <w:rPr>
          <w:sz w:val="24"/>
          <w:szCs w:val="24"/>
        </w:rPr>
        <w:t xml:space="preserve"> that a previous owner failed to </w:t>
      </w:r>
      <w:r w:rsidR="004D5119">
        <w:rPr>
          <w:sz w:val="24"/>
          <w:szCs w:val="24"/>
        </w:rPr>
        <w:t>give</w:t>
      </w:r>
      <w:r w:rsidR="00EF5E30">
        <w:rPr>
          <w:sz w:val="24"/>
          <w:szCs w:val="24"/>
        </w:rPr>
        <w:t xml:space="preserve"> Duquesne Light </w:t>
      </w:r>
      <w:r w:rsidR="004D5119">
        <w:rPr>
          <w:sz w:val="24"/>
          <w:szCs w:val="24"/>
        </w:rPr>
        <w:t xml:space="preserve">actual knowledge </w:t>
      </w:r>
      <w:r w:rsidR="00E65E00">
        <w:rPr>
          <w:sz w:val="24"/>
          <w:szCs w:val="24"/>
        </w:rPr>
        <w:t xml:space="preserve">when a </w:t>
      </w:r>
      <w:r w:rsidR="00EF5E30">
        <w:rPr>
          <w:sz w:val="24"/>
          <w:szCs w:val="24"/>
        </w:rPr>
        <w:t xml:space="preserve">heat pump was installed at the service address.  That level of unfairness is compounded by Duquesne Light’s failure to inquire (when Complainant initiated service) by asking a few simple questions about whether the service address relies on electricity for heat and/or uses a heat pump.  </w:t>
      </w:r>
      <w:r w:rsidR="00E65E00">
        <w:rPr>
          <w:sz w:val="24"/>
          <w:szCs w:val="24"/>
        </w:rPr>
        <w:t>Duquesne Light also failed to use the application process to further the aims of Act 129, and as an opportunity to educate Mr.</w:t>
      </w:r>
      <w:r w:rsidR="004A1314">
        <w:rPr>
          <w:sz w:val="24"/>
          <w:szCs w:val="24"/>
        </w:rPr>
        <w:t> </w:t>
      </w:r>
      <w:bookmarkStart w:id="0" w:name="_GoBack"/>
      <w:bookmarkEnd w:id="0"/>
      <w:r w:rsidR="00E65E00">
        <w:rPr>
          <w:sz w:val="24"/>
          <w:szCs w:val="24"/>
        </w:rPr>
        <w:t>Kramer how to consume less electricity, consistent with the Commission’s and Legislature’s stated aims to conserve energy.</w:t>
      </w:r>
    </w:p>
    <w:p w:rsidR="004555E3" w:rsidRDefault="004555E3" w:rsidP="00EF5E30">
      <w:pPr>
        <w:pStyle w:val="BodyText"/>
        <w:ind w:firstLine="1440"/>
        <w:jc w:val="left"/>
        <w:rPr>
          <w:sz w:val="24"/>
          <w:szCs w:val="24"/>
        </w:rPr>
      </w:pPr>
    </w:p>
    <w:p w:rsidR="004555E3" w:rsidRDefault="004555E3" w:rsidP="00EF5E30">
      <w:pPr>
        <w:pStyle w:val="BodyText"/>
        <w:ind w:firstLine="1440"/>
        <w:jc w:val="left"/>
        <w:rPr>
          <w:sz w:val="24"/>
          <w:szCs w:val="24"/>
        </w:rPr>
      </w:pPr>
      <w:r>
        <w:rPr>
          <w:sz w:val="24"/>
          <w:szCs w:val="24"/>
        </w:rPr>
        <w:lastRenderedPageBreak/>
        <w:t>In the future, Duquesne Light is strongly encouraged to alter its application process, as well as the script used by its customer service representatives and its online application form, to ask all residential applicants these two questions:  (1) will you use electricity to heat the residence, and, if ‘yes’, (2) is there a heat pump in operation.  If the responses are contrary to information previously provided, Duquesne Light will need to visit the premises to verify how electricity is used at the service address.  If, however, electricity is used to heat the premises, and there is no heat pump (or the applicant is uncertain), then the customer service representative should inform the applicant that a cheaper rate is available and consumption will be lower if a heat pump is installed.</w:t>
      </w:r>
    </w:p>
    <w:p w:rsidR="004D5119" w:rsidRDefault="004D5119" w:rsidP="00EF5E30">
      <w:pPr>
        <w:pStyle w:val="BodyText"/>
        <w:ind w:firstLine="1440"/>
        <w:jc w:val="left"/>
        <w:rPr>
          <w:sz w:val="24"/>
          <w:szCs w:val="24"/>
        </w:rPr>
      </w:pPr>
    </w:p>
    <w:p w:rsidR="00EF5E30" w:rsidRDefault="004D5119" w:rsidP="00EF5E30">
      <w:pPr>
        <w:pStyle w:val="BodyText"/>
        <w:ind w:firstLine="1440"/>
        <w:jc w:val="left"/>
        <w:rPr>
          <w:sz w:val="24"/>
          <w:szCs w:val="24"/>
        </w:rPr>
      </w:pPr>
      <w:r>
        <w:rPr>
          <w:sz w:val="24"/>
          <w:szCs w:val="24"/>
        </w:rPr>
        <w:t xml:space="preserve">Accordingly, in the Ordering Paragraphs that follow, Duquesne Light will be ordered to recalculate Mr. Kramer’s billing statements from December 2010 through November 2014, using the appropriate RA rates applicable during that time frame.  This recalculation will need to be completed within sixty (60) days of the Final Order in this proceeding.  Duquesne Light will be required to provide a written explanation to Mr. Kramer and to the Commission’s Bureau of Technical Utility Services.  Lastly, the Secretary’s Bureau will be ordered to provide a copy of this Initial Decision to the Commission’s Bureau of Investigation and Enforcement because of Duquesne Light’s pattern of not asking </w:t>
      </w:r>
      <w:r w:rsidRPr="00E65E00">
        <w:rPr>
          <w:sz w:val="24"/>
          <w:szCs w:val="24"/>
          <w:u w:val="single"/>
        </w:rPr>
        <w:t>any</w:t>
      </w:r>
      <w:r>
        <w:rPr>
          <w:sz w:val="24"/>
          <w:szCs w:val="24"/>
        </w:rPr>
        <w:t xml:space="preserve"> applicant </w:t>
      </w:r>
      <w:r w:rsidRPr="00E65E00">
        <w:rPr>
          <w:sz w:val="24"/>
          <w:szCs w:val="24"/>
          <w:u w:val="single"/>
        </w:rPr>
        <w:t>any</w:t>
      </w:r>
      <w:r>
        <w:rPr>
          <w:sz w:val="24"/>
          <w:szCs w:val="24"/>
        </w:rPr>
        <w:t xml:space="preserve"> pertinent questions about proposed electric service</w:t>
      </w:r>
      <w:r w:rsidR="00E65E00">
        <w:rPr>
          <w:sz w:val="24"/>
          <w:szCs w:val="24"/>
        </w:rPr>
        <w:t>,</w:t>
      </w:r>
      <w:r>
        <w:rPr>
          <w:sz w:val="24"/>
          <w:szCs w:val="24"/>
        </w:rPr>
        <w:t xml:space="preserve"> and its pattern of assuming the accuracy of its historical data at the service address.</w:t>
      </w:r>
    </w:p>
    <w:p w:rsidR="00EF5E30" w:rsidRDefault="00EF5E30" w:rsidP="004A0254">
      <w:pPr>
        <w:pStyle w:val="BodyText"/>
        <w:jc w:val="left"/>
        <w:rPr>
          <w:sz w:val="24"/>
          <w:szCs w:val="24"/>
          <w:u w:val="single"/>
        </w:rPr>
      </w:pPr>
    </w:p>
    <w:p w:rsidR="00C70EDB" w:rsidRPr="00CE4DCB" w:rsidRDefault="00CE4DCB" w:rsidP="004A0254">
      <w:pPr>
        <w:pStyle w:val="BodyText"/>
        <w:jc w:val="left"/>
        <w:rPr>
          <w:sz w:val="24"/>
          <w:szCs w:val="24"/>
          <w:u w:val="single"/>
        </w:rPr>
      </w:pPr>
      <w:r w:rsidRPr="00CE4DCB">
        <w:rPr>
          <w:sz w:val="24"/>
          <w:szCs w:val="24"/>
          <w:u w:val="single"/>
        </w:rPr>
        <w:t>Civil Penalty</w:t>
      </w:r>
    </w:p>
    <w:p w:rsidR="00CE4DCB" w:rsidRDefault="00CE4DCB" w:rsidP="00CE4DCB">
      <w:pPr>
        <w:spacing w:line="360" w:lineRule="auto"/>
      </w:pPr>
    </w:p>
    <w:p w:rsidR="00CE4DCB" w:rsidRDefault="00CE4DCB" w:rsidP="00CE4DCB">
      <w:pPr>
        <w:spacing w:line="360" w:lineRule="auto"/>
        <w:ind w:firstLine="1440"/>
      </w:pPr>
      <w:r>
        <w:t xml:space="preserve">Having concluded Duquesne Light violated the Public Utility Code by failing to provide reasonable </w:t>
      </w:r>
      <w:r w:rsidR="007C615B">
        <w:t xml:space="preserve">customer </w:t>
      </w:r>
      <w:r>
        <w:t xml:space="preserve">service, it is appropriate to consider the assessment of a civil penalty. </w:t>
      </w:r>
      <w:r w:rsidR="00E3697B">
        <w:t xml:space="preserve"> </w:t>
      </w:r>
      <w:r w:rsidRPr="0098528A">
        <w:rPr>
          <w:snapToGrid w:val="0"/>
        </w:rPr>
        <w:t>Section 3301 of the Public Utility Code provides that if any public utility fails to comply with any Commission regulation it shall forfeit and pay to the Commonwealth a sum not exceeding $1,000.00 per day of violation.</w:t>
      </w:r>
      <w:r w:rsidRPr="0098528A">
        <w:rPr>
          <w:rStyle w:val="FootnoteReference"/>
          <w:snapToGrid w:val="0"/>
        </w:rPr>
        <w:footnoteReference w:id="19"/>
      </w:r>
      <w:r w:rsidRPr="0098528A">
        <w:rPr>
          <w:snapToGrid w:val="0"/>
        </w:rPr>
        <w:t xml:space="preserve">  To implement this section, the Commission has </w:t>
      </w:r>
      <w:r w:rsidRPr="0098528A">
        <w:rPr>
          <w:snapToGrid w:val="0"/>
        </w:rPr>
        <w:lastRenderedPageBreak/>
        <w:t>adopted certain standards that must be applied when imposing a civil penalty for violations of Commission directives and regulations.</w:t>
      </w:r>
      <w:r w:rsidRPr="0098528A">
        <w:rPr>
          <w:rStyle w:val="FootnoteReference"/>
          <w:snapToGrid w:val="0"/>
        </w:rPr>
        <w:footnoteReference w:id="20"/>
      </w:r>
      <w:r w:rsidRPr="0098528A">
        <w:rPr>
          <w:snapToGrid w:val="0"/>
        </w:rPr>
        <w:t xml:space="preserve">  </w:t>
      </w:r>
    </w:p>
    <w:p w:rsidR="007C615B" w:rsidRPr="003B1256" w:rsidRDefault="007C615B" w:rsidP="007C615B">
      <w:pPr>
        <w:suppressAutoHyphens/>
      </w:pPr>
      <w:r w:rsidRPr="003B1256">
        <w:rPr>
          <w:spacing w:val="-3"/>
        </w:rPr>
        <w:tab/>
      </w:r>
    </w:p>
    <w:p w:rsidR="007C615B" w:rsidRDefault="007C615B" w:rsidP="007C615B">
      <w:pPr>
        <w:pStyle w:val="BodyText"/>
        <w:ind w:firstLine="1440"/>
        <w:jc w:val="left"/>
        <w:rPr>
          <w:sz w:val="24"/>
          <w:szCs w:val="24"/>
        </w:rPr>
      </w:pPr>
      <w:r w:rsidRPr="003B1256">
        <w:rPr>
          <w:sz w:val="24"/>
          <w:szCs w:val="24"/>
        </w:rPr>
        <w:t>Public utility companies are required to provide reasonable service to their customers pursuant to Section 1501 of the Code.</w:t>
      </w:r>
      <w:r w:rsidRPr="003B1256">
        <w:rPr>
          <w:rStyle w:val="FootnoteReference"/>
          <w:sz w:val="24"/>
          <w:szCs w:val="24"/>
        </w:rPr>
        <w:footnoteReference w:id="21"/>
      </w:r>
      <w:r w:rsidRPr="003B1256">
        <w:rPr>
          <w:sz w:val="24"/>
          <w:szCs w:val="24"/>
        </w:rPr>
        <w:t xml:space="preserve">  The Commission has exclusive jurisdiction to determine the reasonableness, adequacy and sufficiency of a public utility’s services and facilities.</w:t>
      </w:r>
      <w:r w:rsidRPr="003B1256">
        <w:rPr>
          <w:rStyle w:val="FootnoteReference"/>
          <w:sz w:val="24"/>
          <w:szCs w:val="24"/>
        </w:rPr>
        <w:footnoteReference w:id="22"/>
      </w:r>
      <w:r w:rsidRPr="003B1256">
        <w:rPr>
          <w:sz w:val="24"/>
          <w:szCs w:val="24"/>
        </w:rPr>
        <w:t xml:space="preserve">  The term “service” should be “used in its broadest and most inclusive sense, including any and all acts done, rendered, or performed, and any and all things furnished or supplied…by public utilities…in the performance of their duties under the Public Utility Code.…”</w:t>
      </w:r>
      <w:r w:rsidRPr="003B1256">
        <w:rPr>
          <w:rStyle w:val="FootnoteReference"/>
          <w:sz w:val="24"/>
          <w:szCs w:val="24"/>
        </w:rPr>
        <w:footnoteReference w:id="23"/>
      </w:r>
      <w:r w:rsidRPr="003B1256">
        <w:rPr>
          <w:sz w:val="24"/>
          <w:szCs w:val="24"/>
        </w:rPr>
        <w:t xml:space="preserve">  Thus, a utility company’s practices – including, </w:t>
      </w:r>
      <w:r w:rsidRPr="003B1256">
        <w:rPr>
          <w:i/>
          <w:sz w:val="24"/>
          <w:szCs w:val="24"/>
        </w:rPr>
        <w:t>inter alia</w:t>
      </w:r>
      <w:r w:rsidR="00E65E00">
        <w:rPr>
          <w:sz w:val="24"/>
          <w:szCs w:val="24"/>
        </w:rPr>
        <w:t xml:space="preserve">, billing customers and sending </w:t>
      </w:r>
      <w:r w:rsidRPr="003B1256">
        <w:rPr>
          <w:sz w:val="24"/>
          <w:szCs w:val="24"/>
        </w:rPr>
        <w:t>accurate bills</w:t>
      </w:r>
      <w:r w:rsidR="00E3697B">
        <w:rPr>
          <w:sz w:val="24"/>
          <w:szCs w:val="24"/>
        </w:rPr>
        <w:t xml:space="preserve"> </w:t>
      </w:r>
      <w:r w:rsidRPr="003B1256">
        <w:rPr>
          <w:sz w:val="24"/>
          <w:szCs w:val="24"/>
        </w:rPr>
        <w:t xml:space="preserve">– must be reasonable, adequate and sufficient.  A violation occurs when a utility company fails to </w:t>
      </w:r>
      <w:r w:rsidR="00E65E00">
        <w:rPr>
          <w:sz w:val="24"/>
          <w:szCs w:val="24"/>
        </w:rPr>
        <w:t>charge a customer the correct distribution rate</w:t>
      </w:r>
      <w:r w:rsidRPr="003B1256">
        <w:rPr>
          <w:sz w:val="24"/>
          <w:szCs w:val="24"/>
        </w:rPr>
        <w:t>.</w:t>
      </w:r>
    </w:p>
    <w:p w:rsidR="001B0EE6" w:rsidRPr="003B1256" w:rsidRDefault="001B0EE6" w:rsidP="007C615B">
      <w:pPr>
        <w:pStyle w:val="BodyText"/>
        <w:ind w:firstLine="1440"/>
        <w:jc w:val="left"/>
        <w:rPr>
          <w:sz w:val="24"/>
          <w:szCs w:val="24"/>
        </w:rPr>
      </w:pPr>
    </w:p>
    <w:p w:rsidR="007C615B" w:rsidRPr="003B1256" w:rsidRDefault="007C615B" w:rsidP="007C615B">
      <w:pPr>
        <w:spacing w:line="360" w:lineRule="auto"/>
        <w:ind w:firstLine="1440"/>
      </w:pPr>
      <w:proofErr w:type="gramStart"/>
      <w:r w:rsidRPr="003B1256">
        <w:t xml:space="preserve">Sections 3301(a) and (b) of </w:t>
      </w:r>
      <w:r>
        <w:t xml:space="preserve">the Public Utility Code, 66 </w:t>
      </w:r>
      <w:proofErr w:type="spellStart"/>
      <w:r>
        <w:t>Pa.</w:t>
      </w:r>
      <w:r w:rsidRPr="003B1256">
        <w:t>C.S.A</w:t>
      </w:r>
      <w:proofErr w:type="spellEnd"/>
      <w:r w:rsidRPr="003B1256">
        <w:t>.</w:t>
      </w:r>
      <w:proofErr w:type="gramEnd"/>
      <w:r w:rsidRPr="003B1256">
        <w:t xml:space="preserve"> §</w:t>
      </w:r>
      <w:r>
        <w:t xml:space="preserve"> </w:t>
      </w:r>
      <w:r w:rsidRPr="003B1256">
        <w:t>3301(a) and (b</w:t>
      </w:r>
      <w:proofErr w:type="gramStart"/>
      <w:r w:rsidRPr="003B1256">
        <w:t>),</w:t>
      </w:r>
      <w:proofErr w:type="gramEnd"/>
      <w:r w:rsidRPr="003B1256">
        <w:t xml:space="preserve"> authorize the Commission to impose a maximum civil penalty of $1,000 per day for violations of its statutes, regulations and orders.  The Commission has adopted certain standards that are to be applied in determining the amount of civil penalties when violations are admitted or determined to have occurred.  There are ten standards which the Commission first articulated in </w:t>
      </w:r>
      <w:r w:rsidRPr="003B1256">
        <w:rPr>
          <w:u w:val="single"/>
        </w:rPr>
        <w:t xml:space="preserve">Joseph A. </w:t>
      </w:r>
      <w:proofErr w:type="spellStart"/>
      <w:r w:rsidRPr="003B1256">
        <w:rPr>
          <w:u w:val="single"/>
        </w:rPr>
        <w:t>Rosi</w:t>
      </w:r>
      <w:proofErr w:type="spellEnd"/>
      <w:r w:rsidRPr="003B1256">
        <w:rPr>
          <w:u w:val="single"/>
        </w:rPr>
        <w:t xml:space="preserve"> v. Bell Atlantic-Pa., Inc. and Sprint Communica</w:t>
      </w:r>
      <w:r w:rsidRPr="003B1256">
        <w:rPr>
          <w:u w:val="single"/>
        </w:rPr>
        <w:softHyphen/>
        <w:t>tions Company</w:t>
      </w:r>
      <w:r w:rsidRPr="003B1256">
        <w:t>, Docket No. C</w:t>
      </w:r>
      <w:r w:rsidRPr="003B1256">
        <w:noBreakHyphen/>
        <w:t>00992409 (Order entered February 10, 2000) (</w:t>
      </w:r>
      <w:proofErr w:type="spellStart"/>
      <w:r w:rsidRPr="003B1256">
        <w:rPr>
          <w:u w:val="single"/>
        </w:rPr>
        <w:t>Rosi</w:t>
      </w:r>
      <w:proofErr w:type="spellEnd"/>
      <w:r w:rsidRPr="003B1256">
        <w:t>) and which are now published at 52 </w:t>
      </w:r>
      <w:proofErr w:type="spellStart"/>
      <w:r>
        <w:t>Pa.</w:t>
      </w:r>
      <w:r w:rsidRPr="003B1256">
        <w:t>Code</w:t>
      </w:r>
      <w:proofErr w:type="spellEnd"/>
      <w:r w:rsidRPr="003B1256">
        <w:t xml:space="preserve"> §</w:t>
      </w:r>
      <w:r>
        <w:t xml:space="preserve"> </w:t>
      </w:r>
      <w:r w:rsidRPr="003B1256">
        <w:t xml:space="preserve">69.1201 in the Commission’s Policy Statements and Guidelines.  </w:t>
      </w:r>
    </w:p>
    <w:p w:rsidR="007C615B" w:rsidRPr="009E13B5" w:rsidRDefault="007C615B" w:rsidP="007C615B">
      <w:pPr>
        <w:spacing w:line="360" w:lineRule="auto"/>
      </w:pPr>
    </w:p>
    <w:p w:rsidR="00E65E00" w:rsidRDefault="007C615B" w:rsidP="007C615B">
      <w:pPr>
        <w:suppressAutoHyphens/>
        <w:spacing w:line="360" w:lineRule="auto"/>
        <w:rPr>
          <w:spacing w:val="-3"/>
        </w:rPr>
      </w:pPr>
      <w:r w:rsidRPr="009E13B5">
        <w:rPr>
          <w:spacing w:val="-3"/>
        </w:rPr>
        <w:tab/>
      </w:r>
      <w:r w:rsidRPr="009E13B5">
        <w:rPr>
          <w:spacing w:val="-3"/>
        </w:rPr>
        <w:tab/>
        <w:t xml:space="preserve">The first criterion to consider is whether the violation was of a serious nature or whether it was less egregious, such as an administrative or technical error.  </w:t>
      </w:r>
      <w:r w:rsidR="00F471F9">
        <w:rPr>
          <w:spacing w:val="-3"/>
        </w:rPr>
        <w:t xml:space="preserve">Duquesne Light engaged in a pattern of conduct intended to cost more money to its customers than should have been charged.  One of the vital foci of energy law in Pennsylvania in the last two decades has been the principle </w:t>
      </w:r>
      <w:r w:rsidR="00F471F9">
        <w:rPr>
          <w:spacing w:val="-3"/>
        </w:rPr>
        <w:lastRenderedPageBreak/>
        <w:t xml:space="preserve">that the Commission (as well as the </w:t>
      </w:r>
      <w:r w:rsidR="00E65E00">
        <w:rPr>
          <w:spacing w:val="-3"/>
        </w:rPr>
        <w:t xml:space="preserve">Pennsylvania </w:t>
      </w:r>
      <w:r w:rsidR="00F471F9">
        <w:rPr>
          <w:spacing w:val="-3"/>
        </w:rPr>
        <w:t>Legislature) want to encourage customers to use less electricity and to be smarter shoppers for electric service.  The bedrock assumption has been tha</w:t>
      </w:r>
      <w:r w:rsidR="00E65E00">
        <w:rPr>
          <w:spacing w:val="-3"/>
        </w:rPr>
        <w:t>t distribution companies are up</w:t>
      </w:r>
      <w:r w:rsidR="00F471F9">
        <w:rPr>
          <w:spacing w:val="-3"/>
        </w:rPr>
        <w:t xml:space="preserve">front </w:t>
      </w:r>
      <w:r w:rsidR="00E65E00">
        <w:rPr>
          <w:spacing w:val="-3"/>
        </w:rPr>
        <w:t xml:space="preserve">in their communications </w:t>
      </w:r>
      <w:r w:rsidR="00F471F9">
        <w:rPr>
          <w:spacing w:val="-3"/>
        </w:rPr>
        <w:t>with customers, as well as applicant</w:t>
      </w:r>
      <w:r w:rsidR="00E65E00">
        <w:rPr>
          <w:spacing w:val="-3"/>
        </w:rPr>
        <w:t>s</w:t>
      </w:r>
      <w:r w:rsidR="00F471F9">
        <w:rPr>
          <w:spacing w:val="-3"/>
        </w:rPr>
        <w:t>, about available services and products which will encourage customers to use less electricity</w:t>
      </w:r>
      <w:r w:rsidR="00E65E00">
        <w:rPr>
          <w:spacing w:val="-3"/>
        </w:rPr>
        <w:t xml:space="preserve"> and save money</w:t>
      </w:r>
      <w:r w:rsidR="00F471F9">
        <w:rPr>
          <w:spacing w:val="-3"/>
        </w:rPr>
        <w:t xml:space="preserve">.  </w:t>
      </w:r>
    </w:p>
    <w:p w:rsidR="00E65E00" w:rsidRDefault="00E65E00" w:rsidP="007C615B">
      <w:pPr>
        <w:suppressAutoHyphens/>
        <w:spacing w:line="360" w:lineRule="auto"/>
        <w:rPr>
          <w:spacing w:val="-3"/>
        </w:rPr>
      </w:pPr>
    </w:p>
    <w:p w:rsidR="007C615B" w:rsidRPr="009E13B5" w:rsidRDefault="00F471F9" w:rsidP="00E65E00">
      <w:pPr>
        <w:suppressAutoHyphens/>
        <w:spacing w:line="360" w:lineRule="auto"/>
        <w:ind w:firstLine="1440"/>
        <w:rPr>
          <w:spacing w:val="-3"/>
        </w:rPr>
      </w:pPr>
      <w:r>
        <w:rPr>
          <w:spacing w:val="-3"/>
        </w:rPr>
        <w:t xml:space="preserve">The purpose of having a cheaper distribution rate available for customers who use heat pumps is in order to encourage all customers to use, or purchase if they do not currently </w:t>
      </w:r>
      <w:proofErr w:type="gramStart"/>
      <w:r>
        <w:rPr>
          <w:spacing w:val="-3"/>
        </w:rPr>
        <w:t>use,</w:t>
      </w:r>
      <w:proofErr w:type="gramEnd"/>
      <w:r>
        <w:rPr>
          <w:spacing w:val="-3"/>
        </w:rPr>
        <w:t xml:space="preserve"> heat pumps.  One of the best times and situations to make that point with customers is when an individual calls to request initial service.  Duque</w:t>
      </w:r>
      <w:r w:rsidR="00E65E00">
        <w:rPr>
          <w:spacing w:val="-3"/>
        </w:rPr>
        <w:t>sne Light refuses</w:t>
      </w:r>
      <w:r>
        <w:rPr>
          <w:spacing w:val="-3"/>
        </w:rPr>
        <w:t xml:space="preserve"> to engage in discussions with its applicants which would </w:t>
      </w:r>
      <w:r w:rsidRPr="00E65E00">
        <w:rPr>
          <w:spacing w:val="-3"/>
          <w:u w:val="single"/>
        </w:rPr>
        <w:t>advise</w:t>
      </w:r>
      <w:r>
        <w:rPr>
          <w:spacing w:val="-3"/>
        </w:rPr>
        <w:t xml:space="preserve"> applicants there are cheaper rates available, and, to compo</w:t>
      </w:r>
      <w:r w:rsidR="00E65E00">
        <w:rPr>
          <w:spacing w:val="-3"/>
        </w:rPr>
        <w:t>und the problem f</w:t>
      </w:r>
      <w:r w:rsidR="00796894">
        <w:rPr>
          <w:spacing w:val="-3"/>
        </w:rPr>
        <w:t>u</w:t>
      </w:r>
      <w:r w:rsidR="00E65E00">
        <w:rPr>
          <w:spacing w:val="-3"/>
        </w:rPr>
        <w:t>rther, refuses</w:t>
      </w:r>
      <w:r>
        <w:rPr>
          <w:spacing w:val="-3"/>
        </w:rPr>
        <w:t xml:space="preserve"> to tell its applicants that Duquesne Light was assuming </w:t>
      </w:r>
      <w:r w:rsidRPr="00F471F9">
        <w:rPr>
          <w:i/>
          <w:spacing w:val="-3"/>
        </w:rPr>
        <w:t>status quo</w:t>
      </w:r>
      <w:r>
        <w:rPr>
          <w:spacing w:val="-3"/>
        </w:rPr>
        <w:t xml:space="preserve"> between one unrelated home </w:t>
      </w:r>
      <w:proofErr w:type="gramStart"/>
      <w:r>
        <w:rPr>
          <w:spacing w:val="-3"/>
        </w:rPr>
        <w:t>owner</w:t>
      </w:r>
      <w:proofErr w:type="gramEnd"/>
      <w:r>
        <w:rPr>
          <w:spacing w:val="-3"/>
        </w:rPr>
        <w:t xml:space="preserve"> versus another home owner.  </w:t>
      </w:r>
      <w:r w:rsidR="007C615B" w:rsidRPr="009E13B5">
        <w:rPr>
          <w:spacing w:val="-3"/>
        </w:rPr>
        <w:t>Thus, I conclude this violation was serious in nature and warrants a higher penalty</w:t>
      </w:r>
      <w:r w:rsidR="00E65E00">
        <w:rPr>
          <w:spacing w:val="-3"/>
        </w:rPr>
        <w:t xml:space="preserve"> because the violation involves Complainant </w:t>
      </w:r>
      <w:r w:rsidR="00E65E00" w:rsidRPr="00E65E00">
        <w:rPr>
          <w:spacing w:val="-3"/>
          <w:u w:val="single"/>
        </w:rPr>
        <w:t>and</w:t>
      </w:r>
      <w:r w:rsidR="00E65E00">
        <w:rPr>
          <w:spacing w:val="-3"/>
        </w:rPr>
        <w:t xml:space="preserve"> all other applicants</w:t>
      </w:r>
      <w:r w:rsidR="007C615B" w:rsidRPr="009E13B5">
        <w:rPr>
          <w:spacing w:val="-3"/>
        </w:rPr>
        <w:t>.</w:t>
      </w:r>
    </w:p>
    <w:p w:rsidR="007C615B" w:rsidRPr="009E13B5" w:rsidRDefault="007C615B" w:rsidP="007C615B">
      <w:pPr>
        <w:suppressAutoHyphens/>
        <w:spacing w:line="360" w:lineRule="auto"/>
        <w:rPr>
          <w:spacing w:val="-3"/>
        </w:rPr>
      </w:pPr>
    </w:p>
    <w:p w:rsidR="007C615B" w:rsidRPr="009E13B5" w:rsidRDefault="007C615B" w:rsidP="007C615B">
      <w:pPr>
        <w:suppressAutoHyphens/>
        <w:spacing w:line="360" w:lineRule="auto"/>
        <w:rPr>
          <w:spacing w:val="-3"/>
        </w:rPr>
      </w:pPr>
      <w:r w:rsidRPr="009E13B5">
        <w:rPr>
          <w:spacing w:val="-3"/>
        </w:rPr>
        <w:tab/>
      </w:r>
      <w:r w:rsidRPr="009E13B5">
        <w:rPr>
          <w:spacing w:val="-3"/>
        </w:rPr>
        <w:tab/>
        <w:t xml:space="preserve">The second criterion is whether the resulting consequences of the conduct were of a serious nature, such as personal injury or property damage.  </w:t>
      </w:r>
      <w:r w:rsidR="00F471F9">
        <w:rPr>
          <w:spacing w:val="-3"/>
        </w:rPr>
        <w:t xml:space="preserve">There is a sizeable difference between the </w:t>
      </w:r>
      <w:proofErr w:type="gramStart"/>
      <w:r w:rsidR="00F471F9">
        <w:rPr>
          <w:spacing w:val="-3"/>
        </w:rPr>
        <w:t>rate</w:t>
      </w:r>
      <w:proofErr w:type="gramEnd"/>
      <w:r w:rsidR="00F471F9">
        <w:rPr>
          <w:spacing w:val="-3"/>
        </w:rPr>
        <w:t xml:space="preserve"> charged to Complainant versus the rate that should have been charged.  Due to the laws that limit how far back the Commission can look back, this complaint only concerns four years</w:t>
      </w:r>
      <w:r w:rsidR="00E65E00">
        <w:rPr>
          <w:spacing w:val="-3"/>
        </w:rPr>
        <w:t>’ worth</w:t>
      </w:r>
      <w:r w:rsidR="00F471F9">
        <w:rPr>
          <w:spacing w:val="-3"/>
        </w:rPr>
        <w:t xml:space="preserve"> of overcharges.  However, the reality is that Complainant has been overcharged since he purchased the house and initiated electric service in 2000.  </w:t>
      </w:r>
      <w:r w:rsidRPr="009E13B5">
        <w:rPr>
          <w:spacing w:val="-3"/>
        </w:rPr>
        <w:t xml:space="preserve">Thus, I conclude the consequences are of a serious nature and warrant a </w:t>
      </w:r>
      <w:r w:rsidR="00F471F9">
        <w:rPr>
          <w:spacing w:val="-3"/>
        </w:rPr>
        <w:t>higher</w:t>
      </w:r>
      <w:r w:rsidRPr="009E13B5">
        <w:rPr>
          <w:spacing w:val="-3"/>
        </w:rPr>
        <w:t xml:space="preserve"> penalty.</w:t>
      </w:r>
    </w:p>
    <w:p w:rsidR="007C615B" w:rsidRPr="009E13B5" w:rsidRDefault="007C615B" w:rsidP="007C615B">
      <w:pPr>
        <w:suppressAutoHyphens/>
        <w:spacing w:line="360" w:lineRule="auto"/>
        <w:rPr>
          <w:spacing w:val="-3"/>
        </w:rPr>
      </w:pPr>
    </w:p>
    <w:p w:rsidR="007C615B" w:rsidRDefault="007C615B" w:rsidP="007C615B">
      <w:pPr>
        <w:suppressAutoHyphens/>
        <w:spacing w:line="360" w:lineRule="auto"/>
        <w:rPr>
          <w:spacing w:val="-3"/>
        </w:rPr>
      </w:pPr>
      <w:r w:rsidRPr="009E13B5">
        <w:rPr>
          <w:spacing w:val="-3"/>
        </w:rPr>
        <w:tab/>
      </w:r>
      <w:r w:rsidRPr="009E13B5">
        <w:rPr>
          <w:spacing w:val="-3"/>
        </w:rPr>
        <w:tab/>
        <w:t xml:space="preserve">The third criterion is whether the conduct at issue was deemed intentional or negligent.  </w:t>
      </w:r>
      <w:r w:rsidR="00F471F9">
        <w:rPr>
          <w:spacing w:val="-3"/>
        </w:rPr>
        <w:t xml:space="preserve">Duquesne Light knows it has three separate distribution rates for residential accounts.  Duquesne Light knows it cannot tell applicants what distribution rate was used by the previous owner or tenant.  Duquesne Light knows the Commission wants customers to be encouraged to save electric usage by, </w:t>
      </w:r>
      <w:r w:rsidR="00F471F9" w:rsidRPr="00565F5B">
        <w:rPr>
          <w:i/>
          <w:spacing w:val="-3"/>
        </w:rPr>
        <w:t>inter alia</w:t>
      </w:r>
      <w:r w:rsidR="00F471F9">
        <w:rPr>
          <w:spacing w:val="-3"/>
        </w:rPr>
        <w:t>, using heat pumps</w:t>
      </w:r>
      <w:r w:rsidR="00565F5B">
        <w:rPr>
          <w:spacing w:val="-3"/>
        </w:rPr>
        <w:t xml:space="preserve"> which utilize </w:t>
      </w:r>
      <w:r w:rsidR="00E65E00">
        <w:rPr>
          <w:spacing w:val="-3"/>
        </w:rPr>
        <w:t>electricity</w:t>
      </w:r>
      <w:r w:rsidR="00565F5B">
        <w:rPr>
          <w:spacing w:val="-3"/>
        </w:rPr>
        <w:t xml:space="preserve"> more efficiently.  Knowing all these facts, Duquesne Light’s behavior can only be described as intentional.  </w:t>
      </w:r>
      <w:r w:rsidR="00F471F9" w:rsidRPr="009E13B5">
        <w:rPr>
          <w:spacing w:val="-3"/>
        </w:rPr>
        <w:t xml:space="preserve">Thus, I conclude the consequences are of a serious nature and warrant a </w:t>
      </w:r>
      <w:r w:rsidR="00F471F9">
        <w:rPr>
          <w:spacing w:val="-3"/>
        </w:rPr>
        <w:t>higher</w:t>
      </w:r>
      <w:r w:rsidR="00F471F9" w:rsidRPr="009E13B5">
        <w:rPr>
          <w:spacing w:val="-3"/>
        </w:rPr>
        <w:t xml:space="preserve"> penalty.</w:t>
      </w:r>
    </w:p>
    <w:p w:rsidR="007C615B" w:rsidRPr="009E13B5" w:rsidRDefault="007C615B" w:rsidP="007C615B">
      <w:pPr>
        <w:suppressAutoHyphens/>
        <w:spacing w:line="360" w:lineRule="auto"/>
        <w:rPr>
          <w:spacing w:val="-3"/>
        </w:rPr>
      </w:pPr>
      <w:r w:rsidRPr="009E13B5">
        <w:rPr>
          <w:spacing w:val="-3"/>
        </w:rPr>
        <w:lastRenderedPageBreak/>
        <w:tab/>
      </w:r>
      <w:r w:rsidRPr="009E13B5">
        <w:rPr>
          <w:spacing w:val="-3"/>
        </w:rPr>
        <w:tab/>
        <w:t xml:space="preserve">The fourth criterion is whether the utility made efforts to modify internal practices and procedures to address the conduct and prevent similar conduct, and the amount of time it took for the implementation of these measures.  There is no evidence </w:t>
      </w:r>
      <w:r>
        <w:rPr>
          <w:spacing w:val="-3"/>
        </w:rPr>
        <w:t>Duquesne Light</w:t>
      </w:r>
      <w:r w:rsidRPr="009E13B5">
        <w:rPr>
          <w:spacing w:val="-3"/>
        </w:rPr>
        <w:t xml:space="preserve"> recognizes its failure to provide adequate customer service here</w:t>
      </w:r>
      <w:r>
        <w:rPr>
          <w:spacing w:val="-3"/>
        </w:rPr>
        <w:t xml:space="preserve">.  It made no apparent </w:t>
      </w:r>
      <w:r w:rsidRPr="009E13B5">
        <w:rPr>
          <w:spacing w:val="-3"/>
        </w:rPr>
        <w:t xml:space="preserve">effort to modify its internal practices in order to avoid </w:t>
      </w:r>
      <w:r w:rsidR="00796894">
        <w:rPr>
          <w:spacing w:val="-3"/>
        </w:rPr>
        <w:t>causing</w:t>
      </w:r>
      <w:r>
        <w:rPr>
          <w:spacing w:val="-3"/>
        </w:rPr>
        <w:t xml:space="preserve"> a </w:t>
      </w:r>
      <w:r w:rsidRPr="009E13B5">
        <w:rPr>
          <w:spacing w:val="-3"/>
        </w:rPr>
        <w:t xml:space="preserve">similar </w:t>
      </w:r>
      <w:r>
        <w:rPr>
          <w:spacing w:val="-3"/>
        </w:rPr>
        <w:t>problem for o</w:t>
      </w:r>
      <w:r w:rsidRPr="009E13B5">
        <w:rPr>
          <w:spacing w:val="-3"/>
        </w:rPr>
        <w:t>ther ratepayers</w:t>
      </w:r>
      <w:r w:rsidR="00E65E00">
        <w:rPr>
          <w:spacing w:val="-3"/>
        </w:rPr>
        <w:t>, applicants</w:t>
      </w:r>
      <w:r w:rsidRPr="009E13B5">
        <w:rPr>
          <w:spacing w:val="-3"/>
        </w:rPr>
        <w:t xml:space="preserve"> </w:t>
      </w:r>
      <w:r>
        <w:rPr>
          <w:spacing w:val="-3"/>
        </w:rPr>
        <w:t xml:space="preserve">and Commonwealth citizens </w:t>
      </w:r>
      <w:r w:rsidRPr="009E13B5">
        <w:rPr>
          <w:spacing w:val="-3"/>
        </w:rPr>
        <w:t xml:space="preserve">in the future.  </w:t>
      </w:r>
      <w:r w:rsidR="00565F5B">
        <w:rPr>
          <w:spacing w:val="-3"/>
        </w:rPr>
        <w:t xml:space="preserve">Also, Duquesne Light made no apparent </w:t>
      </w:r>
      <w:r w:rsidR="00565F5B" w:rsidRPr="009E13B5">
        <w:rPr>
          <w:spacing w:val="-3"/>
        </w:rPr>
        <w:t xml:space="preserve">effort to modify its internal practices in order to </w:t>
      </w:r>
      <w:r w:rsidR="00565F5B">
        <w:rPr>
          <w:spacing w:val="-3"/>
        </w:rPr>
        <w:t xml:space="preserve">mitigate the overcharges which may exist on other residential accounts.  </w:t>
      </w:r>
      <w:r w:rsidRPr="009E13B5">
        <w:rPr>
          <w:spacing w:val="-3"/>
        </w:rPr>
        <w:t xml:space="preserve">Thus I conclude a higher penalty is warranted.  </w:t>
      </w:r>
    </w:p>
    <w:p w:rsidR="007C615B" w:rsidRPr="009E13B5" w:rsidRDefault="007C615B" w:rsidP="007C615B">
      <w:pPr>
        <w:suppressAutoHyphens/>
        <w:spacing w:line="360" w:lineRule="auto"/>
        <w:rPr>
          <w:spacing w:val="-3"/>
        </w:rPr>
      </w:pPr>
    </w:p>
    <w:p w:rsidR="007C615B" w:rsidRDefault="007C615B" w:rsidP="007C615B">
      <w:pPr>
        <w:suppressAutoHyphens/>
        <w:spacing w:line="360" w:lineRule="auto"/>
        <w:rPr>
          <w:spacing w:val="-3"/>
        </w:rPr>
      </w:pPr>
      <w:r w:rsidRPr="009E13B5">
        <w:rPr>
          <w:spacing w:val="-3"/>
        </w:rPr>
        <w:tab/>
      </w:r>
      <w:r w:rsidRPr="009E13B5">
        <w:rPr>
          <w:spacing w:val="-3"/>
        </w:rPr>
        <w:tab/>
        <w:t xml:space="preserve">The fifth criterion is the number of customers affected.  According to the record evidence, </w:t>
      </w:r>
      <w:r w:rsidRPr="00AE47F6">
        <w:rPr>
          <w:spacing w:val="-3"/>
          <w:u w:val="single"/>
        </w:rPr>
        <w:t>all applicants</w:t>
      </w:r>
      <w:r>
        <w:rPr>
          <w:spacing w:val="-3"/>
        </w:rPr>
        <w:t xml:space="preserve"> for electric service are</w:t>
      </w:r>
      <w:r w:rsidRPr="009E13B5">
        <w:rPr>
          <w:spacing w:val="-3"/>
        </w:rPr>
        <w:t xml:space="preserve"> impacted.  </w:t>
      </w:r>
      <w:r w:rsidR="001B0EE6">
        <w:rPr>
          <w:spacing w:val="-3"/>
        </w:rPr>
        <w:t xml:space="preserve">Duquesne Light’s witness clearly articulated that the utility’s policy and practice has been to assume its historical data (concerning the appropriate rate class) is correct when accepting applications for service from all applicants.  </w:t>
      </w:r>
      <w:r w:rsidR="00AE47F6">
        <w:rPr>
          <w:spacing w:val="-3"/>
        </w:rPr>
        <w:t>Thus I conclude a higher penalty is warranted.</w:t>
      </w:r>
      <w:r w:rsidR="001B0EE6">
        <w:rPr>
          <w:spacing w:val="-3"/>
        </w:rPr>
        <w:t xml:space="preserve">  </w:t>
      </w:r>
    </w:p>
    <w:p w:rsidR="007C615B" w:rsidRPr="009E13B5" w:rsidRDefault="007C615B" w:rsidP="007C615B">
      <w:pPr>
        <w:suppressAutoHyphens/>
        <w:spacing w:line="360" w:lineRule="auto"/>
        <w:rPr>
          <w:spacing w:val="-3"/>
        </w:rPr>
      </w:pPr>
    </w:p>
    <w:p w:rsidR="007C615B" w:rsidRPr="009E13B5" w:rsidRDefault="007C615B" w:rsidP="007C615B">
      <w:pPr>
        <w:suppressAutoHyphens/>
        <w:spacing w:line="360" w:lineRule="auto"/>
        <w:rPr>
          <w:spacing w:val="-3"/>
        </w:rPr>
      </w:pPr>
      <w:r w:rsidRPr="009E13B5">
        <w:rPr>
          <w:spacing w:val="-3"/>
        </w:rPr>
        <w:tab/>
      </w:r>
      <w:r w:rsidRPr="009E13B5">
        <w:rPr>
          <w:spacing w:val="-3"/>
        </w:rPr>
        <w:tab/>
        <w:t xml:space="preserve">The sixth criterion is a consideration of </w:t>
      </w:r>
      <w:r>
        <w:rPr>
          <w:spacing w:val="-3"/>
        </w:rPr>
        <w:t>Duquesne Light’s</w:t>
      </w:r>
      <w:r w:rsidRPr="009E13B5">
        <w:rPr>
          <w:spacing w:val="-3"/>
        </w:rPr>
        <w:t xml:space="preserve"> compliance history.  No evidence was presented that </w:t>
      </w:r>
      <w:r>
        <w:rPr>
          <w:spacing w:val="-3"/>
        </w:rPr>
        <w:t>Duquesne Light</w:t>
      </w:r>
      <w:r w:rsidRPr="009E13B5">
        <w:rPr>
          <w:spacing w:val="-3"/>
        </w:rPr>
        <w:t xml:space="preserve"> has a poor compliance record</w:t>
      </w:r>
      <w:r w:rsidR="00AE47F6">
        <w:rPr>
          <w:spacing w:val="-3"/>
        </w:rPr>
        <w:t>, except the testimony of Duquesne Light’s own witness who acknowledged Respondent’s actions with Mr. Kramer are similar to how Duquesne Light treats all other applicants</w:t>
      </w:r>
      <w:r>
        <w:rPr>
          <w:spacing w:val="-3"/>
        </w:rPr>
        <w:t xml:space="preserve">.  </w:t>
      </w:r>
      <w:r w:rsidRPr="009E13B5">
        <w:rPr>
          <w:spacing w:val="-3"/>
        </w:rPr>
        <w:t xml:space="preserve">Therefore, I conclude </w:t>
      </w:r>
      <w:r w:rsidR="00565F5B" w:rsidRPr="009E13B5">
        <w:rPr>
          <w:spacing w:val="-3"/>
        </w:rPr>
        <w:t>this criterion works to aggravate the penalty to be imposed</w:t>
      </w:r>
      <w:r w:rsidRPr="009E13B5">
        <w:rPr>
          <w:spacing w:val="-3"/>
        </w:rPr>
        <w:t>.</w:t>
      </w:r>
    </w:p>
    <w:p w:rsidR="007C615B" w:rsidRPr="009E13B5" w:rsidRDefault="007C615B" w:rsidP="007C615B">
      <w:pPr>
        <w:suppressAutoHyphens/>
        <w:spacing w:line="360" w:lineRule="auto"/>
        <w:rPr>
          <w:spacing w:val="-3"/>
        </w:rPr>
      </w:pPr>
    </w:p>
    <w:p w:rsidR="007C615B" w:rsidRPr="009E13B5" w:rsidRDefault="007C615B" w:rsidP="007C615B">
      <w:pPr>
        <w:suppressAutoHyphens/>
        <w:spacing w:line="360" w:lineRule="auto"/>
        <w:rPr>
          <w:spacing w:val="-3"/>
        </w:rPr>
      </w:pPr>
      <w:r w:rsidRPr="009E13B5">
        <w:rPr>
          <w:spacing w:val="-3"/>
        </w:rPr>
        <w:tab/>
      </w:r>
      <w:r w:rsidRPr="009E13B5">
        <w:rPr>
          <w:spacing w:val="-3"/>
        </w:rPr>
        <w:tab/>
        <w:t xml:space="preserve">The seventh criterion is whether the regulated entity cooperated with the Commission’s investigation.  There was no investigation by the Commission and therefore this criterion works neither to mitigate nor to aggravate the penalty to be imposed.  </w:t>
      </w:r>
    </w:p>
    <w:p w:rsidR="007C615B" w:rsidRPr="009E13B5" w:rsidRDefault="007C615B" w:rsidP="007C615B">
      <w:pPr>
        <w:suppressAutoHyphens/>
        <w:spacing w:line="360" w:lineRule="auto"/>
        <w:rPr>
          <w:spacing w:val="-3"/>
        </w:rPr>
      </w:pPr>
    </w:p>
    <w:p w:rsidR="007C615B" w:rsidRDefault="007C615B" w:rsidP="007C615B">
      <w:pPr>
        <w:suppressAutoHyphens/>
        <w:spacing w:line="360" w:lineRule="auto"/>
        <w:rPr>
          <w:spacing w:val="-3"/>
        </w:rPr>
      </w:pPr>
      <w:r w:rsidRPr="009E13B5">
        <w:rPr>
          <w:spacing w:val="-3"/>
        </w:rPr>
        <w:tab/>
      </w:r>
      <w:r w:rsidRPr="009E13B5">
        <w:rPr>
          <w:spacing w:val="-3"/>
        </w:rPr>
        <w:tab/>
        <w:t xml:space="preserve">  The eighth criterion is the amount of the civil penalty or fine necessary to deter future violations, with consideration of the size of the utility.  </w:t>
      </w:r>
      <w:r>
        <w:rPr>
          <w:spacing w:val="-3"/>
        </w:rPr>
        <w:t>Duquesne Light</w:t>
      </w:r>
      <w:r w:rsidRPr="009E13B5">
        <w:rPr>
          <w:spacing w:val="-3"/>
        </w:rPr>
        <w:t xml:space="preserve"> is a large utility.  In light of </w:t>
      </w:r>
      <w:r>
        <w:rPr>
          <w:spacing w:val="-3"/>
        </w:rPr>
        <w:t xml:space="preserve">Respondent’s size, the length of time Duquesne Light charged Complainant the higher rate and the amount of excess distribution charges </w:t>
      </w:r>
      <w:r w:rsidRPr="009E13B5">
        <w:rPr>
          <w:spacing w:val="-3"/>
        </w:rPr>
        <w:t xml:space="preserve">inflicted on </w:t>
      </w:r>
      <w:r>
        <w:rPr>
          <w:spacing w:val="-3"/>
        </w:rPr>
        <w:t>Complainant and paid into Duquesne Light over an extensive period of time</w:t>
      </w:r>
      <w:r w:rsidRPr="009E13B5">
        <w:rPr>
          <w:spacing w:val="-3"/>
        </w:rPr>
        <w:t xml:space="preserve">, the penalty should </w:t>
      </w:r>
      <w:r>
        <w:rPr>
          <w:spacing w:val="-3"/>
        </w:rPr>
        <w:t>be $</w:t>
      </w:r>
      <w:r w:rsidR="00565F5B">
        <w:rPr>
          <w:spacing w:val="-3"/>
        </w:rPr>
        <w:t>10,000</w:t>
      </w:r>
      <w:r w:rsidRPr="009E13B5">
        <w:rPr>
          <w:spacing w:val="-3"/>
        </w:rPr>
        <w:t>.</w:t>
      </w:r>
      <w:r>
        <w:rPr>
          <w:spacing w:val="-3"/>
        </w:rPr>
        <w:t>00.</w:t>
      </w:r>
      <w:r w:rsidRPr="009E13B5">
        <w:rPr>
          <w:spacing w:val="-3"/>
        </w:rPr>
        <w:t xml:space="preserve">  This amount </w:t>
      </w:r>
      <w:r>
        <w:rPr>
          <w:spacing w:val="-3"/>
        </w:rPr>
        <w:t>is neither</w:t>
      </w:r>
      <w:r w:rsidRPr="009E13B5">
        <w:rPr>
          <w:spacing w:val="-3"/>
        </w:rPr>
        <w:t xml:space="preserve"> excessive </w:t>
      </w:r>
      <w:r>
        <w:rPr>
          <w:spacing w:val="-3"/>
        </w:rPr>
        <w:t>n</w:t>
      </w:r>
      <w:r w:rsidRPr="009E13B5">
        <w:rPr>
          <w:spacing w:val="-3"/>
        </w:rPr>
        <w:t>or arbitrary</w:t>
      </w:r>
      <w:r>
        <w:rPr>
          <w:spacing w:val="-3"/>
        </w:rPr>
        <w:t xml:space="preserve">, given </w:t>
      </w:r>
      <w:r w:rsidR="00565F5B">
        <w:rPr>
          <w:spacing w:val="-3"/>
        </w:rPr>
        <w:t xml:space="preserve">Duquesne Light’s long-time, consistent and intentional pattern of </w:t>
      </w:r>
      <w:r w:rsidR="00565F5B">
        <w:rPr>
          <w:spacing w:val="-3"/>
        </w:rPr>
        <w:lastRenderedPageBreak/>
        <w:t>refusing to provide valid rate information to applicants</w:t>
      </w:r>
      <w:r>
        <w:rPr>
          <w:spacing w:val="-3"/>
        </w:rPr>
        <w:t xml:space="preserve">, coupled with the </w:t>
      </w:r>
      <w:r w:rsidRPr="009E13B5">
        <w:rPr>
          <w:spacing w:val="-3"/>
        </w:rPr>
        <w:t>serious consequences</w:t>
      </w:r>
      <w:r>
        <w:rPr>
          <w:spacing w:val="-3"/>
        </w:rPr>
        <w:t xml:space="preserve"> from Respondent’s blind assumptions to rely on unreliable, unsubstantiated hearsay evidence from previous landowners without any attempt to verify the accuracy of st</w:t>
      </w:r>
      <w:r w:rsidR="006A3E2D">
        <w:rPr>
          <w:spacing w:val="-3"/>
        </w:rPr>
        <w:t>atements made by</w:t>
      </w:r>
      <w:r w:rsidR="00AE47F6">
        <w:rPr>
          <w:spacing w:val="-3"/>
        </w:rPr>
        <w:t xml:space="preserve"> those</w:t>
      </w:r>
      <w:r w:rsidR="006A3E2D">
        <w:rPr>
          <w:spacing w:val="-3"/>
        </w:rPr>
        <w:t xml:space="preserve"> third parties</w:t>
      </w:r>
      <w:r w:rsidR="00AE47F6">
        <w:rPr>
          <w:spacing w:val="-3"/>
        </w:rPr>
        <w:t xml:space="preserve"> – or to notify applicants as to the assumptions it was making</w:t>
      </w:r>
      <w:r w:rsidRPr="009E13B5">
        <w:rPr>
          <w:spacing w:val="-3"/>
        </w:rPr>
        <w:t xml:space="preserve">.  </w:t>
      </w:r>
      <w:r w:rsidR="00565F5B">
        <w:rPr>
          <w:spacing w:val="-3"/>
        </w:rPr>
        <w:t>Three factors</w:t>
      </w:r>
      <w:r>
        <w:rPr>
          <w:spacing w:val="-3"/>
        </w:rPr>
        <w:t xml:space="preserve"> in particular weighed heavy in the calculation of this criterion:  </w:t>
      </w:r>
      <w:r w:rsidRPr="009E13B5">
        <w:rPr>
          <w:spacing w:val="-3"/>
        </w:rPr>
        <w:t xml:space="preserve">(1) Respondent’s </w:t>
      </w:r>
      <w:r>
        <w:rPr>
          <w:spacing w:val="-3"/>
        </w:rPr>
        <w:t xml:space="preserve">failure to </w:t>
      </w:r>
      <w:r w:rsidR="00565F5B">
        <w:rPr>
          <w:spacing w:val="-3"/>
        </w:rPr>
        <w:t>advise applicants that Duquesne Light assumed the same rate should be applied from one unrelated ratepayer of record to another</w:t>
      </w:r>
      <w:r>
        <w:rPr>
          <w:spacing w:val="-3"/>
        </w:rPr>
        <w:t>;</w:t>
      </w:r>
      <w:r w:rsidRPr="009E13B5">
        <w:rPr>
          <w:spacing w:val="-3"/>
        </w:rPr>
        <w:t xml:space="preserve"> (2) Respondent’s failure to</w:t>
      </w:r>
      <w:r>
        <w:rPr>
          <w:spacing w:val="-3"/>
        </w:rPr>
        <w:t xml:space="preserve"> </w:t>
      </w:r>
      <w:r w:rsidR="00565F5B">
        <w:rPr>
          <w:spacing w:val="-3"/>
        </w:rPr>
        <w:t xml:space="preserve">ask pertinent questions which might result in the application of a </w:t>
      </w:r>
      <w:r w:rsidR="00AE47F6">
        <w:rPr>
          <w:spacing w:val="-3"/>
        </w:rPr>
        <w:t>more appropriate</w:t>
      </w:r>
      <w:r w:rsidR="00565F5B">
        <w:rPr>
          <w:spacing w:val="-3"/>
        </w:rPr>
        <w:t xml:space="preserve"> distribution rate</w:t>
      </w:r>
      <w:r>
        <w:rPr>
          <w:spacing w:val="-3"/>
        </w:rPr>
        <w:t xml:space="preserve">; and (3) Respondent’s </w:t>
      </w:r>
      <w:r w:rsidR="00565F5B">
        <w:rPr>
          <w:spacing w:val="-3"/>
        </w:rPr>
        <w:t>failure to encourage applicants to be informed electricity shoppers who are encouraged to reduce energy consumption through the use of more energy efficient heat pumps</w:t>
      </w:r>
      <w:r>
        <w:rPr>
          <w:spacing w:val="-3"/>
        </w:rPr>
        <w:t xml:space="preserve">.  </w:t>
      </w:r>
      <w:r w:rsidRPr="009E13B5">
        <w:rPr>
          <w:spacing w:val="-3"/>
        </w:rPr>
        <w:t>Thus, in consideration of all the other relevant factors, I conclude a penalty of $</w:t>
      </w:r>
      <w:r w:rsidR="00565F5B">
        <w:rPr>
          <w:spacing w:val="-3"/>
        </w:rPr>
        <w:t>10,000</w:t>
      </w:r>
      <w:r w:rsidRPr="009E13B5">
        <w:rPr>
          <w:spacing w:val="-3"/>
        </w:rPr>
        <w:t>.00 is sufficient to deter future violations.</w:t>
      </w:r>
    </w:p>
    <w:p w:rsidR="007E7042" w:rsidRPr="009E13B5" w:rsidRDefault="007E7042" w:rsidP="007C615B">
      <w:pPr>
        <w:suppressAutoHyphens/>
        <w:spacing w:line="360" w:lineRule="auto"/>
        <w:rPr>
          <w:spacing w:val="-3"/>
        </w:rPr>
      </w:pPr>
    </w:p>
    <w:p w:rsidR="007C615B" w:rsidRPr="009E13B5" w:rsidRDefault="007C615B" w:rsidP="007C615B">
      <w:pPr>
        <w:suppressAutoHyphens/>
        <w:spacing w:line="360" w:lineRule="auto"/>
        <w:rPr>
          <w:spacing w:val="-3"/>
        </w:rPr>
      </w:pPr>
      <w:r w:rsidRPr="009E13B5">
        <w:rPr>
          <w:spacing w:val="-3"/>
        </w:rPr>
        <w:tab/>
      </w:r>
      <w:r w:rsidRPr="009E13B5">
        <w:rPr>
          <w:spacing w:val="-3"/>
        </w:rPr>
        <w:tab/>
        <w:t>The ninth criterion is past Commission decisions.  No party cited to any prior Commission decisions involving unrea</w:t>
      </w:r>
      <w:r w:rsidR="006A3E2D">
        <w:rPr>
          <w:spacing w:val="-3"/>
        </w:rPr>
        <w:t>sonable customer service when a distribution company does not verify the accuracy of distribution rates in effect durin</w:t>
      </w:r>
      <w:r w:rsidR="004D5119">
        <w:rPr>
          <w:spacing w:val="-3"/>
        </w:rPr>
        <w:t xml:space="preserve">g a prior ratepayer’s tenancy.  </w:t>
      </w:r>
      <w:r w:rsidR="00AE47F6">
        <w:rPr>
          <w:spacing w:val="-3"/>
        </w:rPr>
        <w:t>However, it should be noted Respondent actively participate</w:t>
      </w:r>
      <w:r w:rsidR="005927D3">
        <w:rPr>
          <w:spacing w:val="-3"/>
        </w:rPr>
        <w:t>d</w:t>
      </w:r>
      <w:r w:rsidR="00AE47F6">
        <w:rPr>
          <w:spacing w:val="-3"/>
        </w:rPr>
        <w:t xml:space="preserve"> in recent filings and proceedings before the Commission concerning programs meant to reduce consumption in the residential class, encourage ratepayers to save money through electricity shopping, and educate consumers about Act 129 initiatives.  </w:t>
      </w:r>
      <w:r w:rsidR="004D5119">
        <w:rPr>
          <w:spacing w:val="-3"/>
        </w:rPr>
        <w:t xml:space="preserve">This </w:t>
      </w:r>
      <w:r w:rsidR="004D5119" w:rsidRPr="009E13B5">
        <w:rPr>
          <w:spacing w:val="-3"/>
        </w:rPr>
        <w:t>criterion works to aggravate the penalty to be imposed.</w:t>
      </w:r>
    </w:p>
    <w:p w:rsidR="007C615B" w:rsidRPr="009E13B5" w:rsidRDefault="007C615B" w:rsidP="007C615B">
      <w:pPr>
        <w:suppressAutoHyphens/>
        <w:spacing w:line="360" w:lineRule="auto"/>
        <w:rPr>
          <w:spacing w:val="-3"/>
        </w:rPr>
      </w:pPr>
    </w:p>
    <w:p w:rsidR="007C615B" w:rsidRPr="009E13B5" w:rsidRDefault="007C615B" w:rsidP="007C615B">
      <w:pPr>
        <w:suppressAutoHyphens/>
        <w:spacing w:line="360" w:lineRule="auto"/>
        <w:rPr>
          <w:spacing w:val="-3"/>
        </w:rPr>
      </w:pPr>
      <w:r w:rsidRPr="009E13B5">
        <w:rPr>
          <w:spacing w:val="-3"/>
        </w:rPr>
        <w:tab/>
      </w:r>
      <w:r w:rsidRPr="009E13B5">
        <w:rPr>
          <w:spacing w:val="-3"/>
        </w:rPr>
        <w:tab/>
        <w:t>The tenth criterion is other relevant factors</w:t>
      </w:r>
      <w:r>
        <w:rPr>
          <w:spacing w:val="-3"/>
        </w:rPr>
        <w:t>.  N</w:t>
      </w:r>
      <w:r w:rsidRPr="009E13B5">
        <w:rPr>
          <w:spacing w:val="-3"/>
        </w:rPr>
        <w:t>one have been suggested or considered other than those previously discussed.</w:t>
      </w:r>
    </w:p>
    <w:p w:rsidR="007C615B" w:rsidRPr="009E13B5" w:rsidRDefault="007C615B" w:rsidP="007C615B">
      <w:pPr>
        <w:spacing w:line="360" w:lineRule="auto"/>
      </w:pPr>
    </w:p>
    <w:p w:rsidR="007C615B" w:rsidRPr="001B1713" w:rsidRDefault="007C615B" w:rsidP="007C615B">
      <w:pPr>
        <w:pStyle w:val="PlainText"/>
        <w:spacing w:line="360" w:lineRule="auto"/>
        <w:ind w:firstLine="1440"/>
        <w:rPr>
          <w:rFonts w:ascii="Times New Roman" w:hAnsi="Times New Roman" w:cs="Times New Roman"/>
          <w:sz w:val="24"/>
          <w:szCs w:val="24"/>
        </w:rPr>
      </w:pPr>
      <w:r w:rsidRPr="009E13B5">
        <w:rPr>
          <w:rFonts w:ascii="Times New Roman" w:hAnsi="Times New Roman" w:cs="Times New Roman"/>
          <w:sz w:val="24"/>
          <w:szCs w:val="24"/>
        </w:rPr>
        <w:t>In any case in which a civil penalty is assessed, these ten factors must be</w:t>
      </w:r>
      <w:r w:rsidRPr="001B1713">
        <w:rPr>
          <w:rFonts w:ascii="Times New Roman" w:hAnsi="Times New Roman" w:cs="Times New Roman"/>
          <w:sz w:val="24"/>
          <w:szCs w:val="24"/>
        </w:rPr>
        <w:t xml:space="preserve"> considered when calculating </w:t>
      </w:r>
      <w:r>
        <w:rPr>
          <w:rFonts w:ascii="Times New Roman" w:hAnsi="Times New Roman" w:cs="Times New Roman"/>
          <w:sz w:val="24"/>
          <w:szCs w:val="24"/>
        </w:rPr>
        <w:t>the amount of the penalty.  Th</w:t>
      </w:r>
      <w:r w:rsidRPr="001B1713">
        <w:rPr>
          <w:rFonts w:ascii="Times New Roman" w:hAnsi="Times New Roman" w:cs="Times New Roman"/>
          <w:sz w:val="24"/>
          <w:szCs w:val="24"/>
        </w:rPr>
        <w:t xml:space="preserve">e factors are meant to ascertain, in general, how serious was the conduct and intention of the utility, how the individual consumer was affected and how the utility’s conduct may bode </w:t>
      </w:r>
      <w:r>
        <w:rPr>
          <w:rFonts w:ascii="Times New Roman" w:hAnsi="Times New Roman" w:cs="Times New Roman"/>
          <w:sz w:val="24"/>
          <w:szCs w:val="24"/>
        </w:rPr>
        <w:t>for</w:t>
      </w:r>
      <w:r w:rsidRPr="001B1713">
        <w:rPr>
          <w:rFonts w:ascii="Times New Roman" w:hAnsi="Times New Roman" w:cs="Times New Roman"/>
          <w:sz w:val="24"/>
          <w:szCs w:val="24"/>
        </w:rPr>
        <w:t xml:space="preserve"> similar future situations.  In this proceeding, </w:t>
      </w:r>
      <w:r w:rsidR="006A3E2D">
        <w:rPr>
          <w:rFonts w:ascii="Times New Roman" w:hAnsi="Times New Roman" w:cs="Times New Roman"/>
          <w:sz w:val="24"/>
          <w:szCs w:val="24"/>
        </w:rPr>
        <w:t>Duquesne Light’s</w:t>
      </w:r>
      <w:r w:rsidRPr="001B1713">
        <w:rPr>
          <w:rFonts w:ascii="Times New Roman" w:hAnsi="Times New Roman" w:cs="Times New Roman"/>
          <w:sz w:val="24"/>
          <w:szCs w:val="24"/>
        </w:rPr>
        <w:t xml:space="preserve"> actions</w:t>
      </w:r>
      <w:r>
        <w:rPr>
          <w:rFonts w:ascii="Times New Roman" w:hAnsi="Times New Roman" w:cs="Times New Roman"/>
          <w:sz w:val="24"/>
          <w:szCs w:val="24"/>
        </w:rPr>
        <w:t xml:space="preserve"> – to </w:t>
      </w:r>
      <w:r w:rsidR="006A3E2D">
        <w:rPr>
          <w:rFonts w:ascii="Times New Roman" w:hAnsi="Times New Roman" w:cs="Times New Roman"/>
          <w:sz w:val="24"/>
          <w:szCs w:val="24"/>
        </w:rPr>
        <w:t>charge Complainant the higher RH distribution rate upon initiating electric service without first inquiring and verifying the accuracy of the information provided by a previous owner</w:t>
      </w:r>
      <w:r>
        <w:rPr>
          <w:rFonts w:ascii="Times New Roman" w:hAnsi="Times New Roman" w:cs="Times New Roman"/>
          <w:sz w:val="24"/>
          <w:szCs w:val="24"/>
        </w:rPr>
        <w:t xml:space="preserve"> –</w:t>
      </w:r>
      <w:r w:rsidRPr="001B1713">
        <w:rPr>
          <w:rFonts w:ascii="Times New Roman" w:hAnsi="Times New Roman" w:cs="Times New Roman"/>
          <w:sz w:val="24"/>
          <w:szCs w:val="24"/>
        </w:rPr>
        <w:t xml:space="preserve"> were serious and warrant a higher penalty.  </w:t>
      </w:r>
      <w:r w:rsidR="006A3E2D">
        <w:rPr>
          <w:rFonts w:ascii="Times New Roman" w:hAnsi="Times New Roman" w:cs="Times New Roman"/>
          <w:sz w:val="24"/>
          <w:szCs w:val="24"/>
        </w:rPr>
        <w:t>Duquesne Light</w:t>
      </w:r>
      <w:r w:rsidRPr="001B1713">
        <w:rPr>
          <w:rFonts w:ascii="Times New Roman" w:hAnsi="Times New Roman" w:cs="Times New Roman"/>
          <w:sz w:val="24"/>
          <w:szCs w:val="24"/>
        </w:rPr>
        <w:t xml:space="preserve"> </w:t>
      </w:r>
      <w:r>
        <w:rPr>
          <w:rFonts w:ascii="Times New Roman" w:hAnsi="Times New Roman" w:cs="Times New Roman"/>
          <w:sz w:val="24"/>
          <w:szCs w:val="24"/>
        </w:rPr>
        <w:t xml:space="preserve">caused </w:t>
      </w:r>
      <w:r w:rsidR="006A3E2D">
        <w:rPr>
          <w:rFonts w:ascii="Times New Roman" w:hAnsi="Times New Roman" w:cs="Times New Roman"/>
          <w:sz w:val="24"/>
          <w:szCs w:val="24"/>
        </w:rPr>
        <w:t xml:space="preserve">Complainant to pay significantly higher distribution rates over the years </w:t>
      </w:r>
      <w:r w:rsidR="006A3E2D">
        <w:rPr>
          <w:rFonts w:ascii="Times New Roman" w:hAnsi="Times New Roman" w:cs="Times New Roman"/>
          <w:sz w:val="24"/>
          <w:szCs w:val="24"/>
        </w:rPr>
        <w:lastRenderedPageBreak/>
        <w:t>since he first bought the service address and initiated electric service</w:t>
      </w:r>
      <w:r w:rsidR="00AE47F6">
        <w:rPr>
          <w:rFonts w:ascii="Times New Roman" w:hAnsi="Times New Roman" w:cs="Times New Roman"/>
          <w:sz w:val="24"/>
          <w:szCs w:val="24"/>
        </w:rPr>
        <w:t>.  Furthermore, Duquesne Light clearly has treated all other applicants similarly.</w:t>
      </w:r>
    </w:p>
    <w:p w:rsidR="007C615B" w:rsidRPr="001B1713" w:rsidRDefault="007C615B" w:rsidP="007C615B">
      <w:pPr>
        <w:pStyle w:val="PlainText"/>
        <w:spacing w:line="360" w:lineRule="auto"/>
        <w:rPr>
          <w:rFonts w:ascii="Times New Roman" w:hAnsi="Times New Roman" w:cs="Times New Roman"/>
          <w:sz w:val="24"/>
          <w:szCs w:val="24"/>
        </w:rPr>
      </w:pPr>
    </w:p>
    <w:p w:rsidR="007C615B" w:rsidRDefault="007C615B" w:rsidP="007C615B">
      <w:pPr>
        <w:pStyle w:val="PlainText"/>
        <w:spacing w:line="360" w:lineRule="auto"/>
        <w:ind w:firstLine="1440"/>
        <w:rPr>
          <w:rFonts w:ascii="Times New Roman" w:hAnsi="Times New Roman" w:cs="Times New Roman"/>
          <w:sz w:val="24"/>
          <w:szCs w:val="24"/>
        </w:rPr>
      </w:pPr>
      <w:r>
        <w:rPr>
          <w:rFonts w:ascii="Times New Roman" w:hAnsi="Times New Roman" w:cs="Times New Roman"/>
          <w:sz w:val="24"/>
          <w:szCs w:val="24"/>
        </w:rPr>
        <w:t>A</w:t>
      </w:r>
      <w:r w:rsidRPr="001B1713">
        <w:rPr>
          <w:rFonts w:ascii="Times New Roman" w:hAnsi="Times New Roman" w:cs="Times New Roman"/>
          <w:sz w:val="24"/>
          <w:szCs w:val="24"/>
        </w:rPr>
        <w:t xml:space="preserve"> civil penalty is necessary to deter similar future violations, especially in light of the serious consequences </w:t>
      </w:r>
      <w:r>
        <w:rPr>
          <w:rFonts w:ascii="Times New Roman" w:hAnsi="Times New Roman" w:cs="Times New Roman"/>
          <w:sz w:val="24"/>
          <w:szCs w:val="24"/>
        </w:rPr>
        <w:t xml:space="preserve">caused by </w:t>
      </w:r>
      <w:r w:rsidR="006A3E2D">
        <w:rPr>
          <w:rFonts w:ascii="Times New Roman" w:hAnsi="Times New Roman" w:cs="Times New Roman"/>
          <w:sz w:val="24"/>
          <w:szCs w:val="24"/>
        </w:rPr>
        <w:t xml:space="preserve">Duquesne Light’s use of this “ostrich head in the sand” approach to assume that facts present for one ratepayer would continue to hold true, </w:t>
      </w:r>
      <w:r w:rsidR="006A3E2D" w:rsidRPr="006A3E2D">
        <w:rPr>
          <w:rFonts w:ascii="Times New Roman" w:hAnsi="Times New Roman" w:cs="Times New Roman"/>
          <w:i/>
          <w:sz w:val="24"/>
          <w:szCs w:val="24"/>
        </w:rPr>
        <w:t>de rig</w:t>
      </w:r>
      <w:r w:rsidR="006A3E2D">
        <w:rPr>
          <w:rFonts w:ascii="Times New Roman" w:hAnsi="Times New Roman" w:cs="Times New Roman"/>
          <w:i/>
          <w:sz w:val="24"/>
          <w:szCs w:val="24"/>
        </w:rPr>
        <w:t>ueur</w:t>
      </w:r>
      <w:r w:rsidR="006A3E2D">
        <w:rPr>
          <w:rFonts w:ascii="Times New Roman" w:hAnsi="Times New Roman" w:cs="Times New Roman"/>
          <w:sz w:val="24"/>
          <w:szCs w:val="24"/>
        </w:rPr>
        <w:t xml:space="preserve">, for all future ratepayers.  </w:t>
      </w:r>
      <w:r w:rsidRPr="001B1713">
        <w:rPr>
          <w:rFonts w:ascii="Times New Roman" w:hAnsi="Times New Roman" w:cs="Times New Roman"/>
          <w:sz w:val="24"/>
          <w:szCs w:val="24"/>
        </w:rPr>
        <w:t xml:space="preserve">The evidence presented and taken as a whole proves a civil penalty is necessary to deter future violations.  Therefore, I am assessing a </w:t>
      </w:r>
      <w:r w:rsidR="00565F5B">
        <w:rPr>
          <w:rFonts w:ascii="Times New Roman" w:hAnsi="Times New Roman" w:cs="Times New Roman"/>
          <w:sz w:val="24"/>
          <w:szCs w:val="24"/>
        </w:rPr>
        <w:t>Ten Thousand</w:t>
      </w:r>
      <w:r>
        <w:rPr>
          <w:rFonts w:ascii="Times New Roman" w:hAnsi="Times New Roman" w:cs="Times New Roman"/>
          <w:sz w:val="24"/>
          <w:szCs w:val="24"/>
        </w:rPr>
        <w:t xml:space="preserve"> D</w:t>
      </w:r>
      <w:r w:rsidRPr="001B1713">
        <w:rPr>
          <w:rFonts w:ascii="Times New Roman" w:hAnsi="Times New Roman" w:cs="Times New Roman"/>
          <w:sz w:val="24"/>
          <w:szCs w:val="24"/>
        </w:rPr>
        <w:t>ollar</w:t>
      </w:r>
      <w:r>
        <w:rPr>
          <w:rFonts w:ascii="Times New Roman" w:hAnsi="Times New Roman" w:cs="Times New Roman"/>
          <w:sz w:val="24"/>
          <w:szCs w:val="24"/>
        </w:rPr>
        <w:t>s</w:t>
      </w:r>
      <w:r w:rsidRPr="001B1713">
        <w:rPr>
          <w:rFonts w:ascii="Times New Roman" w:hAnsi="Times New Roman" w:cs="Times New Roman"/>
          <w:sz w:val="24"/>
          <w:szCs w:val="24"/>
        </w:rPr>
        <w:t xml:space="preserve"> ($</w:t>
      </w:r>
      <w:r w:rsidR="00565F5B">
        <w:rPr>
          <w:rFonts w:ascii="Times New Roman" w:hAnsi="Times New Roman" w:cs="Times New Roman"/>
          <w:sz w:val="24"/>
          <w:szCs w:val="24"/>
        </w:rPr>
        <w:t>10,000</w:t>
      </w:r>
      <w:r>
        <w:rPr>
          <w:rFonts w:ascii="Times New Roman" w:hAnsi="Times New Roman" w:cs="Times New Roman"/>
          <w:sz w:val="24"/>
          <w:szCs w:val="24"/>
        </w:rPr>
        <w:t>.00</w:t>
      </w:r>
      <w:r w:rsidRPr="001B1713">
        <w:rPr>
          <w:rFonts w:ascii="Times New Roman" w:hAnsi="Times New Roman" w:cs="Times New Roman"/>
          <w:sz w:val="24"/>
          <w:szCs w:val="24"/>
        </w:rPr>
        <w:t>) civil penalty against Respondent</w:t>
      </w:r>
      <w:r>
        <w:rPr>
          <w:rFonts w:ascii="Times New Roman" w:hAnsi="Times New Roman" w:cs="Times New Roman"/>
          <w:sz w:val="24"/>
          <w:szCs w:val="24"/>
        </w:rPr>
        <w:t xml:space="preserve">.  This penalty </w:t>
      </w:r>
      <w:r w:rsidRPr="001B1713">
        <w:rPr>
          <w:rFonts w:ascii="Times New Roman" w:hAnsi="Times New Roman" w:cs="Times New Roman"/>
          <w:sz w:val="24"/>
          <w:szCs w:val="24"/>
        </w:rPr>
        <w:t xml:space="preserve">takes into consideration Respondent’s </w:t>
      </w:r>
      <w:r>
        <w:rPr>
          <w:rFonts w:ascii="Times New Roman" w:hAnsi="Times New Roman" w:cs="Times New Roman"/>
          <w:sz w:val="24"/>
          <w:szCs w:val="24"/>
        </w:rPr>
        <w:t>failure</w:t>
      </w:r>
      <w:r w:rsidRPr="001B1713">
        <w:rPr>
          <w:rFonts w:ascii="Times New Roman" w:hAnsi="Times New Roman" w:cs="Times New Roman"/>
          <w:sz w:val="24"/>
          <w:szCs w:val="24"/>
        </w:rPr>
        <w:t xml:space="preserve"> to</w:t>
      </w:r>
      <w:r>
        <w:rPr>
          <w:rFonts w:ascii="Times New Roman" w:hAnsi="Times New Roman" w:cs="Times New Roman"/>
          <w:sz w:val="24"/>
          <w:szCs w:val="24"/>
        </w:rPr>
        <w:t xml:space="preserve"> correct the error, acknowledge its responsibility to correct the error, and its failure to verify the accuracy of the information received from </w:t>
      </w:r>
      <w:r w:rsidR="006A3E2D">
        <w:rPr>
          <w:rFonts w:ascii="Times New Roman" w:hAnsi="Times New Roman" w:cs="Times New Roman"/>
          <w:sz w:val="24"/>
          <w:szCs w:val="24"/>
        </w:rPr>
        <w:t>previous ratepayers</w:t>
      </w:r>
      <w:r w:rsidR="00565F5B">
        <w:rPr>
          <w:rFonts w:ascii="Times New Roman" w:hAnsi="Times New Roman" w:cs="Times New Roman"/>
          <w:sz w:val="24"/>
          <w:szCs w:val="24"/>
        </w:rPr>
        <w:t xml:space="preserve"> when initiating electric service with a new applicant</w:t>
      </w:r>
      <w:r>
        <w:rPr>
          <w:rFonts w:ascii="Times New Roman" w:hAnsi="Times New Roman" w:cs="Times New Roman"/>
          <w:sz w:val="24"/>
          <w:szCs w:val="24"/>
        </w:rPr>
        <w:t xml:space="preserve">.  </w:t>
      </w:r>
      <w:r w:rsidRPr="001B1713">
        <w:rPr>
          <w:rFonts w:ascii="Times New Roman" w:hAnsi="Times New Roman" w:cs="Times New Roman"/>
          <w:sz w:val="24"/>
          <w:szCs w:val="24"/>
        </w:rPr>
        <w:t xml:space="preserve">     </w:t>
      </w:r>
    </w:p>
    <w:p w:rsidR="005D16F0" w:rsidRPr="001B1713" w:rsidRDefault="005D16F0" w:rsidP="007C615B">
      <w:pPr>
        <w:pStyle w:val="PlainText"/>
        <w:spacing w:line="360" w:lineRule="auto"/>
        <w:ind w:firstLine="1440"/>
        <w:rPr>
          <w:rFonts w:ascii="Times New Roman" w:hAnsi="Times New Roman" w:cs="Times New Roman"/>
          <w:sz w:val="24"/>
          <w:szCs w:val="24"/>
        </w:rPr>
      </w:pPr>
    </w:p>
    <w:p w:rsidR="007C615B" w:rsidRPr="006E0E7F" w:rsidRDefault="007C615B" w:rsidP="007C615B">
      <w:pPr>
        <w:pStyle w:val="BodyText"/>
        <w:ind w:firstLine="1440"/>
        <w:jc w:val="left"/>
        <w:rPr>
          <w:sz w:val="24"/>
          <w:szCs w:val="24"/>
        </w:rPr>
      </w:pPr>
      <w:r w:rsidRPr="006E0E7F">
        <w:rPr>
          <w:sz w:val="24"/>
          <w:szCs w:val="24"/>
        </w:rPr>
        <w:t>Accordingly the complaint is sustained in the ordering paragraphs below</w:t>
      </w:r>
      <w:r>
        <w:rPr>
          <w:sz w:val="24"/>
          <w:szCs w:val="24"/>
        </w:rPr>
        <w:t xml:space="preserve"> and Respondent is ordered to pay a civil penalty</w:t>
      </w:r>
      <w:r w:rsidRPr="006E0E7F">
        <w:rPr>
          <w:sz w:val="24"/>
          <w:szCs w:val="24"/>
        </w:rPr>
        <w:t xml:space="preserve">. </w:t>
      </w:r>
    </w:p>
    <w:p w:rsidR="007C615B" w:rsidRDefault="007C615B" w:rsidP="007C615B">
      <w:pPr>
        <w:spacing w:line="360" w:lineRule="auto"/>
        <w:rPr>
          <w:u w:val="single"/>
        </w:rPr>
      </w:pPr>
    </w:p>
    <w:p w:rsidR="007E48E1" w:rsidRPr="008B455C" w:rsidRDefault="007E48E1" w:rsidP="00DC090B">
      <w:pPr>
        <w:pStyle w:val="BodyText"/>
        <w:jc w:val="center"/>
        <w:rPr>
          <w:u w:val="single"/>
        </w:rPr>
      </w:pPr>
      <w:r w:rsidRPr="008B455C">
        <w:rPr>
          <w:u w:val="single"/>
        </w:rPr>
        <w:t>CONCLUSIONS OF LAW</w:t>
      </w:r>
    </w:p>
    <w:p w:rsidR="007E48E1" w:rsidRPr="008B455C" w:rsidRDefault="007E48E1" w:rsidP="007E48E1">
      <w:pPr>
        <w:spacing w:line="360" w:lineRule="auto"/>
        <w:ind w:firstLine="1440"/>
      </w:pPr>
    </w:p>
    <w:p w:rsidR="007E48E1" w:rsidRPr="008B455C" w:rsidRDefault="007E48E1" w:rsidP="007E48E1">
      <w:pPr>
        <w:numPr>
          <w:ilvl w:val="0"/>
          <w:numId w:val="1"/>
        </w:numPr>
        <w:tabs>
          <w:tab w:val="clear" w:pos="900"/>
          <w:tab w:val="num" w:pos="2160"/>
        </w:tabs>
        <w:spacing w:line="360" w:lineRule="auto"/>
        <w:ind w:left="0" w:firstLine="1440"/>
      </w:pPr>
      <w:r w:rsidRPr="008B455C">
        <w:t xml:space="preserve">The Commission has jurisdiction over the parties and the subject matter of this proceeding.  66 </w:t>
      </w:r>
      <w:proofErr w:type="spellStart"/>
      <w:r w:rsidRPr="008B455C">
        <w:t>Pa.C.S.</w:t>
      </w:r>
      <w:r w:rsidR="000163DD">
        <w:t>A</w:t>
      </w:r>
      <w:proofErr w:type="spellEnd"/>
      <w:r w:rsidRPr="008B455C">
        <w:t xml:space="preserve"> §</w:t>
      </w:r>
      <w:r w:rsidR="00E561DC">
        <w:t xml:space="preserve"> </w:t>
      </w:r>
      <w:r w:rsidRPr="008B455C">
        <w:t>701.</w:t>
      </w:r>
    </w:p>
    <w:p w:rsidR="007E48E1" w:rsidRPr="008B455C" w:rsidRDefault="007E48E1" w:rsidP="007E48E1">
      <w:pPr>
        <w:tabs>
          <w:tab w:val="num" w:pos="2160"/>
        </w:tabs>
        <w:spacing w:line="360" w:lineRule="auto"/>
        <w:ind w:firstLine="1260"/>
      </w:pPr>
    </w:p>
    <w:p w:rsidR="007E48E1" w:rsidRPr="008B455C" w:rsidRDefault="007E48E1" w:rsidP="007E48E1">
      <w:pPr>
        <w:spacing w:line="360" w:lineRule="auto"/>
      </w:pPr>
      <w:r w:rsidRPr="008B455C">
        <w:tab/>
      </w:r>
      <w:r w:rsidRPr="008B455C">
        <w:tab/>
        <w:t>2.</w:t>
      </w:r>
      <w:r w:rsidRPr="008B455C">
        <w:tab/>
      </w:r>
      <w:r>
        <w:t>Complainant</w:t>
      </w:r>
      <w:r w:rsidRPr="008B455C">
        <w:t xml:space="preserve"> carr</w:t>
      </w:r>
      <w:r>
        <w:t>ies</w:t>
      </w:r>
      <w:r w:rsidRPr="008B455C">
        <w:t xml:space="preserve"> the burden of proving Respondent</w:t>
      </w:r>
      <w:r>
        <w:t xml:space="preserve"> did not provide reasonable and adequate service</w:t>
      </w:r>
      <w:r w:rsidRPr="008B455C">
        <w:t xml:space="preserve">.  66 </w:t>
      </w:r>
      <w:proofErr w:type="spellStart"/>
      <w:r w:rsidRPr="008B455C">
        <w:t>Pa.C.S.A</w:t>
      </w:r>
      <w:proofErr w:type="spellEnd"/>
      <w:r w:rsidRPr="008B455C">
        <w:t>. §</w:t>
      </w:r>
      <w:r w:rsidR="00E561DC">
        <w:t xml:space="preserve"> </w:t>
      </w:r>
      <w:r w:rsidRPr="008B455C">
        <w:t>332(a).</w:t>
      </w:r>
    </w:p>
    <w:p w:rsidR="007E48E1" w:rsidRPr="008B455C" w:rsidRDefault="007E48E1" w:rsidP="007E48E1">
      <w:pPr>
        <w:spacing w:line="360" w:lineRule="auto"/>
      </w:pPr>
    </w:p>
    <w:p w:rsidR="007E48E1" w:rsidRPr="00FA00AD" w:rsidRDefault="007E48E1" w:rsidP="007E48E1">
      <w:pPr>
        <w:pStyle w:val="FootnoteText"/>
        <w:spacing w:line="360" w:lineRule="auto"/>
        <w:rPr>
          <w:sz w:val="24"/>
          <w:szCs w:val="24"/>
        </w:rPr>
      </w:pPr>
      <w:r w:rsidRPr="008B455C">
        <w:rPr>
          <w:sz w:val="24"/>
          <w:szCs w:val="24"/>
        </w:rPr>
        <w:tab/>
      </w:r>
      <w:r w:rsidRPr="008B455C">
        <w:rPr>
          <w:sz w:val="24"/>
          <w:szCs w:val="24"/>
        </w:rPr>
        <w:tab/>
        <w:t>3.</w:t>
      </w:r>
      <w:r w:rsidRPr="008B455C">
        <w:rPr>
          <w:sz w:val="24"/>
          <w:szCs w:val="24"/>
        </w:rPr>
        <w:tab/>
      </w:r>
      <w:r>
        <w:rPr>
          <w:sz w:val="24"/>
          <w:szCs w:val="24"/>
        </w:rPr>
        <w:t xml:space="preserve">Respondent </w:t>
      </w:r>
      <w:r w:rsidR="00C70EDB">
        <w:rPr>
          <w:sz w:val="24"/>
          <w:szCs w:val="24"/>
        </w:rPr>
        <w:t xml:space="preserve">failed to </w:t>
      </w:r>
      <w:r>
        <w:rPr>
          <w:sz w:val="24"/>
          <w:szCs w:val="24"/>
        </w:rPr>
        <w:t xml:space="preserve">provide Complainant with reasonable and adequate customer service </w:t>
      </w:r>
      <w:r w:rsidR="00C70EDB">
        <w:rPr>
          <w:sz w:val="24"/>
          <w:szCs w:val="24"/>
        </w:rPr>
        <w:t xml:space="preserve">when Respondent charged Complainant a higher distribution rate when initiating electric service </w:t>
      </w:r>
      <w:r w:rsidR="004D5119">
        <w:rPr>
          <w:sz w:val="24"/>
          <w:szCs w:val="24"/>
        </w:rPr>
        <w:t>without verifying the accuracy of the service address’s historical rate data</w:t>
      </w:r>
      <w:r w:rsidRPr="008B455C">
        <w:rPr>
          <w:sz w:val="24"/>
          <w:szCs w:val="24"/>
        </w:rPr>
        <w:t xml:space="preserve">.  </w:t>
      </w:r>
      <w:r w:rsidR="00FA00AD" w:rsidRPr="00FA00AD">
        <w:rPr>
          <w:sz w:val="24"/>
          <w:szCs w:val="24"/>
        </w:rPr>
        <w:t xml:space="preserve">66 </w:t>
      </w:r>
      <w:proofErr w:type="spellStart"/>
      <w:r w:rsidR="00FA00AD" w:rsidRPr="00FA00AD">
        <w:rPr>
          <w:sz w:val="24"/>
          <w:szCs w:val="24"/>
        </w:rPr>
        <w:t>Pa.C.S.A</w:t>
      </w:r>
      <w:proofErr w:type="spellEnd"/>
      <w:r w:rsidR="00FA00AD" w:rsidRPr="00FA00AD">
        <w:rPr>
          <w:sz w:val="24"/>
          <w:szCs w:val="24"/>
        </w:rPr>
        <w:t xml:space="preserve">. § </w:t>
      </w:r>
      <w:r w:rsidR="00FA00AD">
        <w:rPr>
          <w:sz w:val="24"/>
          <w:szCs w:val="24"/>
        </w:rPr>
        <w:t>1501</w:t>
      </w:r>
      <w:r w:rsidR="00FA00AD" w:rsidRPr="00FA00AD">
        <w:rPr>
          <w:sz w:val="24"/>
          <w:szCs w:val="24"/>
        </w:rPr>
        <w:t>.</w:t>
      </w:r>
    </w:p>
    <w:p w:rsidR="0066793C" w:rsidRPr="008B455C" w:rsidRDefault="0066793C" w:rsidP="007E48E1">
      <w:pPr>
        <w:pStyle w:val="FootnoteText"/>
        <w:spacing w:line="360" w:lineRule="auto"/>
        <w:rPr>
          <w:sz w:val="24"/>
          <w:szCs w:val="24"/>
        </w:rPr>
      </w:pPr>
    </w:p>
    <w:p w:rsidR="007E48E1" w:rsidRDefault="007E48E1" w:rsidP="007E48E1">
      <w:pPr>
        <w:spacing w:line="360" w:lineRule="auto"/>
      </w:pPr>
      <w:r w:rsidRPr="008B455C">
        <w:tab/>
      </w:r>
      <w:r w:rsidRPr="008B455C">
        <w:tab/>
        <w:t>4.</w:t>
      </w:r>
      <w:r w:rsidRPr="008B455C">
        <w:tab/>
      </w:r>
      <w:r w:rsidR="00C70EDB">
        <w:t xml:space="preserve">Respondent failed to provide Complainant with reasonable and adequate customer service when Respondent charged the residential heat distribution rate instead of the </w:t>
      </w:r>
      <w:r w:rsidR="00C70EDB">
        <w:lastRenderedPageBreak/>
        <w:t xml:space="preserve">residential add-on heat distribution rate when Complainant had an operational add-on heat pump at the time Complainant initiated electric service at the service address.  </w:t>
      </w:r>
      <w:proofErr w:type="gramStart"/>
      <w:r w:rsidR="00C70EDB">
        <w:t xml:space="preserve">66 </w:t>
      </w:r>
      <w:proofErr w:type="spellStart"/>
      <w:r w:rsidR="00C70EDB">
        <w:t>Pa.C.S.A</w:t>
      </w:r>
      <w:proofErr w:type="spellEnd"/>
      <w:r w:rsidR="00C70EDB">
        <w:t>.</w:t>
      </w:r>
      <w:proofErr w:type="gramEnd"/>
      <w:r w:rsidR="00C70EDB">
        <w:t xml:space="preserve"> § 1501.</w:t>
      </w:r>
    </w:p>
    <w:p w:rsidR="004D5119" w:rsidRDefault="004D5119" w:rsidP="007E48E1">
      <w:pPr>
        <w:spacing w:line="360" w:lineRule="auto"/>
      </w:pPr>
    </w:p>
    <w:p w:rsidR="004D5119" w:rsidRDefault="004D5119" w:rsidP="007E48E1">
      <w:pPr>
        <w:spacing w:line="360" w:lineRule="auto"/>
      </w:pPr>
      <w:r>
        <w:tab/>
      </w:r>
      <w:r>
        <w:tab/>
        <w:t xml:space="preserve">5. </w:t>
      </w:r>
      <w:r>
        <w:tab/>
        <w:t>Respondent failed to compute its billing statements to Complainant under the rate most adva</w:t>
      </w:r>
      <w:r w:rsidR="00AB155F">
        <w:t>ntageous to Complainant knowing it had more than one rate applicable to the service rendered</w:t>
      </w:r>
      <w:r>
        <w:t xml:space="preserve">.  </w:t>
      </w:r>
      <w:proofErr w:type="gramStart"/>
      <w:r>
        <w:t xml:space="preserve">66 </w:t>
      </w:r>
      <w:proofErr w:type="spellStart"/>
      <w:r>
        <w:t>Pa.C.S.A</w:t>
      </w:r>
      <w:proofErr w:type="spellEnd"/>
      <w:r>
        <w:t>.</w:t>
      </w:r>
      <w:proofErr w:type="gramEnd"/>
      <w:r>
        <w:t xml:space="preserve"> § 1303. </w:t>
      </w:r>
    </w:p>
    <w:p w:rsidR="009F6EB0" w:rsidRDefault="009F6EB0" w:rsidP="009F6EB0">
      <w:pPr>
        <w:spacing w:line="360" w:lineRule="auto"/>
        <w:rPr>
          <w:u w:val="single"/>
        </w:rPr>
      </w:pPr>
    </w:p>
    <w:p w:rsidR="007E48E1" w:rsidRPr="008B455C" w:rsidRDefault="007E48E1" w:rsidP="009F6EB0">
      <w:pPr>
        <w:jc w:val="center"/>
        <w:rPr>
          <w:u w:val="single"/>
        </w:rPr>
      </w:pPr>
      <w:r w:rsidRPr="008B455C">
        <w:rPr>
          <w:u w:val="single"/>
        </w:rPr>
        <w:t>ORDER</w:t>
      </w:r>
    </w:p>
    <w:p w:rsidR="007E48E1" w:rsidRDefault="007E48E1" w:rsidP="007E48E1">
      <w:pPr>
        <w:tabs>
          <w:tab w:val="num" w:pos="2160"/>
        </w:tabs>
        <w:spacing w:line="360" w:lineRule="auto"/>
        <w:jc w:val="center"/>
        <w:rPr>
          <w:u w:val="single"/>
        </w:rPr>
      </w:pPr>
    </w:p>
    <w:p w:rsidR="004A7777" w:rsidRPr="008B455C" w:rsidRDefault="004A7777" w:rsidP="007E48E1">
      <w:pPr>
        <w:tabs>
          <w:tab w:val="num" w:pos="2160"/>
        </w:tabs>
        <w:spacing w:line="360" w:lineRule="auto"/>
        <w:jc w:val="center"/>
        <w:rPr>
          <w:u w:val="single"/>
        </w:rPr>
      </w:pPr>
    </w:p>
    <w:p w:rsidR="007E48E1" w:rsidRPr="008B455C" w:rsidRDefault="007E48E1" w:rsidP="007E48E1">
      <w:pPr>
        <w:tabs>
          <w:tab w:val="num" w:pos="2160"/>
        </w:tabs>
        <w:spacing w:line="360" w:lineRule="auto"/>
        <w:ind w:firstLine="1440"/>
      </w:pPr>
      <w:r w:rsidRPr="008B455C">
        <w:t xml:space="preserve">THEREFORE, </w:t>
      </w:r>
    </w:p>
    <w:p w:rsidR="007E48E1" w:rsidRPr="008B455C" w:rsidRDefault="007E48E1" w:rsidP="007E48E1">
      <w:pPr>
        <w:tabs>
          <w:tab w:val="num" w:pos="2160"/>
        </w:tabs>
        <w:spacing w:line="360" w:lineRule="auto"/>
      </w:pPr>
    </w:p>
    <w:p w:rsidR="007E48E1" w:rsidRPr="008B455C" w:rsidRDefault="007E48E1" w:rsidP="007E48E1">
      <w:pPr>
        <w:tabs>
          <w:tab w:val="num" w:pos="2160"/>
        </w:tabs>
        <w:spacing w:line="360" w:lineRule="auto"/>
        <w:ind w:firstLine="1440"/>
      </w:pPr>
      <w:r w:rsidRPr="008B455C">
        <w:t>IT IS ORDERED:</w:t>
      </w:r>
    </w:p>
    <w:p w:rsidR="007E48E1" w:rsidRPr="008B455C" w:rsidRDefault="007E48E1" w:rsidP="007E48E1">
      <w:pPr>
        <w:tabs>
          <w:tab w:val="num" w:pos="2160"/>
        </w:tabs>
        <w:spacing w:line="360" w:lineRule="auto"/>
        <w:rPr>
          <w:b/>
        </w:rPr>
      </w:pPr>
    </w:p>
    <w:p w:rsidR="007E48E1" w:rsidRDefault="007E48E1" w:rsidP="00DE391B">
      <w:pPr>
        <w:pStyle w:val="ListParagraph"/>
        <w:numPr>
          <w:ilvl w:val="0"/>
          <w:numId w:val="8"/>
        </w:numPr>
        <w:tabs>
          <w:tab w:val="num" w:pos="2160"/>
        </w:tabs>
        <w:spacing w:line="360" w:lineRule="auto"/>
        <w:ind w:left="0" w:firstLine="1440"/>
      </w:pPr>
      <w:r w:rsidRPr="008B455C">
        <w:t xml:space="preserve">That the complaint </w:t>
      </w:r>
      <w:r w:rsidRPr="002F64FF">
        <w:t xml:space="preserve">of </w:t>
      </w:r>
      <w:r w:rsidR="000163DD">
        <w:t xml:space="preserve">Robert </w:t>
      </w:r>
      <w:r w:rsidR="00E3697B">
        <w:t xml:space="preserve">J. Kramer </w:t>
      </w:r>
      <w:r w:rsidRPr="002F64FF">
        <w:t xml:space="preserve">versus </w:t>
      </w:r>
      <w:r w:rsidR="00E3697B">
        <w:t xml:space="preserve">Duquesne Light </w:t>
      </w:r>
      <w:r w:rsidRPr="002F64FF">
        <w:t>Company</w:t>
      </w:r>
      <w:r w:rsidRPr="00055267">
        <w:t xml:space="preserve"> </w:t>
      </w:r>
      <w:r w:rsidRPr="008B455C">
        <w:t xml:space="preserve">at </w:t>
      </w:r>
      <w:r>
        <w:t xml:space="preserve">Docket No. </w:t>
      </w:r>
      <w:r w:rsidR="00E3697B">
        <w:t>F</w:t>
      </w:r>
      <w:r w:rsidRPr="008B455C">
        <w:noBreakHyphen/>
      </w:r>
      <w:r w:rsidR="000163DD">
        <w:t>201</w:t>
      </w:r>
      <w:r w:rsidR="00E3697B">
        <w:t>5</w:t>
      </w:r>
      <w:r w:rsidR="000163DD">
        <w:t>-24</w:t>
      </w:r>
      <w:r w:rsidR="00E3697B">
        <w:t>99181</w:t>
      </w:r>
      <w:r w:rsidRPr="008B455C">
        <w:t xml:space="preserve"> </w:t>
      </w:r>
      <w:r w:rsidR="007C51D9">
        <w:t xml:space="preserve">is </w:t>
      </w:r>
      <w:r w:rsidRPr="00EA1625">
        <w:t>hereby</w:t>
      </w:r>
      <w:r>
        <w:t xml:space="preserve"> </w:t>
      </w:r>
      <w:r w:rsidR="00C70EDB">
        <w:t>sustained</w:t>
      </w:r>
      <w:r w:rsidRPr="008B455C">
        <w:t>.</w:t>
      </w:r>
    </w:p>
    <w:p w:rsidR="005927D3" w:rsidRDefault="005927D3" w:rsidP="005927D3">
      <w:pPr>
        <w:pStyle w:val="ListParagraph"/>
        <w:spacing w:line="360" w:lineRule="auto"/>
        <w:ind w:left="1440"/>
      </w:pPr>
    </w:p>
    <w:p w:rsidR="002D328B" w:rsidRDefault="002D328B" w:rsidP="002D328B">
      <w:pPr>
        <w:pStyle w:val="ListParagraph"/>
        <w:tabs>
          <w:tab w:val="num" w:pos="0"/>
        </w:tabs>
        <w:spacing w:line="360" w:lineRule="auto"/>
        <w:ind w:left="0" w:firstLine="1440"/>
      </w:pPr>
      <w:r>
        <w:t xml:space="preserve">2. </w:t>
      </w:r>
      <w:r>
        <w:tab/>
        <w:t xml:space="preserve">That Duquesne Light Company is </w:t>
      </w:r>
      <w:r w:rsidRPr="000E4D0E">
        <w:t xml:space="preserve">hereby assessed the penalty of </w:t>
      </w:r>
      <w:r w:rsidR="00565F5B">
        <w:t xml:space="preserve">Ten Thousand </w:t>
      </w:r>
      <w:r w:rsidRPr="000E4D0E">
        <w:t>Dollars ($</w:t>
      </w:r>
      <w:r w:rsidR="00565F5B">
        <w:t>10,000</w:t>
      </w:r>
      <w:r>
        <w:t>.00</w:t>
      </w:r>
      <w:r w:rsidRPr="000E4D0E">
        <w:t>) because Respondent failed to provide reasonable and adequate customer service in how it</w:t>
      </w:r>
      <w:r>
        <w:t xml:space="preserve"> </w:t>
      </w:r>
      <w:r w:rsidR="00CC6833">
        <w:t>initiated electric service</w:t>
      </w:r>
      <w:r w:rsidR="004D5119">
        <w:t>, failed to verify</w:t>
      </w:r>
      <w:r>
        <w:t xml:space="preserve"> the </w:t>
      </w:r>
      <w:r w:rsidR="00CC6833">
        <w:t xml:space="preserve">accuracy of </w:t>
      </w:r>
      <w:r w:rsidR="004D5119">
        <w:t>historical data supplied by</w:t>
      </w:r>
      <w:r w:rsidR="00CC6833">
        <w:t xml:space="preserve"> prior ratepayers at the </w:t>
      </w:r>
      <w:r>
        <w:t>service address</w:t>
      </w:r>
      <w:r w:rsidR="00CC6833">
        <w:t xml:space="preserve"> when initiating electric service in Complainant’s name</w:t>
      </w:r>
      <w:r w:rsidR="004D5119">
        <w:t xml:space="preserve">, and </w:t>
      </w:r>
      <w:r w:rsidR="00AB155F">
        <w:t>for failing to compute bills under the rate most advantageous to Complainant knowing it had more than one applicable rate</w:t>
      </w:r>
      <w:r w:rsidRPr="000E4D0E">
        <w:t xml:space="preserve">. </w:t>
      </w:r>
    </w:p>
    <w:p w:rsidR="00C70EDB" w:rsidRDefault="00C70EDB" w:rsidP="00C70EDB">
      <w:pPr>
        <w:pStyle w:val="ListParagraph"/>
        <w:spacing w:line="360" w:lineRule="auto"/>
        <w:ind w:left="1440"/>
      </w:pPr>
    </w:p>
    <w:p w:rsidR="00C70EDB" w:rsidRDefault="00CC6833" w:rsidP="00C70EDB">
      <w:pPr>
        <w:pStyle w:val="ListParagraph"/>
        <w:spacing w:line="360" w:lineRule="auto"/>
        <w:ind w:left="0" w:firstLine="1440"/>
      </w:pPr>
      <w:r>
        <w:t>3</w:t>
      </w:r>
      <w:r w:rsidR="00C70EDB">
        <w:t xml:space="preserve">. </w:t>
      </w:r>
      <w:r w:rsidR="00C70EDB">
        <w:tab/>
        <w:t xml:space="preserve">That, within </w:t>
      </w:r>
      <w:r w:rsidR="00AB155F">
        <w:t>sixty (60)</w:t>
      </w:r>
      <w:r w:rsidR="00C70EDB">
        <w:t xml:space="preserve"> days from the date of the Final Order in this proceeding, Duquesne Light </w:t>
      </w:r>
      <w:r>
        <w:t xml:space="preserve">Company </w:t>
      </w:r>
      <w:r w:rsidR="00C70EDB">
        <w:t xml:space="preserve">shall determine the </w:t>
      </w:r>
      <w:r w:rsidR="00AC54A7">
        <w:t>applicable Residential Add-On Heat Pump distribution rates which would have been charged to Complainant from December 2010 through November 2014.</w:t>
      </w:r>
    </w:p>
    <w:p w:rsidR="00AC54A7" w:rsidRDefault="00AC54A7" w:rsidP="00C70EDB">
      <w:pPr>
        <w:pStyle w:val="ListParagraph"/>
        <w:spacing w:line="360" w:lineRule="auto"/>
        <w:ind w:left="0" w:firstLine="1440"/>
      </w:pPr>
    </w:p>
    <w:p w:rsidR="00AC54A7" w:rsidRDefault="00CC6833" w:rsidP="00C70EDB">
      <w:pPr>
        <w:pStyle w:val="ListParagraph"/>
        <w:spacing w:line="360" w:lineRule="auto"/>
        <w:ind w:left="0" w:firstLine="1440"/>
      </w:pPr>
      <w:r>
        <w:t>4</w:t>
      </w:r>
      <w:r w:rsidR="00AC54A7">
        <w:t xml:space="preserve">. </w:t>
      </w:r>
      <w:r w:rsidR="00AC54A7">
        <w:tab/>
        <w:t xml:space="preserve">That, within </w:t>
      </w:r>
      <w:r w:rsidR="00AB155F">
        <w:t xml:space="preserve">sixty (60) </w:t>
      </w:r>
      <w:r w:rsidR="00AC54A7">
        <w:t xml:space="preserve">days from the date of the Final Order in this proceeding, Duquesne Light </w:t>
      </w:r>
      <w:r>
        <w:t xml:space="preserve">Company </w:t>
      </w:r>
      <w:r w:rsidR="00AB155F">
        <w:t>shall credit to C</w:t>
      </w:r>
      <w:r w:rsidR="00AC54A7">
        <w:t xml:space="preserve">omplainant’s electric service account the </w:t>
      </w:r>
      <w:r w:rsidR="00AC54A7">
        <w:lastRenderedPageBreak/>
        <w:t>difference between the Residential Heating distribution rate which Complainant was charged from December 2010 through November 2014, and the Residential Add-On Hea</w:t>
      </w:r>
      <w:r w:rsidR="00AE47F6">
        <w:t>t Pump distribution rate which sh</w:t>
      </w:r>
      <w:r w:rsidR="00AC54A7">
        <w:t xml:space="preserve">ould have been charged to Complainant’s electric service account during the same time period.  </w:t>
      </w:r>
    </w:p>
    <w:p w:rsidR="00AC54A7" w:rsidRDefault="00AC54A7" w:rsidP="00C70EDB">
      <w:pPr>
        <w:pStyle w:val="ListParagraph"/>
        <w:spacing w:line="360" w:lineRule="auto"/>
        <w:ind w:left="0" w:firstLine="1440"/>
      </w:pPr>
    </w:p>
    <w:p w:rsidR="00AC54A7" w:rsidRDefault="00CC6833" w:rsidP="00CE4DCB">
      <w:pPr>
        <w:pStyle w:val="ListParagraph"/>
        <w:spacing w:line="360" w:lineRule="auto"/>
        <w:ind w:left="0" w:firstLine="1440"/>
      </w:pPr>
      <w:r>
        <w:t>5</w:t>
      </w:r>
      <w:r w:rsidR="00AC54A7">
        <w:t xml:space="preserve">. </w:t>
      </w:r>
      <w:r w:rsidR="00AC54A7">
        <w:tab/>
        <w:t xml:space="preserve">That, within </w:t>
      </w:r>
      <w:r w:rsidR="00AB155F">
        <w:t xml:space="preserve">sixty (60) </w:t>
      </w:r>
      <w:r w:rsidR="00AC54A7">
        <w:t xml:space="preserve">days from the date of the Final Order in this proceeding, Duquesne Light </w:t>
      </w:r>
      <w:r>
        <w:t xml:space="preserve">Company </w:t>
      </w:r>
      <w:r w:rsidR="00AC54A7">
        <w:t xml:space="preserve">will submit a report to the Commission’s Bureau of Technical Utility Services outlining the amount to be reimbursed and credited to Complainant’s electric service account.  </w:t>
      </w:r>
    </w:p>
    <w:p w:rsidR="00CE4DCB" w:rsidRDefault="00CE4DCB" w:rsidP="00CE4DCB">
      <w:pPr>
        <w:spacing w:line="360" w:lineRule="auto"/>
      </w:pPr>
    </w:p>
    <w:p w:rsidR="00CE4DCB" w:rsidRDefault="00CE4DCB" w:rsidP="00CE4DCB">
      <w:pPr>
        <w:spacing w:line="360" w:lineRule="auto"/>
      </w:pPr>
      <w:r>
        <w:tab/>
      </w:r>
      <w:r w:rsidR="003209FF">
        <w:tab/>
      </w:r>
      <w:r w:rsidR="00CC6833">
        <w:t>6</w:t>
      </w:r>
      <w:r>
        <w:t>.</w:t>
      </w:r>
      <w:r>
        <w:tab/>
        <w:t xml:space="preserve">That Duquesne Light Company shall pay a civil penalty in the amount of </w:t>
      </w:r>
    </w:p>
    <w:p w:rsidR="00CE4DCB" w:rsidRDefault="00CE4DCB" w:rsidP="00CE4DCB">
      <w:pPr>
        <w:spacing w:line="360" w:lineRule="auto"/>
      </w:pPr>
      <w:r>
        <w:t>$</w:t>
      </w:r>
      <w:r w:rsidR="00565F5B">
        <w:t xml:space="preserve">10,000.00 </w:t>
      </w:r>
      <w:r>
        <w:t xml:space="preserve">for the violations of the Public Utility Code by sending a certified check or money order </w:t>
      </w:r>
      <w:r w:rsidR="00AE47F6">
        <w:t xml:space="preserve">made </w:t>
      </w:r>
      <w:r>
        <w:t>payable to the Commonwealth of Pennsylvania, within thirty (30) days from the entry of the Final Commission Order to:</w:t>
      </w:r>
    </w:p>
    <w:p w:rsidR="00F94D3A" w:rsidRDefault="00F94D3A" w:rsidP="00F94D3A"/>
    <w:p w:rsidR="00CE4DCB" w:rsidRDefault="00CE4DCB" w:rsidP="00CE4DCB">
      <w:pPr>
        <w:ind w:left="2160" w:firstLine="720"/>
      </w:pPr>
      <w:r>
        <w:t>Secretary</w:t>
      </w:r>
    </w:p>
    <w:p w:rsidR="00CE4DCB" w:rsidRDefault="00CE4DCB" w:rsidP="00CE4DCB">
      <w:pPr>
        <w:ind w:left="2160" w:firstLine="720"/>
      </w:pPr>
      <w:r>
        <w:t>Pennsylvania Public Utility Commission</w:t>
      </w:r>
    </w:p>
    <w:p w:rsidR="00CE4DCB" w:rsidRDefault="00CE4DCB" w:rsidP="00CE4DCB">
      <w:pPr>
        <w:ind w:left="2160" w:firstLine="720"/>
      </w:pPr>
      <w:r>
        <w:t>P.O. Box 3265</w:t>
      </w:r>
    </w:p>
    <w:p w:rsidR="00CE4DCB" w:rsidRDefault="00CE4DCB" w:rsidP="00CE4DCB">
      <w:pPr>
        <w:ind w:left="2160" w:firstLine="720"/>
      </w:pPr>
      <w:r>
        <w:t>Harrisburg, PA  17105-3265</w:t>
      </w:r>
    </w:p>
    <w:p w:rsidR="00F94D3A" w:rsidRDefault="00F94D3A" w:rsidP="00CE4DCB">
      <w:pPr>
        <w:ind w:left="2160" w:firstLine="720"/>
      </w:pPr>
    </w:p>
    <w:p w:rsidR="00F94D3A" w:rsidRDefault="00F94D3A" w:rsidP="00CE4DCB">
      <w:pPr>
        <w:ind w:left="2160" w:firstLine="720"/>
      </w:pPr>
    </w:p>
    <w:p w:rsidR="00CE4DCB" w:rsidRDefault="00CE4DCB" w:rsidP="00CE4DCB">
      <w:pPr>
        <w:spacing w:line="360" w:lineRule="auto"/>
      </w:pPr>
      <w:r>
        <w:tab/>
      </w:r>
      <w:r w:rsidR="003209FF">
        <w:tab/>
      </w:r>
      <w:r w:rsidR="00CC6833">
        <w:t>7</w:t>
      </w:r>
      <w:r>
        <w:t>.</w:t>
      </w:r>
      <w:r>
        <w:tab/>
        <w:t>That Duquesne Light Company shall cease and desist from further violations of Section</w:t>
      </w:r>
      <w:r w:rsidR="00AB155F">
        <w:t>s</w:t>
      </w:r>
      <w:r>
        <w:t xml:space="preserve"> </w:t>
      </w:r>
      <w:r w:rsidR="00AB155F">
        <w:t xml:space="preserve">1303 and </w:t>
      </w:r>
      <w:r>
        <w:t>1501 of the Public Utility Code.</w:t>
      </w:r>
    </w:p>
    <w:p w:rsidR="00AB155F" w:rsidRDefault="00AB155F" w:rsidP="00CE4DCB">
      <w:pPr>
        <w:spacing w:line="360" w:lineRule="auto"/>
      </w:pPr>
    </w:p>
    <w:p w:rsidR="00AB155F" w:rsidRDefault="00AB155F" w:rsidP="00CE4DCB">
      <w:pPr>
        <w:spacing w:line="360" w:lineRule="auto"/>
      </w:pPr>
      <w:r>
        <w:tab/>
      </w:r>
      <w:r>
        <w:tab/>
        <w:t xml:space="preserve">8. </w:t>
      </w:r>
      <w:r>
        <w:tab/>
        <w:t xml:space="preserve">That the Secretary’s Bureau shall provide a copy of this Initial Decision to the Commission’s Bureau of Investigation and Enforcement. </w:t>
      </w:r>
    </w:p>
    <w:p w:rsidR="00CE4DCB" w:rsidRDefault="00CE4DCB" w:rsidP="00CE4DCB">
      <w:pPr>
        <w:spacing w:line="360" w:lineRule="auto"/>
      </w:pPr>
    </w:p>
    <w:p w:rsidR="00DE391B" w:rsidRPr="00DE391B" w:rsidRDefault="003209FF" w:rsidP="003209FF">
      <w:pPr>
        <w:spacing w:line="360" w:lineRule="auto"/>
        <w:rPr>
          <w:spacing w:val="-3"/>
        </w:rPr>
      </w:pPr>
      <w:r>
        <w:tab/>
      </w:r>
      <w:r>
        <w:tab/>
      </w:r>
      <w:r w:rsidR="00AB155F">
        <w:t>9</w:t>
      </w:r>
      <w:r>
        <w:t xml:space="preserve">. </w:t>
      </w:r>
      <w:r>
        <w:tab/>
        <w:t xml:space="preserve">That </w:t>
      </w:r>
      <w:r w:rsidR="00DE391B" w:rsidRPr="00DE391B">
        <w:rPr>
          <w:spacing w:val="-3"/>
        </w:rPr>
        <w:t>this docket be marked closed and discontinued.</w:t>
      </w:r>
    </w:p>
    <w:p w:rsidR="00DE391B" w:rsidRDefault="00DE391B" w:rsidP="00CE4DCB">
      <w:pPr>
        <w:tabs>
          <w:tab w:val="num" w:pos="2160"/>
        </w:tabs>
        <w:spacing w:line="360" w:lineRule="auto"/>
        <w:ind w:firstLine="1440"/>
      </w:pPr>
    </w:p>
    <w:p w:rsidR="007E48E1" w:rsidRPr="008B455C" w:rsidRDefault="007E48E1" w:rsidP="00CE4DCB">
      <w:pPr>
        <w:tabs>
          <w:tab w:val="num" w:pos="2160"/>
        </w:tabs>
        <w:spacing w:line="360" w:lineRule="auto"/>
      </w:pPr>
      <w:r>
        <w:tab/>
      </w:r>
    </w:p>
    <w:p w:rsidR="007E48E1" w:rsidRPr="008B455C" w:rsidRDefault="007E48E1" w:rsidP="007E48E1">
      <w:pPr>
        <w:tabs>
          <w:tab w:val="num" w:pos="2160"/>
        </w:tabs>
        <w:spacing w:line="360" w:lineRule="auto"/>
        <w:ind w:firstLine="1440"/>
      </w:pPr>
      <w:r w:rsidRPr="008B455C">
        <w:tab/>
        <w:t xml:space="preserve"> </w:t>
      </w:r>
    </w:p>
    <w:p w:rsidR="00D614B8" w:rsidRDefault="00B86EF4" w:rsidP="00D614B8">
      <w:r>
        <w:t xml:space="preserve"> </w:t>
      </w:r>
      <w:r w:rsidR="00FE5CE7">
        <w:t xml:space="preserve">Date:  </w:t>
      </w:r>
      <w:r w:rsidR="00AE47F6" w:rsidRPr="00AE47F6">
        <w:rPr>
          <w:u w:val="single"/>
        </w:rPr>
        <w:t xml:space="preserve">March </w:t>
      </w:r>
      <w:r w:rsidR="00D06EA7">
        <w:rPr>
          <w:u w:val="single"/>
        </w:rPr>
        <w:t>3</w:t>
      </w:r>
      <w:r w:rsidR="00854D84" w:rsidRPr="00AE47F6">
        <w:rPr>
          <w:u w:val="single"/>
        </w:rPr>
        <w:t>,</w:t>
      </w:r>
      <w:r w:rsidR="00854D84">
        <w:rPr>
          <w:u w:val="single"/>
        </w:rPr>
        <w:t xml:space="preserve"> 2016</w:t>
      </w:r>
      <w:r w:rsidR="00C04092">
        <w:tab/>
      </w:r>
      <w:r w:rsidR="00C04092">
        <w:tab/>
      </w:r>
      <w:r w:rsidR="00C04092">
        <w:tab/>
      </w:r>
      <w:r w:rsidR="00C04092">
        <w:tab/>
      </w:r>
      <w:r w:rsidR="00AE47F6">
        <w:tab/>
      </w:r>
      <w:r w:rsidR="00C04092">
        <w:rPr>
          <w:u w:val="single"/>
        </w:rPr>
        <w:tab/>
      </w:r>
      <w:r w:rsidR="00C04092">
        <w:rPr>
          <w:u w:val="single"/>
        </w:rPr>
        <w:tab/>
        <w:t>/s/</w:t>
      </w:r>
      <w:r w:rsidR="00C04092">
        <w:rPr>
          <w:u w:val="single"/>
        </w:rPr>
        <w:tab/>
      </w:r>
      <w:r w:rsidR="00C04092">
        <w:rPr>
          <w:u w:val="single"/>
        </w:rPr>
        <w:tab/>
      </w:r>
      <w:r w:rsidR="00C04092">
        <w:rPr>
          <w:u w:val="single"/>
        </w:rPr>
        <w:tab/>
      </w:r>
      <w:r w:rsidR="00D614B8">
        <w:rPr>
          <w:u w:val="single"/>
        </w:rPr>
        <w:tab/>
      </w:r>
    </w:p>
    <w:p w:rsidR="007E48E1" w:rsidRPr="008B455C" w:rsidRDefault="007E48E1" w:rsidP="007E48E1">
      <w:pPr>
        <w:tabs>
          <w:tab w:val="num" w:pos="2160"/>
        </w:tabs>
      </w:pPr>
      <w:r w:rsidRPr="008B455C">
        <w:tab/>
      </w:r>
      <w:r w:rsidRPr="008B455C">
        <w:tab/>
      </w:r>
      <w:r w:rsidRPr="008B455C">
        <w:tab/>
      </w:r>
      <w:r w:rsidRPr="008B455C">
        <w:tab/>
      </w:r>
      <w:r w:rsidR="001D78CA">
        <w:tab/>
      </w:r>
      <w:r w:rsidRPr="008B455C">
        <w:t>Katrina L. Dunderdale</w:t>
      </w:r>
    </w:p>
    <w:p w:rsidR="009A4572" w:rsidRPr="008B455C" w:rsidRDefault="007E48E1" w:rsidP="00EA12C1">
      <w:pPr>
        <w:tabs>
          <w:tab w:val="num" w:pos="2160"/>
        </w:tabs>
      </w:pPr>
      <w:r w:rsidRPr="008B455C">
        <w:tab/>
      </w:r>
      <w:r w:rsidRPr="008B455C">
        <w:tab/>
      </w:r>
      <w:r w:rsidRPr="008B455C">
        <w:tab/>
      </w:r>
      <w:r w:rsidRPr="008B455C">
        <w:tab/>
      </w:r>
      <w:r w:rsidR="001D78CA">
        <w:tab/>
      </w:r>
      <w:r w:rsidR="009A4572">
        <w:t>Administrative Law Judge</w:t>
      </w:r>
    </w:p>
    <w:sectPr w:rsidR="009A4572" w:rsidRPr="008B455C" w:rsidSect="00E3691B">
      <w:footerReference w:type="even" r:id="rId9"/>
      <w:footerReference w:type="default" r:id="rId10"/>
      <w:pgSz w:w="12240" w:h="15840" w:code="1"/>
      <w:pgMar w:top="1440" w:right="1440" w:bottom="1440" w:left="1440" w:header="720" w:footer="720" w:gutter="0"/>
      <w:paperSrc w:first="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428" w:rsidRDefault="00C85428">
      <w:r>
        <w:separator/>
      </w:r>
    </w:p>
  </w:endnote>
  <w:endnote w:type="continuationSeparator" w:id="0">
    <w:p w:rsidR="00C85428" w:rsidRDefault="00C8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Default="00E52929" w:rsidP="008E4FD6">
    <w:pPr>
      <w:pStyle w:val="Footer"/>
      <w:framePr w:wrap="around" w:vAnchor="text" w:hAnchor="margin" w:xAlign="center" w:y="1"/>
      <w:rPr>
        <w:rStyle w:val="PageNumber"/>
      </w:rPr>
    </w:pPr>
    <w:r>
      <w:rPr>
        <w:rStyle w:val="PageNumber"/>
      </w:rPr>
      <w:fldChar w:fldCharType="begin"/>
    </w:r>
    <w:r w:rsidR="00F30562">
      <w:rPr>
        <w:rStyle w:val="PageNumber"/>
      </w:rPr>
      <w:instrText xml:space="preserve">PAGE  </w:instrText>
    </w:r>
    <w:r>
      <w:rPr>
        <w:rStyle w:val="PageNumber"/>
      </w:rPr>
      <w:fldChar w:fldCharType="end"/>
    </w:r>
  </w:p>
  <w:p w:rsidR="00F30562" w:rsidRDefault="00F30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Pr="0014242F" w:rsidRDefault="00E52929"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F30562" w:rsidRPr="0014242F">
      <w:rPr>
        <w:rStyle w:val="PageNumber"/>
        <w:sz w:val="20"/>
        <w:szCs w:val="20"/>
      </w:rPr>
      <w:instrText xml:space="preserve">PAGE  </w:instrText>
    </w:r>
    <w:r w:rsidRPr="0014242F">
      <w:rPr>
        <w:rStyle w:val="PageNumber"/>
        <w:sz w:val="20"/>
        <w:szCs w:val="20"/>
      </w:rPr>
      <w:fldChar w:fldCharType="separate"/>
    </w:r>
    <w:r w:rsidR="004A1314">
      <w:rPr>
        <w:rStyle w:val="PageNumber"/>
        <w:noProof/>
        <w:sz w:val="20"/>
        <w:szCs w:val="20"/>
      </w:rPr>
      <w:t>14</w:t>
    </w:r>
    <w:r w:rsidRPr="0014242F">
      <w:rPr>
        <w:rStyle w:val="PageNumber"/>
        <w:sz w:val="20"/>
        <w:szCs w:val="20"/>
      </w:rPr>
      <w:fldChar w:fldCharType="end"/>
    </w:r>
  </w:p>
  <w:p w:rsidR="00F30562" w:rsidRDefault="00F30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428" w:rsidRDefault="00C85428">
      <w:r>
        <w:separator/>
      </w:r>
    </w:p>
  </w:footnote>
  <w:footnote w:type="continuationSeparator" w:id="0">
    <w:p w:rsidR="00C85428" w:rsidRDefault="00C85428">
      <w:r>
        <w:continuationSeparator/>
      </w:r>
    </w:p>
  </w:footnote>
  <w:footnote w:id="1">
    <w:p w:rsidR="00890670" w:rsidRDefault="00890670">
      <w:pPr>
        <w:pStyle w:val="FootnoteText"/>
      </w:pPr>
      <w:r>
        <w:rPr>
          <w:rStyle w:val="FootnoteReference"/>
        </w:rPr>
        <w:footnoteRef/>
      </w:r>
      <w:r>
        <w:t xml:space="preserve"> </w:t>
      </w:r>
      <w:r>
        <w:tab/>
        <w:t xml:space="preserve">Originally, Complainant requested reimbursement back to the date he bought the service address.  </w:t>
      </w:r>
      <w:proofErr w:type="gramStart"/>
      <w:r>
        <w:t xml:space="preserve">Pursuant to </w:t>
      </w:r>
      <w:r w:rsidR="00DD053A">
        <w:t xml:space="preserve">66 </w:t>
      </w:r>
      <w:proofErr w:type="spellStart"/>
      <w:r w:rsidR="00DD053A">
        <w:t>Pa.C.S.A</w:t>
      </w:r>
      <w:proofErr w:type="spellEnd"/>
      <w:r w:rsidR="00DD053A">
        <w:t>.</w:t>
      </w:r>
      <w:proofErr w:type="gramEnd"/>
      <w:r>
        <w:t xml:space="preserve"> § </w:t>
      </w:r>
      <w:r w:rsidR="00DD053A">
        <w:t>1312(a)</w:t>
      </w:r>
      <w:r>
        <w:t>, Complainant altered his request to reflect he wanted reimbursement back four years from when he first contacted Respondent to request reimbursement</w:t>
      </w:r>
      <w:r w:rsidR="000B3867">
        <w:t xml:space="preserve"> in December 2014</w:t>
      </w:r>
      <w:r>
        <w:t xml:space="preserve">.  </w:t>
      </w:r>
      <w:proofErr w:type="gramStart"/>
      <w:r w:rsidR="00DD053A">
        <w:t>Tr. 19.</w:t>
      </w:r>
      <w:proofErr w:type="gramEnd"/>
    </w:p>
  </w:footnote>
  <w:footnote w:id="2">
    <w:p w:rsidR="00126B45" w:rsidRDefault="00126B45" w:rsidP="00A0397A">
      <w:pPr>
        <w:pStyle w:val="FootnoteText"/>
      </w:pPr>
      <w:r w:rsidRPr="00A41132">
        <w:rPr>
          <w:rStyle w:val="FootnoteReference"/>
        </w:rPr>
        <w:footnoteRef/>
      </w:r>
      <w:r w:rsidRPr="00A41132">
        <w:t xml:space="preserve"> </w:t>
      </w:r>
      <w:r w:rsidRPr="00A41132">
        <w:tab/>
      </w:r>
      <w:proofErr w:type="gramStart"/>
      <w:r w:rsidRPr="00A41132">
        <w:rPr>
          <w:u w:val="single"/>
        </w:rPr>
        <w:t>Patterson v. Bell Telephone Co. of Pa.</w:t>
      </w:r>
      <w:r>
        <w:t>, 72 Pa. P</w:t>
      </w:r>
      <w:r w:rsidRPr="00A41132">
        <w:t xml:space="preserve">UC 196 (1990); </w:t>
      </w:r>
      <w:r w:rsidRPr="00A41132">
        <w:rPr>
          <w:u w:val="single"/>
        </w:rPr>
        <w:t>Feinstein v. Philadelphia Suburban Water Co.</w:t>
      </w:r>
      <w:r w:rsidRPr="00A41132">
        <w:t>, 50 Pa. PUC 300 (1976).</w:t>
      </w:r>
      <w:proofErr w:type="gramEnd"/>
      <w:r w:rsidRPr="00A41132">
        <w:t xml:space="preserve">  </w:t>
      </w:r>
    </w:p>
    <w:p w:rsidR="00B30601" w:rsidRPr="00A41132" w:rsidRDefault="00B30601" w:rsidP="00A0397A">
      <w:pPr>
        <w:pStyle w:val="FootnoteText"/>
      </w:pPr>
    </w:p>
  </w:footnote>
  <w:footnote w:id="3">
    <w:p w:rsidR="00126B45" w:rsidRPr="00A41132" w:rsidRDefault="00126B45" w:rsidP="00A0397A">
      <w:pPr>
        <w:pStyle w:val="FootnoteText"/>
      </w:pPr>
      <w:r w:rsidRPr="00A41132">
        <w:rPr>
          <w:rStyle w:val="FootnoteReference"/>
        </w:rPr>
        <w:footnoteRef/>
      </w:r>
      <w:r w:rsidRPr="00A41132">
        <w:t xml:space="preserve"> </w:t>
      </w:r>
      <w:r w:rsidRPr="00A41132">
        <w:tab/>
      </w:r>
      <w:proofErr w:type="gramStart"/>
      <w:r w:rsidRPr="00A41132">
        <w:rPr>
          <w:u w:val="single"/>
        </w:rPr>
        <w:t xml:space="preserve">Samuel J. </w:t>
      </w:r>
      <w:proofErr w:type="spellStart"/>
      <w:r w:rsidRPr="00A41132">
        <w:rPr>
          <w:u w:val="single"/>
        </w:rPr>
        <w:t>Lansberry</w:t>
      </w:r>
      <w:proofErr w:type="spellEnd"/>
      <w:r w:rsidRPr="00A41132">
        <w:rPr>
          <w:u w:val="single"/>
        </w:rPr>
        <w:t>, Inc. v. Pa. Pub</w:t>
      </w:r>
      <w:r>
        <w:rPr>
          <w:u w:val="single"/>
        </w:rPr>
        <w:t>.</w:t>
      </w:r>
      <w:proofErr w:type="gramEnd"/>
      <w:r>
        <w:rPr>
          <w:u w:val="single"/>
        </w:rPr>
        <w:t xml:space="preserve"> </w:t>
      </w:r>
      <w:proofErr w:type="gramStart"/>
      <w:r w:rsidRPr="00A41132">
        <w:rPr>
          <w:u w:val="single"/>
        </w:rPr>
        <w:t>Util</w:t>
      </w:r>
      <w:r>
        <w:rPr>
          <w:u w:val="single"/>
        </w:rPr>
        <w:t xml:space="preserve">. </w:t>
      </w:r>
      <w:proofErr w:type="spellStart"/>
      <w:r w:rsidRPr="00A41132">
        <w:rPr>
          <w:u w:val="single"/>
        </w:rPr>
        <w:t>Comm</w:t>
      </w:r>
      <w:r>
        <w:rPr>
          <w:u w:val="single"/>
        </w:rPr>
        <w:t>’n</w:t>
      </w:r>
      <w:proofErr w:type="spellEnd"/>
      <w:r w:rsidRPr="00A41132">
        <w:t>, 578 A.2d 600 (</w:t>
      </w:r>
      <w:proofErr w:type="spellStart"/>
      <w:r w:rsidRPr="00A41132">
        <w:t>Pa.Cmwlth</w:t>
      </w:r>
      <w:proofErr w:type="spellEnd"/>
      <w:r w:rsidRPr="00A41132">
        <w:t xml:space="preserve">. 1990), </w:t>
      </w:r>
      <w:proofErr w:type="spellStart"/>
      <w:r w:rsidRPr="00A41132">
        <w:rPr>
          <w:u w:val="single"/>
        </w:rPr>
        <w:t>alloc</w:t>
      </w:r>
      <w:proofErr w:type="spellEnd"/>
      <w:r w:rsidRPr="00A41132">
        <w:rPr>
          <w:u w:val="single"/>
        </w:rPr>
        <w:t>.</w:t>
      </w:r>
      <w:proofErr w:type="gramEnd"/>
      <w:r w:rsidRPr="00A41132">
        <w:rPr>
          <w:u w:val="single"/>
        </w:rPr>
        <w:t xml:space="preserve"> </w:t>
      </w:r>
      <w:proofErr w:type="gramStart"/>
      <w:r w:rsidRPr="00A41132">
        <w:rPr>
          <w:u w:val="single"/>
        </w:rPr>
        <w:t>den.</w:t>
      </w:r>
      <w:r w:rsidRPr="00A41132">
        <w:t xml:space="preserve">, 602 A.2d 863 (Pa. 1992); </w:t>
      </w:r>
      <w:r w:rsidRPr="00A41132">
        <w:rPr>
          <w:u w:val="single"/>
        </w:rPr>
        <w:t xml:space="preserve">Se-Ling Hosiery v. </w:t>
      </w:r>
      <w:r w:rsidRPr="00A41132">
        <w:rPr>
          <w:spacing w:val="-3"/>
          <w:u w:val="single"/>
        </w:rPr>
        <w:t>Margulies</w:t>
      </w:r>
      <w:r w:rsidRPr="00A41132">
        <w:t>, 70 A.2d 854 (Pa. 1950).</w:t>
      </w:r>
      <w:proofErr w:type="gramEnd"/>
      <w:r w:rsidRPr="00A41132">
        <w:t xml:space="preserve">  </w:t>
      </w:r>
    </w:p>
  </w:footnote>
  <w:footnote w:id="4">
    <w:p w:rsidR="00126B45" w:rsidRPr="00A41132" w:rsidRDefault="00126B45" w:rsidP="00A0397A">
      <w:pPr>
        <w:pStyle w:val="FootnoteText"/>
      </w:pPr>
    </w:p>
    <w:p w:rsidR="00126B45" w:rsidRPr="00A41132" w:rsidRDefault="00126B45" w:rsidP="00A0397A">
      <w:pPr>
        <w:pStyle w:val="FootnoteText"/>
      </w:pPr>
      <w:r w:rsidRPr="00A41132">
        <w:rPr>
          <w:rStyle w:val="FootnoteReference"/>
        </w:rPr>
        <w:footnoteRef/>
      </w:r>
      <w:r w:rsidRPr="00A41132">
        <w:t xml:space="preserve"> </w:t>
      </w:r>
      <w:r w:rsidRPr="00A41132">
        <w:tab/>
      </w:r>
      <w:proofErr w:type="gramStart"/>
      <w:r w:rsidRPr="00A41132">
        <w:rPr>
          <w:u w:val="single"/>
        </w:rPr>
        <w:t>Mill v. Pa. Pub</w:t>
      </w:r>
      <w:r>
        <w:rPr>
          <w:u w:val="single"/>
        </w:rPr>
        <w:t>.</w:t>
      </w:r>
      <w:proofErr w:type="gramEnd"/>
      <w:r w:rsidRPr="00A41132">
        <w:rPr>
          <w:u w:val="single"/>
        </w:rPr>
        <w:t xml:space="preserve"> </w:t>
      </w:r>
      <w:proofErr w:type="gramStart"/>
      <w:r w:rsidRPr="00A41132">
        <w:rPr>
          <w:u w:val="single"/>
        </w:rPr>
        <w:t>Util</w:t>
      </w:r>
      <w:r>
        <w:rPr>
          <w:u w:val="single"/>
        </w:rPr>
        <w:t xml:space="preserve">. </w:t>
      </w:r>
      <w:proofErr w:type="spellStart"/>
      <w:r w:rsidRPr="00A41132">
        <w:rPr>
          <w:u w:val="single"/>
        </w:rPr>
        <w:t>Comm</w:t>
      </w:r>
      <w:r>
        <w:rPr>
          <w:u w:val="single"/>
        </w:rPr>
        <w:t>’n</w:t>
      </w:r>
      <w:proofErr w:type="spellEnd"/>
      <w:r w:rsidRPr="00A41132">
        <w:t>, 447 A.2d 1100 (</w:t>
      </w:r>
      <w:proofErr w:type="spellStart"/>
      <w:r w:rsidRPr="00A41132">
        <w:t>Pa.Cmwlth</w:t>
      </w:r>
      <w:proofErr w:type="spellEnd"/>
      <w:r w:rsidRPr="00A41132">
        <w:t xml:space="preserve">. 1982); </w:t>
      </w:r>
      <w:proofErr w:type="spellStart"/>
      <w:r w:rsidRPr="00A41132">
        <w:rPr>
          <w:u w:val="single"/>
        </w:rPr>
        <w:t>Edan</w:t>
      </w:r>
      <w:proofErr w:type="spellEnd"/>
      <w:r w:rsidRPr="00A41132">
        <w:rPr>
          <w:u w:val="single"/>
        </w:rPr>
        <w:t xml:space="preserve"> Transportation Corp. v. Pa. Pub</w:t>
      </w:r>
      <w:r>
        <w:rPr>
          <w:u w:val="single"/>
        </w:rPr>
        <w:t>.</w:t>
      </w:r>
      <w:proofErr w:type="gramEnd"/>
      <w:r w:rsidRPr="00A41132">
        <w:rPr>
          <w:u w:val="single"/>
        </w:rPr>
        <w:t xml:space="preserve"> </w:t>
      </w:r>
      <w:proofErr w:type="gramStart"/>
      <w:r w:rsidRPr="00A41132">
        <w:rPr>
          <w:u w:val="single"/>
        </w:rPr>
        <w:t>Util</w:t>
      </w:r>
      <w:r>
        <w:rPr>
          <w:u w:val="single"/>
        </w:rPr>
        <w:t>.</w:t>
      </w:r>
      <w:r w:rsidRPr="00A41132">
        <w:rPr>
          <w:u w:val="single"/>
        </w:rPr>
        <w:t xml:space="preserve"> </w:t>
      </w:r>
      <w:proofErr w:type="spellStart"/>
      <w:r w:rsidRPr="00A41132">
        <w:rPr>
          <w:u w:val="single"/>
        </w:rPr>
        <w:t>Comm</w:t>
      </w:r>
      <w:r>
        <w:rPr>
          <w:u w:val="single"/>
        </w:rPr>
        <w:t>’n</w:t>
      </w:r>
      <w:proofErr w:type="spellEnd"/>
      <w:r w:rsidRPr="00A41132">
        <w:t>, 623 A</w:t>
      </w:r>
      <w:r>
        <w:t>.2d 6 (</w:t>
      </w:r>
      <w:proofErr w:type="spellStart"/>
      <w:r>
        <w:t>Pa.Cmwlth</w:t>
      </w:r>
      <w:proofErr w:type="spellEnd"/>
      <w:r>
        <w:t xml:space="preserve">. 1993); 2 </w:t>
      </w:r>
      <w:proofErr w:type="spellStart"/>
      <w:r>
        <w:t>Pa.</w:t>
      </w:r>
      <w:r w:rsidRPr="00A41132">
        <w:t>C.S.A</w:t>
      </w:r>
      <w:proofErr w:type="spellEnd"/>
      <w:r w:rsidRPr="00A41132">
        <w:t>.</w:t>
      </w:r>
      <w:proofErr w:type="gramEnd"/>
      <w:r w:rsidRPr="00A41132">
        <w:t xml:space="preserve"> § 704.  </w:t>
      </w:r>
    </w:p>
  </w:footnote>
  <w:footnote w:id="5">
    <w:p w:rsidR="00126B45" w:rsidRPr="00A41132" w:rsidRDefault="00126B45" w:rsidP="00A0397A">
      <w:pPr>
        <w:pStyle w:val="FootnoteText"/>
      </w:pPr>
    </w:p>
    <w:p w:rsidR="00126B45" w:rsidRPr="00A41132" w:rsidRDefault="00126B45" w:rsidP="00A0397A">
      <w:pPr>
        <w:rPr>
          <w:sz w:val="20"/>
        </w:rPr>
      </w:pPr>
      <w:r w:rsidRPr="00A41132">
        <w:rPr>
          <w:rStyle w:val="FootnoteReference"/>
          <w:sz w:val="20"/>
        </w:rPr>
        <w:footnoteRef/>
      </w:r>
      <w:r w:rsidRPr="00A41132">
        <w:rPr>
          <w:sz w:val="20"/>
        </w:rPr>
        <w:t xml:space="preserve"> </w:t>
      </w:r>
      <w:r w:rsidRPr="00A41132">
        <w:rPr>
          <w:sz w:val="20"/>
        </w:rPr>
        <w:tab/>
      </w:r>
      <w:proofErr w:type="gramStart"/>
      <w:r w:rsidRPr="00A41132">
        <w:rPr>
          <w:sz w:val="20"/>
          <w:u w:val="single"/>
        </w:rPr>
        <w:t>Norfolk and Western Ry. v. Pa. Pub</w:t>
      </w:r>
      <w:r>
        <w:rPr>
          <w:sz w:val="20"/>
          <w:u w:val="single"/>
        </w:rPr>
        <w:t>.</w:t>
      </w:r>
      <w:proofErr w:type="gramEnd"/>
      <w:r w:rsidR="00D925D7">
        <w:rPr>
          <w:sz w:val="20"/>
          <w:u w:val="single"/>
        </w:rPr>
        <w:t xml:space="preserve"> </w:t>
      </w:r>
      <w:proofErr w:type="gramStart"/>
      <w:r w:rsidRPr="00A41132">
        <w:rPr>
          <w:sz w:val="20"/>
          <w:u w:val="single"/>
        </w:rPr>
        <w:t>Util</w:t>
      </w:r>
      <w:r>
        <w:rPr>
          <w:sz w:val="20"/>
          <w:u w:val="single"/>
        </w:rPr>
        <w:t xml:space="preserve">. </w:t>
      </w:r>
      <w:proofErr w:type="spellStart"/>
      <w:r w:rsidRPr="00A41132">
        <w:rPr>
          <w:sz w:val="20"/>
          <w:u w:val="single"/>
        </w:rPr>
        <w:t>Comm</w:t>
      </w:r>
      <w:r>
        <w:rPr>
          <w:sz w:val="20"/>
          <w:u w:val="single"/>
        </w:rPr>
        <w:t>’n</w:t>
      </w:r>
      <w:proofErr w:type="spellEnd"/>
      <w:r w:rsidRPr="00A41132">
        <w:rPr>
          <w:sz w:val="20"/>
        </w:rPr>
        <w:t xml:space="preserve">, 413 A.2d 1037 (Pa. 1980); </w:t>
      </w:r>
      <w:r w:rsidRPr="00A41132">
        <w:rPr>
          <w:sz w:val="20"/>
          <w:u w:val="single"/>
        </w:rPr>
        <w:t>Erie Resistor Corp.</w:t>
      </w:r>
      <w:r>
        <w:rPr>
          <w:sz w:val="20"/>
          <w:u w:val="single"/>
        </w:rPr>
        <w:t> </w:t>
      </w:r>
      <w:r w:rsidRPr="00A41132">
        <w:rPr>
          <w:sz w:val="20"/>
          <w:u w:val="single"/>
        </w:rPr>
        <w:t>v. Unemployment Compensation Bd. of Review</w:t>
      </w:r>
      <w:r w:rsidRPr="00A41132">
        <w:rPr>
          <w:sz w:val="20"/>
        </w:rPr>
        <w:t xml:space="preserve">, 166 A.2d 96 (Pa.Super. 1960); </w:t>
      </w:r>
      <w:r w:rsidRPr="00A41132">
        <w:rPr>
          <w:sz w:val="20"/>
          <w:u w:val="single"/>
        </w:rPr>
        <w:t>Murphy v. Dep’t.</w:t>
      </w:r>
      <w:proofErr w:type="gramEnd"/>
      <w:r w:rsidRPr="00A41132">
        <w:rPr>
          <w:sz w:val="20"/>
          <w:u w:val="single"/>
        </w:rPr>
        <w:t xml:space="preserve"> </w:t>
      </w:r>
      <w:proofErr w:type="gramStart"/>
      <w:r w:rsidRPr="00A41132">
        <w:rPr>
          <w:sz w:val="20"/>
          <w:u w:val="single"/>
        </w:rPr>
        <w:t>of</w:t>
      </w:r>
      <w:proofErr w:type="gramEnd"/>
      <w:r w:rsidRPr="00A41132">
        <w:rPr>
          <w:sz w:val="20"/>
          <w:u w:val="single"/>
        </w:rPr>
        <w:t xml:space="preserve"> Public Welfare, White Haven Center</w:t>
      </w:r>
      <w:r w:rsidRPr="00A41132">
        <w:rPr>
          <w:sz w:val="20"/>
        </w:rPr>
        <w:t>, 480 A.2d 382 (</w:t>
      </w:r>
      <w:proofErr w:type="spellStart"/>
      <w:r w:rsidRPr="00A41132">
        <w:rPr>
          <w:sz w:val="20"/>
        </w:rPr>
        <w:t>Pa.Cmwlth</w:t>
      </w:r>
      <w:proofErr w:type="spellEnd"/>
      <w:r w:rsidRPr="00A41132">
        <w:rPr>
          <w:sz w:val="20"/>
        </w:rPr>
        <w:t>. 1984).</w:t>
      </w:r>
    </w:p>
    <w:p w:rsidR="00126B45" w:rsidRPr="00A41132" w:rsidRDefault="00126B45" w:rsidP="00126B45">
      <w:pPr>
        <w:pStyle w:val="FootnoteText"/>
        <w:ind w:firstLine="720"/>
      </w:pPr>
    </w:p>
  </w:footnote>
  <w:footnote w:id="6">
    <w:p w:rsidR="000C7B56" w:rsidRDefault="000C7B56">
      <w:pPr>
        <w:pStyle w:val="FootnoteText"/>
      </w:pPr>
      <w:r>
        <w:rPr>
          <w:rStyle w:val="FootnoteReference"/>
        </w:rPr>
        <w:footnoteRef/>
      </w:r>
      <w:r>
        <w:t xml:space="preserve"> </w:t>
      </w:r>
      <w:r>
        <w:tab/>
      </w:r>
      <w:proofErr w:type="gramStart"/>
      <w:r>
        <w:rPr>
          <w:u w:val="single"/>
        </w:rPr>
        <w:t>Springfield T</w:t>
      </w:r>
      <w:r w:rsidRPr="000C7B56">
        <w:rPr>
          <w:u w:val="single"/>
        </w:rPr>
        <w:t xml:space="preserve">p. </w:t>
      </w:r>
      <w:r w:rsidR="00FC0F9B">
        <w:rPr>
          <w:u w:val="single"/>
        </w:rPr>
        <w:t>v</w:t>
      </w:r>
      <w:r w:rsidRPr="000C7B56">
        <w:rPr>
          <w:u w:val="single"/>
        </w:rPr>
        <w:t>. Pa. Pub.</w:t>
      </w:r>
      <w:proofErr w:type="gramEnd"/>
      <w:r w:rsidRPr="000C7B56">
        <w:rPr>
          <w:u w:val="single"/>
        </w:rPr>
        <w:t xml:space="preserve"> </w:t>
      </w:r>
      <w:proofErr w:type="gramStart"/>
      <w:r w:rsidRPr="000C7B56">
        <w:rPr>
          <w:u w:val="single"/>
        </w:rPr>
        <w:t xml:space="preserve">Util. </w:t>
      </w:r>
      <w:proofErr w:type="spellStart"/>
      <w:r w:rsidRPr="000C7B56">
        <w:rPr>
          <w:u w:val="single"/>
        </w:rPr>
        <w:t>Comm’n</w:t>
      </w:r>
      <w:proofErr w:type="spellEnd"/>
      <w:r w:rsidRPr="000C7B56">
        <w:rPr>
          <w:u w:val="single"/>
        </w:rPr>
        <w:t>.</w:t>
      </w:r>
      <w:r>
        <w:t>, 676 A.2d 304 (</w:t>
      </w:r>
      <w:proofErr w:type="spellStart"/>
      <w:r>
        <w:t>Pa.Cmwlth</w:t>
      </w:r>
      <w:proofErr w:type="spellEnd"/>
      <w:r>
        <w:t xml:space="preserve"> 1996).</w:t>
      </w:r>
      <w:proofErr w:type="gramEnd"/>
    </w:p>
  </w:footnote>
  <w:footnote w:id="7">
    <w:p w:rsidR="00A6043D" w:rsidRDefault="00A6043D" w:rsidP="00F426E8">
      <w:pPr>
        <w:pStyle w:val="FootnoteText"/>
      </w:pPr>
      <w:r>
        <w:rPr>
          <w:rStyle w:val="FootnoteReference"/>
        </w:rPr>
        <w:footnoteRef/>
      </w:r>
      <w:r w:rsidR="00C058F6">
        <w:tab/>
      </w:r>
      <w:r w:rsidRPr="00A6043D">
        <w:t xml:space="preserve">See </w:t>
      </w:r>
      <w:proofErr w:type="spellStart"/>
      <w:r w:rsidRPr="00A6043D">
        <w:rPr>
          <w:u w:val="single"/>
        </w:rPr>
        <w:t>DeFranscesco</w:t>
      </w:r>
      <w:proofErr w:type="spellEnd"/>
      <w:r w:rsidRPr="00A6043D">
        <w:rPr>
          <w:u w:val="single"/>
        </w:rPr>
        <w:t xml:space="preserve"> v. </w:t>
      </w:r>
      <w:r w:rsidR="000163DD">
        <w:rPr>
          <w:u w:val="single"/>
        </w:rPr>
        <w:t>West Penn</w:t>
      </w:r>
      <w:r w:rsidRPr="00A6043D">
        <w:rPr>
          <w:u w:val="single"/>
        </w:rPr>
        <w:t xml:space="preserve"> Power Company</w:t>
      </w:r>
      <w:r w:rsidRPr="00A6043D">
        <w:t xml:space="preserve">, 329 Pa. Superior Ct. 508, </w:t>
      </w:r>
      <w:proofErr w:type="gramStart"/>
      <w:r w:rsidRPr="00A6043D">
        <w:t>478 A.2d 1295</w:t>
      </w:r>
      <w:proofErr w:type="gramEnd"/>
      <w:r w:rsidRPr="00A6043D">
        <w:t xml:space="preserve"> (1984).</w:t>
      </w:r>
    </w:p>
  </w:footnote>
  <w:footnote w:id="8">
    <w:p w:rsidR="00292C13" w:rsidRDefault="00292C13">
      <w:pPr>
        <w:pStyle w:val="FootnoteText"/>
      </w:pPr>
    </w:p>
    <w:p w:rsidR="00292C13" w:rsidRDefault="00292C13">
      <w:pPr>
        <w:pStyle w:val="FootnoteText"/>
      </w:pPr>
      <w:r>
        <w:rPr>
          <w:rStyle w:val="FootnoteReference"/>
        </w:rPr>
        <w:footnoteRef/>
      </w:r>
      <w:r>
        <w:t xml:space="preserve"> </w:t>
      </w:r>
      <w:r>
        <w:tab/>
      </w:r>
      <w:proofErr w:type="gramStart"/>
      <w:r>
        <w:t xml:space="preserve">See </w:t>
      </w:r>
      <w:r w:rsidRPr="00292C13">
        <w:rPr>
          <w:u w:val="single"/>
        </w:rPr>
        <w:t>Brockway Glass Co. v. Pa.</w:t>
      </w:r>
      <w:r w:rsidR="00A85CE8">
        <w:rPr>
          <w:u w:val="single"/>
        </w:rPr>
        <w:t xml:space="preserve"> </w:t>
      </w:r>
      <w:r w:rsidRPr="00292C13">
        <w:rPr>
          <w:u w:val="single"/>
        </w:rPr>
        <w:t>Pub.</w:t>
      </w:r>
      <w:proofErr w:type="gramEnd"/>
      <w:r w:rsidR="00A85CE8">
        <w:rPr>
          <w:u w:val="single"/>
        </w:rPr>
        <w:t xml:space="preserve"> </w:t>
      </w:r>
      <w:r w:rsidRPr="00292C13">
        <w:rPr>
          <w:u w:val="single"/>
        </w:rPr>
        <w:t>Util.</w:t>
      </w:r>
      <w:r w:rsidR="00A85CE8">
        <w:rPr>
          <w:u w:val="single"/>
        </w:rPr>
        <w:t xml:space="preserve"> </w:t>
      </w:r>
      <w:proofErr w:type="spellStart"/>
      <w:r w:rsidRPr="00292C13">
        <w:rPr>
          <w:u w:val="single"/>
        </w:rPr>
        <w:t>Comm’n</w:t>
      </w:r>
      <w:proofErr w:type="spellEnd"/>
      <w:r>
        <w:t xml:space="preserve">, </w:t>
      </w:r>
      <w:proofErr w:type="gramStart"/>
      <w:r>
        <w:t xml:space="preserve">63 </w:t>
      </w:r>
      <w:proofErr w:type="spellStart"/>
      <w:r>
        <w:t>Pa.Cmwlth</w:t>
      </w:r>
      <w:proofErr w:type="spellEnd"/>
      <w:proofErr w:type="gramEnd"/>
      <w:r>
        <w:t xml:space="preserve">. </w:t>
      </w:r>
      <w:proofErr w:type="gramStart"/>
      <w:r>
        <w:t>238, 437 A.2d 1067 (1981).</w:t>
      </w:r>
      <w:proofErr w:type="gramEnd"/>
      <w:r>
        <w:t xml:space="preserve">  </w:t>
      </w:r>
    </w:p>
  </w:footnote>
  <w:footnote w:id="9">
    <w:p w:rsidR="00245699" w:rsidRDefault="00245699">
      <w:pPr>
        <w:pStyle w:val="FootnoteText"/>
      </w:pPr>
    </w:p>
    <w:p w:rsidR="00245699" w:rsidRDefault="00245699">
      <w:pPr>
        <w:pStyle w:val="FootnoteText"/>
      </w:pPr>
      <w:r>
        <w:rPr>
          <w:rStyle w:val="FootnoteReference"/>
        </w:rPr>
        <w:footnoteRef/>
      </w:r>
      <w:r>
        <w:t xml:space="preserve"> </w:t>
      </w:r>
      <w:r>
        <w:tab/>
        <w:t xml:space="preserve">See </w:t>
      </w:r>
      <w:proofErr w:type="gramStart"/>
      <w:r>
        <w:t xml:space="preserve">66 </w:t>
      </w:r>
      <w:proofErr w:type="spellStart"/>
      <w:r>
        <w:t>Pa.C.S.A</w:t>
      </w:r>
      <w:proofErr w:type="spellEnd"/>
      <w:proofErr w:type="gramEnd"/>
      <w:r>
        <w:t>. § 1304</w:t>
      </w:r>
      <w:r w:rsidR="004F44A1">
        <w:t>.</w:t>
      </w:r>
    </w:p>
  </w:footnote>
  <w:footnote w:id="10">
    <w:p w:rsidR="004F44A1" w:rsidRDefault="004F44A1">
      <w:pPr>
        <w:pStyle w:val="FootnoteText"/>
      </w:pPr>
      <w:r>
        <w:rPr>
          <w:rStyle w:val="FootnoteReference"/>
        </w:rPr>
        <w:footnoteRef/>
      </w:r>
      <w:r>
        <w:t xml:space="preserve"> </w:t>
      </w:r>
      <w:r>
        <w:tab/>
      </w:r>
      <w:proofErr w:type="gramStart"/>
      <w:r>
        <w:t xml:space="preserve">See </w:t>
      </w:r>
      <w:r w:rsidRPr="004F44A1">
        <w:rPr>
          <w:u w:val="single"/>
        </w:rPr>
        <w:t>Pennsylvania Electric Co. v. Pa.</w:t>
      </w:r>
      <w:r w:rsidR="00A85CE8">
        <w:rPr>
          <w:u w:val="single"/>
        </w:rPr>
        <w:t xml:space="preserve"> </w:t>
      </w:r>
      <w:r w:rsidRPr="004F44A1">
        <w:rPr>
          <w:u w:val="single"/>
        </w:rPr>
        <w:t>Pub.</w:t>
      </w:r>
      <w:proofErr w:type="gramEnd"/>
      <w:r w:rsidR="00A85CE8">
        <w:rPr>
          <w:u w:val="single"/>
        </w:rPr>
        <w:t xml:space="preserve"> </w:t>
      </w:r>
      <w:proofErr w:type="gramStart"/>
      <w:r w:rsidRPr="004F44A1">
        <w:rPr>
          <w:u w:val="single"/>
        </w:rPr>
        <w:t>Util.</w:t>
      </w:r>
      <w:r w:rsidR="00A85CE8">
        <w:rPr>
          <w:u w:val="single"/>
        </w:rPr>
        <w:t xml:space="preserve"> </w:t>
      </w:r>
      <w:proofErr w:type="spellStart"/>
      <w:r w:rsidRPr="004F44A1">
        <w:rPr>
          <w:u w:val="single"/>
        </w:rPr>
        <w:t>Comm’</w:t>
      </w:r>
      <w:r w:rsidRPr="00F93341">
        <w:rPr>
          <w:u w:val="single"/>
        </w:rPr>
        <w:t>n</w:t>
      </w:r>
      <w:proofErr w:type="spellEnd"/>
      <w:r>
        <w:t>, 663 A.2d 281 (</w:t>
      </w:r>
      <w:proofErr w:type="spellStart"/>
      <w:r>
        <w:t>Pa.Cmwlth</w:t>
      </w:r>
      <w:proofErr w:type="spellEnd"/>
      <w:r>
        <w:t>. 1995).</w:t>
      </w:r>
      <w:proofErr w:type="gramEnd"/>
    </w:p>
  </w:footnote>
  <w:footnote w:id="11">
    <w:p w:rsidR="00292C13" w:rsidRDefault="00292C13">
      <w:pPr>
        <w:pStyle w:val="FootnoteText"/>
      </w:pPr>
    </w:p>
    <w:p w:rsidR="00292C13" w:rsidRDefault="00292C13">
      <w:pPr>
        <w:pStyle w:val="FootnoteText"/>
      </w:pPr>
      <w:r>
        <w:rPr>
          <w:rStyle w:val="FootnoteReference"/>
        </w:rPr>
        <w:footnoteRef/>
      </w:r>
      <w:r>
        <w:t xml:space="preserve"> </w:t>
      </w:r>
      <w:r>
        <w:tab/>
        <w:t xml:space="preserve">See </w:t>
      </w:r>
      <w:r w:rsidR="00D54D0E">
        <w:rPr>
          <w:u w:val="single"/>
        </w:rPr>
        <w:t>Springfield Tp. v</w:t>
      </w:r>
      <w:r w:rsidRPr="00292C13">
        <w:rPr>
          <w:u w:val="single"/>
        </w:rPr>
        <w:t>. Pa.</w:t>
      </w:r>
      <w:r w:rsidR="00A85CE8">
        <w:rPr>
          <w:u w:val="single"/>
        </w:rPr>
        <w:t xml:space="preserve"> </w:t>
      </w:r>
      <w:r w:rsidRPr="00292C13">
        <w:rPr>
          <w:u w:val="single"/>
        </w:rPr>
        <w:t>Pub.</w:t>
      </w:r>
      <w:r w:rsidR="00A85CE8">
        <w:rPr>
          <w:u w:val="single"/>
        </w:rPr>
        <w:t xml:space="preserve"> </w:t>
      </w:r>
      <w:proofErr w:type="gramStart"/>
      <w:r w:rsidRPr="00292C13">
        <w:rPr>
          <w:u w:val="single"/>
        </w:rPr>
        <w:t>Util.</w:t>
      </w:r>
      <w:r w:rsidR="00A85CE8">
        <w:rPr>
          <w:u w:val="single"/>
        </w:rPr>
        <w:t xml:space="preserve"> </w:t>
      </w:r>
      <w:proofErr w:type="spellStart"/>
      <w:r w:rsidRPr="00292C13">
        <w:rPr>
          <w:u w:val="single"/>
        </w:rPr>
        <w:t>Comm’n</w:t>
      </w:r>
      <w:proofErr w:type="spellEnd"/>
      <w:r>
        <w:t>, 676 A.2d 304</w:t>
      </w:r>
      <w:r w:rsidR="00B401EC">
        <w:t>, at 307</w:t>
      </w:r>
      <w:r>
        <w:t xml:space="preserve"> (1996).</w:t>
      </w:r>
      <w:proofErr w:type="gramEnd"/>
    </w:p>
  </w:footnote>
  <w:footnote w:id="12">
    <w:p w:rsidR="003A156E" w:rsidRDefault="003A156E">
      <w:pPr>
        <w:pStyle w:val="FootnoteText"/>
      </w:pPr>
    </w:p>
    <w:p w:rsidR="003A156E" w:rsidRDefault="003A156E">
      <w:pPr>
        <w:pStyle w:val="FootnoteText"/>
      </w:pPr>
      <w:r>
        <w:rPr>
          <w:rStyle w:val="FootnoteReference"/>
        </w:rPr>
        <w:footnoteRef/>
      </w:r>
      <w:r>
        <w:t xml:space="preserve"> </w:t>
      </w:r>
      <w:r>
        <w:tab/>
        <w:t>A review of Duquesne Light’s publicly-available tariff in effect at the time of the hearing did not reveal any similar provisions.</w:t>
      </w:r>
    </w:p>
  </w:footnote>
  <w:footnote w:id="13">
    <w:p w:rsidR="002B4C42" w:rsidRDefault="002B4C42">
      <w:pPr>
        <w:pStyle w:val="FootnoteText"/>
      </w:pPr>
      <w:r>
        <w:rPr>
          <w:rStyle w:val="FootnoteReference"/>
        </w:rPr>
        <w:footnoteRef/>
      </w:r>
      <w:r>
        <w:t xml:space="preserve"> </w:t>
      </w:r>
      <w:r>
        <w:tab/>
        <w:t>The parties agreed Duquesne Light changed the distribution rate from RH to RA, effective December 1, 2014.  Mr. Kramer requested reimbursement for four years starting from December 1, 2014 back through November 30, 2010.</w:t>
      </w:r>
      <w:r w:rsidR="00CF1863">
        <w:t xml:space="preserve">  Also see 66 </w:t>
      </w:r>
      <w:proofErr w:type="spellStart"/>
      <w:r w:rsidR="00CF1863">
        <w:t>Pa.C.S.A</w:t>
      </w:r>
      <w:proofErr w:type="spellEnd"/>
      <w:r w:rsidR="00CF1863">
        <w:t>. § 1312(a).</w:t>
      </w:r>
    </w:p>
  </w:footnote>
  <w:footnote w:id="14">
    <w:p w:rsidR="00223741" w:rsidRDefault="00223741">
      <w:pPr>
        <w:pStyle w:val="FootnoteText"/>
      </w:pPr>
      <w:r>
        <w:rPr>
          <w:rStyle w:val="FootnoteReference"/>
        </w:rPr>
        <w:footnoteRef/>
      </w:r>
      <w:r>
        <w:t xml:space="preserve"> </w:t>
      </w:r>
      <w:r>
        <w:tab/>
        <w:t>See Tr. 43-51.</w:t>
      </w:r>
    </w:p>
  </w:footnote>
  <w:footnote w:id="15">
    <w:p w:rsidR="00223741" w:rsidRDefault="00223741">
      <w:pPr>
        <w:pStyle w:val="FootnoteText"/>
      </w:pPr>
    </w:p>
    <w:p w:rsidR="00223741" w:rsidRDefault="00223741">
      <w:pPr>
        <w:pStyle w:val="FootnoteText"/>
      </w:pPr>
      <w:r>
        <w:rPr>
          <w:rStyle w:val="FootnoteReference"/>
        </w:rPr>
        <w:footnoteRef/>
      </w:r>
      <w:r>
        <w:t xml:space="preserve"> </w:t>
      </w:r>
      <w:r>
        <w:tab/>
        <w:t>See Tr. 44.</w:t>
      </w:r>
    </w:p>
  </w:footnote>
  <w:footnote w:id="16">
    <w:p w:rsidR="00531F8B" w:rsidRDefault="00531F8B">
      <w:pPr>
        <w:pStyle w:val="FootnoteText"/>
      </w:pPr>
    </w:p>
    <w:p w:rsidR="00223741" w:rsidRDefault="00223741">
      <w:pPr>
        <w:pStyle w:val="FootnoteText"/>
      </w:pPr>
      <w:r>
        <w:rPr>
          <w:rStyle w:val="FootnoteReference"/>
        </w:rPr>
        <w:footnoteRef/>
      </w:r>
      <w:r>
        <w:t xml:space="preserve"> </w:t>
      </w:r>
      <w:r>
        <w:tab/>
        <w:t>See Tr. 45.</w:t>
      </w:r>
    </w:p>
  </w:footnote>
  <w:footnote w:id="17">
    <w:p w:rsidR="00250A77" w:rsidRDefault="00250A77">
      <w:pPr>
        <w:pStyle w:val="FootnoteText"/>
      </w:pPr>
      <w:r>
        <w:rPr>
          <w:rStyle w:val="FootnoteReference"/>
        </w:rPr>
        <w:footnoteRef/>
      </w:r>
      <w:r>
        <w:t xml:space="preserve"> </w:t>
      </w:r>
      <w:r>
        <w:tab/>
        <w:t>It should be noted Duquesne Light objected strenuously at the time it filed its Answer because Complainant provided the rate information for previous owners in his formal complaint.  Duquesne Light averred that it was not permitted by the Commission to provide any information or make public the rate charged to previous owners at the service address, and sought to strike the information out of the formal complaint.  It is not clear how Mr. Kramer learned this personal information or when he came into possession of the information after purchasing the service address in 2000.</w:t>
      </w:r>
    </w:p>
  </w:footnote>
  <w:footnote w:id="18">
    <w:p w:rsidR="00F34B20" w:rsidRPr="00F34B20" w:rsidRDefault="00F34B20">
      <w:pPr>
        <w:pStyle w:val="FootnoteText"/>
      </w:pPr>
      <w:r w:rsidRPr="00F34B20">
        <w:rPr>
          <w:rStyle w:val="FootnoteReference"/>
        </w:rPr>
        <w:footnoteRef/>
      </w:r>
      <w:r w:rsidRPr="00F34B20">
        <w:t xml:space="preserve"> </w:t>
      </w:r>
      <w:r w:rsidRPr="00F34B20">
        <w:tab/>
        <w:t xml:space="preserve">See </w:t>
      </w:r>
      <w:r w:rsidRPr="00F34B20">
        <w:rPr>
          <w:u w:val="single"/>
        </w:rPr>
        <w:t>Implementation of Act 129 of October 15, 2008; Default Service And Retail Electric Markets</w:t>
      </w:r>
      <w:r w:rsidRPr="00F34B20">
        <w:t>, Docket No. L 2009</w:t>
      </w:r>
      <w:r w:rsidRPr="00F34B20">
        <w:noBreakHyphen/>
        <w:t>2095604 (Final Rulemaking Order entered October 4, 2011).</w:t>
      </w:r>
    </w:p>
  </w:footnote>
  <w:footnote w:id="19">
    <w:p w:rsidR="00CE4DCB" w:rsidRDefault="00CE4DCB" w:rsidP="00A45203">
      <w:pPr>
        <w:pStyle w:val="FootnoteText"/>
        <w:rPr>
          <w:snapToGrid w:val="0"/>
        </w:rPr>
      </w:pPr>
      <w:r>
        <w:rPr>
          <w:rStyle w:val="FootnoteReference"/>
        </w:rPr>
        <w:footnoteRef/>
      </w:r>
      <w:r>
        <w:t xml:space="preserve"> </w:t>
      </w:r>
      <w:r>
        <w:tab/>
      </w:r>
      <w:proofErr w:type="gramStart"/>
      <w:r>
        <w:rPr>
          <w:snapToGrid w:val="0"/>
        </w:rPr>
        <w:t xml:space="preserve">66 </w:t>
      </w:r>
      <w:proofErr w:type="spellStart"/>
      <w:r>
        <w:rPr>
          <w:snapToGrid w:val="0"/>
        </w:rPr>
        <w:t>Pa.C.S</w:t>
      </w:r>
      <w:proofErr w:type="spellEnd"/>
      <w:r>
        <w:rPr>
          <w:snapToGrid w:val="0"/>
        </w:rPr>
        <w:t>.</w:t>
      </w:r>
      <w:proofErr w:type="gramEnd"/>
      <w:r>
        <w:rPr>
          <w:snapToGrid w:val="0"/>
        </w:rPr>
        <w:t xml:space="preserve"> § 3301. </w:t>
      </w:r>
    </w:p>
    <w:p w:rsidR="00CE4DCB" w:rsidRDefault="00CE4DCB" w:rsidP="00A45203">
      <w:pPr>
        <w:pStyle w:val="FootnoteText"/>
      </w:pPr>
    </w:p>
  </w:footnote>
  <w:footnote w:id="20">
    <w:p w:rsidR="00CE4DCB" w:rsidRPr="003D7B7B" w:rsidRDefault="00CE4DCB" w:rsidP="00A45203">
      <w:pPr>
        <w:pStyle w:val="FootnoteText"/>
        <w:rPr>
          <w:snapToGrid w:val="0"/>
        </w:rPr>
      </w:pPr>
      <w:r>
        <w:rPr>
          <w:rStyle w:val="FootnoteReference"/>
        </w:rPr>
        <w:footnoteRef/>
      </w:r>
      <w:r>
        <w:t xml:space="preserve">  </w:t>
      </w:r>
      <w:r>
        <w:tab/>
      </w:r>
      <w:r>
        <w:rPr>
          <w:i/>
          <w:snapToGrid w:val="0"/>
        </w:rPr>
        <w:t>See</w:t>
      </w:r>
      <w:r>
        <w:rPr>
          <w:snapToGrid w:val="0"/>
        </w:rPr>
        <w:t xml:space="preserve"> 52 </w:t>
      </w:r>
      <w:proofErr w:type="spellStart"/>
      <w:r>
        <w:rPr>
          <w:snapToGrid w:val="0"/>
        </w:rPr>
        <w:t>Pa.Code</w:t>
      </w:r>
      <w:proofErr w:type="spellEnd"/>
      <w:r>
        <w:rPr>
          <w:snapToGrid w:val="0"/>
        </w:rPr>
        <w:t xml:space="preserve"> § 69.1201; </w:t>
      </w:r>
      <w:r>
        <w:rPr>
          <w:i/>
          <w:snapToGrid w:val="0"/>
        </w:rPr>
        <w:t xml:space="preserve">see also, </w:t>
      </w:r>
      <w:proofErr w:type="spellStart"/>
      <w:r w:rsidRPr="00635242">
        <w:rPr>
          <w:snapToGrid w:val="0"/>
          <w:u w:val="single"/>
        </w:rPr>
        <w:t>Rosi</w:t>
      </w:r>
      <w:proofErr w:type="spellEnd"/>
      <w:r w:rsidRPr="00635242">
        <w:rPr>
          <w:snapToGrid w:val="0"/>
          <w:u w:val="single"/>
        </w:rPr>
        <w:t xml:space="preserve"> v. Bell Atlantic-Pa., Inc. and Sprint Communica</w:t>
      </w:r>
      <w:r w:rsidRPr="00635242">
        <w:rPr>
          <w:snapToGrid w:val="0"/>
          <w:u w:val="single"/>
        </w:rPr>
        <w:softHyphen/>
        <w:t>tions Company</w:t>
      </w:r>
      <w:r>
        <w:rPr>
          <w:snapToGrid w:val="0"/>
        </w:rPr>
        <w:t>, Docket No. C</w:t>
      </w:r>
      <w:r>
        <w:rPr>
          <w:snapToGrid w:val="0"/>
        </w:rPr>
        <w:noBreakHyphen/>
        <w:t>00992409 (Order entered February 10, 2000) (</w:t>
      </w:r>
      <w:proofErr w:type="spellStart"/>
      <w:r w:rsidRPr="00A972A4">
        <w:rPr>
          <w:snapToGrid w:val="0"/>
          <w:u w:val="single"/>
        </w:rPr>
        <w:t>Rosi</w:t>
      </w:r>
      <w:proofErr w:type="spellEnd"/>
      <w:r>
        <w:rPr>
          <w:snapToGrid w:val="0"/>
        </w:rPr>
        <w:t>).</w:t>
      </w:r>
    </w:p>
    <w:p w:rsidR="00CE4DCB" w:rsidRDefault="00CE4DCB" w:rsidP="00A45203">
      <w:pPr>
        <w:pStyle w:val="FootnoteText"/>
      </w:pPr>
    </w:p>
  </w:footnote>
  <w:footnote w:id="21">
    <w:p w:rsidR="007C615B" w:rsidRDefault="007C615B" w:rsidP="00A45203">
      <w:pPr>
        <w:pStyle w:val="FootnoteText"/>
      </w:pPr>
      <w:r>
        <w:rPr>
          <w:rStyle w:val="FootnoteReference"/>
        </w:rPr>
        <w:footnoteRef/>
      </w:r>
      <w:r>
        <w:t xml:space="preserve"> </w:t>
      </w:r>
      <w:r>
        <w:tab/>
      </w:r>
      <w:proofErr w:type="gramStart"/>
      <w:r>
        <w:t xml:space="preserve">66 </w:t>
      </w:r>
      <w:proofErr w:type="spellStart"/>
      <w:r>
        <w:t>Pa.</w:t>
      </w:r>
      <w:r w:rsidRPr="00E73118">
        <w:t>C.S.</w:t>
      </w:r>
      <w:r>
        <w:t>A</w:t>
      </w:r>
      <w:proofErr w:type="spellEnd"/>
      <w:r>
        <w:t>.</w:t>
      </w:r>
      <w:proofErr w:type="gramEnd"/>
      <w:r w:rsidRPr="00E73118">
        <w:t xml:space="preserve"> §</w:t>
      </w:r>
      <w:r>
        <w:t xml:space="preserve"> </w:t>
      </w:r>
      <w:r w:rsidRPr="00E73118">
        <w:t>1501.</w:t>
      </w:r>
    </w:p>
  </w:footnote>
  <w:footnote w:id="22">
    <w:p w:rsidR="007C615B" w:rsidRDefault="007C615B" w:rsidP="00A45203">
      <w:pPr>
        <w:pStyle w:val="FootnoteText"/>
      </w:pPr>
    </w:p>
    <w:p w:rsidR="007C615B" w:rsidRDefault="007C615B" w:rsidP="00A45203">
      <w:pPr>
        <w:pStyle w:val="FootnoteText"/>
        <w:rPr>
          <w:sz w:val="24"/>
          <w:szCs w:val="24"/>
        </w:rPr>
      </w:pPr>
      <w:r>
        <w:rPr>
          <w:rStyle w:val="FootnoteReference"/>
        </w:rPr>
        <w:footnoteRef/>
      </w:r>
      <w:r>
        <w:t xml:space="preserve"> </w:t>
      </w:r>
      <w:r>
        <w:tab/>
      </w:r>
      <w:proofErr w:type="gramStart"/>
      <w:r w:rsidRPr="00E73118">
        <w:rPr>
          <w:u w:val="single"/>
        </w:rPr>
        <w:t>Elkin v. Bell of Pa.</w:t>
      </w:r>
      <w:r w:rsidRPr="00E73118">
        <w:t>,</w:t>
      </w:r>
      <w:r w:rsidRPr="00E73118">
        <w:rPr>
          <w:i/>
        </w:rPr>
        <w:t xml:space="preserve"> </w:t>
      </w:r>
      <w:r w:rsidRPr="00E73118">
        <w:t>491 Pa. 123, 420 A.2d 371 (1980).</w:t>
      </w:r>
      <w:proofErr w:type="gramEnd"/>
      <w:r w:rsidRPr="006E0E7F">
        <w:rPr>
          <w:sz w:val="24"/>
          <w:szCs w:val="24"/>
        </w:rPr>
        <w:t xml:space="preserve">  </w:t>
      </w:r>
    </w:p>
    <w:p w:rsidR="007C615B" w:rsidRDefault="007C615B" w:rsidP="00A45203">
      <w:pPr>
        <w:pStyle w:val="FootnoteText"/>
      </w:pPr>
    </w:p>
  </w:footnote>
  <w:footnote w:id="23">
    <w:p w:rsidR="007C615B" w:rsidRPr="00E73118" w:rsidRDefault="007C615B" w:rsidP="00A45203">
      <w:pPr>
        <w:pStyle w:val="FootnoteText"/>
      </w:pPr>
      <w:r w:rsidRPr="00E73118">
        <w:rPr>
          <w:rStyle w:val="FootnoteReference"/>
        </w:rPr>
        <w:footnoteRef/>
      </w:r>
      <w:r>
        <w:t xml:space="preserve"> </w:t>
      </w:r>
      <w:r>
        <w:tab/>
      </w:r>
      <w:proofErr w:type="gramStart"/>
      <w:r>
        <w:t xml:space="preserve">66 </w:t>
      </w:r>
      <w:proofErr w:type="spellStart"/>
      <w:r>
        <w:t>Pa.</w:t>
      </w:r>
      <w:r w:rsidRPr="00E73118">
        <w:t>C.S.</w:t>
      </w:r>
      <w:r>
        <w:t>A</w:t>
      </w:r>
      <w:proofErr w:type="spellEnd"/>
      <w:r>
        <w:t>.</w:t>
      </w:r>
      <w:proofErr w:type="gramEnd"/>
      <w:r w:rsidRPr="00E73118">
        <w:t xml:space="preserve"> §</w:t>
      </w:r>
      <w:r>
        <w:t xml:space="preserve"> </w:t>
      </w:r>
      <w:r w:rsidRPr="00E73118">
        <w:t xml:space="preserve">102.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24579C3"/>
    <w:multiLevelType w:val="hybridMultilevel"/>
    <w:tmpl w:val="E7D8CD02"/>
    <w:lvl w:ilvl="0" w:tplc="78AE255E">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3"/>
  </w:num>
  <w:num w:numId="4">
    <w:abstractNumId w:val="6"/>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0E5F"/>
    <w:rsid w:val="00002933"/>
    <w:rsid w:val="000037F7"/>
    <w:rsid w:val="00004CAB"/>
    <w:rsid w:val="00006EE3"/>
    <w:rsid w:val="00010C1B"/>
    <w:rsid w:val="00014CD9"/>
    <w:rsid w:val="00015B93"/>
    <w:rsid w:val="00015E77"/>
    <w:rsid w:val="000163DD"/>
    <w:rsid w:val="000218E1"/>
    <w:rsid w:val="0002562B"/>
    <w:rsid w:val="0002677E"/>
    <w:rsid w:val="00027DAB"/>
    <w:rsid w:val="00030A0C"/>
    <w:rsid w:val="00032447"/>
    <w:rsid w:val="0003254A"/>
    <w:rsid w:val="0003345F"/>
    <w:rsid w:val="00034688"/>
    <w:rsid w:val="00034D3C"/>
    <w:rsid w:val="0003750C"/>
    <w:rsid w:val="00042684"/>
    <w:rsid w:val="00051FFD"/>
    <w:rsid w:val="000539E5"/>
    <w:rsid w:val="00055267"/>
    <w:rsid w:val="00060974"/>
    <w:rsid w:val="00065B67"/>
    <w:rsid w:val="00066099"/>
    <w:rsid w:val="00067DC6"/>
    <w:rsid w:val="000755D5"/>
    <w:rsid w:val="00081933"/>
    <w:rsid w:val="0008418F"/>
    <w:rsid w:val="000841E3"/>
    <w:rsid w:val="00085A77"/>
    <w:rsid w:val="00091995"/>
    <w:rsid w:val="000919E3"/>
    <w:rsid w:val="000920B0"/>
    <w:rsid w:val="000943A5"/>
    <w:rsid w:val="00094EC4"/>
    <w:rsid w:val="00095A48"/>
    <w:rsid w:val="000A7A4C"/>
    <w:rsid w:val="000A7A7E"/>
    <w:rsid w:val="000A7DE2"/>
    <w:rsid w:val="000B0443"/>
    <w:rsid w:val="000B1450"/>
    <w:rsid w:val="000B3867"/>
    <w:rsid w:val="000B4044"/>
    <w:rsid w:val="000B575F"/>
    <w:rsid w:val="000B7C98"/>
    <w:rsid w:val="000C22D0"/>
    <w:rsid w:val="000C35EC"/>
    <w:rsid w:val="000C39FB"/>
    <w:rsid w:val="000C639E"/>
    <w:rsid w:val="000C6633"/>
    <w:rsid w:val="000C736C"/>
    <w:rsid w:val="000C7B56"/>
    <w:rsid w:val="000D4E83"/>
    <w:rsid w:val="000D6424"/>
    <w:rsid w:val="000D7D68"/>
    <w:rsid w:val="000E0DDA"/>
    <w:rsid w:val="000E33AA"/>
    <w:rsid w:val="000E4C15"/>
    <w:rsid w:val="000E4D29"/>
    <w:rsid w:val="000F0F3C"/>
    <w:rsid w:val="000F45A3"/>
    <w:rsid w:val="000F4D6B"/>
    <w:rsid w:val="0010040A"/>
    <w:rsid w:val="00101AB8"/>
    <w:rsid w:val="00103B9D"/>
    <w:rsid w:val="0010437D"/>
    <w:rsid w:val="00106746"/>
    <w:rsid w:val="001130C8"/>
    <w:rsid w:val="001140BC"/>
    <w:rsid w:val="001161AA"/>
    <w:rsid w:val="00116E78"/>
    <w:rsid w:val="0011788E"/>
    <w:rsid w:val="0012001F"/>
    <w:rsid w:val="0012141F"/>
    <w:rsid w:val="00121AE5"/>
    <w:rsid w:val="0012306D"/>
    <w:rsid w:val="0012478B"/>
    <w:rsid w:val="00125CCD"/>
    <w:rsid w:val="00126B45"/>
    <w:rsid w:val="00130E27"/>
    <w:rsid w:val="001339E0"/>
    <w:rsid w:val="00133A47"/>
    <w:rsid w:val="00133B41"/>
    <w:rsid w:val="001354D6"/>
    <w:rsid w:val="00137307"/>
    <w:rsid w:val="001375AA"/>
    <w:rsid w:val="001406D8"/>
    <w:rsid w:val="00142A80"/>
    <w:rsid w:val="00143FA7"/>
    <w:rsid w:val="00144748"/>
    <w:rsid w:val="00144BD5"/>
    <w:rsid w:val="00144BDA"/>
    <w:rsid w:val="00145EBF"/>
    <w:rsid w:val="001509CF"/>
    <w:rsid w:val="001513EC"/>
    <w:rsid w:val="00152853"/>
    <w:rsid w:val="00153C2A"/>
    <w:rsid w:val="00153E19"/>
    <w:rsid w:val="00156938"/>
    <w:rsid w:val="00156A90"/>
    <w:rsid w:val="0016133D"/>
    <w:rsid w:val="00161E91"/>
    <w:rsid w:val="00165400"/>
    <w:rsid w:val="00165B98"/>
    <w:rsid w:val="00166F22"/>
    <w:rsid w:val="00167534"/>
    <w:rsid w:val="0017741E"/>
    <w:rsid w:val="00182EDA"/>
    <w:rsid w:val="0018379D"/>
    <w:rsid w:val="00183AE1"/>
    <w:rsid w:val="00185EF9"/>
    <w:rsid w:val="00190788"/>
    <w:rsid w:val="00195561"/>
    <w:rsid w:val="00196E40"/>
    <w:rsid w:val="001A101F"/>
    <w:rsid w:val="001A453C"/>
    <w:rsid w:val="001B0D2F"/>
    <w:rsid w:val="001B0EE6"/>
    <w:rsid w:val="001B283D"/>
    <w:rsid w:val="001B3B0D"/>
    <w:rsid w:val="001B436F"/>
    <w:rsid w:val="001B5AF2"/>
    <w:rsid w:val="001C0836"/>
    <w:rsid w:val="001C3008"/>
    <w:rsid w:val="001C5F76"/>
    <w:rsid w:val="001C69DE"/>
    <w:rsid w:val="001D1195"/>
    <w:rsid w:val="001D1DC6"/>
    <w:rsid w:val="001D5E87"/>
    <w:rsid w:val="001D67F3"/>
    <w:rsid w:val="001D6F49"/>
    <w:rsid w:val="001D7070"/>
    <w:rsid w:val="001D78CA"/>
    <w:rsid w:val="001D79FF"/>
    <w:rsid w:val="001E2C24"/>
    <w:rsid w:val="001E2CD6"/>
    <w:rsid w:val="001F030C"/>
    <w:rsid w:val="001F2B65"/>
    <w:rsid w:val="001F758E"/>
    <w:rsid w:val="00200D48"/>
    <w:rsid w:val="00200ED0"/>
    <w:rsid w:val="00203C61"/>
    <w:rsid w:val="00206B04"/>
    <w:rsid w:val="002075E6"/>
    <w:rsid w:val="00210334"/>
    <w:rsid w:val="00210460"/>
    <w:rsid w:val="00211AA8"/>
    <w:rsid w:val="002132C0"/>
    <w:rsid w:val="00214A19"/>
    <w:rsid w:val="002154B5"/>
    <w:rsid w:val="002165A2"/>
    <w:rsid w:val="00216A05"/>
    <w:rsid w:val="00222123"/>
    <w:rsid w:val="00223741"/>
    <w:rsid w:val="00227C93"/>
    <w:rsid w:val="00230C81"/>
    <w:rsid w:val="0023169E"/>
    <w:rsid w:val="00234C5A"/>
    <w:rsid w:val="002432E9"/>
    <w:rsid w:val="00243639"/>
    <w:rsid w:val="00244AD1"/>
    <w:rsid w:val="00245699"/>
    <w:rsid w:val="00250A77"/>
    <w:rsid w:val="002520A5"/>
    <w:rsid w:val="00254BFC"/>
    <w:rsid w:val="00254FD1"/>
    <w:rsid w:val="0025557F"/>
    <w:rsid w:val="00263EFE"/>
    <w:rsid w:val="00264C6D"/>
    <w:rsid w:val="00265108"/>
    <w:rsid w:val="0026526F"/>
    <w:rsid w:val="002659FC"/>
    <w:rsid w:val="00266DD0"/>
    <w:rsid w:val="00271E72"/>
    <w:rsid w:val="00271FF1"/>
    <w:rsid w:val="00280380"/>
    <w:rsid w:val="00280AF0"/>
    <w:rsid w:val="0028164C"/>
    <w:rsid w:val="00283A3F"/>
    <w:rsid w:val="00284FA9"/>
    <w:rsid w:val="00286074"/>
    <w:rsid w:val="002867AD"/>
    <w:rsid w:val="002904BB"/>
    <w:rsid w:val="00291917"/>
    <w:rsid w:val="00292C13"/>
    <w:rsid w:val="00293E92"/>
    <w:rsid w:val="00295403"/>
    <w:rsid w:val="002A625C"/>
    <w:rsid w:val="002A78AC"/>
    <w:rsid w:val="002B433A"/>
    <w:rsid w:val="002B4996"/>
    <w:rsid w:val="002B4C42"/>
    <w:rsid w:val="002B4DFA"/>
    <w:rsid w:val="002B71C2"/>
    <w:rsid w:val="002C703F"/>
    <w:rsid w:val="002C7AB0"/>
    <w:rsid w:val="002D04F8"/>
    <w:rsid w:val="002D29E7"/>
    <w:rsid w:val="002D328B"/>
    <w:rsid w:val="002E2B6E"/>
    <w:rsid w:val="002E597B"/>
    <w:rsid w:val="002E5A74"/>
    <w:rsid w:val="002E6B15"/>
    <w:rsid w:val="002F15F6"/>
    <w:rsid w:val="002F1743"/>
    <w:rsid w:val="002F4F6F"/>
    <w:rsid w:val="002F6CA8"/>
    <w:rsid w:val="002F6DFB"/>
    <w:rsid w:val="002F7ADF"/>
    <w:rsid w:val="00302C62"/>
    <w:rsid w:val="00302D41"/>
    <w:rsid w:val="003067FE"/>
    <w:rsid w:val="00307FF8"/>
    <w:rsid w:val="00311588"/>
    <w:rsid w:val="003121E7"/>
    <w:rsid w:val="0031508A"/>
    <w:rsid w:val="003209FF"/>
    <w:rsid w:val="00324C80"/>
    <w:rsid w:val="00324D48"/>
    <w:rsid w:val="00326059"/>
    <w:rsid w:val="00330B01"/>
    <w:rsid w:val="0033183D"/>
    <w:rsid w:val="00334639"/>
    <w:rsid w:val="00334D84"/>
    <w:rsid w:val="0034169F"/>
    <w:rsid w:val="0034231B"/>
    <w:rsid w:val="00342B49"/>
    <w:rsid w:val="0034410D"/>
    <w:rsid w:val="0034692A"/>
    <w:rsid w:val="003540A7"/>
    <w:rsid w:val="0035629D"/>
    <w:rsid w:val="003603C7"/>
    <w:rsid w:val="00360442"/>
    <w:rsid w:val="00360EB9"/>
    <w:rsid w:val="00361178"/>
    <w:rsid w:val="00361EAC"/>
    <w:rsid w:val="003649AC"/>
    <w:rsid w:val="00365F7C"/>
    <w:rsid w:val="003660D6"/>
    <w:rsid w:val="00370128"/>
    <w:rsid w:val="0037050A"/>
    <w:rsid w:val="00373245"/>
    <w:rsid w:val="00373E26"/>
    <w:rsid w:val="00373ECC"/>
    <w:rsid w:val="0037694C"/>
    <w:rsid w:val="00380F4B"/>
    <w:rsid w:val="00382B40"/>
    <w:rsid w:val="00383822"/>
    <w:rsid w:val="0038653C"/>
    <w:rsid w:val="00386C1C"/>
    <w:rsid w:val="00387E50"/>
    <w:rsid w:val="003908EE"/>
    <w:rsid w:val="00391096"/>
    <w:rsid w:val="003937E3"/>
    <w:rsid w:val="00394A82"/>
    <w:rsid w:val="00396353"/>
    <w:rsid w:val="00396518"/>
    <w:rsid w:val="003A156E"/>
    <w:rsid w:val="003A36A1"/>
    <w:rsid w:val="003B045F"/>
    <w:rsid w:val="003B3294"/>
    <w:rsid w:val="003B3FB0"/>
    <w:rsid w:val="003B4F65"/>
    <w:rsid w:val="003B7783"/>
    <w:rsid w:val="003C1053"/>
    <w:rsid w:val="003C13E7"/>
    <w:rsid w:val="003C1F6E"/>
    <w:rsid w:val="003C2777"/>
    <w:rsid w:val="003C417D"/>
    <w:rsid w:val="003C4E1D"/>
    <w:rsid w:val="003C7776"/>
    <w:rsid w:val="003D0DEF"/>
    <w:rsid w:val="003D374F"/>
    <w:rsid w:val="003D500A"/>
    <w:rsid w:val="003D5173"/>
    <w:rsid w:val="003D67D8"/>
    <w:rsid w:val="003E1EE5"/>
    <w:rsid w:val="003E2BB0"/>
    <w:rsid w:val="003E2D32"/>
    <w:rsid w:val="003E43AF"/>
    <w:rsid w:val="003E5E0F"/>
    <w:rsid w:val="003E60E7"/>
    <w:rsid w:val="003F1BC1"/>
    <w:rsid w:val="003F56DB"/>
    <w:rsid w:val="003F64C7"/>
    <w:rsid w:val="003F6E27"/>
    <w:rsid w:val="0040104B"/>
    <w:rsid w:val="0040125C"/>
    <w:rsid w:val="004035B1"/>
    <w:rsid w:val="00411416"/>
    <w:rsid w:val="0041637D"/>
    <w:rsid w:val="0041639A"/>
    <w:rsid w:val="00421585"/>
    <w:rsid w:val="004219BD"/>
    <w:rsid w:val="0042245B"/>
    <w:rsid w:val="00424E72"/>
    <w:rsid w:val="00425756"/>
    <w:rsid w:val="00430437"/>
    <w:rsid w:val="00431883"/>
    <w:rsid w:val="004322BD"/>
    <w:rsid w:val="00440B6B"/>
    <w:rsid w:val="004455C4"/>
    <w:rsid w:val="00446EE8"/>
    <w:rsid w:val="004555E3"/>
    <w:rsid w:val="004564BF"/>
    <w:rsid w:val="00462770"/>
    <w:rsid w:val="0046290B"/>
    <w:rsid w:val="004635FD"/>
    <w:rsid w:val="00465878"/>
    <w:rsid w:val="0046652F"/>
    <w:rsid w:val="00470AFC"/>
    <w:rsid w:val="00472A21"/>
    <w:rsid w:val="0047367A"/>
    <w:rsid w:val="00474C53"/>
    <w:rsid w:val="0047665F"/>
    <w:rsid w:val="00477B44"/>
    <w:rsid w:val="004819B5"/>
    <w:rsid w:val="0048213D"/>
    <w:rsid w:val="00483A4C"/>
    <w:rsid w:val="00484F85"/>
    <w:rsid w:val="004859D0"/>
    <w:rsid w:val="00487AE0"/>
    <w:rsid w:val="00493BBB"/>
    <w:rsid w:val="004970DA"/>
    <w:rsid w:val="004A0254"/>
    <w:rsid w:val="004A1314"/>
    <w:rsid w:val="004A26B6"/>
    <w:rsid w:val="004A2C15"/>
    <w:rsid w:val="004A47A6"/>
    <w:rsid w:val="004A6673"/>
    <w:rsid w:val="004A7777"/>
    <w:rsid w:val="004B2419"/>
    <w:rsid w:val="004B34C6"/>
    <w:rsid w:val="004B3FBF"/>
    <w:rsid w:val="004B422F"/>
    <w:rsid w:val="004B4B53"/>
    <w:rsid w:val="004B6A2B"/>
    <w:rsid w:val="004B7FA4"/>
    <w:rsid w:val="004C32C0"/>
    <w:rsid w:val="004C5FA9"/>
    <w:rsid w:val="004C6202"/>
    <w:rsid w:val="004D0CBE"/>
    <w:rsid w:val="004D2634"/>
    <w:rsid w:val="004D3826"/>
    <w:rsid w:val="004D3A14"/>
    <w:rsid w:val="004D454A"/>
    <w:rsid w:val="004D477D"/>
    <w:rsid w:val="004D5119"/>
    <w:rsid w:val="004D708C"/>
    <w:rsid w:val="004D75D5"/>
    <w:rsid w:val="004E01BD"/>
    <w:rsid w:val="004E3B20"/>
    <w:rsid w:val="004E4252"/>
    <w:rsid w:val="004E605F"/>
    <w:rsid w:val="004E7B43"/>
    <w:rsid w:val="004F44A1"/>
    <w:rsid w:val="0050181E"/>
    <w:rsid w:val="0050497A"/>
    <w:rsid w:val="00504A1A"/>
    <w:rsid w:val="00507ECF"/>
    <w:rsid w:val="005102C0"/>
    <w:rsid w:val="00513C09"/>
    <w:rsid w:val="00515DD0"/>
    <w:rsid w:val="00517217"/>
    <w:rsid w:val="00522985"/>
    <w:rsid w:val="00531E4E"/>
    <w:rsid w:val="00531F8B"/>
    <w:rsid w:val="00537506"/>
    <w:rsid w:val="005375AF"/>
    <w:rsid w:val="0053772F"/>
    <w:rsid w:val="00540E3A"/>
    <w:rsid w:val="00543B7C"/>
    <w:rsid w:val="00543F98"/>
    <w:rsid w:val="005447FE"/>
    <w:rsid w:val="00544F7E"/>
    <w:rsid w:val="00545043"/>
    <w:rsid w:val="005451B0"/>
    <w:rsid w:val="00547948"/>
    <w:rsid w:val="00550F87"/>
    <w:rsid w:val="00552C73"/>
    <w:rsid w:val="00553E91"/>
    <w:rsid w:val="00557326"/>
    <w:rsid w:val="00560A07"/>
    <w:rsid w:val="00563142"/>
    <w:rsid w:val="00563254"/>
    <w:rsid w:val="005637DF"/>
    <w:rsid w:val="00563FC3"/>
    <w:rsid w:val="005647C7"/>
    <w:rsid w:val="00565F5B"/>
    <w:rsid w:val="00567324"/>
    <w:rsid w:val="005763CB"/>
    <w:rsid w:val="00577567"/>
    <w:rsid w:val="00580981"/>
    <w:rsid w:val="00580D5E"/>
    <w:rsid w:val="0058201B"/>
    <w:rsid w:val="005862DD"/>
    <w:rsid w:val="005900D4"/>
    <w:rsid w:val="0059029B"/>
    <w:rsid w:val="005927D3"/>
    <w:rsid w:val="00592DDB"/>
    <w:rsid w:val="005944A4"/>
    <w:rsid w:val="00595806"/>
    <w:rsid w:val="00596262"/>
    <w:rsid w:val="0059631D"/>
    <w:rsid w:val="005A3E08"/>
    <w:rsid w:val="005A77D0"/>
    <w:rsid w:val="005B64BD"/>
    <w:rsid w:val="005C050D"/>
    <w:rsid w:val="005C437C"/>
    <w:rsid w:val="005C4542"/>
    <w:rsid w:val="005C6D4A"/>
    <w:rsid w:val="005D03F4"/>
    <w:rsid w:val="005D16F0"/>
    <w:rsid w:val="005D4345"/>
    <w:rsid w:val="005D50D2"/>
    <w:rsid w:val="005E0321"/>
    <w:rsid w:val="005E1CC5"/>
    <w:rsid w:val="005E2935"/>
    <w:rsid w:val="005E636D"/>
    <w:rsid w:val="005E6DB5"/>
    <w:rsid w:val="005F1E75"/>
    <w:rsid w:val="005F4120"/>
    <w:rsid w:val="00600AE4"/>
    <w:rsid w:val="00600EE9"/>
    <w:rsid w:val="0060359F"/>
    <w:rsid w:val="00607B04"/>
    <w:rsid w:val="00613AE9"/>
    <w:rsid w:val="00616E73"/>
    <w:rsid w:val="00616FE9"/>
    <w:rsid w:val="00617C29"/>
    <w:rsid w:val="006220FF"/>
    <w:rsid w:val="006228C5"/>
    <w:rsid w:val="00623177"/>
    <w:rsid w:val="00626D25"/>
    <w:rsid w:val="00632562"/>
    <w:rsid w:val="00633976"/>
    <w:rsid w:val="00633E89"/>
    <w:rsid w:val="0063487E"/>
    <w:rsid w:val="00635242"/>
    <w:rsid w:val="006354D3"/>
    <w:rsid w:val="00636459"/>
    <w:rsid w:val="00637596"/>
    <w:rsid w:val="00641052"/>
    <w:rsid w:val="00644349"/>
    <w:rsid w:val="00645FE8"/>
    <w:rsid w:val="0065019D"/>
    <w:rsid w:val="006515DB"/>
    <w:rsid w:val="00651AB0"/>
    <w:rsid w:val="0065346D"/>
    <w:rsid w:val="00653FDE"/>
    <w:rsid w:val="006552C8"/>
    <w:rsid w:val="00655B18"/>
    <w:rsid w:val="0066212D"/>
    <w:rsid w:val="00664032"/>
    <w:rsid w:val="006663CA"/>
    <w:rsid w:val="0066791C"/>
    <w:rsid w:val="0066793C"/>
    <w:rsid w:val="00674B93"/>
    <w:rsid w:val="00676AF9"/>
    <w:rsid w:val="006771E3"/>
    <w:rsid w:val="006772A2"/>
    <w:rsid w:val="00680930"/>
    <w:rsid w:val="00682B76"/>
    <w:rsid w:val="006861FA"/>
    <w:rsid w:val="006869B5"/>
    <w:rsid w:val="00687C7C"/>
    <w:rsid w:val="00691FDA"/>
    <w:rsid w:val="00692E3E"/>
    <w:rsid w:val="00694153"/>
    <w:rsid w:val="0069460C"/>
    <w:rsid w:val="006954BC"/>
    <w:rsid w:val="006A005D"/>
    <w:rsid w:val="006A0714"/>
    <w:rsid w:val="006A2C44"/>
    <w:rsid w:val="006A3E2D"/>
    <w:rsid w:val="006A7864"/>
    <w:rsid w:val="006B0612"/>
    <w:rsid w:val="006B2DFE"/>
    <w:rsid w:val="006B50E8"/>
    <w:rsid w:val="006B629F"/>
    <w:rsid w:val="006B7DE7"/>
    <w:rsid w:val="006C13BF"/>
    <w:rsid w:val="006C2FE9"/>
    <w:rsid w:val="006C773F"/>
    <w:rsid w:val="006C7D49"/>
    <w:rsid w:val="006D2CFC"/>
    <w:rsid w:val="006D2E25"/>
    <w:rsid w:val="006D2F3E"/>
    <w:rsid w:val="006D3697"/>
    <w:rsid w:val="006D384B"/>
    <w:rsid w:val="006D38B1"/>
    <w:rsid w:val="006D3C17"/>
    <w:rsid w:val="006D68C8"/>
    <w:rsid w:val="006E04DD"/>
    <w:rsid w:val="006E0E78"/>
    <w:rsid w:val="006E12A1"/>
    <w:rsid w:val="006E175B"/>
    <w:rsid w:val="006E43D5"/>
    <w:rsid w:val="006E59A8"/>
    <w:rsid w:val="006F0249"/>
    <w:rsid w:val="006F10EA"/>
    <w:rsid w:val="006F1404"/>
    <w:rsid w:val="006F2B77"/>
    <w:rsid w:val="006F324E"/>
    <w:rsid w:val="006F3487"/>
    <w:rsid w:val="006F5C19"/>
    <w:rsid w:val="006F5FE7"/>
    <w:rsid w:val="006F60DA"/>
    <w:rsid w:val="006F6520"/>
    <w:rsid w:val="006F7393"/>
    <w:rsid w:val="00700704"/>
    <w:rsid w:val="00700E85"/>
    <w:rsid w:val="00701501"/>
    <w:rsid w:val="00705E08"/>
    <w:rsid w:val="00710B17"/>
    <w:rsid w:val="00710CE3"/>
    <w:rsid w:val="007114B6"/>
    <w:rsid w:val="0071171E"/>
    <w:rsid w:val="007121EF"/>
    <w:rsid w:val="0071586C"/>
    <w:rsid w:val="007172D2"/>
    <w:rsid w:val="00720A51"/>
    <w:rsid w:val="00720C39"/>
    <w:rsid w:val="007272A7"/>
    <w:rsid w:val="00732CDD"/>
    <w:rsid w:val="00736DBA"/>
    <w:rsid w:val="00740BC6"/>
    <w:rsid w:val="00744323"/>
    <w:rsid w:val="007454F2"/>
    <w:rsid w:val="00747DEE"/>
    <w:rsid w:val="007516D0"/>
    <w:rsid w:val="00751CE0"/>
    <w:rsid w:val="007535C9"/>
    <w:rsid w:val="00753A3F"/>
    <w:rsid w:val="0075421A"/>
    <w:rsid w:val="00754FD3"/>
    <w:rsid w:val="00757A01"/>
    <w:rsid w:val="00762CDE"/>
    <w:rsid w:val="00766B36"/>
    <w:rsid w:val="00767272"/>
    <w:rsid w:val="0077246E"/>
    <w:rsid w:val="00772949"/>
    <w:rsid w:val="00772CFC"/>
    <w:rsid w:val="00776CD8"/>
    <w:rsid w:val="0078110D"/>
    <w:rsid w:val="00781A81"/>
    <w:rsid w:val="00783095"/>
    <w:rsid w:val="00785AF3"/>
    <w:rsid w:val="00787193"/>
    <w:rsid w:val="007923F1"/>
    <w:rsid w:val="0079328F"/>
    <w:rsid w:val="007939B6"/>
    <w:rsid w:val="00794EFF"/>
    <w:rsid w:val="00794F1B"/>
    <w:rsid w:val="00796894"/>
    <w:rsid w:val="007A32D3"/>
    <w:rsid w:val="007A40D1"/>
    <w:rsid w:val="007A5552"/>
    <w:rsid w:val="007A5EEF"/>
    <w:rsid w:val="007B6775"/>
    <w:rsid w:val="007C06FD"/>
    <w:rsid w:val="007C404E"/>
    <w:rsid w:val="007C51D9"/>
    <w:rsid w:val="007C615B"/>
    <w:rsid w:val="007D0068"/>
    <w:rsid w:val="007D143B"/>
    <w:rsid w:val="007D2958"/>
    <w:rsid w:val="007D2DA0"/>
    <w:rsid w:val="007D322F"/>
    <w:rsid w:val="007D3B62"/>
    <w:rsid w:val="007D79D2"/>
    <w:rsid w:val="007D7E84"/>
    <w:rsid w:val="007E48E1"/>
    <w:rsid w:val="007E7042"/>
    <w:rsid w:val="007E7B4E"/>
    <w:rsid w:val="007F02A4"/>
    <w:rsid w:val="007F1493"/>
    <w:rsid w:val="007F2184"/>
    <w:rsid w:val="007F479E"/>
    <w:rsid w:val="0080315B"/>
    <w:rsid w:val="00806E0D"/>
    <w:rsid w:val="00823FCA"/>
    <w:rsid w:val="00824890"/>
    <w:rsid w:val="008251D8"/>
    <w:rsid w:val="00836D5A"/>
    <w:rsid w:val="00836E65"/>
    <w:rsid w:val="008418E5"/>
    <w:rsid w:val="008418FC"/>
    <w:rsid w:val="0084410C"/>
    <w:rsid w:val="00851E2B"/>
    <w:rsid w:val="00854D84"/>
    <w:rsid w:val="0085780E"/>
    <w:rsid w:val="008618BE"/>
    <w:rsid w:val="00861DA4"/>
    <w:rsid w:val="00861DF9"/>
    <w:rsid w:val="00862D6B"/>
    <w:rsid w:val="0086399B"/>
    <w:rsid w:val="00863BD5"/>
    <w:rsid w:val="00863CD4"/>
    <w:rsid w:val="00864EB7"/>
    <w:rsid w:val="00865E54"/>
    <w:rsid w:val="0086657E"/>
    <w:rsid w:val="00867F55"/>
    <w:rsid w:val="008733E6"/>
    <w:rsid w:val="00873D8A"/>
    <w:rsid w:val="00874177"/>
    <w:rsid w:val="00874953"/>
    <w:rsid w:val="00890670"/>
    <w:rsid w:val="00890D5E"/>
    <w:rsid w:val="00891035"/>
    <w:rsid w:val="008927B5"/>
    <w:rsid w:val="00892EA3"/>
    <w:rsid w:val="00894816"/>
    <w:rsid w:val="008A28F8"/>
    <w:rsid w:val="008A63E2"/>
    <w:rsid w:val="008A796A"/>
    <w:rsid w:val="008B3879"/>
    <w:rsid w:val="008B445B"/>
    <w:rsid w:val="008B455C"/>
    <w:rsid w:val="008B6587"/>
    <w:rsid w:val="008B6F28"/>
    <w:rsid w:val="008C17E6"/>
    <w:rsid w:val="008C36F2"/>
    <w:rsid w:val="008C42A5"/>
    <w:rsid w:val="008C508F"/>
    <w:rsid w:val="008C666D"/>
    <w:rsid w:val="008C7936"/>
    <w:rsid w:val="008D0286"/>
    <w:rsid w:val="008D0326"/>
    <w:rsid w:val="008D0D31"/>
    <w:rsid w:val="008D6CA9"/>
    <w:rsid w:val="008D6E2C"/>
    <w:rsid w:val="008D7DC6"/>
    <w:rsid w:val="008E09C6"/>
    <w:rsid w:val="008E0B49"/>
    <w:rsid w:val="008E0E89"/>
    <w:rsid w:val="008E10FA"/>
    <w:rsid w:val="008E1312"/>
    <w:rsid w:val="008E450B"/>
    <w:rsid w:val="008E4FD6"/>
    <w:rsid w:val="008E5C99"/>
    <w:rsid w:val="008E70D0"/>
    <w:rsid w:val="008F4EF2"/>
    <w:rsid w:val="008F7C99"/>
    <w:rsid w:val="009001C9"/>
    <w:rsid w:val="00906D50"/>
    <w:rsid w:val="00906FD4"/>
    <w:rsid w:val="009101FF"/>
    <w:rsid w:val="00910A53"/>
    <w:rsid w:val="00914CF8"/>
    <w:rsid w:val="00917283"/>
    <w:rsid w:val="0092068A"/>
    <w:rsid w:val="00921285"/>
    <w:rsid w:val="009252B2"/>
    <w:rsid w:val="009310EE"/>
    <w:rsid w:val="0093152B"/>
    <w:rsid w:val="00933485"/>
    <w:rsid w:val="009405E7"/>
    <w:rsid w:val="00941165"/>
    <w:rsid w:val="0094142D"/>
    <w:rsid w:val="00943CC8"/>
    <w:rsid w:val="00943E53"/>
    <w:rsid w:val="009445CA"/>
    <w:rsid w:val="00944A1C"/>
    <w:rsid w:val="00946F0A"/>
    <w:rsid w:val="00952FEB"/>
    <w:rsid w:val="00957F48"/>
    <w:rsid w:val="00960580"/>
    <w:rsid w:val="00962EE7"/>
    <w:rsid w:val="00966C36"/>
    <w:rsid w:val="00970027"/>
    <w:rsid w:val="009760CB"/>
    <w:rsid w:val="009901A1"/>
    <w:rsid w:val="009A3FA2"/>
    <w:rsid w:val="009A4572"/>
    <w:rsid w:val="009A5AF8"/>
    <w:rsid w:val="009A6585"/>
    <w:rsid w:val="009A6CC7"/>
    <w:rsid w:val="009B446B"/>
    <w:rsid w:val="009C05E9"/>
    <w:rsid w:val="009C27D2"/>
    <w:rsid w:val="009C3132"/>
    <w:rsid w:val="009C4526"/>
    <w:rsid w:val="009C4E0C"/>
    <w:rsid w:val="009C5EB5"/>
    <w:rsid w:val="009D0A13"/>
    <w:rsid w:val="009D227B"/>
    <w:rsid w:val="009D2B67"/>
    <w:rsid w:val="009D47A5"/>
    <w:rsid w:val="009D69B6"/>
    <w:rsid w:val="009E17C2"/>
    <w:rsid w:val="009E5767"/>
    <w:rsid w:val="009E6876"/>
    <w:rsid w:val="009F2D02"/>
    <w:rsid w:val="009F38D7"/>
    <w:rsid w:val="009F579E"/>
    <w:rsid w:val="009F6130"/>
    <w:rsid w:val="009F6EB0"/>
    <w:rsid w:val="009F74C2"/>
    <w:rsid w:val="00A00793"/>
    <w:rsid w:val="00A02454"/>
    <w:rsid w:val="00A0397A"/>
    <w:rsid w:val="00A04076"/>
    <w:rsid w:val="00A10010"/>
    <w:rsid w:val="00A10E1F"/>
    <w:rsid w:val="00A114B1"/>
    <w:rsid w:val="00A128E0"/>
    <w:rsid w:val="00A15866"/>
    <w:rsid w:val="00A16D50"/>
    <w:rsid w:val="00A23CCA"/>
    <w:rsid w:val="00A248FB"/>
    <w:rsid w:val="00A2609D"/>
    <w:rsid w:val="00A2772F"/>
    <w:rsid w:val="00A334E4"/>
    <w:rsid w:val="00A33661"/>
    <w:rsid w:val="00A33DF5"/>
    <w:rsid w:val="00A40462"/>
    <w:rsid w:val="00A42297"/>
    <w:rsid w:val="00A4355E"/>
    <w:rsid w:val="00A44033"/>
    <w:rsid w:val="00A44074"/>
    <w:rsid w:val="00A45203"/>
    <w:rsid w:val="00A469B4"/>
    <w:rsid w:val="00A46AA1"/>
    <w:rsid w:val="00A511AD"/>
    <w:rsid w:val="00A52673"/>
    <w:rsid w:val="00A531C3"/>
    <w:rsid w:val="00A55F7C"/>
    <w:rsid w:val="00A57BAC"/>
    <w:rsid w:val="00A6043D"/>
    <w:rsid w:val="00A61835"/>
    <w:rsid w:val="00A6304C"/>
    <w:rsid w:val="00A64AC5"/>
    <w:rsid w:val="00A705C1"/>
    <w:rsid w:val="00A70C75"/>
    <w:rsid w:val="00A733A2"/>
    <w:rsid w:val="00A7499F"/>
    <w:rsid w:val="00A801E7"/>
    <w:rsid w:val="00A806BC"/>
    <w:rsid w:val="00A80E4E"/>
    <w:rsid w:val="00A831C5"/>
    <w:rsid w:val="00A848BA"/>
    <w:rsid w:val="00A85CE8"/>
    <w:rsid w:val="00A86E3D"/>
    <w:rsid w:val="00A90619"/>
    <w:rsid w:val="00A914E9"/>
    <w:rsid w:val="00A93EC0"/>
    <w:rsid w:val="00A94A48"/>
    <w:rsid w:val="00A94E36"/>
    <w:rsid w:val="00A96447"/>
    <w:rsid w:val="00A96A71"/>
    <w:rsid w:val="00A972A4"/>
    <w:rsid w:val="00AA70E2"/>
    <w:rsid w:val="00AB155F"/>
    <w:rsid w:val="00AB30CF"/>
    <w:rsid w:val="00AB40A9"/>
    <w:rsid w:val="00AC1113"/>
    <w:rsid w:val="00AC1F4C"/>
    <w:rsid w:val="00AC3C83"/>
    <w:rsid w:val="00AC54A7"/>
    <w:rsid w:val="00AC6067"/>
    <w:rsid w:val="00AC6745"/>
    <w:rsid w:val="00AC6E5D"/>
    <w:rsid w:val="00AD3391"/>
    <w:rsid w:val="00AD40B2"/>
    <w:rsid w:val="00AE20FB"/>
    <w:rsid w:val="00AE290D"/>
    <w:rsid w:val="00AE3923"/>
    <w:rsid w:val="00AE47F6"/>
    <w:rsid w:val="00AF4238"/>
    <w:rsid w:val="00AF5FC0"/>
    <w:rsid w:val="00AF62CC"/>
    <w:rsid w:val="00AF63EA"/>
    <w:rsid w:val="00B00632"/>
    <w:rsid w:val="00B010E8"/>
    <w:rsid w:val="00B051A8"/>
    <w:rsid w:val="00B13181"/>
    <w:rsid w:val="00B16875"/>
    <w:rsid w:val="00B219F2"/>
    <w:rsid w:val="00B23445"/>
    <w:rsid w:val="00B241DE"/>
    <w:rsid w:val="00B262FD"/>
    <w:rsid w:val="00B30601"/>
    <w:rsid w:val="00B32996"/>
    <w:rsid w:val="00B33E15"/>
    <w:rsid w:val="00B371BC"/>
    <w:rsid w:val="00B37A46"/>
    <w:rsid w:val="00B401EC"/>
    <w:rsid w:val="00B406E2"/>
    <w:rsid w:val="00B40E5D"/>
    <w:rsid w:val="00B41507"/>
    <w:rsid w:val="00B428F4"/>
    <w:rsid w:val="00B43878"/>
    <w:rsid w:val="00B44FB1"/>
    <w:rsid w:val="00B46636"/>
    <w:rsid w:val="00B50814"/>
    <w:rsid w:val="00B50BB3"/>
    <w:rsid w:val="00B5162C"/>
    <w:rsid w:val="00B524A4"/>
    <w:rsid w:val="00B55DDC"/>
    <w:rsid w:val="00B66DDD"/>
    <w:rsid w:val="00B67B97"/>
    <w:rsid w:val="00B7377B"/>
    <w:rsid w:val="00B75DD9"/>
    <w:rsid w:val="00B77E42"/>
    <w:rsid w:val="00B8012B"/>
    <w:rsid w:val="00B81FED"/>
    <w:rsid w:val="00B845F6"/>
    <w:rsid w:val="00B85EE4"/>
    <w:rsid w:val="00B86EF4"/>
    <w:rsid w:val="00B91AD9"/>
    <w:rsid w:val="00B93A4F"/>
    <w:rsid w:val="00B946B2"/>
    <w:rsid w:val="00B94FFF"/>
    <w:rsid w:val="00B95B20"/>
    <w:rsid w:val="00B97032"/>
    <w:rsid w:val="00BA1C5C"/>
    <w:rsid w:val="00BA3DE1"/>
    <w:rsid w:val="00BA45E7"/>
    <w:rsid w:val="00BA4C2A"/>
    <w:rsid w:val="00BA5695"/>
    <w:rsid w:val="00BB036D"/>
    <w:rsid w:val="00BB1AB4"/>
    <w:rsid w:val="00BB1FC4"/>
    <w:rsid w:val="00BB4907"/>
    <w:rsid w:val="00BB6201"/>
    <w:rsid w:val="00BB70B3"/>
    <w:rsid w:val="00BB7D46"/>
    <w:rsid w:val="00BC001C"/>
    <w:rsid w:val="00BC1B4F"/>
    <w:rsid w:val="00BC1FD7"/>
    <w:rsid w:val="00BC360E"/>
    <w:rsid w:val="00BC6CA5"/>
    <w:rsid w:val="00BC7989"/>
    <w:rsid w:val="00BD11FD"/>
    <w:rsid w:val="00BD3085"/>
    <w:rsid w:val="00BD4CEA"/>
    <w:rsid w:val="00BD6511"/>
    <w:rsid w:val="00BD76C8"/>
    <w:rsid w:val="00BD7A50"/>
    <w:rsid w:val="00BE36AA"/>
    <w:rsid w:val="00BE55BE"/>
    <w:rsid w:val="00BE5FCB"/>
    <w:rsid w:val="00BE723C"/>
    <w:rsid w:val="00BF28AB"/>
    <w:rsid w:val="00C01EA5"/>
    <w:rsid w:val="00C03561"/>
    <w:rsid w:val="00C0376D"/>
    <w:rsid w:val="00C03919"/>
    <w:rsid w:val="00C03CAD"/>
    <w:rsid w:val="00C04092"/>
    <w:rsid w:val="00C04B60"/>
    <w:rsid w:val="00C0572F"/>
    <w:rsid w:val="00C058F6"/>
    <w:rsid w:val="00C12C25"/>
    <w:rsid w:val="00C13DF0"/>
    <w:rsid w:val="00C14193"/>
    <w:rsid w:val="00C14FBB"/>
    <w:rsid w:val="00C17738"/>
    <w:rsid w:val="00C17AD8"/>
    <w:rsid w:val="00C2330B"/>
    <w:rsid w:val="00C23A79"/>
    <w:rsid w:val="00C23DE7"/>
    <w:rsid w:val="00C26323"/>
    <w:rsid w:val="00C30CE4"/>
    <w:rsid w:val="00C3358D"/>
    <w:rsid w:val="00C378D0"/>
    <w:rsid w:val="00C37FDB"/>
    <w:rsid w:val="00C40364"/>
    <w:rsid w:val="00C40D30"/>
    <w:rsid w:val="00C4390C"/>
    <w:rsid w:val="00C44AC9"/>
    <w:rsid w:val="00C45F56"/>
    <w:rsid w:val="00C518D5"/>
    <w:rsid w:val="00C56714"/>
    <w:rsid w:val="00C61317"/>
    <w:rsid w:val="00C63894"/>
    <w:rsid w:val="00C655E8"/>
    <w:rsid w:val="00C66E89"/>
    <w:rsid w:val="00C70EDB"/>
    <w:rsid w:val="00C7117A"/>
    <w:rsid w:val="00C73C3C"/>
    <w:rsid w:val="00C74183"/>
    <w:rsid w:val="00C800CB"/>
    <w:rsid w:val="00C803A5"/>
    <w:rsid w:val="00C82554"/>
    <w:rsid w:val="00C82C14"/>
    <w:rsid w:val="00C85078"/>
    <w:rsid w:val="00C85428"/>
    <w:rsid w:val="00C862F8"/>
    <w:rsid w:val="00C86E94"/>
    <w:rsid w:val="00C908DB"/>
    <w:rsid w:val="00C931B6"/>
    <w:rsid w:val="00C93B23"/>
    <w:rsid w:val="00C94329"/>
    <w:rsid w:val="00CA0FA9"/>
    <w:rsid w:val="00CA1D85"/>
    <w:rsid w:val="00CA2293"/>
    <w:rsid w:val="00CA262F"/>
    <w:rsid w:val="00CA57BA"/>
    <w:rsid w:val="00CB4325"/>
    <w:rsid w:val="00CB54CC"/>
    <w:rsid w:val="00CB7EF0"/>
    <w:rsid w:val="00CC069F"/>
    <w:rsid w:val="00CC4851"/>
    <w:rsid w:val="00CC6833"/>
    <w:rsid w:val="00CD4ED5"/>
    <w:rsid w:val="00CD53CA"/>
    <w:rsid w:val="00CD7291"/>
    <w:rsid w:val="00CE02D2"/>
    <w:rsid w:val="00CE061B"/>
    <w:rsid w:val="00CE1628"/>
    <w:rsid w:val="00CE3A66"/>
    <w:rsid w:val="00CE3AFA"/>
    <w:rsid w:val="00CE4DCB"/>
    <w:rsid w:val="00CF1863"/>
    <w:rsid w:val="00CF2BAB"/>
    <w:rsid w:val="00CF54D1"/>
    <w:rsid w:val="00D010F1"/>
    <w:rsid w:val="00D01109"/>
    <w:rsid w:val="00D02CF4"/>
    <w:rsid w:val="00D06971"/>
    <w:rsid w:val="00D06B34"/>
    <w:rsid w:val="00D06EA7"/>
    <w:rsid w:val="00D07E03"/>
    <w:rsid w:val="00D13BDB"/>
    <w:rsid w:val="00D2288B"/>
    <w:rsid w:val="00D2696F"/>
    <w:rsid w:val="00D27760"/>
    <w:rsid w:val="00D27A8A"/>
    <w:rsid w:val="00D30F60"/>
    <w:rsid w:val="00D354FD"/>
    <w:rsid w:val="00D3570E"/>
    <w:rsid w:val="00D37026"/>
    <w:rsid w:val="00D41A38"/>
    <w:rsid w:val="00D41A54"/>
    <w:rsid w:val="00D422B1"/>
    <w:rsid w:val="00D45250"/>
    <w:rsid w:val="00D45488"/>
    <w:rsid w:val="00D467C6"/>
    <w:rsid w:val="00D477A8"/>
    <w:rsid w:val="00D50006"/>
    <w:rsid w:val="00D51E05"/>
    <w:rsid w:val="00D54D0E"/>
    <w:rsid w:val="00D57B37"/>
    <w:rsid w:val="00D60229"/>
    <w:rsid w:val="00D614B8"/>
    <w:rsid w:val="00D63CF0"/>
    <w:rsid w:val="00D63F09"/>
    <w:rsid w:val="00D654B3"/>
    <w:rsid w:val="00D65923"/>
    <w:rsid w:val="00D65D16"/>
    <w:rsid w:val="00D66AFA"/>
    <w:rsid w:val="00D74CB8"/>
    <w:rsid w:val="00D761B6"/>
    <w:rsid w:val="00D76D1C"/>
    <w:rsid w:val="00D76DB8"/>
    <w:rsid w:val="00D838A7"/>
    <w:rsid w:val="00D85A3F"/>
    <w:rsid w:val="00D868FB"/>
    <w:rsid w:val="00D86C43"/>
    <w:rsid w:val="00D86FEA"/>
    <w:rsid w:val="00D90360"/>
    <w:rsid w:val="00D925D7"/>
    <w:rsid w:val="00D94038"/>
    <w:rsid w:val="00DA094B"/>
    <w:rsid w:val="00DA1ED0"/>
    <w:rsid w:val="00DA3335"/>
    <w:rsid w:val="00DA3D69"/>
    <w:rsid w:val="00DA430D"/>
    <w:rsid w:val="00DA5163"/>
    <w:rsid w:val="00DA66D7"/>
    <w:rsid w:val="00DA72B7"/>
    <w:rsid w:val="00DB1053"/>
    <w:rsid w:val="00DB192A"/>
    <w:rsid w:val="00DB40BF"/>
    <w:rsid w:val="00DB7463"/>
    <w:rsid w:val="00DC090B"/>
    <w:rsid w:val="00DC12E4"/>
    <w:rsid w:val="00DC297D"/>
    <w:rsid w:val="00DC3243"/>
    <w:rsid w:val="00DC5084"/>
    <w:rsid w:val="00DC5620"/>
    <w:rsid w:val="00DC6EA0"/>
    <w:rsid w:val="00DD020B"/>
    <w:rsid w:val="00DD053A"/>
    <w:rsid w:val="00DD2547"/>
    <w:rsid w:val="00DD6D12"/>
    <w:rsid w:val="00DD7859"/>
    <w:rsid w:val="00DE391B"/>
    <w:rsid w:val="00DE608E"/>
    <w:rsid w:val="00DE775F"/>
    <w:rsid w:val="00DF08BA"/>
    <w:rsid w:val="00DF0974"/>
    <w:rsid w:val="00DF2688"/>
    <w:rsid w:val="00DF26E1"/>
    <w:rsid w:val="00DF3972"/>
    <w:rsid w:val="00DF39F5"/>
    <w:rsid w:val="00DF4B76"/>
    <w:rsid w:val="00DF4D13"/>
    <w:rsid w:val="00E05C97"/>
    <w:rsid w:val="00E109B6"/>
    <w:rsid w:val="00E11F39"/>
    <w:rsid w:val="00E14394"/>
    <w:rsid w:val="00E14693"/>
    <w:rsid w:val="00E147FA"/>
    <w:rsid w:val="00E14AE5"/>
    <w:rsid w:val="00E15D66"/>
    <w:rsid w:val="00E16E1F"/>
    <w:rsid w:val="00E16E9D"/>
    <w:rsid w:val="00E305D1"/>
    <w:rsid w:val="00E31B73"/>
    <w:rsid w:val="00E323A1"/>
    <w:rsid w:val="00E34A6F"/>
    <w:rsid w:val="00E3691B"/>
    <w:rsid w:val="00E3697B"/>
    <w:rsid w:val="00E36F96"/>
    <w:rsid w:val="00E41DD8"/>
    <w:rsid w:val="00E47B98"/>
    <w:rsid w:val="00E52929"/>
    <w:rsid w:val="00E52B61"/>
    <w:rsid w:val="00E52BA8"/>
    <w:rsid w:val="00E561DC"/>
    <w:rsid w:val="00E56835"/>
    <w:rsid w:val="00E56F54"/>
    <w:rsid w:val="00E57675"/>
    <w:rsid w:val="00E60B23"/>
    <w:rsid w:val="00E645B5"/>
    <w:rsid w:val="00E64C28"/>
    <w:rsid w:val="00E65950"/>
    <w:rsid w:val="00E65E00"/>
    <w:rsid w:val="00E73280"/>
    <w:rsid w:val="00E75181"/>
    <w:rsid w:val="00E75573"/>
    <w:rsid w:val="00E7573A"/>
    <w:rsid w:val="00E76081"/>
    <w:rsid w:val="00E7797A"/>
    <w:rsid w:val="00E8182E"/>
    <w:rsid w:val="00E86BB6"/>
    <w:rsid w:val="00E87654"/>
    <w:rsid w:val="00E9039A"/>
    <w:rsid w:val="00E906EF"/>
    <w:rsid w:val="00E90BC9"/>
    <w:rsid w:val="00E9204D"/>
    <w:rsid w:val="00E941A4"/>
    <w:rsid w:val="00E95158"/>
    <w:rsid w:val="00E96CE7"/>
    <w:rsid w:val="00EA075C"/>
    <w:rsid w:val="00EA12C1"/>
    <w:rsid w:val="00EA1752"/>
    <w:rsid w:val="00EA1EDF"/>
    <w:rsid w:val="00EA2B83"/>
    <w:rsid w:val="00EA5CC6"/>
    <w:rsid w:val="00EB08F3"/>
    <w:rsid w:val="00EB0E90"/>
    <w:rsid w:val="00EB2F3A"/>
    <w:rsid w:val="00EB5786"/>
    <w:rsid w:val="00EB6518"/>
    <w:rsid w:val="00EB7303"/>
    <w:rsid w:val="00EC1213"/>
    <w:rsid w:val="00EC1C81"/>
    <w:rsid w:val="00EC3279"/>
    <w:rsid w:val="00EC6DA3"/>
    <w:rsid w:val="00ED07AF"/>
    <w:rsid w:val="00ED0A26"/>
    <w:rsid w:val="00ED13BB"/>
    <w:rsid w:val="00ED6AF6"/>
    <w:rsid w:val="00ED7A75"/>
    <w:rsid w:val="00EE2926"/>
    <w:rsid w:val="00EF0B42"/>
    <w:rsid w:val="00EF0F65"/>
    <w:rsid w:val="00EF2B87"/>
    <w:rsid w:val="00EF49DF"/>
    <w:rsid w:val="00EF5386"/>
    <w:rsid w:val="00EF5E30"/>
    <w:rsid w:val="00EF6B54"/>
    <w:rsid w:val="00EF6D7D"/>
    <w:rsid w:val="00EF7458"/>
    <w:rsid w:val="00EF7BB1"/>
    <w:rsid w:val="00F06B97"/>
    <w:rsid w:val="00F12CBF"/>
    <w:rsid w:val="00F15092"/>
    <w:rsid w:val="00F1611B"/>
    <w:rsid w:val="00F17004"/>
    <w:rsid w:val="00F17080"/>
    <w:rsid w:val="00F205AD"/>
    <w:rsid w:val="00F21839"/>
    <w:rsid w:val="00F24DEF"/>
    <w:rsid w:val="00F2639D"/>
    <w:rsid w:val="00F2792A"/>
    <w:rsid w:val="00F27D7F"/>
    <w:rsid w:val="00F27E5E"/>
    <w:rsid w:val="00F30562"/>
    <w:rsid w:val="00F31764"/>
    <w:rsid w:val="00F31BDE"/>
    <w:rsid w:val="00F328CD"/>
    <w:rsid w:val="00F3411A"/>
    <w:rsid w:val="00F34B20"/>
    <w:rsid w:val="00F35726"/>
    <w:rsid w:val="00F35B71"/>
    <w:rsid w:val="00F40F30"/>
    <w:rsid w:val="00F426E8"/>
    <w:rsid w:val="00F42A12"/>
    <w:rsid w:val="00F471F9"/>
    <w:rsid w:val="00F556B2"/>
    <w:rsid w:val="00F55C9E"/>
    <w:rsid w:val="00F606DA"/>
    <w:rsid w:val="00F650AC"/>
    <w:rsid w:val="00F6612B"/>
    <w:rsid w:val="00F668A8"/>
    <w:rsid w:val="00F67901"/>
    <w:rsid w:val="00F72870"/>
    <w:rsid w:val="00F73AC5"/>
    <w:rsid w:val="00F7580A"/>
    <w:rsid w:val="00F768B3"/>
    <w:rsid w:val="00F76C9B"/>
    <w:rsid w:val="00F81937"/>
    <w:rsid w:val="00F82A4B"/>
    <w:rsid w:val="00F83DE6"/>
    <w:rsid w:val="00F8480C"/>
    <w:rsid w:val="00F84B51"/>
    <w:rsid w:val="00F85392"/>
    <w:rsid w:val="00F863BA"/>
    <w:rsid w:val="00F866E9"/>
    <w:rsid w:val="00F86FB9"/>
    <w:rsid w:val="00F872F3"/>
    <w:rsid w:val="00F93341"/>
    <w:rsid w:val="00F9451C"/>
    <w:rsid w:val="00F94D3A"/>
    <w:rsid w:val="00F9542E"/>
    <w:rsid w:val="00F95F05"/>
    <w:rsid w:val="00F9732A"/>
    <w:rsid w:val="00FA00AD"/>
    <w:rsid w:val="00FA2D82"/>
    <w:rsid w:val="00FA766D"/>
    <w:rsid w:val="00FA7693"/>
    <w:rsid w:val="00FB12D4"/>
    <w:rsid w:val="00FB13F3"/>
    <w:rsid w:val="00FB1DB8"/>
    <w:rsid w:val="00FB2E6B"/>
    <w:rsid w:val="00FB3DE8"/>
    <w:rsid w:val="00FB6200"/>
    <w:rsid w:val="00FC0796"/>
    <w:rsid w:val="00FC0F9B"/>
    <w:rsid w:val="00FC23D6"/>
    <w:rsid w:val="00FC4468"/>
    <w:rsid w:val="00FC53AC"/>
    <w:rsid w:val="00FD73AA"/>
    <w:rsid w:val="00FE3E04"/>
    <w:rsid w:val="00FE558E"/>
    <w:rsid w:val="00FE5CE7"/>
    <w:rsid w:val="00FF021A"/>
    <w:rsid w:val="00FF0E78"/>
    <w:rsid w:val="00FF31A7"/>
    <w:rsid w:val="00FF467D"/>
    <w:rsid w:val="00FF46A9"/>
    <w:rsid w:val="00FF6166"/>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paragraph" w:styleId="Heading1">
    <w:name w:val="heading 1"/>
    <w:basedOn w:val="Normal"/>
    <w:next w:val="Normal"/>
    <w:link w:val="Heading1Char"/>
    <w:qFormat/>
    <w:rsid w:val="00126B45"/>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aliases w:val="Car"/>
    <w:basedOn w:val="Normal"/>
    <w:link w:val="FootnoteTextChar"/>
    <w:qFormat/>
    <w:rsid w:val="00C74183"/>
    <w:rPr>
      <w:sz w:val="20"/>
      <w:szCs w:val="20"/>
    </w:rPr>
  </w:style>
  <w:style w:type="character" w:styleId="FootnoteReference">
    <w:name w:val="footnote reference"/>
    <w:basedOn w:val="DefaultParagraphFont"/>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character" w:customStyle="1" w:styleId="Heading1Char">
    <w:name w:val="Heading 1 Char"/>
    <w:basedOn w:val="DefaultParagraphFont"/>
    <w:link w:val="Heading1"/>
    <w:rsid w:val="00126B45"/>
    <w:rPr>
      <w:sz w:val="26"/>
      <w:u w:val="single"/>
    </w:rPr>
  </w:style>
  <w:style w:type="character" w:customStyle="1" w:styleId="FootnoteTextChar">
    <w:name w:val="Footnote Text Char"/>
    <w:aliases w:val="Car Char"/>
    <w:basedOn w:val="DefaultParagraphFont"/>
    <w:link w:val="FootnoteText"/>
    <w:uiPriority w:val="99"/>
    <w:rsid w:val="00126B45"/>
  </w:style>
  <w:style w:type="paragraph" w:styleId="BalloonText">
    <w:name w:val="Balloon Text"/>
    <w:basedOn w:val="Normal"/>
    <w:link w:val="BalloonTextChar"/>
    <w:rsid w:val="0080315B"/>
    <w:rPr>
      <w:rFonts w:ascii="Tahoma" w:hAnsi="Tahoma" w:cs="Tahoma"/>
      <w:sz w:val="16"/>
      <w:szCs w:val="16"/>
    </w:rPr>
  </w:style>
  <w:style w:type="character" w:customStyle="1" w:styleId="BalloonTextChar">
    <w:name w:val="Balloon Text Char"/>
    <w:basedOn w:val="DefaultParagraphFont"/>
    <w:link w:val="BalloonText"/>
    <w:rsid w:val="0080315B"/>
    <w:rPr>
      <w:rFonts w:ascii="Tahoma" w:hAnsi="Tahoma" w:cs="Tahoma"/>
      <w:sz w:val="16"/>
      <w:szCs w:val="16"/>
    </w:rPr>
  </w:style>
  <w:style w:type="paragraph" w:styleId="PlainText">
    <w:name w:val="Plain Text"/>
    <w:basedOn w:val="Normal"/>
    <w:link w:val="PlainTextChar"/>
    <w:uiPriority w:val="99"/>
    <w:unhideWhenUsed/>
    <w:rsid w:val="00D63F0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63F09"/>
    <w:rPr>
      <w:rFonts w:ascii="Calibri" w:eastAsiaTheme="minorHAnsi" w:hAnsi="Calibri" w:cstheme="minorBidi"/>
      <w:sz w:val="22"/>
      <w:szCs w:val="21"/>
    </w:rPr>
  </w:style>
  <w:style w:type="paragraph" w:styleId="ListParagraph">
    <w:name w:val="List Paragraph"/>
    <w:basedOn w:val="Normal"/>
    <w:uiPriority w:val="34"/>
    <w:qFormat/>
    <w:rsid w:val="00DE391B"/>
    <w:pPr>
      <w:ind w:left="720"/>
      <w:contextualSpacing/>
    </w:pPr>
  </w:style>
  <w:style w:type="paragraph" w:customStyle="1" w:styleId="Style">
    <w:name w:val="Style"/>
    <w:rsid w:val="005C4542"/>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paragraph" w:styleId="Heading1">
    <w:name w:val="heading 1"/>
    <w:basedOn w:val="Normal"/>
    <w:next w:val="Normal"/>
    <w:link w:val="Heading1Char"/>
    <w:qFormat/>
    <w:rsid w:val="00126B45"/>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aliases w:val="Car"/>
    <w:basedOn w:val="Normal"/>
    <w:link w:val="FootnoteTextChar"/>
    <w:qFormat/>
    <w:rsid w:val="00C74183"/>
    <w:rPr>
      <w:sz w:val="20"/>
      <w:szCs w:val="20"/>
    </w:rPr>
  </w:style>
  <w:style w:type="character" w:styleId="FootnoteReference">
    <w:name w:val="footnote reference"/>
    <w:basedOn w:val="DefaultParagraphFont"/>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character" w:customStyle="1" w:styleId="Heading1Char">
    <w:name w:val="Heading 1 Char"/>
    <w:basedOn w:val="DefaultParagraphFont"/>
    <w:link w:val="Heading1"/>
    <w:rsid w:val="00126B45"/>
    <w:rPr>
      <w:sz w:val="26"/>
      <w:u w:val="single"/>
    </w:rPr>
  </w:style>
  <w:style w:type="character" w:customStyle="1" w:styleId="FootnoteTextChar">
    <w:name w:val="Footnote Text Char"/>
    <w:aliases w:val="Car Char"/>
    <w:basedOn w:val="DefaultParagraphFont"/>
    <w:link w:val="FootnoteText"/>
    <w:uiPriority w:val="99"/>
    <w:rsid w:val="00126B45"/>
  </w:style>
  <w:style w:type="paragraph" w:styleId="BalloonText">
    <w:name w:val="Balloon Text"/>
    <w:basedOn w:val="Normal"/>
    <w:link w:val="BalloonTextChar"/>
    <w:rsid w:val="0080315B"/>
    <w:rPr>
      <w:rFonts w:ascii="Tahoma" w:hAnsi="Tahoma" w:cs="Tahoma"/>
      <w:sz w:val="16"/>
      <w:szCs w:val="16"/>
    </w:rPr>
  </w:style>
  <w:style w:type="character" w:customStyle="1" w:styleId="BalloonTextChar">
    <w:name w:val="Balloon Text Char"/>
    <w:basedOn w:val="DefaultParagraphFont"/>
    <w:link w:val="BalloonText"/>
    <w:rsid w:val="0080315B"/>
    <w:rPr>
      <w:rFonts w:ascii="Tahoma" w:hAnsi="Tahoma" w:cs="Tahoma"/>
      <w:sz w:val="16"/>
      <w:szCs w:val="16"/>
    </w:rPr>
  </w:style>
  <w:style w:type="paragraph" w:styleId="PlainText">
    <w:name w:val="Plain Text"/>
    <w:basedOn w:val="Normal"/>
    <w:link w:val="PlainTextChar"/>
    <w:uiPriority w:val="99"/>
    <w:unhideWhenUsed/>
    <w:rsid w:val="00D63F0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63F09"/>
    <w:rPr>
      <w:rFonts w:ascii="Calibri" w:eastAsiaTheme="minorHAnsi" w:hAnsi="Calibri" w:cstheme="minorBidi"/>
      <w:sz w:val="22"/>
      <w:szCs w:val="21"/>
    </w:rPr>
  </w:style>
  <w:style w:type="paragraph" w:styleId="ListParagraph">
    <w:name w:val="List Paragraph"/>
    <w:basedOn w:val="Normal"/>
    <w:uiPriority w:val="34"/>
    <w:qFormat/>
    <w:rsid w:val="00DE391B"/>
    <w:pPr>
      <w:ind w:left="720"/>
      <w:contextualSpacing/>
    </w:pPr>
  </w:style>
  <w:style w:type="paragraph" w:customStyle="1" w:styleId="Style">
    <w:name w:val="Style"/>
    <w:rsid w:val="005C4542"/>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90775">
      <w:bodyDiv w:val="1"/>
      <w:marLeft w:val="0"/>
      <w:marRight w:val="0"/>
      <w:marTop w:val="0"/>
      <w:marBottom w:val="0"/>
      <w:divBdr>
        <w:top w:val="none" w:sz="0" w:space="0" w:color="auto"/>
        <w:left w:val="none" w:sz="0" w:space="0" w:color="auto"/>
        <w:bottom w:val="none" w:sz="0" w:space="0" w:color="auto"/>
        <w:right w:val="none" w:sz="0" w:space="0" w:color="auto"/>
      </w:divBdr>
    </w:div>
    <w:div w:id="527137889">
      <w:bodyDiv w:val="1"/>
      <w:marLeft w:val="0"/>
      <w:marRight w:val="0"/>
      <w:marTop w:val="0"/>
      <w:marBottom w:val="0"/>
      <w:divBdr>
        <w:top w:val="none" w:sz="0" w:space="0" w:color="auto"/>
        <w:left w:val="none" w:sz="0" w:space="0" w:color="auto"/>
        <w:bottom w:val="none" w:sz="0" w:space="0" w:color="auto"/>
        <w:right w:val="none" w:sz="0" w:space="0" w:color="auto"/>
      </w:divBdr>
    </w:div>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B568F-0EBD-4F65-918A-EE74366E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22</Pages>
  <Words>6441</Words>
  <Characters>36717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56</cp:revision>
  <cp:lastPrinted>2016-03-11T17:00:00Z</cp:lastPrinted>
  <dcterms:created xsi:type="dcterms:W3CDTF">2016-03-02T17:36:00Z</dcterms:created>
  <dcterms:modified xsi:type="dcterms:W3CDTF">2016-03-11T17:02:00Z</dcterms:modified>
</cp:coreProperties>
</file>