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81411E">
        <w:rPr>
          <w:sz w:val="26"/>
          <w:szCs w:val="26"/>
        </w:rPr>
        <w:t xml:space="preserve">  </w:t>
      </w:r>
      <w:r w:rsidR="00EE1021">
        <w:rPr>
          <w:sz w:val="26"/>
          <w:szCs w:val="26"/>
        </w:rPr>
        <w:t xml:space="preserve">  </w:t>
      </w:r>
      <w:r w:rsidR="005365A5">
        <w:rPr>
          <w:sz w:val="26"/>
          <w:szCs w:val="26"/>
        </w:rPr>
        <w:t xml:space="preserve"> </w:t>
      </w:r>
      <w:r w:rsidR="009304FE">
        <w:rPr>
          <w:sz w:val="26"/>
          <w:szCs w:val="26"/>
        </w:rPr>
        <w:t>P</w:t>
      </w:r>
      <w:r w:rsidR="009304FE" w:rsidRPr="002A5D4B">
        <w:rPr>
          <w:sz w:val="26"/>
          <w:szCs w:val="26"/>
        </w:rPr>
        <w:t xml:space="preserve">ublic Meeting held </w:t>
      </w:r>
      <w:r w:rsidR="005365A5">
        <w:rPr>
          <w:sz w:val="26"/>
          <w:szCs w:val="26"/>
        </w:rPr>
        <w:t>February 11, 2016</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5365A5" w:rsidRPr="005365A5" w:rsidRDefault="005365A5" w:rsidP="005365A5">
      <w:pPr>
        <w:tabs>
          <w:tab w:val="left" w:pos="705"/>
        </w:tabs>
        <w:ind w:firstLine="720"/>
        <w:rPr>
          <w:sz w:val="26"/>
          <w:szCs w:val="26"/>
        </w:rPr>
      </w:pPr>
      <w:r w:rsidRPr="005365A5">
        <w:rPr>
          <w:sz w:val="26"/>
          <w:szCs w:val="26"/>
        </w:rPr>
        <w:t>Gladys M. Brown, Chairman</w:t>
      </w:r>
    </w:p>
    <w:p w:rsidR="005365A5" w:rsidRPr="005365A5" w:rsidRDefault="005365A5" w:rsidP="005365A5">
      <w:pPr>
        <w:tabs>
          <w:tab w:val="left" w:pos="705"/>
        </w:tabs>
        <w:ind w:firstLine="720"/>
        <w:rPr>
          <w:sz w:val="26"/>
          <w:szCs w:val="26"/>
        </w:rPr>
      </w:pPr>
      <w:r w:rsidRPr="005365A5">
        <w:rPr>
          <w:sz w:val="26"/>
          <w:szCs w:val="26"/>
        </w:rPr>
        <w:t>Andrew G. Place, Vice Chairman</w:t>
      </w:r>
    </w:p>
    <w:p w:rsidR="005365A5" w:rsidRPr="005365A5" w:rsidRDefault="005365A5" w:rsidP="005365A5">
      <w:pPr>
        <w:tabs>
          <w:tab w:val="left" w:pos="705"/>
        </w:tabs>
        <w:ind w:firstLine="720"/>
        <w:rPr>
          <w:sz w:val="26"/>
          <w:szCs w:val="26"/>
        </w:rPr>
      </w:pPr>
      <w:r w:rsidRPr="005365A5">
        <w:rPr>
          <w:sz w:val="26"/>
          <w:szCs w:val="26"/>
        </w:rPr>
        <w:t>Pamela A. Witmer</w:t>
      </w:r>
    </w:p>
    <w:p w:rsidR="005365A5" w:rsidRPr="005365A5" w:rsidRDefault="005365A5" w:rsidP="005365A5">
      <w:pPr>
        <w:tabs>
          <w:tab w:val="left" w:pos="705"/>
        </w:tabs>
        <w:ind w:firstLine="720"/>
        <w:rPr>
          <w:sz w:val="26"/>
          <w:szCs w:val="26"/>
        </w:rPr>
      </w:pPr>
      <w:r w:rsidRPr="005365A5">
        <w:rPr>
          <w:sz w:val="26"/>
          <w:szCs w:val="26"/>
        </w:rPr>
        <w:t>John F. Coleman, Jr.</w:t>
      </w:r>
    </w:p>
    <w:p w:rsidR="005365A5" w:rsidRPr="005365A5" w:rsidRDefault="005365A5" w:rsidP="005365A5">
      <w:pPr>
        <w:tabs>
          <w:tab w:val="left" w:pos="705"/>
        </w:tabs>
        <w:ind w:firstLine="720"/>
        <w:rPr>
          <w:sz w:val="26"/>
          <w:szCs w:val="26"/>
        </w:rPr>
      </w:pPr>
      <w:r w:rsidRPr="005365A5">
        <w:rPr>
          <w:sz w:val="26"/>
          <w:szCs w:val="26"/>
        </w:rPr>
        <w:t>Robert F. Powelson</w:t>
      </w:r>
    </w:p>
    <w:p w:rsidR="00AB0F2F" w:rsidRDefault="00AB0F2F" w:rsidP="00EE1021"/>
    <w:p w:rsidR="009304FE" w:rsidRDefault="009304FE" w:rsidP="009304FE"/>
    <w:p w:rsidR="00E050C0" w:rsidRPr="00E050C0" w:rsidRDefault="005365A5" w:rsidP="00E050C0">
      <w:pPr>
        <w:tabs>
          <w:tab w:val="left" w:pos="-720"/>
          <w:tab w:val="left" w:pos="0"/>
        </w:tabs>
        <w:suppressAutoHyphens/>
        <w:rPr>
          <w:sz w:val="26"/>
          <w:szCs w:val="26"/>
        </w:rPr>
      </w:pPr>
      <w:r>
        <w:rPr>
          <w:sz w:val="26"/>
          <w:szCs w:val="26"/>
        </w:rPr>
        <w:t xml:space="preserve">Janay Keys </w:t>
      </w:r>
      <w:r w:rsidR="007A692B">
        <w:rPr>
          <w:sz w:val="26"/>
          <w:szCs w:val="26"/>
        </w:rPr>
        <w:t xml:space="preserve"> </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81411E">
        <w:rPr>
          <w:sz w:val="26"/>
          <w:szCs w:val="26"/>
        </w:rPr>
        <w:t xml:space="preserve"> </w:t>
      </w:r>
      <w:r w:rsidR="005B34DD">
        <w:rPr>
          <w:sz w:val="26"/>
          <w:szCs w:val="26"/>
        </w:rPr>
        <w:t xml:space="preserve">            </w:t>
      </w:r>
      <w:r w:rsidR="007A692B">
        <w:rPr>
          <w:sz w:val="26"/>
          <w:szCs w:val="26"/>
        </w:rPr>
        <w:t>C-2014-24</w:t>
      </w:r>
      <w:r>
        <w:rPr>
          <w:sz w:val="26"/>
          <w:szCs w:val="26"/>
        </w:rPr>
        <w:t>28021</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5365A5" w:rsidP="00E050C0">
      <w:pPr>
        <w:tabs>
          <w:tab w:val="left" w:pos="-720"/>
          <w:tab w:val="left" w:pos="0"/>
        </w:tabs>
        <w:suppressAutoHyphens/>
        <w:rPr>
          <w:sz w:val="26"/>
          <w:szCs w:val="26"/>
        </w:rPr>
      </w:pPr>
      <w:r>
        <w:rPr>
          <w:sz w:val="26"/>
          <w:szCs w:val="26"/>
        </w:rPr>
        <w:t xml:space="preserve">Philadelphia Gas Works </w:t>
      </w:r>
      <w:r w:rsidR="007A692B">
        <w:rPr>
          <w:sz w:val="26"/>
          <w:szCs w:val="26"/>
        </w:rPr>
        <w:t xml:space="preserve"> </w:t>
      </w:r>
      <w:r w:rsidR="0081411E">
        <w:rPr>
          <w:sz w:val="26"/>
          <w:szCs w:val="26"/>
        </w:rPr>
        <w:t xml:space="preserve"> </w:t>
      </w:r>
      <w:r w:rsidR="00C2391E">
        <w:rPr>
          <w:sz w:val="26"/>
          <w:szCs w:val="26"/>
        </w:rPr>
        <w:t xml:space="preserve"> </w:t>
      </w:r>
      <w:r w:rsidR="003428C1">
        <w:rPr>
          <w:sz w:val="26"/>
          <w:szCs w:val="26"/>
        </w:rPr>
        <w:t xml:space="preserve"> </w:t>
      </w:r>
      <w:r w:rsidR="00EF79C5">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5B34DD"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D57A16">
        <w:rPr>
          <w:sz w:val="26"/>
          <w:szCs w:val="26"/>
        </w:rPr>
        <w:t>Dennis J. Buckley</w:t>
      </w:r>
      <w:r w:rsidR="00AA3F68">
        <w:rPr>
          <w:sz w:val="26"/>
          <w:szCs w:val="26"/>
        </w:rPr>
        <w:t xml:space="preserve">, issued on </w:t>
      </w:r>
      <w:r w:rsidR="00D57A16">
        <w:rPr>
          <w:sz w:val="26"/>
          <w:szCs w:val="26"/>
        </w:rPr>
        <w:t>December 3</w:t>
      </w:r>
      <w:r w:rsidR="00B206E5">
        <w:rPr>
          <w:sz w:val="26"/>
          <w:szCs w:val="26"/>
        </w:rPr>
        <w:t>,</w:t>
      </w:r>
      <w:r w:rsidR="00A50430">
        <w:rPr>
          <w:sz w:val="26"/>
          <w:szCs w:val="26"/>
        </w:rPr>
        <w:t xml:space="preserve"> 201</w:t>
      </w:r>
      <w:r w:rsidR="0013515F">
        <w:rPr>
          <w:sz w:val="26"/>
          <w:szCs w:val="26"/>
        </w:rPr>
        <w:t>5</w:t>
      </w:r>
      <w:r w:rsidR="00A50430">
        <w:rPr>
          <w:sz w:val="26"/>
          <w:szCs w:val="26"/>
        </w:rPr>
        <w:t>,</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w:t>
      </w:r>
    </w:p>
    <w:p w:rsidR="0067105F" w:rsidRPr="005B34DD" w:rsidRDefault="008B24E5" w:rsidP="0019214E">
      <w:pPr>
        <w:spacing w:line="360" w:lineRule="auto"/>
        <w:rPr>
          <w:sz w:val="26"/>
          <w:szCs w:val="26"/>
        </w:rPr>
      </w:pPr>
      <w:r>
        <w:rPr>
          <w:sz w:val="26"/>
          <w:szCs w:val="26"/>
        </w:rPr>
        <w:t xml:space="preserve">66 Pa. C.S. § 332(h).  </w:t>
      </w:r>
      <w:r w:rsidRPr="005B34DD">
        <w:rPr>
          <w:sz w:val="26"/>
          <w:szCs w:val="26"/>
        </w:rPr>
        <w:t xml:space="preserve">For the reasons stated below, we </w:t>
      </w:r>
      <w:r w:rsidR="009C1908" w:rsidRPr="005B34DD">
        <w:rPr>
          <w:sz w:val="26"/>
          <w:szCs w:val="26"/>
        </w:rPr>
        <w:t xml:space="preserve">shall </w:t>
      </w:r>
      <w:r w:rsidR="0037512F" w:rsidRPr="005B34DD">
        <w:rPr>
          <w:sz w:val="26"/>
          <w:szCs w:val="26"/>
        </w:rPr>
        <w:t>reverse, in part,</w:t>
      </w:r>
      <w:r w:rsidR="00306310" w:rsidRPr="005B34DD">
        <w:rPr>
          <w:sz w:val="26"/>
          <w:szCs w:val="26"/>
        </w:rPr>
        <w:t xml:space="preserve"> the ALJ’s Initial Decision</w:t>
      </w:r>
      <w:r w:rsidR="005C1345" w:rsidRPr="005B34DD">
        <w:rPr>
          <w:sz w:val="26"/>
          <w:szCs w:val="26"/>
        </w:rPr>
        <w:t xml:space="preserve"> </w:t>
      </w:r>
      <w:r w:rsidR="0037512F" w:rsidRPr="005B34DD">
        <w:rPr>
          <w:sz w:val="26"/>
          <w:szCs w:val="26"/>
        </w:rPr>
        <w:t xml:space="preserve">and remand </w:t>
      </w:r>
      <w:r w:rsidR="005B34DD">
        <w:rPr>
          <w:sz w:val="26"/>
          <w:szCs w:val="26"/>
        </w:rPr>
        <w:t xml:space="preserve">this matter for such proceedings as may be deemed necessary, </w:t>
      </w:r>
      <w:r w:rsidR="005C1345" w:rsidRPr="005B34DD">
        <w:rPr>
          <w:sz w:val="26"/>
          <w:szCs w:val="26"/>
        </w:rPr>
        <w:t xml:space="preserve">consistent with this Opinion and Order.  </w:t>
      </w:r>
      <w:r w:rsidR="00306310" w:rsidRPr="005B34DD">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0B1FAC" w:rsidRDefault="000B1FAC" w:rsidP="00B32735">
      <w:pPr>
        <w:spacing w:line="360" w:lineRule="auto"/>
        <w:jc w:val="center"/>
        <w:rPr>
          <w:b/>
          <w:sz w:val="26"/>
          <w:szCs w:val="26"/>
        </w:rPr>
      </w:pPr>
    </w:p>
    <w:p w:rsidR="000B1FAC" w:rsidRDefault="000B1FAC" w:rsidP="000B1FAC">
      <w:pPr>
        <w:tabs>
          <w:tab w:val="left" w:pos="-720"/>
        </w:tabs>
        <w:suppressAutoHyphens/>
        <w:autoSpaceDE w:val="0"/>
        <w:autoSpaceDN w:val="0"/>
        <w:spacing w:line="360" w:lineRule="auto"/>
        <w:ind w:firstLine="1440"/>
        <w:rPr>
          <w:sz w:val="26"/>
        </w:rPr>
      </w:pPr>
      <w:r w:rsidRPr="000B1FAC">
        <w:rPr>
          <w:sz w:val="26"/>
        </w:rPr>
        <w:t>On June 12, 2014, Janay Keys (Complainant</w:t>
      </w:r>
      <w:r w:rsidR="000607F2">
        <w:rPr>
          <w:sz w:val="26"/>
        </w:rPr>
        <w:t xml:space="preserve"> or Ms. Keys</w:t>
      </w:r>
      <w:r w:rsidRPr="000B1FAC">
        <w:rPr>
          <w:sz w:val="26"/>
        </w:rPr>
        <w:t xml:space="preserve">) filed a </w:t>
      </w:r>
      <w:r w:rsidR="000607F2">
        <w:rPr>
          <w:sz w:val="26"/>
        </w:rPr>
        <w:t>F</w:t>
      </w:r>
      <w:r w:rsidRPr="000B1FAC">
        <w:rPr>
          <w:sz w:val="26"/>
        </w:rPr>
        <w:t xml:space="preserve">ormal Complaint against Philadelphia Gas Works (PGW or </w:t>
      </w:r>
      <w:r w:rsidR="000607F2">
        <w:rPr>
          <w:sz w:val="26"/>
        </w:rPr>
        <w:t xml:space="preserve">the </w:t>
      </w:r>
      <w:r w:rsidRPr="000B1FAC">
        <w:rPr>
          <w:sz w:val="26"/>
        </w:rPr>
        <w:t>Respondent)</w:t>
      </w:r>
      <w:r w:rsidR="000607F2">
        <w:rPr>
          <w:sz w:val="26"/>
        </w:rPr>
        <w:t>, requesting that $4,799.93 in liens be removed from her property</w:t>
      </w:r>
      <w:r w:rsidRPr="000B1FAC">
        <w:rPr>
          <w:sz w:val="26"/>
        </w:rPr>
        <w:t>.  The Complain</w:t>
      </w:r>
      <w:r w:rsidR="000607F2">
        <w:rPr>
          <w:sz w:val="26"/>
        </w:rPr>
        <w:t>an</w:t>
      </w:r>
      <w:r w:rsidRPr="000B1FAC">
        <w:rPr>
          <w:sz w:val="26"/>
        </w:rPr>
        <w:t xml:space="preserve">t </w:t>
      </w:r>
      <w:r w:rsidR="000607F2">
        <w:rPr>
          <w:sz w:val="26"/>
        </w:rPr>
        <w:t xml:space="preserve">alleged that the arrearage on Ms. Keys’ deceased great-grandmother’s account was improperly transferred to Ms. Keys’ new account.  </w:t>
      </w:r>
    </w:p>
    <w:p w:rsidR="000607F2" w:rsidRPr="000B1FAC" w:rsidRDefault="000607F2" w:rsidP="000B1FAC">
      <w:pPr>
        <w:tabs>
          <w:tab w:val="left" w:pos="-720"/>
        </w:tabs>
        <w:suppressAutoHyphens/>
        <w:autoSpaceDE w:val="0"/>
        <w:autoSpaceDN w:val="0"/>
        <w:spacing w:line="360" w:lineRule="auto"/>
        <w:ind w:firstLine="1440"/>
        <w:rPr>
          <w:sz w:val="26"/>
        </w:rPr>
      </w:pPr>
    </w:p>
    <w:p w:rsidR="000B1FAC" w:rsidRPr="000B1FAC" w:rsidRDefault="000B1FAC" w:rsidP="000B1FAC">
      <w:pPr>
        <w:tabs>
          <w:tab w:val="left" w:pos="-720"/>
        </w:tabs>
        <w:suppressAutoHyphens/>
        <w:autoSpaceDE w:val="0"/>
        <w:autoSpaceDN w:val="0"/>
        <w:spacing w:line="360" w:lineRule="auto"/>
        <w:ind w:firstLine="1440"/>
        <w:rPr>
          <w:sz w:val="26"/>
        </w:rPr>
      </w:pPr>
      <w:r w:rsidRPr="000B1FAC">
        <w:rPr>
          <w:sz w:val="26"/>
        </w:rPr>
        <w:t>The Complaint was served on PGW on June 23, 2014.</w:t>
      </w:r>
      <w:r w:rsidR="000607F2">
        <w:rPr>
          <w:sz w:val="26"/>
        </w:rPr>
        <w:t xml:space="preserve">  </w:t>
      </w:r>
      <w:r w:rsidRPr="000B1FAC">
        <w:rPr>
          <w:sz w:val="26"/>
        </w:rPr>
        <w:t xml:space="preserve">On July 14, 2014, PGW filed </w:t>
      </w:r>
      <w:r w:rsidR="000607F2">
        <w:rPr>
          <w:sz w:val="26"/>
        </w:rPr>
        <w:t xml:space="preserve">an Answer and </w:t>
      </w:r>
      <w:r w:rsidRPr="000B1FAC">
        <w:rPr>
          <w:sz w:val="26"/>
        </w:rPr>
        <w:t>Preliminary Objections</w:t>
      </w:r>
      <w:r w:rsidR="000607F2">
        <w:rPr>
          <w:sz w:val="26"/>
        </w:rPr>
        <w:t>,</w:t>
      </w:r>
      <w:r w:rsidRPr="000B1FAC">
        <w:rPr>
          <w:sz w:val="26"/>
        </w:rPr>
        <w:t xml:space="preserve"> which contained </w:t>
      </w:r>
      <w:r w:rsidR="000607F2">
        <w:rPr>
          <w:sz w:val="26"/>
        </w:rPr>
        <w:t>a</w:t>
      </w:r>
      <w:r w:rsidRPr="000B1FAC">
        <w:rPr>
          <w:sz w:val="26"/>
        </w:rPr>
        <w:t xml:space="preserve"> Notice to Plead.  </w:t>
      </w:r>
      <w:r w:rsidR="00386A7C">
        <w:rPr>
          <w:sz w:val="26"/>
        </w:rPr>
        <w:t xml:space="preserve">In its Answer, PGW </w:t>
      </w:r>
      <w:r w:rsidRPr="000B1FAC">
        <w:rPr>
          <w:sz w:val="26"/>
        </w:rPr>
        <w:t xml:space="preserve">admitted that the City of Philadelphia (City) filed liens against the property for claims for unpaid gas service.  </w:t>
      </w:r>
      <w:r w:rsidR="00ED2183">
        <w:rPr>
          <w:sz w:val="26"/>
        </w:rPr>
        <w:t>PGW</w:t>
      </w:r>
      <w:r w:rsidRPr="000B1FAC">
        <w:rPr>
          <w:sz w:val="26"/>
        </w:rPr>
        <w:t xml:space="preserve"> denied that all past due balances </w:t>
      </w:r>
      <w:r w:rsidR="00ED2183">
        <w:rPr>
          <w:sz w:val="26"/>
        </w:rPr>
        <w:t>had</w:t>
      </w:r>
      <w:r w:rsidRPr="000B1FAC">
        <w:rPr>
          <w:sz w:val="26"/>
        </w:rPr>
        <w:t xml:space="preserve"> been satisfied and </w:t>
      </w:r>
      <w:r w:rsidR="00ED2183">
        <w:rPr>
          <w:sz w:val="26"/>
        </w:rPr>
        <w:t>requested that</w:t>
      </w:r>
      <w:r w:rsidRPr="000B1FAC">
        <w:rPr>
          <w:sz w:val="26"/>
        </w:rPr>
        <w:t xml:space="preserve"> the Commission dismiss the Complaint </w:t>
      </w:r>
      <w:r w:rsidR="00ED2183">
        <w:rPr>
          <w:sz w:val="26"/>
        </w:rPr>
        <w:t xml:space="preserve">on the </w:t>
      </w:r>
      <w:r w:rsidR="005B34DD">
        <w:rPr>
          <w:sz w:val="26"/>
        </w:rPr>
        <w:t>basis</w:t>
      </w:r>
      <w:r w:rsidR="00ED2183">
        <w:rPr>
          <w:sz w:val="26"/>
        </w:rPr>
        <w:t xml:space="preserve"> that</w:t>
      </w:r>
      <w:r w:rsidRPr="000B1FAC">
        <w:rPr>
          <w:sz w:val="26"/>
        </w:rPr>
        <w:t xml:space="preserve"> the Commission lacks jurisdiction to resolve issues related to liens.</w:t>
      </w:r>
    </w:p>
    <w:p w:rsidR="000B1FAC" w:rsidRPr="000B1FAC" w:rsidRDefault="000B1FAC" w:rsidP="000B1FAC">
      <w:pPr>
        <w:tabs>
          <w:tab w:val="left" w:pos="-720"/>
        </w:tabs>
        <w:suppressAutoHyphens/>
        <w:autoSpaceDE w:val="0"/>
        <w:autoSpaceDN w:val="0"/>
        <w:spacing w:line="360" w:lineRule="auto"/>
        <w:rPr>
          <w:sz w:val="26"/>
        </w:rPr>
      </w:pPr>
    </w:p>
    <w:p w:rsidR="000B1FAC" w:rsidRPr="000B1FAC" w:rsidRDefault="00ED2183" w:rsidP="005B34DD">
      <w:pPr>
        <w:tabs>
          <w:tab w:val="left" w:pos="-720"/>
        </w:tabs>
        <w:suppressAutoHyphens/>
        <w:autoSpaceDE w:val="0"/>
        <w:autoSpaceDN w:val="0"/>
        <w:spacing w:line="360" w:lineRule="auto"/>
        <w:ind w:firstLine="1350"/>
        <w:rPr>
          <w:sz w:val="26"/>
        </w:rPr>
      </w:pPr>
      <w:r>
        <w:rPr>
          <w:sz w:val="26"/>
        </w:rPr>
        <w:t xml:space="preserve">In its </w:t>
      </w:r>
      <w:r w:rsidR="000B1FAC" w:rsidRPr="000B1FAC">
        <w:rPr>
          <w:sz w:val="26"/>
        </w:rPr>
        <w:t>Preliminary Objections</w:t>
      </w:r>
      <w:r>
        <w:rPr>
          <w:sz w:val="26"/>
        </w:rPr>
        <w:t>, PGW assert</w:t>
      </w:r>
      <w:r w:rsidR="005B34DD">
        <w:rPr>
          <w:sz w:val="26"/>
        </w:rPr>
        <w:t>ed</w:t>
      </w:r>
      <w:r>
        <w:rPr>
          <w:sz w:val="26"/>
        </w:rPr>
        <w:t xml:space="preserve"> that</w:t>
      </w:r>
      <w:r w:rsidR="000B1FAC" w:rsidRPr="000B1FAC">
        <w:rPr>
          <w:sz w:val="26"/>
        </w:rPr>
        <w:t xml:space="preserve"> the Commission lacks jurisdiction over the subject matter of the Complaint and that the Complaint include</w:t>
      </w:r>
      <w:r w:rsidR="005B34DD">
        <w:rPr>
          <w:sz w:val="26"/>
        </w:rPr>
        <w:t>d</w:t>
      </w:r>
      <w:r w:rsidR="000B1FAC" w:rsidRPr="000B1FAC">
        <w:rPr>
          <w:sz w:val="26"/>
        </w:rPr>
        <w:t xml:space="preserve"> impertinent matter in its request</w:t>
      </w:r>
      <w:r>
        <w:rPr>
          <w:sz w:val="26"/>
        </w:rPr>
        <w:t>ed</w:t>
      </w:r>
      <w:r w:rsidR="000B1FAC" w:rsidRPr="000B1FAC">
        <w:rPr>
          <w:sz w:val="26"/>
        </w:rPr>
        <w:t xml:space="preserve"> relief</w:t>
      </w:r>
      <w:r>
        <w:rPr>
          <w:sz w:val="26"/>
        </w:rPr>
        <w:t xml:space="preserve"> to remove the lien</w:t>
      </w:r>
      <w:r w:rsidR="000B1FAC" w:rsidRPr="000B1FAC">
        <w:rPr>
          <w:sz w:val="26"/>
        </w:rPr>
        <w:t xml:space="preserve">.  </w:t>
      </w:r>
      <w:r>
        <w:rPr>
          <w:sz w:val="26"/>
        </w:rPr>
        <w:t>PGW state</w:t>
      </w:r>
      <w:r w:rsidR="005B34DD">
        <w:rPr>
          <w:sz w:val="26"/>
        </w:rPr>
        <w:t>d</w:t>
      </w:r>
      <w:r>
        <w:rPr>
          <w:sz w:val="26"/>
        </w:rPr>
        <w:t xml:space="preserve"> that,</w:t>
      </w:r>
      <w:r w:rsidR="000B1FAC" w:rsidRPr="000B1FAC">
        <w:rPr>
          <w:sz w:val="26"/>
        </w:rPr>
        <w:t xml:space="preserve"> under </w:t>
      </w:r>
      <w:r>
        <w:rPr>
          <w:sz w:val="26"/>
        </w:rPr>
        <w:t xml:space="preserve">Section 2212(n) of the Code, </w:t>
      </w:r>
      <w:r w:rsidR="000B1FAC" w:rsidRPr="000B1FAC">
        <w:rPr>
          <w:sz w:val="26"/>
        </w:rPr>
        <w:t xml:space="preserve">66 Pa. C.S. § 2212(n), the Commission </w:t>
      </w:r>
      <w:r w:rsidR="005B34DD">
        <w:rPr>
          <w:sz w:val="26"/>
        </w:rPr>
        <w:t>does not have</w:t>
      </w:r>
      <w:r w:rsidR="000B1FAC" w:rsidRPr="000B1FAC">
        <w:rPr>
          <w:sz w:val="26"/>
        </w:rPr>
        <w:t xml:space="preserve"> jurisdiction over the filing of such a lien.  </w:t>
      </w:r>
      <w:r>
        <w:rPr>
          <w:sz w:val="26"/>
        </w:rPr>
        <w:t>PGW also state</w:t>
      </w:r>
      <w:r w:rsidR="005B34DD">
        <w:rPr>
          <w:sz w:val="26"/>
        </w:rPr>
        <w:t>d</w:t>
      </w:r>
      <w:r>
        <w:rPr>
          <w:sz w:val="26"/>
        </w:rPr>
        <w:t xml:space="preserve"> that Section 1414(a) of the Code,</w:t>
      </w:r>
      <w:r w:rsidR="000B1FAC" w:rsidRPr="000B1FAC">
        <w:rPr>
          <w:sz w:val="26"/>
        </w:rPr>
        <w:t xml:space="preserve"> 66 Pa. C.S. § 1414(a)</w:t>
      </w:r>
      <w:r>
        <w:rPr>
          <w:sz w:val="26"/>
        </w:rPr>
        <w:t>,</w:t>
      </w:r>
      <w:r w:rsidR="000B1FAC" w:rsidRPr="000B1FAC">
        <w:rPr>
          <w:sz w:val="26"/>
        </w:rPr>
        <w:t xml:space="preserve"> authorizes the Respondent to file liens for unpaid natural gas service.</w:t>
      </w:r>
      <w:r>
        <w:rPr>
          <w:sz w:val="26"/>
        </w:rPr>
        <w:t xml:space="preserve">  The Complainant did not file a </w:t>
      </w:r>
      <w:r w:rsidR="000B1FAC" w:rsidRPr="000B1FAC">
        <w:rPr>
          <w:sz w:val="26"/>
        </w:rPr>
        <w:t>respon</w:t>
      </w:r>
      <w:r>
        <w:rPr>
          <w:sz w:val="26"/>
        </w:rPr>
        <w:t xml:space="preserve">se to the </w:t>
      </w:r>
      <w:r w:rsidR="000B1FAC" w:rsidRPr="000B1FAC">
        <w:rPr>
          <w:sz w:val="26"/>
        </w:rPr>
        <w:t>Preliminary Objections.</w:t>
      </w:r>
    </w:p>
    <w:p w:rsidR="000B1FAC" w:rsidRPr="000B1FAC" w:rsidRDefault="000B1FAC" w:rsidP="000B1FAC">
      <w:pPr>
        <w:tabs>
          <w:tab w:val="left" w:pos="-720"/>
        </w:tabs>
        <w:suppressAutoHyphens/>
        <w:autoSpaceDE w:val="0"/>
        <w:autoSpaceDN w:val="0"/>
        <w:spacing w:line="360" w:lineRule="auto"/>
        <w:rPr>
          <w:sz w:val="26"/>
        </w:rPr>
      </w:pPr>
    </w:p>
    <w:p w:rsidR="000B1FAC" w:rsidRPr="000B1FAC" w:rsidRDefault="00256DCA" w:rsidP="000B1FAC">
      <w:pPr>
        <w:tabs>
          <w:tab w:val="left" w:pos="-720"/>
        </w:tabs>
        <w:suppressAutoHyphens/>
        <w:autoSpaceDE w:val="0"/>
        <w:autoSpaceDN w:val="0"/>
        <w:spacing w:line="360" w:lineRule="auto"/>
        <w:ind w:firstLine="1350"/>
        <w:rPr>
          <w:sz w:val="26"/>
        </w:rPr>
      </w:pPr>
      <w:r>
        <w:rPr>
          <w:sz w:val="26"/>
        </w:rPr>
        <w:t>In an Initial Decision, issued December 3, 2015, ALJ Buckley granted the Preliminary Objections and dismissed the Complaint.</w:t>
      </w:r>
      <w:r w:rsidR="000B1FAC" w:rsidRPr="000B1FAC">
        <w:rPr>
          <w:sz w:val="26"/>
        </w:rPr>
        <w:t xml:space="preserve">  </w:t>
      </w:r>
      <w:r w:rsidR="00812C3D">
        <w:rPr>
          <w:sz w:val="26"/>
        </w:rPr>
        <w:t>As discussed above, no Exceptions were filed, but we exercised our right to review the decision pursuant to Section 332(h) of the Code.</w:t>
      </w:r>
    </w:p>
    <w:p w:rsidR="000B1FAC" w:rsidRPr="000B1FAC" w:rsidRDefault="000B1FAC" w:rsidP="000B1FAC">
      <w:pPr>
        <w:tabs>
          <w:tab w:val="left" w:pos="-720"/>
        </w:tabs>
        <w:suppressAutoHyphens/>
        <w:autoSpaceDE w:val="0"/>
        <w:autoSpaceDN w:val="0"/>
        <w:spacing w:line="360" w:lineRule="auto"/>
        <w:ind w:firstLine="1350"/>
        <w:rPr>
          <w:sz w:val="26"/>
        </w:rPr>
      </w:pPr>
    </w:p>
    <w:p w:rsidR="000B1FAC" w:rsidRPr="000B1FAC" w:rsidRDefault="000B1FAC" w:rsidP="000B1FAC">
      <w:pPr>
        <w:spacing w:line="360" w:lineRule="auto"/>
        <w:rPr>
          <w:sz w:val="26"/>
          <w:u w:val="single"/>
        </w:rPr>
      </w:pPr>
      <w:r w:rsidRPr="000B1FAC">
        <w:rPr>
          <w:sz w:val="26"/>
          <w:u w:val="single"/>
        </w:rPr>
        <w:br w:type="page"/>
      </w:r>
    </w:p>
    <w:p w:rsidR="001A1AD3" w:rsidRDefault="004419DA" w:rsidP="00256DCA">
      <w:pPr>
        <w:spacing w:line="360" w:lineRule="auto"/>
        <w:jc w:val="center"/>
        <w:rPr>
          <w:b/>
          <w:sz w:val="26"/>
          <w:szCs w:val="26"/>
        </w:rPr>
      </w:pPr>
      <w:r>
        <w:rPr>
          <w:b/>
          <w:sz w:val="26"/>
          <w:szCs w:val="26"/>
        </w:rPr>
        <w:lastRenderedPageBreak/>
        <w:t>Discussion</w:t>
      </w:r>
    </w:p>
    <w:p w:rsidR="00D5673B" w:rsidRDefault="00D5673B" w:rsidP="001A1AD3">
      <w:pPr>
        <w:spacing w:line="360" w:lineRule="auto"/>
        <w:jc w:val="center"/>
        <w:rPr>
          <w:sz w:val="26"/>
          <w:szCs w:val="26"/>
        </w:rPr>
      </w:pPr>
    </w:p>
    <w:p w:rsidR="004234C0" w:rsidRPr="004234C0" w:rsidRDefault="004234C0" w:rsidP="004234C0">
      <w:pPr>
        <w:spacing w:line="360" w:lineRule="auto"/>
        <w:ind w:firstLine="1440"/>
        <w:rPr>
          <w:sz w:val="26"/>
          <w:szCs w:val="26"/>
        </w:rPr>
      </w:pPr>
      <w:r w:rsidRPr="004234C0">
        <w:rPr>
          <w:sz w:val="26"/>
          <w:szCs w:val="26"/>
        </w:rPr>
        <w:t xml:space="preserve">Initially, we note that any issue or Exception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9" w:history="1">
        <w:r w:rsidRPr="004234C0">
          <w:rPr>
            <w:i/>
            <w:iCs/>
            <w:sz w:val="26"/>
            <w:szCs w:val="26"/>
          </w:rPr>
          <w:t>Consolidated Ra</w:t>
        </w:r>
        <w:r w:rsidRPr="004234C0">
          <w:rPr>
            <w:i/>
            <w:iCs/>
            <w:color w:val="000000"/>
            <w:sz w:val="26"/>
            <w:szCs w:val="26"/>
          </w:rPr>
          <w:t xml:space="preserve">il Corp. v. Pa. PUC, </w:t>
        </w:r>
        <w:r w:rsidRPr="004234C0">
          <w:rPr>
            <w:color w:val="000000"/>
            <w:sz w:val="26"/>
            <w:szCs w:val="26"/>
          </w:rPr>
          <w:t>625 A.2d 741 (Pa. Cmwlth. 1993);</w:t>
        </w:r>
      </w:hyperlink>
      <w:r w:rsidRPr="004234C0">
        <w:rPr>
          <w:color w:val="000000"/>
          <w:sz w:val="26"/>
          <w:szCs w:val="26"/>
        </w:rPr>
        <w:t xml:space="preserve"> </w:t>
      </w:r>
      <w:r w:rsidRPr="004234C0">
        <w:rPr>
          <w:i/>
          <w:color w:val="000000"/>
          <w:sz w:val="26"/>
          <w:szCs w:val="26"/>
        </w:rPr>
        <w:t xml:space="preserve">also </w:t>
      </w:r>
      <w:r w:rsidRPr="004234C0">
        <w:rPr>
          <w:i/>
          <w:iCs/>
          <w:color w:val="000000"/>
          <w:sz w:val="26"/>
          <w:szCs w:val="26"/>
        </w:rPr>
        <w:t xml:space="preserve">see, generally, </w:t>
      </w:r>
      <w:hyperlink r:id="rId10" w:history="1">
        <w:r w:rsidRPr="004234C0">
          <w:rPr>
            <w:i/>
            <w:iCs/>
            <w:color w:val="000000"/>
            <w:sz w:val="26"/>
            <w:szCs w:val="26"/>
          </w:rPr>
          <w:t>University of Pennsylvania v. Pa. PUC</w:t>
        </w:r>
        <w:r w:rsidRPr="004234C0">
          <w:rPr>
            <w:color w:val="000000"/>
            <w:sz w:val="26"/>
            <w:szCs w:val="26"/>
          </w:rPr>
          <w:t>, 485 A.2d 1217 (Pa. Cmwlth. 1984).</w:t>
        </w:r>
      </w:hyperlink>
      <w:r w:rsidRPr="004234C0">
        <w:rPr>
          <w:sz w:val="26"/>
          <w:szCs w:val="26"/>
        </w:rPr>
        <w:t xml:space="preserve"> </w:t>
      </w:r>
    </w:p>
    <w:p w:rsidR="004234C0" w:rsidRPr="004234C0" w:rsidRDefault="004234C0" w:rsidP="004234C0">
      <w:pPr>
        <w:tabs>
          <w:tab w:val="left" w:pos="-720"/>
        </w:tabs>
        <w:suppressAutoHyphens/>
        <w:spacing w:line="360" w:lineRule="auto"/>
        <w:rPr>
          <w:b/>
          <w:sz w:val="26"/>
          <w:szCs w:val="20"/>
        </w:rPr>
      </w:pPr>
    </w:p>
    <w:p w:rsidR="004234C0" w:rsidRDefault="004234C0" w:rsidP="004234C0">
      <w:pPr>
        <w:spacing w:line="360" w:lineRule="auto"/>
        <w:rPr>
          <w:sz w:val="26"/>
          <w:szCs w:val="26"/>
        </w:rPr>
      </w:pPr>
      <w:r w:rsidRPr="004234C0">
        <w:rPr>
          <w:sz w:val="26"/>
          <w:szCs w:val="26"/>
        </w:rPr>
        <w:tab/>
      </w:r>
      <w:r w:rsidRPr="004234C0">
        <w:rPr>
          <w:sz w:val="26"/>
          <w:szCs w:val="26"/>
        </w:rPr>
        <w:tab/>
        <w:t>In h</w:t>
      </w:r>
      <w:r>
        <w:rPr>
          <w:sz w:val="26"/>
          <w:szCs w:val="26"/>
        </w:rPr>
        <w:t>is</w:t>
      </w:r>
      <w:r w:rsidRPr="004234C0">
        <w:rPr>
          <w:sz w:val="26"/>
          <w:szCs w:val="26"/>
        </w:rPr>
        <w:t xml:space="preserve"> Initial Decision, ALJ </w:t>
      </w:r>
      <w:r>
        <w:rPr>
          <w:sz w:val="26"/>
          <w:szCs w:val="26"/>
        </w:rPr>
        <w:t>Buckl</w:t>
      </w:r>
      <w:r w:rsidR="00F418EE">
        <w:rPr>
          <w:sz w:val="26"/>
          <w:szCs w:val="26"/>
        </w:rPr>
        <w:t>e</w:t>
      </w:r>
      <w:r>
        <w:rPr>
          <w:sz w:val="26"/>
          <w:szCs w:val="26"/>
        </w:rPr>
        <w:t>y</w:t>
      </w:r>
      <w:r w:rsidRPr="004234C0">
        <w:rPr>
          <w:sz w:val="26"/>
          <w:szCs w:val="26"/>
        </w:rPr>
        <w:t xml:space="preserve"> made </w:t>
      </w:r>
      <w:r>
        <w:rPr>
          <w:sz w:val="26"/>
          <w:szCs w:val="26"/>
        </w:rPr>
        <w:t>five</w:t>
      </w:r>
      <w:r w:rsidRPr="004234C0">
        <w:rPr>
          <w:sz w:val="26"/>
          <w:szCs w:val="26"/>
        </w:rPr>
        <w:t xml:space="preserve"> Findings of Fact and reached </w:t>
      </w:r>
      <w:r>
        <w:rPr>
          <w:sz w:val="26"/>
          <w:szCs w:val="26"/>
        </w:rPr>
        <w:t>twenty-eight</w:t>
      </w:r>
      <w:r w:rsidRPr="004234C0">
        <w:rPr>
          <w:sz w:val="26"/>
          <w:szCs w:val="26"/>
        </w:rPr>
        <w:t xml:space="preserve"> Conclusions of Law.  I.D. at 3, </w:t>
      </w:r>
      <w:r>
        <w:rPr>
          <w:sz w:val="26"/>
          <w:szCs w:val="26"/>
        </w:rPr>
        <w:t>10</w:t>
      </w:r>
      <w:r w:rsidRPr="004234C0">
        <w:rPr>
          <w:sz w:val="26"/>
          <w:szCs w:val="26"/>
        </w:rPr>
        <w:t>-</w:t>
      </w:r>
      <w:r>
        <w:rPr>
          <w:sz w:val="26"/>
          <w:szCs w:val="26"/>
        </w:rPr>
        <w:t>13</w:t>
      </w:r>
      <w:r w:rsidRPr="004234C0">
        <w:rPr>
          <w:sz w:val="26"/>
          <w:szCs w:val="26"/>
        </w:rPr>
        <w:t>.  The Findings of Fact and Conclusions of Law are incorporated herein by reference and are adopted without comment unless they are either expressly or by necessary implication rejected or modified by this Opinion and Order.</w:t>
      </w:r>
    </w:p>
    <w:p w:rsidR="00480E10" w:rsidRDefault="00480E10" w:rsidP="004234C0">
      <w:pPr>
        <w:spacing w:line="360" w:lineRule="auto"/>
        <w:rPr>
          <w:sz w:val="26"/>
          <w:szCs w:val="26"/>
        </w:rPr>
      </w:pPr>
    </w:p>
    <w:p w:rsidR="00480E10" w:rsidRPr="00480E10" w:rsidRDefault="00480E10" w:rsidP="00480E10">
      <w:pPr>
        <w:tabs>
          <w:tab w:val="left" w:pos="-720"/>
        </w:tabs>
        <w:suppressAutoHyphens/>
        <w:spacing w:line="360" w:lineRule="auto"/>
        <w:rPr>
          <w:sz w:val="26"/>
          <w:szCs w:val="20"/>
        </w:rPr>
      </w:pPr>
      <w:r w:rsidRPr="00480E10">
        <w:rPr>
          <w:b/>
          <w:sz w:val="26"/>
          <w:szCs w:val="20"/>
        </w:rPr>
        <w:t>Legal Standards</w:t>
      </w:r>
    </w:p>
    <w:p w:rsidR="00480E10" w:rsidRPr="00480E10" w:rsidRDefault="00480E10" w:rsidP="00480E10">
      <w:pPr>
        <w:keepNext/>
        <w:spacing w:line="360" w:lineRule="auto"/>
        <w:ind w:firstLine="1440"/>
        <w:rPr>
          <w:sz w:val="26"/>
          <w:szCs w:val="26"/>
        </w:rPr>
      </w:pPr>
    </w:p>
    <w:p w:rsidR="00480E10" w:rsidRPr="00480E10" w:rsidRDefault="00480E10" w:rsidP="00480E10">
      <w:pPr>
        <w:keepNext/>
        <w:tabs>
          <w:tab w:val="left" w:pos="0"/>
        </w:tabs>
        <w:spacing w:line="360" w:lineRule="auto"/>
        <w:ind w:firstLine="1440"/>
        <w:rPr>
          <w:sz w:val="26"/>
        </w:rPr>
      </w:pPr>
      <w:r w:rsidRPr="00480E10">
        <w:rPr>
          <w:sz w:val="26"/>
        </w:rPr>
        <w:t xml:space="preserve">Section 5.101 of our Regulations, 52 Pa. Code § 5.101, sets forth the grounds for granting preliminary objections.  That section provides as follows: </w:t>
      </w:r>
    </w:p>
    <w:p w:rsidR="00480E10" w:rsidRPr="00480E10" w:rsidRDefault="00480E10" w:rsidP="00480E10">
      <w:pPr>
        <w:ind w:left="1440" w:right="1440"/>
        <w:rPr>
          <w:b/>
          <w:sz w:val="26"/>
        </w:rPr>
      </w:pPr>
    </w:p>
    <w:p w:rsidR="00480E10" w:rsidRPr="00480E10" w:rsidRDefault="00480E10" w:rsidP="00480E10">
      <w:pPr>
        <w:ind w:left="1440" w:right="1440"/>
        <w:rPr>
          <w:b/>
          <w:sz w:val="26"/>
        </w:rPr>
      </w:pPr>
      <w:r w:rsidRPr="00480E10">
        <w:rPr>
          <w:b/>
          <w:sz w:val="26"/>
        </w:rPr>
        <w:t>§ 5.101.  Preliminary objections.</w:t>
      </w:r>
    </w:p>
    <w:p w:rsidR="00480E10" w:rsidRPr="00480E10" w:rsidRDefault="00480E10" w:rsidP="00480E10">
      <w:pPr>
        <w:ind w:left="1440" w:right="1440"/>
        <w:rPr>
          <w:b/>
          <w:sz w:val="26"/>
        </w:rPr>
      </w:pPr>
    </w:p>
    <w:p w:rsidR="00480E10" w:rsidRPr="00480E10" w:rsidRDefault="00480E10" w:rsidP="00480E10">
      <w:pPr>
        <w:ind w:left="1440" w:right="1440"/>
        <w:contextualSpacing/>
        <w:rPr>
          <w:sz w:val="26"/>
        </w:rPr>
      </w:pPr>
      <w:r w:rsidRPr="00480E10">
        <w:rPr>
          <w:sz w:val="26"/>
        </w:rPr>
        <w:t>(a)</w:t>
      </w:r>
      <w:r w:rsidRPr="00480E10">
        <w:rPr>
          <w:sz w:val="26"/>
        </w:rPr>
        <w:tab/>
      </w:r>
      <w:r w:rsidRPr="00480E10">
        <w:rPr>
          <w:i/>
          <w:sz w:val="26"/>
        </w:rPr>
        <w:t>Grounds.</w:t>
      </w:r>
      <w:r w:rsidRPr="00480E10">
        <w:rPr>
          <w:sz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80E10" w:rsidRPr="00480E10" w:rsidRDefault="00480E10" w:rsidP="00480E10">
      <w:pPr>
        <w:spacing w:before="100" w:beforeAutospacing="1" w:after="100" w:afterAutospacing="1"/>
        <w:ind w:left="1440" w:right="1440"/>
        <w:rPr>
          <w:sz w:val="26"/>
        </w:rPr>
      </w:pPr>
      <w:bookmarkStart w:id="0" w:name="5.101."/>
      <w:r w:rsidRPr="00480E10">
        <w:rPr>
          <w:sz w:val="26"/>
        </w:rPr>
        <w:t> </w:t>
      </w:r>
      <w:r w:rsidRPr="00480E10">
        <w:rPr>
          <w:sz w:val="26"/>
        </w:rPr>
        <w:tab/>
        <w:t>(1)</w:t>
      </w:r>
      <w:r w:rsidRPr="00480E10">
        <w:rPr>
          <w:sz w:val="26"/>
        </w:rPr>
        <w:tab/>
        <w:t xml:space="preserve">Lack of Commission jurisdiction or improper service of the pleading initiating the proceeding. </w:t>
      </w:r>
    </w:p>
    <w:p w:rsidR="00480E10" w:rsidRPr="00480E10" w:rsidRDefault="00480E10" w:rsidP="00480E10">
      <w:pPr>
        <w:spacing w:before="100" w:beforeAutospacing="1" w:after="100" w:afterAutospacing="1"/>
        <w:ind w:left="1440" w:right="1440"/>
        <w:rPr>
          <w:sz w:val="26"/>
        </w:rPr>
      </w:pPr>
      <w:r w:rsidRPr="00480E10">
        <w:rPr>
          <w:sz w:val="26"/>
        </w:rPr>
        <w:lastRenderedPageBreak/>
        <w:t>   </w:t>
      </w:r>
      <w:r w:rsidRPr="00480E10">
        <w:rPr>
          <w:sz w:val="26"/>
        </w:rPr>
        <w:tab/>
        <w:t>(2)</w:t>
      </w:r>
      <w:r w:rsidRPr="00480E10">
        <w:rPr>
          <w:sz w:val="26"/>
        </w:rPr>
        <w:tab/>
        <w:t xml:space="preserve">Failure of a pleading to conform to this chapter or the inclusion of scandalous or impertinent matter. </w:t>
      </w:r>
    </w:p>
    <w:p w:rsidR="00480E10" w:rsidRPr="00480E10" w:rsidRDefault="00480E10" w:rsidP="00480E10">
      <w:pPr>
        <w:spacing w:before="100" w:beforeAutospacing="1" w:after="100" w:afterAutospacing="1"/>
        <w:ind w:left="1440" w:right="1440"/>
        <w:rPr>
          <w:sz w:val="26"/>
        </w:rPr>
      </w:pPr>
      <w:r w:rsidRPr="00480E10">
        <w:rPr>
          <w:sz w:val="26"/>
        </w:rPr>
        <w:t>   </w:t>
      </w:r>
      <w:r w:rsidRPr="00480E10">
        <w:rPr>
          <w:sz w:val="26"/>
        </w:rPr>
        <w:tab/>
        <w:t>(3)</w:t>
      </w:r>
      <w:r w:rsidRPr="00480E10">
        <w:rPr>
          <w:sz w:val="26"/>
        </w:rPr>
        <w:tab/>
        <w:t xml:space="preserve">Insufficient specificity of a pleading. </w:t>
      </w:r>
    </w:p>
    <w:p w:rsidR="00480E10" w:rsidRPr="00480E10" w:rsidRDefault="00480E10" w:rsidP="00480E10">
      <w:pPr>
        <w:spacing w:before="100" w:beforeAutospacing="1" w:after="100" w:afterAutospacing="1"/>
        <w:ind w:left="1440" w:right="1440"/>
        <w:rPr>
          <w:sz w:val="26"/>
        </w:rPr>
      </w:pPr>
      <w:r w:rsidRPr="00480E10">
        <w:rPr>
          <w:sz w:val="26"/>
        </w:rPr>
        <w:t>   </w:t>
      </w:r>
      <w:r w:rsidRPr="00480E10">
        <w:rPr>
          <w:sz w:val="26"/>
        </w:rPr>
        <w:tab/>
        <w:t>(4)</w:t>
      </w:r>
      <w:r w:rsidRPr="00480E10">
        <w:rPr>
          <w:sz w:val="26"/>
        </w:rPr>
        <w:tab/>
        <w:t xml:space="preserve">Legal insufficiency of a pleading. </w:t>
      </w:r>
    </w:p>
    <w:p w:rsidR="00480E10" w:rsidRPr="00480E10" w:rsidRDefault="00480E10" w:rsidP="00480E10">
      <w:pPr>
        <w:spacing w:before="100" w:beforeAutospacing="1" w:after="100" w:afterAutospacing="1"/>
        <w:ind w:left="1440" w:right="1440"/>
        <w:rPr>
          <w:sz w:val="26"/>
        </w:rPr>
      </w:pPr>
      <w:r w:rsidRPr="00480E10">
        <w:rPr>
          <w:sz w:val="26"/>
        </w:rPr>
        <w:t>   </w:t>
      </w:r>
      <w:r w:rsidRPr="00480E10">
        <w:rPr>
          <w:sz w:val="26"/>
        </w:rPr>
        <w:tab/>
        <w:t>(5)</w:t>
      </w:r>
      <w:r w:rsidRPr="00480E10">
        <w:rPr>
          <w:sz w:val="26"/>
        </w:rPr>
        <w:tab/>
        <w:t xml:space="preserve">Lack of capacity to sue, nonjoinder of a necessary party or misjoinder of a cause of action. </w:t>
      </w:r>
    </w:p>
    <w:bookmarkEnd w:id="0"/>
    <w:p w:rsidR="00480E10" w:rsidRPr="00480E10" w:rsidRDefault="00480E10" w:rsidP="00480E10">
      <w:pPr>
        <w:ind w:left="1440" w:right="1440"/>
        <w:contextualSpacing/>
        <w:rPr>
          <w:sz w:val="26"/>
        </w:rPr>
      </w:pPr>
      <w:r w:rsidRPr="00480E10">
        <w:rPr>
          <w:sz w:val="26"/>
        </w:rPr>
        <w:tab/>
        <w:t>(6)</w:t>
      </w:r>
      <w:r w:rsidRPr="00480E10">
        <w:rPr>
          <w:sz w:val="26"/>
        </w:rPr>
        <w:tab/>
        <w:t>Pendency of a prior proceeding or agreement for alternative dispute resolution.</w:t>
      </w:r>
    </w:p>
    <w:p w:rsidR="00480E10" w:rsidRPr="00480E10" w:rsidRDefault="00480E10" w:rsidP="00480E10">
      <w:pPr>
        <w:ind w:left="1440" w:right="1440"/>
        <w:contextualSpacing/>
        <w:rPr>
          <w:sz w:val="26"/>
        </w:rPr>
      </w:pPr>
    </w:p>
    <w:p w:rsidR="00480E10" w:rsidRPr="00480E10" w:rsidRDefault="00480E10" w:rsidP="00480E10">
      <w:pPr>
        <w:ind w:left="1440" w:right="1440" w:firstLine="720"/>
        <w:contextualSpacing/>
        <w:rPr>
          <w:sz w:val="26"/>
        </w:rPr>
      </w:pPr>
      <w:r w:rsidRPr="00480E10">
        <w:rPr>
          <w:sz w:val="26"/>
        </w:rPr>
        <w:t>(7)</w:t>
      </w:r>
      <w:r w:rsidRPr="00480E10">
        <w:rPr>
          <w:sz w:val="26"/>
        </w:rPr>
        <w:tab/>
        <w:t>Standing of a party to participate in the proceeding.</w:t>
      </w:r>
    </w:p>
    <w:p w:rsidR="00480E10" w:rsidRPr="00480E10" w:rsidRDefault="00480E10" w:rsidP="00480E10">
      <w:pPr>
        <w:spacing w:line="360" w:lineRule="auto"/>
        <w:ind w:left="1440" w:right="1440" w:hanging="1440"/>
        <w:contextualSpacing/>
        <w:rPr>
          <w:sz w:val="26"/>
        </w:rPr>
      </w:pPr>
    </w:p>
    <w:p w:rsidR="00480E10" w:rsidRPr="00480E10" w:rsidRDefault="00480E10" w:rsidP="00480E10">
      <w:pPr>
        <w:spacing w:line="360" w:lineRule="auto"/>
        <w:ind w:left="1440" w:right="1440" w:hanging="1440"/>
        <w:contextualSpacing/>
        <w:rPr>
          <w:sz w:val="26"/>
        </w:rPr>
      </w:pPr>
      <w:r w:rsidRPr="00480E10">
        <w:rPr>
          <w:sz w:val="26"/>
        </w:rPr>
        <w:t>52 Pa. Code § 5.101(a).</w:t>
      </w:r>
    </w:p>
    <w:p w:rsidR="00480E10" w:rsidRPr="00480E10" w:rsidRDefault="00480E10" w:rsidP="00480E10">
      <w:pPr>
        <w:spacing w:line="360" w:lineRule="auto"/>
        <w:ind w:left="1440" w:right="1440" w:hanging="1440"/>
        <w:contextualSpacing/>
        <w:rPr>
          <w:sz w:val="26"/>
        </w:rPr>
      </w:pPr>
    </w:p>
    <w:p w:rsidR="00480E10" w:rsidRPr="00480E10" w:rsidRDefault="00480E10" w:rsidP="00480E10">
      <w:pPr>
        <w:tabs>
          <w:tab w:val="left" w:pos="-720"/>
        </w:tabs>
        <w:suppressAutoHyphens/>
        <w:autoSpaceDE w:val="0"/>
        <w:autoSpaceDN w:val="0"/>
        <w:spacing w:line="360" w:lineRule="auto"/>
        <w:ind w:firstLine="1440"/>
        <w:rPr>
          <w:rFonts w:cs="CG Times"/>
          <w:sz w:val="26"/>
          <w:szCs w:val="26"/>
        </w:rPr>
      </w:pPr>
      <w:r w:rsidRPr="00480E10">
        <w:rPr>
          <w:rFonts w:cs="CG Times"/>
          <w:color w:val="000000"/>
          <w:sz w:val="26"/>
          <w:szCs w:val="26"/>
        </w:rPr>
        <w:t xml:space="preserve">Commission procedure </w:t>
      </w:r>
      <w:r w:rsidRPr="00480E10">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480E10">
        <w:rPr>
          <w:rFonts w:cs="CG Times"/>
          <w:i/>
          <w:sz w:val="26"/>
          <w:szCs w:val="26"/>
        </w:rPr>
        <w:t>Interstate Traveller Services, Inc. v. Pa. Dep’t of Environmental Resources</w:t>
      </w:r>
      <w:r w:rsidRPr="00480E10">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480E10">
        <w:rPr>
          <w:rFonts w:cs="CG Times"/>
          <w:i/>
          <w:sz w:val="26"/>
          <w:szCs w:val="26"/>
        </w:rPr>
        <w:t>County of Allegheny v. Commonwealth</w:t>
      </w:r>
      <w:r w:rsidRPr="00480E10">
        <w:rPr>
          <w:rFonts w:cs="CG Times"/>
          <w:sz w:val="26"/>
          <w:szCs w:val="26"/>
        </w:rPr>
        <w:t xml:space="preserve"> </w:t>
      </w:r>
      <w:r w:rsidRPr="00480E10">
        <w:rPr>
          <w:rFonts w:cs="CG Times"/>
          <w:i/>
          <w:sz w:val="26"/>
          <w:szCs w:val="26"/>
        </w:rPr>
        <w:t>of Pa.</w:t>
      </w:r>
      <w:r w:rsidRPr="00480E10">
        <w:rPr>
          <w:rFonts w:cs="CG Times"/>
          <w:sz w:val="26"/>
          <w:szCs w:val="26"/>
        </w:rPr>
        <w:t xml:space="preserve">, 507 Pa. 360, 490 A.2d 402 (1985).  The preliminary objection may be granted only if the moving party prevails as a matter of law.  </w:t>
      </w:r>
      <w:r w:rsidRPr="00480E10">
        <w:rPr>
          <w:rFonts w:cs="CG Times"/>
          <w:i/>
          <w:sz w:val="26"/>
          <w:szCs w:val="26"/>
        </w:rPr>
        <w:t>Rok v. Flaherty</w:t>
      </w:r>
      <w:r w:rsidRPr="00480E10">
        <w:rPr>
          <w:rFonts w:cs="CG Times"/>
          <w:sz w:val="26"/>
          <w:szCs w:val="26"/>
        </w:rPr>
        <w:t xml:space="preserve">, 527 A.2d 211 (Pa. Cmwlth. 1987).  Any doubt must be resolved in favor of the non-moving party by refusing to sustain the preliminary objections.  </w:t>
      </w:r>
      <w:r w:rsidRPr="00480E10">
        <w:rPr>
          <w:rFonts w:cs="CG Times"/>
          <w:i/>
          <w:sz w:val="26"/>
          <w:szCs w:val="26"/>
        </w:rPr>
        <w:t>Dep’t of Auditor General, et al. v. State Employees’ Retirement System, et al.</w:t>
      </w:r>
      <w:r w:rsidRPr="00480E10">
        <w:rPr>
          <w:rFonts w:cs="CG Times"/>
          <w:sz w:val="26"/>
          <w:szCs w:val="26"/>
        </w:rPr>
        <w:t>, 836 A.2d 1053, 1064 (Pa. Cmwlth. 2003) (citing</w:t>
      </w:r>
      <w:r w:rsidRPr="00480E10">
        <w:rPr>
          <w:rFonts w:cs="CG Times"/>
          <w:i/>
          <w:sz w:val="26"/>
          <w:szCs w:val="26"/>
        </w:rPr>
        <w:t xml:space="preserve"> Boyd v. Ward</w:t>
      </w:r>
      <w:r w:rsidRPr="00480E10">
        <w:rPr>
          <w:rFonts w:cs="CG Times"/>
          <w:sz w:val="26"/>
          <w:szCs w:val="26"/>
        </w:rPr>
        <w:t>, 802 A.2d 705 (Pa. Cmwlth. 2002)).</w:t>
      </w:r>
    </w:p>
    <w:p w:rsidR="00480E10" w:rsidRPr="004234C0" w:rsidRDefault="00480E10" w:rsidP="004234C0">
      <w:pPr>
        <w:spacing w:line="360" w:lineRule="auto"/>
        <w:rPr>
          <w:sz w:val="26"/>
          <w:szCs w:val="26"/>
        </w:rPr>
      </w:pPr>
    </w:p>
    <w:p w:rsidR="00333EEC" w:rsidRDefault="00333EEC" w:rsidP="0021126F">
      <w:pPr>
        <w:spacing w:line="360" w:lineRule="auto"/>
        <w:ind w:firstLine="720"/>
        <w:rPr>
          <w:sz w:val="26"/>
          <w:szCs w:val="26"/>
        </w:rPr>
      </w:pPr>
    </w:p>
    <w:p w:rsidR="00A125B4" w:rsidRPr="00A125B4" w:rsidRDefault="0024035C" w:rsidP="00C975B8">
      <w:pPr>
        <w:spacing w:line="360" w:lineRule="auto"/>
        <w:rPr>
          <w:b/>
          <w:sz w:val="26"/>
          <w:szCs w:val="26"/>
        </w:rPr>
      </w:pPr>
      <w:r>
        <w:rPr>
          <w:b/>
          <w:sz w:val="26"/>
          <w:szCs w:val="26"/>
        </w:rPr>
        <w:lastRenderedPageBreak/>
        <w:t xml:space="preserve">ALJ’s </w:t>
      </w:r>
      <w:r w:rsidR="00A125B4" w:rsidRPr="00A125B4">
        <w:rPr>
          <w:b/>
          <w:sz w:val="26"/>
          <w:szCs w:val="26"/>
        </w:rPr>
        <w:t xml:space="preserve">Initial Decision </w:t>
      </w:r>
      <w:r w:rsidR="00333EEC" w:rsidRPr="00A125B4">
        <w:rPr>
          <w:b/>
          <w:sz w:val="26"/>
          <w:szCs w:val="26"/>
        </w:rPr>
        <w:tab/>
      </w:r>
      <w:r w:rsidR="00C975B8" w:rsidRPr="00A125B4">
        <w:rPr>
          <w:b/>
          <w:sz w:val="26"/>
          <w:szCs w:val="26"/>
        </w:rPr>
        <w:tab/>
      </w:r>
    </w:p>
    <w:p w:rsidR="00A125B4" w:rsidRDefault="00A125B4" w:rsidP="00C975B8">
      <w:pPr>
        <w:spacing w:line="360" w:lineRule="auto"/>
        <w:rPr>
          <w:sz w:val="26"/>
          <w:szCs w:val="26"/>
        </w:rPr>
      </w:pPr>
    </w:p>
    <w:p w:rsidR="00FF5FB6" w:rsidRPr="0000314E" w:rsidRDefault="00A125B4" w:rsidP="00FF5FB6">
      <w:pPr>
        <w:autoSpaceDE w:val="0"/>
        <w:autoSpaceDN w:val="0"/>
        <w:spacing w:line="360" w:lineRule="auto"/>
        <w:rPr>
          <w:sz w:val="26"/>
        </w:rPr>
      </w:pPr>
      <w:r>
        <w:rPr>
          <w:sz w:val="26"/>
          <w:szCs w:val="26"/>
        </w:rPr>
        <w:tab/>
      </w:r>
      <w:r>
        <w:rPr>
          <w:sz w:val="26"/>
          <w:szCs w:val="26"/>
        </w:rPr>
        <w:tab/>
      </w:r>
      <w:r w:rsidR="000B3F04">
        <w:rPr>
          <w:sz w:val="26"/>
          <w:szCs w:val="26"/>
        </w:rPr>
        <w:t>In the Initial Decision granting PGW’s Preliminary Objections, ALJ Buckley found that the Commission lacks subject matter jurisdiction over the Complaint. ALJ Buckley stated that</w:t>
      </w:r>
      <w:r w:rsidR="00FF5FB6">
        <w:rPr>
          <w:sz w:val="26"/>
          <w:szCs w:val="26"/>
        </w:rPr>
        <w:t>, in this case, the entire proceeding for the effectuation and defense to the statutory lien of the City was within the jurisdiction of the Court of Common Pleas of Philadelphia County.  I.D. at 6.  The ALJ noted that the Commission has previously recognized its lack of subject matter jurisdiction in proceedings involving a dispute over a municipal lien placed upon a property</w:t>
      </w:r>
      <w:r w:rsidR="00FF5FB6" w:rsidRPr="0000314E">
        <w:rPr>
          <w:sz w:val="26"/>
          <w:szCs w:val="26"/>
        </w:rPr>
        <w:t xml:space="preserve">.  </w:t>
      </w:r>
      <w:r w:rsidR="00FF5FB6" w:rsidRPr="0000314E">
        <w:rPr>
          <w:i/>
          <w:sz w:val="26"/>
          <w:szCs w:val="26"/>
        </w:rPr>
        <w:t>Id</w:t>
      </w:r>
      <w:r w:rsidR="00FF5FB6" w:rsidRPr="0000314E">
        <w:rPr>
          <w:sz w:val="26"/>
          <w:szCs w:val="26"/>
        </w:rPr>
        <w:t xml:space="preserve">. at 7 (citing </w:t>
      </w:r>
      <w:r w:rsidR="00FF5FB6" w:rsidRPr="0000314E">
        <w:rPr>
          <w:i/>
          <w:iCs/>
          <w:sz w:val="26"/>
        </w:rPr>
        <w:t>Debra Williams Lawrence v. Philadelphia Gas Works</w:t>
      </w:r>
      <w:r w:rsidR="00FF5FB6" w:rsidRPr="0000314E">
        <w:rPr>
          <w:sz w:val="26"/>
        </w:rPr>
        <w:t xml:space="preserve">, Docket Number C-20066672 (Final Order entered January 22, 2007); </w:t>
      </w:r>
      <w:r w:rsidR="00FF5FB6" w:rsidRPr="0000314E">
        <w:rPr>
          <w:i/>
          <w:iCs/>
          <w:sz w:val="26"/>
        </w:rPr>
        <w:t>Tina L. Francis-Young v. Philadelphia Gas Works</w:t>
      </w:r>
      <w:r w:rsidR="00FF5FB6" w:rsidRPr="0000314E">
        <w:rPr>
          <w:sz w:val="26"/>
        </w:rPr>
        <w:t>, Docket Number C</w:t>
      </w:r>
      <w:r w:rsidR="00FF5FB6" w:rsidRPr="0000314E">
        <w:rPr>
          <w:sz w:val="26"/>
        </w:rPr>
        <w:noBreakHyphen/>
        <w:t>2008</w:t>
      </w:r>
      <w:r w:rsidR="00FF5FB6" w:rsidRPr="0000314E">
        <w:rPr>
          <w:sz w:val="26"/>
        </w:rPr>
        <w:noBreakHyphen/>
        <w:t>2029672 (Final Order entered February 23, 2009)</w:t>
      </w:r>
      <w:r w:rsidR="0045182C">
        <w:rPr>
          <w:sz w:val="26"/>
        </w:rPr>
        <w:t>)</w:t>
      </w:r>
      <w:r w:rsidR="00FF5FB6" w:rsidRPr="0000314E">
        <w:rPr>
          <w:sz w:val="26"/>
        </w:rPr>
        <w:t>.</w:t>
      </w:r>
      <w:r w:rsidR="00F85768" w:rsidRPr="0000314E">
        <w:rPr>
          <w:sz w:val="26"/>
        </w:rPr>
        <w:t xml:space="preserve">  </w:t>
      </w:r>
    </w:p>
    <w:p w:rsidR="00F85768" w:rsidRDefault="00F85768" w:rsidP="00FF5FB6">
      <w:pPr>
        <w:autoSpaceDE w:val="0"/>
        <w:autoSpaceDN w:val="0"/>
        <w:spacing w:line="360" w:lineRule="auto"/>
      </w:pPr>
    </w:p>
    <w:p w:rsidR="00F85768" w:rsidRPr="00F93227" w:rsidRDefault="00F85768" w:rsidP="00FF5FB6">
      <w:pPr>
        <w:autoSpaceDE w:val="0"/>
        <w:autoSpaceDN w:val="0"/>
        <w:spacing w:line="360" w:lineRule="auto"/>
        <w:rPr>
          <w:sz w:val="26"/>
        </w:rPr>
      </w:pPr>
      <w:r>
        <w:tab/>
      </w:r>
      <w:r>
        <w:tab/>
      </w:r>
      <w:r w:rsidRPr="00F93227">
        <w:rPr>
          <w:sz w:val="26"/>
        </w:rPr>
        <w:t>The ALJ explain</w:t>
      </w:r>
      <w:r w:rsidR="0053375F">
        <w:rPr>
          <w:sz w:val="26"/>
        </w:rPr>
        <w:t>ed</w:t>
      </w:r>
      <w:r w:rsidRPr="00F93227">
        <w:rPr>
          <w:sz w:val="26"/>
        </w:rPr>
        <w:t xml:space="preserve"> that Section 1414(a) of the Code, 66 Pa. C.S. § 1414(a), </w:t>
      </w:r>
      <w:r w:rsidR="00BD3691" w:rsidRPr="00F93227">
        <w:rPr>
          <w:sz w:val="26"/>
        </w:rPr>
        <w:t xml:space="preserve">reiterates the General Assembly’s determination that the previously existing right of the City to enforce payment for natural gas service rendered by PGW through the municipal claim and lien procedure </w:t>
      </w:r>
      <w:r w:rsidR="0053375F">
        <w:rPr>
          <w:sz w:val="26"/>
        </w:rPr>
        <w:t>of the Municipal Claim and Tax Lien Law,</w:t>
      </w:r>
      <w:r w:rsidR="00A44659" w:rsidRPr="00A44659">
        <w:rPr>
          <w:sz w:val="26"/>
        </w:rPr>
        <w:t xml:space="preserve"> </w:t>
      </w:r>
      <w:r w:rsidR="00A44659" w:rsidRPr="0061451D">
        <w:rPr>
          <w:sz w:val="26"/>
        </w:rPr>
        <w:t>53 P.S. § 7101</w:t>
      </w:r>
      <w:r w:rsidR="00A44659">
        <w:rPr>
          <w:sz w:val="26"/>
        </w:rPr>
        <w:t>,</w:t>
      </w:r>
      <w:r w:rsidR="00A44659" w:rsidRPr="0061451D">
        <w:rPr>
          <w:sz w:val="26"/>
        </w:rPr>
        <w:t xml:space="preserve"> </w:t>
      </w:r>
      <w:r w:rsidR="00A44659" w:rsidRPr="0061451D">
        <w:rPr>
          <w:i/>
          <w:sz w:val="26"/>
        </w:rPr>
        <w:t>et seq</w:t>
      </w:r>
      <w:r w:rsidR="00A44659" w:rsidRPr="0061451D">
        <w:rPr>
          <w:sz w:val="26"/>
        </w:rPr>
        <w:t>.</w:t>
      </w:r>
      <w:r w:rsidR="00A44659">
        <w:rPr>
          <w:sz w:val="26"/>
        </w:rPr>
        <w:t>,</w:t>
      </w:r>
      <w:r w:rsidR="00A44659" w:rsidRPr="0061451D">
        <w:rPr>
          <w:sz w:val="26"/>
        </w:rPr>
        <w:t xml:space="preserve"> </w:t>
      </w:r>
      <w:r w:rsidR="0053375F">
        <w:rPr>
          <w:sz w:val="26"/>
        </w:rPr>
        <w:t>remains unabated.</w:t>
      </w:r>
      <w:r w:rsidR="00A44659">
        <w:rPr>
          <w:rStyle w:val="FootnoteReference"/>
        </w:rPr>
        <w:footnoteReference w:id="1"/>
      </w:r>
      <w:r w:rsidR="0053375F">
        <w:rPr>
          <w:sz w:val="26"/>
        </w:rPr>
        <w:t xml:space="preserve">  </w:t>
      </w:r>
      <w:r w:rsidR="00DC1B6C">
        <w:rPr>
          <w:sz w:val="26"/>
        </w:rPr>
        <w:t xml:space="preserve">I.D. at 8-9.  </w:t>
      </w:r>
      <w:r w:rsidR="0053375F">
        <w:rPr>
          <w:sz w:val="26"/>
        </w:rPr>
        <w:t xml:space="preserve">The ALJ also stated that Section 2212(n) </w:t>
      </w:r>
      <w:r w:rsidR="0000314E">
        <w:rPr>
          <w:sz w:val="26"/>
        </w:rPr>
        <w:t xml:space="preserve">of the </w:t>
      </w:r>
      <w:r w:rsidR="0000314E">
        <w:rPr>
          <w:sz w:val="26"/>
        </w:rPr>
        <w:lastRenderedPageBreak/>
        <w:t xml:space="preserve">Code, 66 Pa. C.S. § 2212(n), </w:t>
      </w:r>
      <w:r w:rsidR="0053375F">
        <w:rPr>
          <w:sz w:val="26"/>
        </w:rPr>
        <w:t xml:space="preserve">clearly expressed the legislative intent </w:t>
      </w:r>
      <w:r w:rsidR="0000314E">
        <w:rPr>
          <w:sz w:val="26"/>
        </w:rPr>
        <w:t xml:space="preserve">that </w:t>
      </w:r>
      <w:r w:rsidR="0053375F">
        <w:rPr>
          <w:sz w:val="26"/>
        </w:rPr>
        <w:t xml:space="preserve">nothing in the Code </w:t>
      </w:r>
      <w:r w:rsidR="00951C41">
        <w:rPr>
          <w:sz w:val="26"/>
        </w:rPr>
        <w:t>abrogates the City’s power to collect unpaid bills for natural gas service through the imposition of liens under the Municipal Claim and Tax Lien Law.</w:t>
      </w:r>
      <w:r w:rsidR="00A44659">
        <w:rPr>
          <w:rStyle w:val="FootnoteReference"/>
        </w:rPr>
        <w:footnoteReference w:id="2"/>
      </w:r>
      <w:r w:rsidR="00DC1B6C">
        <w:rPr>
          <w:sz w:val="26"/>
        </w:rPr>
        <w:t xml:space="preserve">  </w:t>
      </w:r>
      <w:r w:rsidR="0000314E">
        <w:rPr>
          <w:sz w:val="26"/>
        </w:rPr>
        <w:t>I.D.</w:t>
      </w:r>
      <w:r w:rsidR="00DC1B6C">
        <w:rPr>
          <w:sz w:val="26"/>
        </w:rPr>
        <w:t xml:space="preserve"> at 9.  </w:t>
      </w:r>
      <w:r w:rsidR="0053375F">
        <w:rPr>
          <w:sz w:val="26"/>
        </w:rPr>
        <w:t xml:space="preserve">    </w:t>
      </w:r>
      <w:r w:rsidR="00BD3691" w:rsidRPr="00F93227">
        <w:rPr>
          <w:sz w:val="26"/>
        </w:rPr>
        <w:t xml:space="preserve"> </w:t>
      </w:r>
    </w:p>
    <w:p w:rsidR="00C975B8" w:rsidRPr="00F93227" w:rsidRDefault="00FF5FB6" w:rsidP="00FF5FB6">
      <w:pPr>
        <w:spacing w:line="360" w:lineRule="auto"/>
        <w:rPr>
          <w:sz w:val="26"/>
        </w:rPr>
      </w:pPr>
      <w:r w:rsidRPr="00F93227">
        <w:rPr>
          <w:sz w:val="26"/>
          <w:szCs w:val="26"/>
        </w:rPr>
        <w:t xml:space="preserve">   </w:t>
      </w:r>
      <w:r w:rsidR="000B3F04" w:rsidRPr="00F93227">
        <w:rPr>
          <w:sz w:val="26"/>
          <w:szCs w:val="26"/>
        </w:rPr>
        <w:t xml:space="preserve">   </w:t>
      </w:r>
      <w:r w:rsidR="00C975B8" w:rsidRPr="00F93227">
        <w:rPr>
          <w:sz w:val="26"/>
        </w:rPr>
        <w:t xml:space="preserve"> </w:t>
      </w:r>
    </w:p>
    <w:p w:rsidR="00951EFE" w:rsidRDefault="00683001" w:rsidP="00951EFE">
      <w:pPr>
        <w:spacing w:line="360" w:lineRule="auto"/>
        <w:rPr>
          <w:b/>
          <w:sz w:val="26"/>
        </w:rPr>
      </w:pPr>
      <w:r w:rsidRPr="00683001">
        <w:rPr>
          <w:b/>
          <w:sz w:val="26"/>
        </w:rPr>
        <w:t>Disposition</w:t>
      </w:r>
    </w:p>
    <w:p w:rsidR="008027AC" w:rsidRDefault="008027AC" w:rsidP="00951EFE">
      <w:pPr>
        <w:spacing w:line="360" w:lineRule="auto"/>
        <w:rPr>
          <w:b/>
          <w:sz w:val="26"/>
        </w:rPr>
      </w:pPr>
    </w:p>
    <w:p w:rsidR="005D5239" w:rsidRDefault="008027AC" w:rsidP="00610713">
      <w:pPr>
        <w:spacing w:line="360" w:lineRule="auto"/>
        <w:ind w:firstLine="720"/>
        <w:rPr>
          <w:sz w:val="26"/>
        </w:rPr>
      </w:pPr>
      <w:r>
        <w:rPr>
          <w:sz w:val="26"/>
        </w:rPr>
        <w:tab/>
      </w:r>
      <w:r w:rsidR="00B84688">
        <w:rPr>
          <w:sz w:val="26"/>
        </w:rPr>
        <w:t>We agree</w:t>
      </w:r>
      <w:r w:rsidR="00B84688" w:rsidRPr="008027AC">
        <w:rPr>
          <w:sz w:val="26"/>
        </w:rPr>
        <w:t xml:space="preserve"> with the ALJ </w:t>
      </w:r>
      <w:r w:rsidR="00610713">
        <w:rPr>
          <w:sz w:val="26"/>
        </w:rPr>
        <w:t>that the Complainant’s request that the municipal liens be removed from her property is outside of our jurisdiction</w:t>
      </w:r>
      <w:r w:rsidR="005D5239">
        <w:rPr>
          <w:sz w:val="26"/>
        </w:rPr>
        <w:t>, consistent with Sections 1414(a) and 2212(n) of the Code</w:t>
      </w:r>
      <w:r w:rsidR="00610713">
        <w:rPr>
          <w:sz w:val="26"/>
        </w:rPr>
        <w:t>.</w:t>
      </w:r>
      <w:r w:rsidR="005D5239">
        <w:rPr>
          <w:sz w:val="26"/>
        </w:rPr>
        <w:t xml:space="preserve">  </w:t>
      </w:r>
      <w:r w:rsidR="005D5239" w:rsidRPr="003F49BF">
        <w:rPr>
          <w:sz w:val="26"/>
          <w:szCs w:val="26"/>
        </w:rPr>
        <w:t xml:space="preserve">It is well-settled that the Commission </w:t>
      </w:r>
      <w:r w:rsidR="005D5239">
        <w:rPr>
          <w:sz w:val="26"/>
          <w:szCs w:val="26"/>
        </w:rPr>
        <w:t>does not have subject matter jurisdiction over municipal liens</w:t>
      </w:r>
      <w:r w:rsidR="005D5239" w:rsidRPr="003F49BF">
        <w:rPr>
          <w:sz w:val="26"/>
          <w:szCs w:val="26"/>
        </w:rPr>
        <w:t xml:space="preserve">.  </w:t>
      </w:r>
      <w:r w:rsidR="005D5239" w:rsidRPr="003F49BF">
        <w:rPr>
          <w:i/>
          <w:sz w:val="26"/>
          <w:szCs w:val="26"/>
        </w:rPr>
        <w:t>Black v. Philadelphia Gas Works</w:t>
      </w:r>
      <w:r w:rsidR="005D5239" w:rsidRPr="003F49BF">
        <w:rPr>
          <w:sz w:val="26"/>
          <w:szCs w:val="26"/>
        </w:rPr>
        <w:t xml:space="preserve">, Docket No. C-2011-2218474 (Order entered August 25, 2011); </w:t>
      </w:r>
      <w:r w:rsidR="005D5239" w:rsidRPr="003F49BF">
        <w:rPr>
          <w:i/>
          <w:iCs/>
          <w:sz w:val="26"/>
          <w:szCs w:val="26"/>
        </w:rPr>
        <w:t>Charles v. Philadelphia Gas Works</w:t>
      </w:r>
      <w:r w:rsidR="005D5239" w:rsidRPr="003F49BF">
        <w:rPr>
          <w:sz w:val="26"/>
          <w:szCs w:val="26"/>
        </w:rPr>
        <w:t>, Docket No. C-2009-2138638 (</w:t>
      </w:r>
      <w:r w:rsidR="000F15EE">
        <w:rPr>
          <w:sz w:val="26"/>
          <w:szCs w:val="26"/>
        </w:rPr>
        <w:t xml:space="preserve">Final </w:t>
      </w:r>
      <w:r w:rsidR="005D5239" w:rsidRPr="003F49BF">
        <w:rPr>
          <w:sz w:val="26"/>
          <w:szCs w:val="26"/>
        </w:rPr>
        <w:t xml:space="preserve">Order entered February 5, 2010); </w:t>
      </w:r>
      <w:r w:rsidR="005D5239" w:rsidRPr="003F49BF">
        <w:rPr>
          <w:i/>
          <w:sz w:val="26"/>
          <w:szCs w:val="26"/>
        </w:rPr>
        <w:t>2020 West Passyunk Avenue, Inc. v. Philadelphia Gas Works</w:t>
      </w:r>
      <w:r w:rsidR="005D5239">
        <w:rPr>
          <w:sz w:val="26"/>
          <w:szCs w:val="26"/>
        </w:rPr>
        <w:t>, Docket No. C</w:t>
      </w:r>
      <w:r w:rsidR="005D5239">
        <w:rPr>
          <w:sz w:val="26"/>
          <w:szCs w:val="26"/>
        </w:rPr>
        <w:noBreakHyphen/>
        <w:t>2009</w:t>
      </w:r>
      <w:r w:rsidR="005D5239">
        <w:rPr>
          <w:sz w:val="26"/>
          <w:szCs w:val="26"/>
        </w:rPr>
        <w:noBreakHyphen/>
      </w:r>
      <w:r w:rsidR="005D5239" w:rsidRPr="003F49BF">
        <w:rPr>
          <w:sz w:val="26"/>
          <w:szCs w:val="26"/>
        </w:rPr>
        <w:t>2138727 (</w:t>
      </w:r>
      <w:r w:rsidR="000F15EE">
        <w:rPr>
          <w:sz w:val="26"/>
          <w:szCs w:val="26"/>
        </w:rPr>
        <w:t xml:space="preserve">Final </w:t>
      </w:r>
      <w:r w:rsidR="005D5239" w:rsidRPr="003F49BF">
        <w:rPr>
          <w:sz w:val="26"/>
          <w:szCs w:val="26"/>
        </w:rPr>
        <w:t>Order entered February 4, 2010)</w:t>
      </w:r>
      <w:r w:rsidR="00D274BF">
        <w:rPr>
          <w:sz w:val="26"/>
          <w:szCs w:val="26"/>
        </w:rPr>
        <w:t xml:space="preserve">.  </w:t>
      </w:r>
      <w:r w:rsidR="005D5239" w:rsidRPr="003F49BF">
        <w:rPr>
          <w:sz w:val="26"/>
          <w:szCs w:val="26"/>
        </w:rPr>
        <w:t xml:space="preserve"> </w:t>
      </w:r>
      <w:r w:rsidR="00610713">
        <w:rPr>
          <w:sz w:val="26"/>
        </w:rPr>
        <w:t xml:space="preserve">  </w:t>
      </w:r>
    </w:p>
    <w:p w:rsidR="005D5239" w:rsidRDefault="005D5239" w:rsidP="00610713">
      <w:pPr>
        <w:spacing w:line="360" w:lineRule="auto"/>
        <w:ind w:firstLine="720"/>
        <w:rPr>
          <w:sz w:val="26"/>
        </w:rPr>
      </w:pPr>
    </w:p>
    <w:p w:rsidR="00A44659" w:rsidRDefault="00D274BF" w:rsidP="00610713">
      <w:pPr>
        <w:spacing w:line="360" w:lineRule="auto"/>
        <w:ind w:firstLine="720"/>
        <w:rPr>
          <w:sz w:val="26"/>
        </w:rPr>
      </w:pPr>
      <w:r>
        <w:rPr>
          <w:sz w:val="26"/>
        </w:rPr>
        <w:tab/>
      </w:r>
      <w:r w:rsidR="00610713">
        <w:rPr>
          <w:sz w:val="26"/>
        </w:rPr>
        <w:t xml:space="preserve">However, </w:t>
      </w:r>
      <w:r w:rsidR="00083B79">
        <w:rPr>
          <w:sz w:val="26"/>
        </w:rPr>
        <w:t xml:space="preserve">we have the authority to </w:t>
      </w:r>
      <w:r w:rsidR="00083B79">
        <w:rPr>
          <w:sz w:val="26"/>
          <w:szCs w:val="26"/>
        </w:rPr>
        <w:t>impose civil penalties, or order such other relief as is contained in the Code, if we find that a jurisdictional entity such as PGW has violated the Code, our Regulations</w:t>
      </w:r>
      <w:r w:rsidR="000F15EE">
        <w:rPr>
          <w:sz w:val="26"/>
          <w:szCs w:val="26"/>
        </w:rPr>
        <w:t>,</w:t>
      </w:r>
      <w:r w:rsidR="00083B79">
        <w:rPr>
          <w:sz w:val="26"/>
          <w:szCs w:val="26"/>
        </w:rPr>
        <w:t xml:space="preserve"> or our Orders.  </w:t>
      </w:r>
      <w:r w:rsidR="00462110" w:rsidRPr="00726561">
        <w:rPr>
          <w:i/>
          <w:sz w:val="26"/>
          <w:szCs w:val="26"/>
        </w:rPr>
        <w:t>Newman v. Philadelphia Gas Works</w:t>
      </w:r>
      <w:r w:rsidR="00462110">
        <w:rPr>
          <w:sz w:val="26"/>
          <w:szCs w:val="26"/>
        </w:rPr>
        <w:t xml:space="preserve">, Docket No. C-2011-2273565 (Order entered March 29, 2012).  </w:t>
      </w:r>
      <w:r w:rsidR="00726561">
        <w:rPr>
          <w:sz w:val="26"/>
          <w:szCs w:val="26"/>
        </w:rPr>
        <w:t xml:space="preserve">In this case, the Complainant </w:t>
      </w:r>
      <w:r w:rsidR="00462110">
        <w:rPr>
          <w:sz w:val="26"/>
          <w:szCs w:val="26"/>
        </w:rPr>
        <w:t>ha</w:t>
      </w:r>
      <w:r w:rsidR="00726561">
        <w:rPr>
          <w:sz w:val="26"/>
          <w:szCs w:val="26"/>
        </w:rPr>
        <w:t>s</w:t>
      </w:r>
      <w:r w:rsidR="00462110">
        <w:rPr>
          <w:sz w:val="26"/>
          <w:szCs w:val="26"/>
        </w:rPr>
        <w:t xml:space="preserve"> </w:t>
      </w:r>
      <w:r w:rsidR="000F15EE">
        <w:rPr>
          <w:sz w:val="26"/>
          <w:szCs w:val="26"/>
        </w:rPr>
        <w:t>raised</w:t>
      </w:r>
      <w:r w:rsidR="00726561">
        <w:rPr>
          <w:sz w:val="26"/>
          <w:szCs w:val="26"/>
        </w:rPr>
        <w:t xml:space="preserve"> </w:t>
      </w:r>
      <w:r w:rsidR="00462110">
        <w:rPr>
          <w:sz w:val="26"/>
          <w:szCs w:val="26"/>
        </w:rPr>
        <w:t>alleg</w:t>
      </w:r>
      <w:r w:rsidR="00726561">
        <w:rPr>
          <w:sz w:val="26"/>
          <w:szCs w:val="26"/>
        </w:rPr>
        <w:t xml:space="preserve">ations that may implicate </w:t>
      </w:r>
      <w:r w:rsidR="00462110">
        <w:rPr>
          <w:sz w:val="26"/>
          <w:szCs w:val="26"/>
        </w:rPr>
        <w:t>a violation of the Code, our Regulations</w:t>
      </w:r>
      <w:r w:rsidR="000F15EE">
        <w:rPr>
          <w:sz w:val="26"/>
          <w:szCs w:val="26"/>
        </w:rPr>
        <w:t>,</w:t>
      </w:r>
      <w:r w:rsidR="00462110">
        <w:rPr>
          <w:sz w:val="26"/>
          <w:szCs w:val="26"/>
        </w:rPr>
        <w:t xml:space="preserve"> or </w:t>
      </w:r>
      <w:r w:rsidR="000F15EE">
        <w:rPr>
          <w:sz w:val="26"/>
          <w:szCs w:val="26"/>
        </w:rPr>
        <w:t xml:space="preserve">our </w:t>
      </w:r>
      <w:r w:rsidR="00462110">
        <w:rPr>
          <w:sz w:val="26"/>
          <w:szCs w:val="26"/>
        </w:rPr>
        <w:t xml:space="preserve">Orders. </w:t>
      </w:r>
      <w:r w:rsidR="00726561">
        <w:rPr>
          <w:sz w:val="26"/>
          <w:szCs w:val="26"/>
        </w:rPr>
        <w:t xml:space="preserve"> The</w:t>
      </w:r>
      <w:r w:rsidR="00462110">
        <w:rPr>
          <w:sz w:val="26"/>
          <w:szCs w:val="26"/>
        </w:rPr>
        <w:t xml:space="preserve"> </w:t>
      </w:r>
      <w:r w:rsidR="00610713">
        <w:rPr>
          <w:sz w:val="26"/>
        </w:rPr>
        <w:t xml:space="preserve">Complainant alleged that she was improperly billed by </w:t>
      </w:r>
      <w:r w:rsidR="00610713">
        <w:rPr>
          <w:sz w:val="26"/>
        </w:rPr>
        <w:lastRenderedPageBreak/>
        <w:t xml:space="preserve">PGW.  The Initial Decision </w:t>
      </w:r>
      <w:r w:rsidR="00726561">
        <w:rPr>
          <w:sz w:val="26"/>
        </w:rPr>
        <w:t xml:space="preserve">also </w:t>
      </w:r>
      <w:r w:rsidR="00610713">
        <w:rPr>
          <w:sz w:val="26"/>
        </w:rPr>
        <w:t>appears to imply that there may be amounts in dispute in this case that were not the subject of a lien.</w:t>
      </w:r>
      <w:r w:rsidR="00610713">
        <w:rPr>
          <w:rStyle w:val="FootnoteReference"/>
        </w:rPr>
        <w:footnoteReference w:id="3"/>
      </w:r>
      <w:r w:rsidR="00D703E4">
        <w:rPr>
          <w:sz w:val="26"/>
        </w:rPr>
        <w:t xml:space="preserve">  Given this ambiguity, and because we retain jurisdiction over service issues and any outstanding balances that have not been converted to liens, we find that it is not appropriate to dismiss the Complaint in its entirety.  Accordingly, we shall remand the portion of the Complaint that is within our jurisdiction to the Office of Administrative Law Judge for such </w:t>
      </w:r>
      <w:r w:rsidR="004B27D4">
        <w:rPr>
          <w:sz w:val="26"/>
        </w:rPr>
        <w:t xml:space="preserve">proceedings as may be </w:t>
      </w:r>
      <w:r w:rsidR="00243204">
        <w:rPr>
          <w:sz w:val="26"/>
        </w:rPr>
        <w:t xml:space="preserve">deemed necessary.  </w:t>
      </w:r>
    </w:p>
    <w:p w:rsidR="00BB63AF" w:rsidRPr="00C975B8" w:rsidRDefault="00610713" w:rsidP="00610713">
      <w:pPr>
        <w:spacing w:line="360" w:lineRule="auto"/>
        <w:ind w:firstLine="720"/>
        <w:rPr>
          <w:sz w:val="26"/>
          <w:szCs w:val="26"/>
        </w:rPr>
      </w:pPr>
      <w:r>
        <w:rPr>
          <w:sz w:val="26"/>
        </w:rPr>
        <w:t xml:space="preserve">  </w:t>
      </w:r>
    </w:p>
    <w:p w:rsidR="00956972" w:rsidRPr="00385898" w:rsidRDefault="00956972" w:rsidP="008D78F0">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97637E">
        <w:rPr>
          <w:sz w:val="26"/>
          <w:szCs w:val="26"/>
        </w:rPr>
        <w:t>Based on our review of the record and the applicable law</w:t>
      </w:r>
      <w:r w:rsidR="000F15EE">
        <w:rPr>
          <w:sz w:val="26"/>
          <w:szCs w:val="26"/>
        </w:rPr>
        <w:t xml:space="preserve">, we shall </w:t>
      </w:r>
      <w:r w:rsidR="000F15EE" w:rsidRPr="005B34DD">
        <w:rPr>
          <w:sz w:val="26"/>
          <w:szCs w:val="26"/>
        </w:rPr>
        <w:t xml:space="preserve">reverse, in part, the ALJ’s Initial Decision and remand </w:t>
      </w:r>
      <w:r w:rsidR="000F15EE">
        <w:rPr>
          <w:sz w:val="26"/>
          <w:szCs w:val="26"/>
        </w:rPr>
        <w:t xml:space="preserve">this matter for such proceedings as may be deemed necessary, </w:t>
      </w:r>
      <w:r w:rsidR="000F15EE" w:rsidRPr="005B34DD">
        <w:rPr>
          <w:sz w:val="26"/>
          <w:szCs w:val="26"/>
        </w:rPr>
        <w:t>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Judge</w:t>
      </w:r>
      <w:r w:rsidR="00C57BC0" w:rsidRPr="00C57BC0">
        <w:rPr>
          <w:sz w:val="26"/>
          <w:szCs w:val="26"/>
        </w:rPr>
        <w:t xml:space="preserve"> </w:t>
      </w:r>
      <w:r w:rsidR="000F15EE">
        <w:rPr>
          <w:sz w:val="26"/>
          <w:szCs w:val="26"/>
        </w:rPr>
        <w:t xml:space="preserve">Dennis J. Buckley, issued on December 3, 2015, </w:t>
      </w:r>
      <w:r w:rsidR="005154BC">
        <w:rPr>
          <w:sz w:val="26"/>
          <w:szCs w:val="26"/>
        </w:rPr>
        <w:t xml:space="preserve">is </w:t>
      </w:r>
      <w:r w:rsidR="000F15EE">
        <w:rPr>
          <w:sz w:val="26"/>
          <w:szCs w:val="26"/>
        </w:rPr>
        <w:t>reversed</w:t>
      </w:r>
      <w:r w:rsidR="00824CFF">
        <w:rPr>
          <w:sz w:val="26"/>
          <w:szCs w:val="26"/>
        </w:rPr>
        <w:t>,</w:t>
      </w:r>
      <w:r w:rsidR="007473AC">
        <w:rPr>
          <w:sz w:val="26"/>
          <w:szCs w:val="26"/>
        </w:rPr>
        <w:t xml:space="preserve"> </w:t>
      </w:r>
      <w:r w:rsidR="000F15EE">
        <w:rPr>
          <w:sz w:val="26"/>
          <w:szCs w:val="26"/>
        </w:rPr>
        <w:t xml:space="preserve">in part, </w:t>
      </w:r>
      <w:r w:rsidR="00824CFF">
        <w:rPr>
          <w:sz w:val="26"/>
          <w:szCs w:val="26"/>
        </w:rPr>
        <w:t>consistent with</w:t>
      </w:r>
      <w:r w:rsidR="00243CC9">
        <w:rPr>
          <w:sz w:val="26"/>
          <w:szCs w:val="26"/>
        </w:rPr>
        <w:t xml:space="preserve"> this Opinion and Order</w:t>
      </w:r>
      <w:r w:rsidR="00EF782F">
        <w:rPr>
          <w:sz w:val="26"/>
          <w:szCs w:val="26"/>
        </w:rPr>
        <w:t>.</w:t>
      </w:r>
    </w:p>
    <w:p w:rsidR="000F15EE" w:rsidRDefault="000F15EE" w:rsidP="000F15EE">
      <w:pPr>
        <w:spacing w:line="360" w:lineRule="auto"/>
        <w:rPr>
          <w:sz w:val="26"/>
          <w:szCs w:val="26"/>
        </w:rPr>
      </w:pPr>
    </w:p>
    <w:p w:rsidR="000F15EE" w:rsidRPr="005B34DD" w:rsidRDefault="000F15EE" w:rsidP="000F15EE">
      <w:pPr>
        <w:spacing w:line="360" w:lineRule="auto"/>
        <w:rPr>
          <w:sz w:val="26"/>
          <w:szCs w:val="26"/>
        </w:rPr>
      </w:pPr>
      <w:r>
        <w:rPr>
          <w:sz w:val="26"/>
          <w:szCs w:val="26"/>
        </w:rPr>
        <w:lastRenderedPageBreak/>
        <w:tab/>
      </w:r>
      <w:r>
        <w:rPr>
          <w:sz w:val="26"/>
          <w:szCs w:val="26"/>
        </w:rPr>
        <w:tab/>
      </w:r>
      <w:r w:rsidR="00D435DD">
        <w:rPr>
          <w:sz w:val="26"/>
          <w:szCs w:val="26"/>
        </w:rPr>
        <w:t>2.</w:t>
      </w:r>
      <w:r w:rsidR="00D435DD">
        <w:rPr>
          <w:sz w:val="26"/>
          <w:szCs w:val="26"/>
        </w:rPr>
        <w:tab/>
        <w:t>That th</w:t>
      </w:r>
      <w:r>
        <w:rPr>
          <w:sz w:val="26"/>
          <w:szCs w:val="26"/>
        </w:rPr>
        <w:t xml:space="preserve">is matter shall be remanded to the Office of Administrative Law Judge for such proceedings as may be deemed necessary, </w:t>
      </w:r>
      <w:r w:rsidRPr="005B34DD">
        <w:rPr>
          <w:sz w:val="26"/>
          <w:szCs w:val="26"/>
        </w:rPr>
        <w:t xml:space="preserve">consistent with this Opinion and Order.   </w:t>
      </w:r>
    </w:p>
    <w:p w:rsidR="000A53C6" w:rsidRDefault="006652C6" w:rsidP="0019251E">
      <w:pPr>
        <w:spacing w:line="360" w:lineRule="auto"/>
        <w:rPr>
          <w:sz w:val="26"/>
          <w:szCs w:val="26"/>
        </w:rPr>
      </w:pPr>
      <w:r>
        <w:rPr>
          <w:sz w:val="26"/>
          <w:szCs w:val="26"/>
        </w:rPr>
        <w:tab/>
      </w:r>
      <w:r>
        <w:rPr>
          <w:sz w:val="26"/>
          <w:szCs w:val="26"/>
        </w:rPr>
        <w:tab/>
      </w:r>
      <w:r w:rsidR="00FF14E7">
        <w:rPr>
          <w:sz w:val="26"/>
          <w:szCs w:val="26"/>
        </w:rPr>
        <w:t xml:space="preserve"> </w:t>
      </w:r>
      <w:r w:rsidR="005D74D6">
        <w:rPr>
          <w:sz w:val="26"/>
          <w:szCs w:val="26"/>
        </w:rPr>
        <w:tab/>
      </w:r>
    </w:p>
    <w:p w:rsidR="00503B2F" w:rsidRPr="003C63B1" w:rsidRDefault="00801897" w:rsidP="0019251E">
      <w:pPr>
        <w:spacing w:line="360" w:lineRule="auto"/>
        <w:rPr>
          <w:sz w:val="26"/>
        </w:rPr>
      </w:pPr>
      <w:bookmarkStart w:id="4" w:name="_GoBack"/>
      <w:r w:rsidRPr="00F45E06">
        <w:rPr>
          <w:b/>
          <w:noProof/>
        </w:rPr>
        <w:drawing>
          <wp:anchor distT="0" distB="0" distL="114300" distR="114300" simplePos="0" relativeHeight="251659264" behindDoc="1" locked="0" layoutInCell="1" allowOverlap="1" wp14:anchorId="32FA42B3" wp14:editId="45DDA0A6">
            <wp:simplePos x="0" y="0"/>
            <wp:positionH relativeFrom="column">
              <wp:posOffset>2780030</wp:posOffset>
            </wp:positionH>
            <wp:positionV relativeFrom="paragraph">
              <wp:posOffset>52705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0A53C6">
        <w:rPr>
          <w:sz w:val="26"/>
          <w:szCs w:val="26"/>
        </w:rPr>
        <w:tab/>
      </w:r>
      <w:r w:rsidR="000A53C6">
        <w:rPr>
          <w:sz w:val="26"/>
          <w:szCs w:val="26"/>
        </w:rPr>
        <w:tab/>
      </w:r>
      <w:r w:rsidR="000A53C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0A53C6">
        <w:rPr>
          <w:sz w:val="26"/>
        </w:rPr>
        <w:t>February 11, 2016</w:t>
      </w:r>
      <w:r w:rsidR="00FF14E7">
        <w:rPr>
          <w:sz w:val="26"/>
        </w:rPr>
        <w:t xml:space="preserve"> </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A17E19">
        <w:rPr>
          <w:sz w:val="26"/>
        </w:rPr>
        <w:t xml:space="preserve"> </w:t>
      </w:r>
      <w:r w:rsidR="00801897">
        <w:rPr>
          <w:sz w:val="26"/>
        </w:rPr>
        <w:t>March 22, 2016</w:t>
      </w:r>
    </w:p>
    <w:p w:rsidR="009304FE" w:rsidRDefault="009304FE" w:rsidP="00503B2F">
      <w:pPr>
        <w:spacing w:line="360" w:lineRule="auto"/>
      </w:pPr>
    </w:p>
    <w:sectPr w:rsidR="009304FE"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D6" w:rsidRDefault="000621D6">
      <w:r>
        <w:separator/>
      </w:r>
    </w:p>
  </w:endnote>
  <w:endnote w:type="continuationSeparator" w:id="0">
    <w:p w:rsidR="000621D6" w:rsidRDefault="0006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801897">
      <w:rPr>
        <w:rStyle w:val="PageNumber"/>
        <w:noProof/>
      </w:rPr>
      <w:t>8</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D6" w:rsidRDefault="000621D6">
      <w:r>
        <w:separator/>
      </w:r>
    </w:p>
  </w:footnote>
  <w:footnote w:type="continuationSeparator" w:id="0">
    <w:p w:rsidR="000621D6" w:rsidRDefault="000621D6">
      <w:r>
        <w:continuationSeparator/>
      </w:r>
    </w:p>
  </w:footnote>
  <w:footnote w:id="1">
    <w:p w:rsidR="00A44659" w:rsidRDefault="00A44659" w:rsidP="0000314E">
      <w:pPr>
        <w:ind w:firstLine="720"/>
        <w:rPr>
          <w:sz w:val="26"/>
          <w:szCs w:val="26"/>
        </w:rPr>
      </w:pPr>
      <w:r>
        <w:rPr>
          <w:rStyle w:val="FootnoteReference"/>
        </w:rPr>
        <w:footnoteRef/>
      </w:r>
      <w:r>
        <w:t xml:space="preserve"> </w:t>
      </w:r>
      <w:r>
        <w:tab/>
      </w:r>
      <w:r>
        <w:rPr>
          <w:sz w:val="26"/>
          <w:szCs w:val="26"/>
        </w:rPr>
        <w:t xml:space="preserve">Section 1414(a) </w:t>
      </w:r>
      <w:r w:rsidR="0000314E">
        <w:rPr>
          <w:sz w:val="26"/>
          <w:szCs w:val="26"/>
        </w:rPr>
        <w:t xml:space="preserve">of the Code </w:t>
      </w:r>
      <w:r>
        <w:rPr>
          <w:sz w:val="26"/>
          <w:szCs w:val="26"/>
        </w:rPr>
        <w:t xml:space="preserve">provides the following:   </w:t>
      </w:r>
    </w:p>
    <w:p w:rsidR="00A44659" w:rsidRDefault="00A44659" w:rsidP="0000314E">
      <w:pPr>
        <w:widowControl w:val="0"/>
        <w:adjustRightInd w:val="0"/>
        <w:ind w:left="1440" w:right="1440"/>
        <w:jc w:val="both"/>
        <w:rPr>
          <w:b/>
          <w:bCs/>
          <w:color w:val="000000"/>
          <w:sz w:val="26"/>
        </w:rPr>
      </w:pPr>
    </w:p>
    <w:p w:rsidR="00A44659" w:rsidRDefault="00A44659" w:rsidP="0000314E">
      <w:pPr>
        <w:adjustRightInd w:val="0"/>
        <w:ind w:left="1440" w:right="1440"/>
      </w:pPr>
      <w:r>
        <w:rPr>
          <w:b/>
          <w:bCs/>
          <w:color w:val="000000"/>
          <w:sz w:val="26"/>
        </w:rPr>
        <w:tab/>
      </w:r>
      <w:r w:rsidRPr="00B001CE">
        <w:rPr>
          <w:b/>
          <w:bCs/>
          <w:color w:val="000000"/>
          <w:sz w:val="26"/>
        </w:rPr>
        <w:t>(a) General rule.</w:t>
      </w:r>
      <w:r w:rsidR="0000314E">
        <w:rPr>
          <w:b/>
          <w:bCs/>
          <w:color w:val="000000"/>
          <w:sz w:val="26"/>
        </w:rPr>
        <w:t>—</w:t>
      </w:r>
      <w:r w:rsidRPr="00B001CE">
        <w:rPr>
          <w:color w:val="000000"/>
          <w:sz w:val="26"/>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1" w:name="Document1zz[FN1]"/>
      <w:bookmarkEnd w:id="1"/>
      <w:r w:rsidRPr="00B001CE">
        <w:rPr>
          <w:color w:val="000000"/>
          <w:sz w:val="26"/>
        </w:rPr>
        <w:t xml:space="preserve">referred to as the Municipal Claim and Tax Lien Law, and chapter 22 </w:t>
      </w:r>
      <w:bookmarkStart w:id="2" w:name="Document1zz[FN2]"/>
      <w:bookmarkEnd w:id="2"/>
      <w:r w:rsidRPr="00B001CE">
        <w:rPr>
          <w:color w:val="000000"/>
          <w:sz w:val="26"/>
        </w:rPr>
        <w:t>(relating to natural gas competition).</w:t>
      </w:r>
    </w:p>
  </w:footnote>
  <w:footnote w:id="2">
    <w:p w:rsidR="00A44659" w:rsidRPr="00372E6D" w:rsidRDefault="00A44659" w:rsidP="00A44659">
      <w:pPr>
        <w:widowControl w:val="0"/>
        <w:adjustRightInd w:val="0"/>
        <w:spacing w:line="360" w:lineRule="auto"/>
        <w:ind w:firstLine="720"/>
        <w:rPr>
          <w:color w:val="000000"/>
          <w:sz w:val="26"/>
        </w:rPr>
      </w:pPr>
      <w:r>
        <w:rPr>
          <w:rStyle w:val="FootnoteReference"/>
        </w:rPr>
        <w:footnoteRef/>
      </w:r>
      <w:r>
        <w:t xml:space="preserve"> </w:t>
      </w:r>
      <w:r>
        <w:tab/>
      </w:r>
      <w:r>
        <w:rPr>
          <w:color w:val="000000"/>
          <w:sz w:val="26"/>
        </w:rPr>
        <w:t xml:space="preserve">Section 2212(n) of the Code, states as follows:      </w:t>
      </w:r>
    </w:p>
    <w:p w:rsidR="00A44659" w:rsidRDefault="00A44659" w:rsidP="0000314E">
      <w:pPr>
        <w:widowControl w:val="0"/>
        <w:adjustRightInd w:val="0"/>
        <w:ind w:left="1440" w:right="1440"/>
        <w:rPr>
          <w:color w:val="000000"/>
          <w:sz w:val="26"/>
        </w:rPr>
      </w:pPr>
      <w:r w:rsidRPr="00372E6D">
        <w:rPr>
          <w:b/>
          <w:bCs/>
          <w:color w:val="000000"/>
          <w:sz w:val="26"/>
        </w:rPr>
        <w:t>(n) Collections.</w:t>
      </w:r>
      <w:r w:rsidR="0000314E">
        <w:rPr>
          <w:b/>
          <w:bCs/>
          <w:color w:val="000000"/>
          <w:sz w:val="26"/>
        </w:rPr>
        <w:t>—</w:t>
      </w:r>
      <w:r w:rsidRPr="00372E6D">
        <w:rPr>
          <w:color w:val="000000"/>
          <w:sz w:val="26"/>
        </w:rPr>
        <w:t>Nothing contained in this title shall abrogate the power of a city natural gas distribution operation to collect delinquent receivables through the imposition of liens pursuant to section 3 of the act of May 16, 1923 (P.L. 207, No. 153),</w:t>
      </w:r>
      <w:bookmarkStart w:id="3" w:name="Document1zz[FN6]"/>
      <w:bookmarkEnd w:id="3"/>
      <w:r w:rsidRPr="00372E6D">
        <w:rPr>
          <w:color w:val="000000"/>
          <w:sz w:val="26"/>
        </w:rPr>
        <w:t xml:space="preserve"> referred to as the Municipal Claim and Tax Lien Law, or otherwise.</w:t>
      </w:r>
    </w:p>
    <w:p w:rsidR="00A44659" w:rsidRDefault="00A44659" w:rsidP="00A44659">
      <w:pPr>
        <w:widowControl w:val="0"/>
        <w:adjustRightInd w:val="0"/>
        <w:spacing w:line="360" w:lineRule="auto"/>
        <w:ind w:left="1440" w:right="1440"/>
        <w:jc w:val="both"/>
        <w:rPr>
          <w:color w:val="000000"/>
          <w:sz w:val="26"/>
        </w:rPr>
      </w:pPr>
    </w:p>
    <w:p w:rsidR="00A44659" w:rsidRDefault="00A44659">
      <w:pPr>
        <w:pStyle w:val="FootnoteText"/>
      </w:pPr>
    </w:p>
  </w:footnote>
  <w:footnote w:id="3">
    <w:p w:rsidR="006957E8" w:rsidRPr="0061451D" w:rsidRDefault="00610713" w:rsidP="00610713">
      <w:pPr>
        <w:autoSpaceDE w:val="0"/>
        <w:autoSpaceDN w:val="0"/>
        <w:rPr>
          <w:sz w:val="26"/>
        </w:rPr>
      </w:pPr>
      <w:r>
        <w:tab/>
      </w:r>
      <w:r w:rsidRPr="0061451D">
        <w:rPr>
          <w:rStyle w:val="FootnoteReference"/>
        </w:rPr>
        <w:footnoteRef/>
      </w:r>
      <w:r w:rsidRPr="0061451D">
        <w:rPr>
          <w:sz w:val="26"/>
        </w:rPr>
        <w:t xml:space="preserve"> </w:t>
      </w:r>
      <w:r w:rsidRPr="0061451D">
        <w:rPr>
          <w:sz w:val="26"/>
        </w:rPr>
        <w:tab/>
        <w:t xml:space="preserve">Specifically, Finding of Fact </w:t>
      </w:r>
      <w:r w:rsidR="006957E8" w:rsidRPr="0061451D">
        <w:rPr>
          <w:sz w:val="26"/>
        </w:rPr>
        <w:t>No. 4 provides the following:</w:t>
      </w:r>
      <w:r w:rsidRPr="0061451D">
        <w:rPr>
          <w:sz w:val="26"/>
        </w:rPr>
        <w:tab/>
      </w:r>
    </w:p>
    <w:p w:rsidR="006957E8" w:rsidRPr="0061451D" w:rsidRDefault="006957E8" w:rsidP="00610713">
      <w:pPr>
        <w:autoSpaceDE w:val="0"/>
        <w:autoSpaceDN w:val="0"/>
        <w:rPr>
          <w:sz w:val="26"/>
        </w:rPr>
      </w:pPr>
    </w:p>
    <w:p w:rsidR="00610713" w:rsidRPr="0061451D" w:rsidRDefault="00610713" w:rsidP="006957E8">
      <w:pPr>
        <w:autoSpaceDE w:val="0"/>
        <w:autoSpaceDN w:val="0"/>
        <w:ind w:left="1440" w:right="1440"/>
        <w:rPr>
          <w:sz w:val="26"/>
        </w:rPr>
      </w:pPr>
      <w:r w:rsidRPr="0061451D">
        <w:rPr>
          <w:sz w:val="26"/>
        </w:rPr>
        <w:t>The City of Philadelphia, pursuant to the provisions of 53 P.S. § 7101</w:t>
      </w:r>
      <w:r w:rsidR="0061451D">
        <w:rPr>
          <w:sz w:val="26"/>
        </w:rPr>
        <w:t>,</w:t>
      </w:r>
      <w:r w:rsidRPr="0061451D">
        <w:rPr>
          <w:sz w:val="26"/>
        </w:rPr>
        <w:t xml:space="preserve"> </w:t>
      </w:r>
      <w:r w:rsidRPr="0061451D">
        <w:rPr>
          <w:i/>
          <w:sz w:val="26"/>
        </w:rPr>
        <w:t>et seq</w:t>
      </w:r>
      <w:r w:rsidRPr="0061451D">
        <w:rPr>
          <w:sz w:val="26"/>
        </w:rPr>
        <w:t xml:space="preserve">. (the </w:t>
      </w:r>
      <w:r w:rsidRPr="0061451D">
        <w:rPr>
          <w:bCs/>
          <w:sz w:val="26"/>
        </w:rPr>
        <w:t>Municipal</w:t>
      </w:r>
      <w:r w:rsidRPr="0061451D">
        <w:rPr>
          <w:sz w:val="26"/>
        </w:rPr>
        <w:t xml:space="preserve"> Claim and Tax </w:t>
      </w:r>
      <w:r w:rsidRPr="0061451D">
        <w:rPr>
          <w:bCs/>
          <w:sz w:val="26"/>
        </w:rPr>
        <w:t>Lien</w:t>
      </w:r>
      <w:r w:rsidRPr="0061451D">
        <w:rPr>
          <w:sz w:val="26"/>
        </w:rPr>
        <w:t xml:space="preserve"> Law), placed multiple </w:t>
      </w:r>
      <w:r w:rsidRPr="0061451D">
        <w:rPr>
          <w:bCs/>
          <w:sz w:val="26"/>
        </w:rPr>
        <w:t>liens</w:t>
      </w:r>
      <w:r w:rsidRPr="0061451D">
        <w:rPr>
          <w:sz w:val="26"/>
        </w:rPr>
        <w:t xml:space="preserve"> upon the premises and Janay Keys allegedly still owes PGW $369.79 for unpaid natural gas service.  Preliminary Objections at 2-3, ¶¶ 3-4.</w:t>
      </w:r>
    </w:p>
    <w:p w:rsidR="00610713" w:rsidRPr="0061451D" w:rsidRDefault="00610713">
      <w:pPr>
        <w:pStyle w:val="FootnoteText"/>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AC4"/>
    <w:rsid w:val="00000C15"/>
    <w:rsid w:val="00001139"/>
    <w:rsid w:val="00001B56"/>
    <w:rsid w:val="0000209B"/>
    <w:rsid w:val="00002615"/>
    <w:rsid w:val="0000290A"/>
    <w:rsid w:val="00002F2A"/>
    <w:rsid w:val="0000314E"/>
    <w:rsid w:val="00004C36"/>
    <w:rsid w:val="000063E9"/>
    <w:rsid w:val="000064C2"/>
    <w:rsid w:val="00006E37"/>
    <w:rsid w:val="00007106"/>
    <w:rsid w:val="000074DC"/>
    <w:rsid w:val="00010067"/>
    <w:rsid w:val="00010322"/>
    <w:rsid w:val="0001099D"/>
    <w:rsid w:val="00011888"/>
    <w:rsid w:val="00012A95"/>
    <w:rsid w:val="00012EB0"/>
    <w:rsid w:val="00013B94"/>
    <w:rsid w:val="0001411C"/>
    <w:rsid w:val="0001414B"/>
    <w:rsid w:val="00014826"/>
    <w:rsid w:val="000148F5"/>
    <w:rsid w:val="00015969"/>
    <w:rsid w:val="00015A01"/>
    <w:rsid w:val="00016CE0"/>
    <w:rsid w:val="00017033"/>
    <w:rsid w:val="00017CA9"/>
    <w:rsid w:val="00020B46"/>
    <w:rsid w:val="00020E43"/>
    <w:rsid w:val="00020F8F"/>
    <w:rsid w:val="000215B4"/>
    <w:rsid w:val="000234F5"/>
    <w:rsid w:val="00024987"/>
    <w:rsid w:val="00024DD1"/>
    <w:rsid w:val="00025686"/>
    <w:rsid w:val="0002585B"/>
    <w:rsid w:val="00025B28"/>
    <w:rsid w:val="000261D5"/>
    <w:rsid w:val="00026D11"/>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3DF0"/>
    <w:rsid w:val="00044438"/>
    <w:rsid w:val="0004679E"/>
    <w:rsid w:val="000472A4"/>
    <w:rsid w:val="000510D0"/>
    <w:rsid w:val="000510FD"/>
    <w:rsid w:val="00053CED"/>
    <w:rsid w:val="000541A0"/>
    <w:rsid w:val="00054407"/>
    <w:rsid w:val="00054F22"/>
    <w:rsid w:val="00054F7A"/>
    <w:rsid w:val="00055EF9"/>
    <w:rsid w:val="00057057"/>
    <w:rsid w:val="000573BD"/>
    <w:rsid w:val="000607F2"/>
    <w:rsid w:val="000610F9"/>
    <w:rsid w:val="00061284"/>
    <w:rsid w:val="00061850"/>
    <w:rsid w:val="000621D6"/>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3B79"/>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53C6"/>
    <w:rsid w:val="000A545E"/>
    <w:rsid w:val="000A6EB3"/>
    <w:rsid w:val="000A770A"/>
    <w:rsid w:val="000A7F96"/>
    <w:rsid w:val="000B1251"/>
    <w:rsid w:val="000B1FAC"/>
    <w:rsid w:val="000B2688"/>
    <w:rsid w:val="000B2B80"/>
    <w:rsid w:val="000B3CCC"/>
    <w:rsid w:val="000B3F04"/>
    <w:rsid w:val="000B3FB4"/>
    <w:rsid w:val="000B4F29"/>
    <w:rsid w:val="000B5487"/>
    <w:rsid w:val="000B5DF8"/>
    <w:rsid w:val="000B633E"/>
    <w:rsid w:val="000B71E3"/>
    <w:rsid w:val="000B77E2"/>
    <w:rsid w:val="000B7E7F"/>
    <w:rsid w:val="000C4BFD"/>
    <w:rsid w:val="000C608B"/>
    <w:rsid w:val="000C6C92"/>
    <w:rsid w:val="000C742F"/>
    <w:rsid w:val="000D0BAC"/>
    <w:rsid w:val="000D0D75"/>
    <w:rsid w:val="000D1965"/>
    <w:rsid w:val="000D25E3"/>
    <w:rsid w:val="000D6482"/>
    <w:rsid w:val="000D6C35"/>
    <w:rsid w:val="000D761A"/>
    <w:rsid w:val="000E0050"/>
    <w:rsid w:val="000E0311"/>
    <w:rsid w:val="000E09BE"/>
    <w:rsid w:val="000E24DE"/>
    <w:rsid w:val="000E3AA7"/>
    <w:rsid w:val="000E3FDA"/>
    <w:rsid w:val="000E492B"/>
    <w:rsid w:val="000E4BED"/>
    <w:rsid w:val="000E7110"/>
    <w:rsid w:val="000F15EE"/>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4C3E"/>
    <w:rsid w:val="001350BC"/>
    <w:rsid w:val="0013515F"/>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30"/>
    <w:rsid w:val="00147415"/>
    <w:rsid w:val="00150989"/>
    <w:rsid w:val="001509E0"/>
    <w:rsid w:val="0015530E"/>
    <w:rsid w:val="0015662E"/>
    <w:rsid w:val="0015683F"/>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C5B"/>
    <w:rsid w:val="00197574"/>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472"/>
    <w:rsid w:val="001D70A6"/>
    <w:rsid w:val="001D7137"/>
    <w:rsid w:val="001E05C6"/>
    <w:rsid w:val="001E0B29"/>
    <w:rsid w:val="001E19BC"/>
    <w:rsid w:val="001E1A53"/>
    <w:rsid w:val="001E2CFB"/>
    <w:rsid w:val="001E2ED9"/>
    <w:rsid w:val="001E3574"/>
    <w:rsid w:val="001E3854"/>
    <w:rsid w:val="001E4225"/>
    <w:rsid w:val="001E5B8E"/>
    <w:rsid w:val="001F0488"/>
    <w:rsid w:val="001F3BF4"/>
    <w:rsid w:val="001F3C68"/>
    <w:rsid w:val="001F4194"/>
    <w:rsid w:val="001F49F1"/>
    <w:rsid w:val="001F5074"/>
    <w:rsid w:val="001F55D5"/>
    <w:rsid w:val="001F5F40"/>
    <w:rsid w:val="001F75D6"/>
    <w:rsid w:val="001F79C6"/>
    <w:rsid w:val="001F7B55"/>
    <w:rsid w:val="00200480"/>
    <w:rsid w:val="00200D0C"/>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035C"/>
    <w:rsid w:val="00241AA6"/>
    <w:rsid w:val="00243016"/>
    <w:rsid w:val="00243204"/>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6DCA"/>
    <w:rsid w:val="0025718D"/>
    <w:rsid w:val="002618AC"/>
    <w:rsid w:val="00262A87"/>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975BF"/>
    <w:rsid w:val="002A015E"/>
    <w:rsid w:val="002A0E82"/>
    <w:rsid w:val="002A23B3"/>
    <w:rsid w:val="002A3250"/>
    <w:rsid w:val="002A3A6E"/>
    <w:rsid w:val="002A3AC8"/>
    <w:rsid w:val="002A5399"/>
    <w:rsid w:val="002A5564"/>
    <w:rsid w:val="002A740E"/>
    <w:rsid w:val="002A782B"/>
    <w:rsid w:val="002B0089"/>
    <w:rsid w:val="002B03EA"/>
    <w:rsid w:val="002B31AD"/>
    <w:rsid w:val="002B3767"/>
    <w:rsid w:val="002B4B0D"/>
    <w:rsid w:val="002B6B0C"/>
    <w:rsid w:val="002B7BA6"/>
    <w:rsid w:val="002C011D"/>
    <w:rsid w:val="002C116F"/>
    <w:rsid w:val="002C4014"/>
    <w:rsid w:val="002C4311"/>
    <w:rsid w:val="002C5DB6"/>
    <w:rsid w:val="002C61A7"/>
    <w:rsid w:val="002C6681"/>
    <w:rsid w:val="002C6790"/>
    <w:rsid w:val="002C7CB2"/>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615A"/>
    <w:rsid w:val="00326A17"/>
    <w:rsid w:val="00327CBE"/>
    <w:rsid w:val="00330392"/>
    <w:rsid w:val="003309FF"/>
    <w:rsid w:val="0033198B"/>
    <w:rsid w:val="00333EEC"/>
    <w:rsid w:val="003342FF"/>
    <w:rsid w:val="0033589A"/>
    <w:rsid w:val="00337C48"/>
    <w:rsid w:val="00337DFD"/>
    <w:rsid w:val="0034039A"/>
    <w:rsid w:val="00340B42"/>
    <w:rsid w:val="00342149"/>
    <w:rsid w:val="003428C1"/>
    <w:rsid w:val="003440BD"/>
    <w:rsid w:val="00344581"/>
    <w:rsid w:val="003459E2"/>
    <w:rsid w:val="00346964"/>
    <w:rsid w:val="003471B4"/>
    <w:rsid w:val="00350442"/>
    <w:rsid w:val="00350B3E"/>
    <w:rsid w:val="00350FE2"/>
    <w:rsid w:val="00352BC7"/>
    <w:rsid w:val="00353BBC"/>
    <w:rsid w:val="00353F42"/>
    <w:rsid w:val="0035474E"/>
    <w:rsid w:val="00354EEE"/>
    <w:rsid w:val="00356A26"/>
    <w:rsid w:val="00356BF1"/>
    <w:rsid w:val="00356C30"/>
    <w:rsid w:val="003571CC"/>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12F"/>
    <w:rsid w:val="0037549D"/>
    <w:rsid w:val="0037692B"/>
    <w:rsid w:val="003807E7"/>
    <w:rsid w:val="0038091E"/>
    <w:rsid w:val="0038130A"/>
    <w:rsid w:val="00381C7A"/>
    <w:rsid w:val="00383324"/>
    <w:rsid w:val="00383585"/>
    <w:rsid w:val="003843BB"/>
    <w:rsid w:val="00385898"/>
    <w:rsid w:val="00386A7C"/>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CDF"/>
    <w:rsid w:val="003C0F72"/>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D7CA0"/>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3F6FA7"/>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34C0"/>
    <w:rsid w:val="004246D3"/>
    <w:rsid w:val="004253E2"/>
    <w:rsid w:val="00425651"/>
    <w:rsid w:val="00425C2F"/>
    <w:rsid w:val="00426953"/>
    <w:rsid w:val="00427697"/>
    <w:rsid w:val="0043042D"/>
    <w:rsid w:val="00430570"/>
    <w:rsid w:val="00431621"/>
    <w:rsid w:val="00431969"/>
    <w:rsid w:val="00431F78"/>
    <w:rsid w:val="00433F60"/>
    <w:rsid w:val="00435582"/>
    <w:rsid w:val="00436B64"/>
    <w:rsid w:val="0044114D"/>
    <w:rsid w:val="00441917"/>
    <w:rsid w:val="00441920"/>
    <w:rsid w:val="004419DA"/>
    <w:rsid w:val="00442945"/>
    <w:rsid w:val="004430A9"/>
    <w:rsid w:val="00443198"/>
    <w:rsid w:val="0044366E"/>
    <w:rsid w:val="00443A90"/>
    <w:rsid w:val="00443DE7"/>
    <w:rsid w:val="00446BCB"/>
    <w:rsid w:val="00447592"/>
    <w:rsid w:val="0045182C"/>
    <w:rsid w:val="00455C99"/>
    <w:rsid w:val="004572B4"/>
    <w:rsid w:val="00457386"/>
    <w:rsid w:val="004610A5"/>
    <w:rsid w:val="00461752"/>
    <w:rsid w:val="00461AC0"/>
    <w:rsid w:val="00461E0C"/>
    <w:rsid w:val="00462110"/>
    <w:rsid w:val="004622AF"/>
    <w:rsid w:val="00463C5C"/>
    <w:rsid w:val="004659EF"/>
    <w:rsid w:val="004715B6"/>
    <w:rsid w:val="0047307A"/>
    <w:rsid w:val="00473CA5"/>
    <w:rsid w:val="00474DBB"/>
    <w:rsid w:val="00474F36"/>
    <w:rsid w:val="00474FC8"/>
    <w:rsid w:val="00475639"/>
    <w:rsid w:val="004760F2"/>
    <w:rsid w:val="004761B9"/>
    <w:rsid w:val="00476B76"/>
    <w:rsid w:val="00480E10"/>
    <w:rsid w:val="00483AB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27D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241"/>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375F"/>
    <w:rsid w:val="00534585"/>
    <w:rsid w:val="00534A1D"/>
    <w:rsid w:val="00535011"/>
    <w:rsid w:val="00535439"/>
    <w:rsid w:val="005365A5"/>
    <w:rsid w:val="00536EE4"/>
    <w:rsid w:val="00540F72"/>
    <w:rsid w:val="005411A3"/>
    <w:rsid w:val="00542F46"/>
    <w:rsid w:val="00543297"/>
    <w:rsid w:val="00543DB7"/>
    <w:rsid w:val="00545FB5"/>
    <w:rsid w:val="005460F4"/>
    <w:rsid w:val="005469D0"/>
    <w:rsid w:val="0054778C"/>
    <w:rsid w:val="005519BC"/>
    <w:rsid w:val="00551BEE"/>
    <w:rsid w:val="0055360E"/>
    <w:rsid w:val="005545BF"/>
    <w:rsid w:val="00555069"/>
    <w:rsid w:val="00555A12"/>
    <w:rsid w:val="00555CA0"/>
    <w:rsid w:val="00557536"/>
    <w:rsid w:val="00557627"/>
    <w:rsid w:val="00560E96"/>
    <w:rsid w:val="005611AB"/>
    <w:rsid w:val="005618BC"/>
    <w:rsid w:val="00563707"/>
    <w:rsid w:val="0056564F"/>
    <w:rsid w:val="00566DC0"/>
    <w:rsid w:val="005673FC"/>
    <w:rsid w:val="00567F85"/>
    <w:rsid w:val="00572F46"/>
    <w:rsid w:val="00580871"/>
    <w:rsid w:val="0058183A"/>
    <w:rsid w:val="00583E72"/>
    <w:rsid w:val="00584D1A"/>
    <w:rsid w:val="005850E9"/>
    <w:rsid w:val="00585605"/>
    <w:rsid w:val="00585FF4"/>
    <w:rsid w:val="00590A8E"/>
    <w:rsid w:val="005921ED"/>
    <w:rsid w:val="00592536"/>
    <w:rsid w:val="00592CAB"/>
    <w:rsid w:val="00593628"/>
    <w:rsid w:val="00593636"/>
    <w:rsid w:val="0059500A"/>
    <w:rsid w:val="0059669E"/>
    <w:rsid w:val="00596A48"/>
    <w:rsid w:val="005A05BB"/>
    <w:rsid w:val="005A08BE"/>
    <w:rsid w:val="005A098A"/>
    <w:rsid w:val="005A3BEF"/>
    <w:rsid w:val="005A3CB8"/>
    <w:rsid w:val="005A4358"/>
    <w:rsid w:val="005A4F7D"/>
    <w:rsid w:val="005A5F10"/>
    <w:rsid w:val="005A6378"/>
    <w:rsid w:val="005A69E2"/>
    <w:rsid w:val="005A6C7B"/>
    <w:rsid w:val="005A6E7C"/>
    <w:rsid w:val="005B01F2"/>
    <w:rsid w:val="005B34DD"/>
    <w:rsid w:val="005B4F29"/>
    <w:rsid w:val="005B5378"/>
    <w:rsid w:val="005B5F54"/>
    <w:rsid w:val="005B7BF8"/>
    <w:rsid w:val="005C1345"/>
    <w:rsid w:val="005C3D9A"/>
    <w:rsid w:val="005C5271"/>
    <w:rsid w:val="005C55BC"/>
    <w:rsid w:val="005D090E"/>
    <w:rsid w:val="005D33F7"/>
    <w:rsid w:val="005D40C7"/>
    <w:rsid w:val="005D436B"/>
    <w:rsid w:val="005D4382"/>
    <w:rsid w:val="005D4D4F"/>
    <w:rsid w:val="005D5239"/>
    <w:rsid w:val="005D5B48"/>
    <w:rsid w:val="005D60FF"/>
    <w:rsid w:val="005D6922"/>
    <w:rsid w:val="005D74D6"/>
    <w:rsid w:val="005D75C3"/>
    <w:rsid w:val="005E0C51"/>
    <w:rsid w:val="005E214B"/>
    <w:rsid w:val="005E3735"/>
    <w:rsid w:val="005E50A3"/>
    <w:rsid w:val="005E538D"/>
    <w:rsid w:val="005E5393"/>
    <w:rsid w:val="005E56CB"/>
    <w:rsid w:val="005E6754"/>
    <w:rsid w:val="005E7204"/>
    <w:rsid w:val="005F05CF"/>
    <w:rsid w:val="005F10BC"/>
    <w:rsid w:val="005F178B"/>
    <w:rsid w:val="005F2E90"/>
    <w:rsid w:val="005F3184"/>
    <w:rsid w:val="005F35E2"/>
    <w:rsid w:val="005F3E65"/>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0713"/>
    <w:rsid w:val="00613C23"/>
    <w:rsid w:val="00613EA0"/>
    <w:rsid w:val="00613F67"/>
    <w:rsid w:val="0061451D"/>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2B3"/>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EDA"/>
    <w:rsid w:val="00664F45"/>
    <w:rsid w:val="006652C6"/>
    <w:rsid w:val="00665368"/>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001"/>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957E8"/>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61FC"/>
    <w:rsid w:val="006E7B1A"/>
    <w:rsid w:val="006F0018"/>
    <w:rsid w:val="006F2A73"/>
    <w:rsid w:val="006F30B1"/>
    <w:rsid w:val="006F32C7"/>
    <w:rsid w:val="006F381F"/>
    <w:rsid w:val="006F4482"/>
    <w:rsid w:val="006F45BC"/>
    <w:rsid w:val="006F472E"/>
    <w:rsid w:val="006F59DE"/>
    <w:rsid w:val="00700664"/>
    <w:rsid w:val="00700E59"/>
    <w:rsid w:val="00701FAC"/>
    <w:rsid w:val="0070213C"/>
    <w:rsid w:val="007021F4"/>
    <w:rsid w:val="00702BEE"/>
    <w:rsid w:val="00702EF7"/>
    <w:rsid w:val="00704460"/>
    <w:rsid w:val="007047B6"/>
    <w:rsid w:val="00704A66"/>
    <w:rsid w:val="007052E1"/>
    <w:rsid w:val="0070698C"/>
    <w:rsid w:val="00706A32"/>
    <w:rsid w:val="007078B7"/>
    <w:rsid w:val="00710D58"/>
    <w:rsid w:val="00710EAE"/>
    <w:rsid w:val="00711196"/>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561"/>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31E0"/>
    <w:rsid w:val="00765781"/>
    <w:rsid w:val="00766353"/>
    <w:rsid w:val="00773BDD"/>
    <w:rsid w:val="00774460"/>
    <w:rsid w:val="00776EC9"/>
    <w:rsid w:val="00780296"/>
    <w:rsid w:val="00780707"/>
    <w:rsid w:val="00780972"/>
    <w:rsid w:val="00780E2F"/>
    <w:rsid w:val="00781C27"/>
    <w:rsid w:val="00787B2C"/>
    <w:rsid w:val="00787B36"/>
    <w:rsid w:val="00787C7F"/>
    <w:rsid w:val="00787D24"/>
    <w:rsid w:val="00791EEE"/>
    <w:rsid w:val="007946EB"/>
    <w:rsid w:val="0079543C"/>
    <w:rsid w:val="00795F8D"/>
    <w:rsid w:val="00796AEA"/>
    <w:rsid w:val="007A1316"/>
    <w:rsid w:val="007A1DC5"/>
    <w:rsid w:val="007A20AD"/>
    <w:rsid w:val="007A28CD"/>
    <w:rsid w:val="007A35C4"/>
    <w:rsid w:val="007A5D05"/>
    <w:rsid w:val="007A5E2B"/>
    <w:rsid w:val="007A692B"/>
    <w:rsid w:val="007A7331"/>
    <w:rsid w:val="007A7415"/>
    <w:rsid w:val="007B0CB0"/>
    <w:rsid w:val="007B116D"/>
    <w:rsid w:val="007B1A13"/>
    <w:rsid w:val="007B1F99"/>
    <w:rsid w:val="007B27DF"/>
    <w:rsid w:val="007B312C"/>
    <w:rsid w:val="007B3A36"/>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3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97"/>
    <w:rsid w:val="008018EF"/>
    <w:rsid w:val="0080230D"/>
    <w:rsid w:val="008027AC"/>
    <w:rsid w:val="008036FD"/>
    <w:rsid w:val="0080383D"/>
    <w:rsid w:val="00807429"/>
    <w:rsid w:val="00810827"/>
    <w:rsid w:val="008127D6"/>
    <w:rsid w:val="00812C3D"/>
    <w:rsid w:val="0081411E"/>
    <w:rsid w:val="00814E4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5315"/>
    <w:rsid w:val="00835AEB"/>
    <w:rsid w:val="00836BE5"/>
    <w:rsid w:val="00840D0F"/>
    <w:rsid w:val="0084200E"/>
    <w:rsid w:val="00842A84"/>
    <w:rsid w:val="00842FDE"/>
    <w:rsid w:val="008442C1"/>
    <w:rsid w:val="008445D4"/>
    <w:rsid w:val="008446F1"/>
    <w:rsid w:val="00845C4F"/>
    <w:rsid w:val="00846FF0"/>
    <w:rsid w:val="00847CD0"/>
    <w:rsid w:val="008508BE"/>
    <w:rsid w:val="008513F7"/>
    <w:rsid w:val="00854B56"/>
    <w:rsid w:val="00855374"/>
    <w:rsid w:val="0085728C"/>
    <w:rsid w:val="00857536"/>
    <w:rsid w:val="00857A42"/>
    <w:rsid w:val="00860737"/>
    <w:rsid w:val="008611A4"/>
    <w:rsid w:val="00861FD7"/>
    <w:rsid w:val="00862B1B"/>
    <w:rsid w:val="00862B56"/>
    <w:rsid w:val="0086363F"/>
    <w:rsid w:val="008639C9"/>
    <w:rsid w:val="008667AD"/>
    <w:rsid w:val="00866D13"/>
    <w:rsid w:val="00874DEF"/>
    <w:rsid w:val="008766DA"/>
    <w:rsid w:val="00876D09"/>
    <w:rsid w:val="00877308"/>
    <w:rsid w:val="0088013C"/>
    <w:rsid w:val="00881882"/>
    <w:rsid w:val="00882AC7"/>
    <w:rsid w:val="00882CC5"/>
    <w:rsid w:val="008835E3"/>
    <w:rsid w:val="00883F04"/>
    <w:rsid w:val="00884452"/>
    <w:rsid w:val="00887DF9"/>
    <w:rsid w:val="008905D7"/>
    <w:rsid w:val="008932A4"/>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18"/>
    <w:rsid w:val="008A7AE9"/>
    <w:rsid w:val="008B0C5E"/>
    <w:rsid w:val="008B1D85"/>
    <w:rsid w:val="008B24E5"/>
    <w:rsid w:val="008B270A"/>
    <w:rsid w:val="008B3920"/>
    <w:rsid w:val="008B496B"/>
    <w:rsid w:val="008B4A1E"/>
    <w:rsid w:val="008B5B9D"/>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0E94"/>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9AC"/>
    <w:rsid w:val="00911A3E"/>
    <w:rsid w:val="00912262"/>
    <w:rsid w:val="00912A52"/>
    <w:rsid w:val="00912BE1"/>
    <w:rsid w:val="00913539"/>
    <w:rsid w:val="00915BFA"/>
    <w:rsid w:val="009160E0"/>
    <w:rsid w:val="00921B80"/>
    <w:rsid w:val="00921F3C"/>
    <w:rsid w:val="00922DA6"/>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0317"/>
    <w:rsid w:val="00941138"/>
    <w:rsid w:val="00942DAE"/>
    <w:rsid w:val="00943F6E"/>
    <w:rsid w:val="00945CCD"/>
    <w:rsid w:val="00945D59"/>
    <w:rsid w:val="00947F9D"/>
    <w:rsid w:val="00951C41"/>
    <w:rsid w:val="00951D24"/>
    <w:rsid w:val="00951EFE"/>
    <w:rsid w:val="00952049"/>
    <w:rsid w:val="00952C86"/>
    <w:rsid w:val="00953BC2"/>
    <w:rsid w:val="00953D1B"/>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6051"/>
    <w:rsid w:val="0097032D"/>
    <w:rsid w:val="009706AA"/>
    <w:rsid w:val="00970E28"/>
    <w:rsid w:val="00973088"/>
    <w:rsid w:val="00974568"/>
    <w:rsid w:val="0097493A"/>
    <w:rsid w:val="0097619C"/>
    <w:rsid w:val="0097637E"/>
    <w:rsid w:val="009765DF"/>
    <w:rsid w:val="00976E8C"/>
    <w:rsid w:val="00977973"/>
    <w:rsid w:val="00981F79"/>
    <w:rsid w:val="009834E9"/>
    <w:rsid w:val="00983A72"/>
    <w:rsid w:val="009850EF"/>
    <w:rsid w:val="009868FC"/>
    <w:rsid w:val="00986D78"/>
    <w:rsid w:val="00987FE0"/>
    <w:rsid w:val="00990566"/>
    <w:rsid w:val="00991A16"/>
    <w:rsid w:val="00991AA5"/>
    <w:rsid w:val="00993BC0"/>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1C5F"/>
    <w:rsid w:val="00A020B4"/>
    <w:rsid w:val="00A02F3C"/>
    <w:rsid w:val="00A03358"/>
    <w:rsid w:val="00A043FE"/>
    <w:rsid w:val="00A044A3"/>
    <w:rsid w:val="00A0471E"/>
    <w:rsid w:val="00A05916"/>
    <w:rsid w:val="00A05AA6"/>
    <w:rsid w:val="00A06192"/>
    <w:rsid w:val="00A07065"/>
    <w:rsid w:val="00A10886"/>
    <w:rsid w:val="00A11861"/>
    <w:rsid w:val="00A125B4"/>
    <w:rsid w:val="00A1266A"/>
    <w:rsid w:val="00A13810"/>
    <w:rsid w:val="00A1387B"/>
    <w:rsid w:val="00A1389B"/>
    <w:rsid w:val="00A14FAA"/>
    <w:rsid w:val="00A1622A"/>
    <w:rsid w:val="00A16E6B"/>
    <w:rsid w:val="00A16EEB"/>
    <w:rsid w:val="00A17E19"/>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41EC"/>
    <w:rsid w:val="00A44659"/>
    <w:rsid w:val="00A46944"/>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5B9A"/>
    <w:rsid w:val="00A77CC0"/>
    <w:rsid w:val="00A80B08"/>
    <w:rsid w:val="00A81E64"/>
    <w:rsid w:val="00A82AD7"/>
    <w:rsid w:val="00A8326A"/>
    <w:rsid w:val="00A8367E"/>
    <w:rsid w:val="00A84536"/>
    <w:rsid w:val="00A84FC0"/>
    <w:rsid w:val="00A8510A"/>
    <w:rsid w:val="00A85226"/>
    <w:rsid w:val="00A857A7"/>
    <w:rsid w:val="00A860D4"/>
    <w:rsid w:val="00A86314"/>
    <w:rsid w:val="00A92240"/>
    <w:rsid w:val="00A92D24"/>
    <w:rsid w:val="00A9350D"/>
    <w:rsid w:val="00A93D78"/>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1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804"/>
    <w:rsid w:val="00AD1FB6"/>
    <w:rsid w:val="00AD20E2"/>
    <w:rsid w:val="00AD22B6"/>
    <w:rsid w:val="00AD2ADC"/>
    <w:rsid w:val="00AD2B54"/>
    <w:rsid w:val="00AD46E9"/>
    <w:rsid w:val="00AD4D8B"/>
    <w:rsid w:val="00AD5C38"/>
    <w:rsid w:val="00AD76C7"/>
    <w:rsid w:val="00AE2494"/>
    <w:rsid w:val="00AE2B63"/>
    <w:rsid w:val="00AE2D37"/>
    <w:rsid w:val="00AE2D7B"/>
    <w:rsid w:val="00AE402B"/>
    <w:rsid w:val="00AE646E"/>
    <w:rsid w:val="00AE655A"/>
    <w:rsid w:val="00AE796E"/>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2440"/>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651A"/>
    <w:rsid w:val="00B508E9"/>
    <w:rsid w:val="00B50EFF"/>
    <w:rsid w:val="00B513A5"/>
    <w:rsid w:val="00B52915"/>
    <w:rsid w:val="00B52B1B"/>
    <w:rsid w:val="00B531F1"/>
    <w:rsid w:val="00B547FB"/>
    <w:rsid w:val="00B555ED"/>
    <w:rsid w:val="00B55B97"/>
    <w:rsid w:val="00B56E5D"/>
    <w:rsid w:val="00B5729D"/>
    <w:rsid w:val="00B5735F"/>
    <w:rsid w:val="00B57E11"/>
    <w:rsid w:val="00B61727"/>
    <w:rsid w:val="00B6173F"/>
    <w:rsid w:val="00B64C58"/>
    <w:rsid w:val="00B661FC"/>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688"/>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63AF"/>
    <w:rsid w:val="00BB684C"/>
    <w:rsid w:val="00BB700A"/>
    <w:rsid w:val="00BB7187"/>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3691"/>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16B"/>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57BC0"/>
    <w:rsid w:val="00C60421"/>
    <w:rsid w:val="00C609DF"/>
    <w:rsid w:val="00C6107C"/>
    <w:rsid w:val="00C6111C"/>
    <w:rsid w:val="00C65A7D"/>
    <w:rsid w:val="00C65E9D"/>
    <w:rsid w:val="00C67EB5"/>
    <w:rsid w:val="00C70497"/>
    <w:rsid w:val="00C704B8"/>
    <w:rsid w:val="00C7149A"/>
    <w:rsid w:val="00C72CFB"/>
    <w:rsid w:val="00C72D10"/>
    <w:rsid w:val="00C741C3"/>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0AE"/>
    <w:rsid w:val="00CC54C3"/>
    <w:rsid w:val="00CC5812"/>
    <w:rsid w:val="00CC6492"/>
    <w:rsid w:val="00CC6A7A"/>
    <w:rsid w:val="00CC6BD1"/>
    <w:rsid w:val="00CC714E"/>
    <w:rsid w:val="00CC7EF4"/>
    <w:rsid w:val="00CD0016"/>
    <w:rsid w:val="00CD14CC"/>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2E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D79"/>
    <w:rsid w:val="00D14EF9"/>
    <w:rsid w:val="00D15AE9"/>
    <w:rsid w:val="00D17A1E"/>
    <w:rsid w:val="00D17CB6"/>
    <w:rsid w:val="00D21282"/>
    <w:rsid w:val="00D21CD0"/>
    <w:rsid w:val="00D222D0"/>
    <w:rsid w:val="00D2292C"/>
    <w:rsid w:val="00D229F9"/>
    <w:rsid w:val="00D2377A"/>
    <w:rsid w:val="00D23D51"/>
    <w:rsid w:val="00D24A7F"/>
    <w:rsid w:val="00D274BF"/>
    <w:rsid w:val="00D27568"/>
    <w:rsid w:val="00D30E85"/>
    <w:rsid w:val="00D325CD"/>
    <w:rsid w:val="00D32B20"/>
    <w:rsid w:val="00D33BAD"/>
    <w:rsid w:val="00D33F51"/>
    <w:rsid w:val="00D3501F"/>
    <w:rsid w:val="00D36224"/>
    <w:rsid w:val="00D37800"/>
    <w:rsid w:val="00D40999"/>
    <w:rsid w:val="00D416AA"/>
    <w:rsid w:val="00D41FF6"/>
    <w:rsid w:val="00D435DD"/>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A16"/>
    <w:rsid w:val="00D57E6D"/>
    <w:rsid w:val="00D63483"/>
    <w:rsid w:val="00D63FC0"/>
    <w:rsid w:val="00D65037"/>
    <w:rsid w:val="00D66349"/>
    <w:rsid w:val="00D66661"/>
    <w:rsid w:val="00D66F4D"/>
    <w:rsid w:val="00D703E4"/>
    <w:rsid w:val="00D74447"/>
    <w:rsid w:val="00D7563C"/>
    <w:rsid w:val="00D75B68"/>
    <w:rsid w:val="00D75DD0"/>
    <w:rsid w:val="00D76810"/>
    <w:rsid w:val="00D76EF3"/>
    <w:rsid w:val="00D80A47"/>
    <w:rsid w:val="00D81263"/>
    <w:rsid w:val="00D83927"/>
    <w:rsid w:val="00D84342"/>
    <w:rsid w:val="00D848FA"/>
    <w:rsid w:val="00D8597E"/>
    <w:rsid w:val="00D85E86"/>
    <w:rsid w:val="00D867A5"/>
    <w:rsid w:val="00D90AB8"/>
    <w:rsid w:val="00D923E5"/>
    <w:rsid w:val="00D92798"/>
    <w:rsid w:val="00D942D5"/>
    <w:rsid w:val="00D94DB6"/>
    <w:rsid w:val="00D964B5"/>
    <w:rsid w:val="00D97D9B"/>
    <w:rsid w:val="00DA1938"/>
    <w:rsid w:val="00DA23E2"/>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1B6C"/>
    <w:rsid w:val="00DC2CA8"/>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5420"/>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112"/>
    <w:rsid w:val="00E139B4"/>
    <w:rsid w:val="00E13CEA"/>
    <w:rsid w:val="00E140A6"/>
    <w:rsid w:val="00E14272"/>
    <w:rsid w:val="00E148B8"/>
    <w:rsid w:val="00E1561C"/>
    <w:rsid w:val="00E1648B"/>
    <w:rsid w:val="00E16FE2"/>
    <w:rsid w:val="00E209D0"/>
    <w:rsid w:val="00E21E25"/>
    <w:rsid w:val="00E22AF2"/>
    <w:rsid w:val="00E22B89"/>
    <w:rsid w:val="00E23D74"/>
    <w:rsid w:val="00E2408A"/>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C31"/>
    <w:rsid w:val="00E369C2"/>
    <w:rsid w:val="00E375A3"/>
    <w:rsid w:val="00E375EE"/>
    <w:rsid w:val="00E37A09"/>
    <w:rsid w:val="00E40E74"/>
    <w:rsid w:val="00E412C8"/>
    <w:rsid w:val="00E4139F"/>
    <w:rsid w:val="00E41FF0"/>
    <w:rsid w:val="00E42464"/>
    <w:rsid w:val="00E4269C"/>
    <w:rsid w:val="00E42B0D"/>
    <w:rsid w:val="00E43BA7"/>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CEB"/>
    <w:rsid w:val="00E64DB9"/>
    <w:rsid w:val="00E65353"/>
    <w:rsid w:val="00E6544D"/>
    <w:rsid w:val="00E704CE"/>
    <w:rsid w:val="00E7252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181"/>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7B1"/>
    <w:rsid w:val="00ED1FAA"/>
    <w:rsid w:val="00ED2183"/>
    <w:rsid w:val="00ED3390"/>
    <w:rsid w:val="00ED3CE7"/>
    <w:rsid w:val="00ED64E6"/>
    <w:rsid w:val="00ED6560"/>
    <w:rsid w:val="00ED6EB2"/>
    <w:rsid w:val="00ED785A"/>
    <w:rsid w:val="00ED7F27"/>
    <w:rsid w:val="00EE1021"/>
    <w:rsid w:val="00EE21F4"/>
    <w:rsid w:val="00EE2832"/>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3FD"/>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43EE"/>
    <w:rsid w:val="00F35F83"/>
    <w:rsid w:val="00F3684A"/>
    <w:rsid w:val="00F37123"/>
    <w:rsid w:val="00F37CE2"/>
    <w:rsid w:val="00F409F0"/>
    <w:rsid w:val="00F40A17"/>
    <w:rsid w:val="00F4141C"/>
    <w:rsid w:val="00F418EE"/>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672C8"/>
    <w:rsid w:val="00F70645"/>
    <w:rsid w:val="00F70E50"/>
    <w:rsid w:val="00F717AF"/>
    <w:rsid w:val="00F74101"/>
    <w:rsid w:val="00F74D99"/>
    <w:rsid w:val="00F803E8"/>
    <w:rsid w:val="00F8097F"/>
    <w:rsid w:val="00F8178D"/>
    <w:rsid w:val="00F83BAD"/>
    <w:rsid w:val="00F85768"/>
    <w:rsid w:val="00F858DA"/>
    <w:rsid w:val="00F86732"/>
    <w:rsid w:val="00F86CD7"/>
    <w:rsid w:val="00F87775"/>
    <w:rsid w:val="00F923D8"/>
    <w:rsid w:val="00F93027"/>
    <w:rsid w:val="00F93227"/>
    <w:rsid w:val="00F93726"/>
    <w:rsid w:val="00F945B3"/>
    <w:rsid w:val="00F948A6"/>
    <w:rsid w:val="00F95BA3"/>
    <w:rsid w:val="00F96208"/>
    <w:rsid w:val="00F96664"/>
    <w:rsid w:val="00F97807"/>
    <w:rsid w:val="00FA1E4A"/>
    <w:rsid w:val="00FA2C64"/>
    <w:rsid w:val="00FA3022"/>
    <w:rsid w:val="00FA4F12"/>
    <w:rsid w:val="00FA5043"/>
    <w:rsid w:val="00FA6846"/>
    <w:rsid w:val="00FB0336"/>
    <w:rsid w:val="00FB0722"/>
    <w:rsid w:val="00FB1225"/>
    <w:rsid w:val="00FB188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63DF"/>
    <w:rsid w:val="00FE7460"/>
    <w:rsid w:val="00FE75EA"/>
    <w:rsid w:val="00FE7B3B"/>
    <w:rsid w:val="00FF0555"/>
    <w:rsid w:val="00FF0F23"/>
    <w:rsid w:val="00FF14E7"/>
    <w:rsid w:val="00FF296D"/>
    <w:rsid w:val="00FF3335"/>
    <w:rsid w:val="00FF3F67"/>
    <w:rsid w:val="00FF4547"/>
    <w:rsid w:val="00FF48E8"/>
    <w:rsid w:val="00FF4A2A"/>
    <w:rsid w:val="00FF4F7F"/>
    <w:rsid w:val="00FF5008"/>
    <w:rsid w:val="00FF5FB6"/>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4B7A-F4F6-498C-8D26-8018E00D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32</cp:revision>
  <cp:lastPrinted>2016-03-09T17:16:00Z</cp:lastPrinted>
  <dcterms:created xsi:type="dcterms:W3CDTF">2016-03-04T16:22:00Z</dcterms:created>
  <dcterms:modified xsi:type="dcterms:W3CDTF">2016-03-22T17:45:00Z</dcterms:modified>
</cp:coreProperties>
</file>