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1D793C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E1575C">
        <w:t>March 28,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E1575C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Mark Nakayama Managing Partner</w:t>
      </w:r>
    </w:p>
    <w:p w:rsidR="00E44597" w:rsidRPr="00E44597" w:rsidRDefault="00E1575C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Navigate Power, LLC</w:t>
      </w:r>
    </w:p>
    <w:p w:rsidR="00E44597" w:rsidRPr="00E44597" w:rsidRDefault="00E1575C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2211 North </w:t>
      </w:r>
      <w:proofErr w:type="spellStart"/>
      <w:r>
        <w:rPr>
          <w:rFonts w:cs="Arial"/>
          <w:sz w:val="22"/>
          <w:szCs w:val="22"/>
        </w:rPr>
        <w:t>Elston</w:t>
      </w:r>
      <w:proofErr w:type="spellEnd"/>
      <w:r>
        <w:rPr>
          <w:rFonts w:cs="Arial"/>
          <w:sz w:val="22"/>
          <w:szCs w:val="22"/>
        </w:rPr>
        <w:t xml:space="preserve"> Avenue Suite 309</w:t>
      </w:r>
    </w:p>
    <w:p w:rsidR="00962F9E" w:rsidRDefault="00E1575C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Chicago</w:t>
      </w:r>
      <w:r w:rsidR="00E44597" w:rsidRPr="00E445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IL</w:t>
      </w:r>
      <w:r w:rsidR="00E44597" w:rsidRPr="00E44597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60614-9278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 xml:space="preserve">Bond No. </w:t>
      </w:r>
      <w:r w:rsidR="00E1575C">
        <w:rPr>
          <w:rFonts w:cs="Arial"/>
          <w:sz w:val="22"/>
          <w:szCs w:val="22"/>
        </w:rPr>
        <w:t>214241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E1575C">
        <w:rPr>
          <w:rFonts w:cs="Arial"/>
          <w:sz w:val="22"/>
          <w:szCs w:val="22"/>
        </w:rPr>
        <w:t>Navigate Power,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A-20</w:t>
      </w:r>
      <w:r w:rsidR="005D5C36">
        <w:rPr>
          <w:rFonts w:cs="Arial"/>
          <w:sz w:val="22"/>
          <w:szCs w:val="22"/>
        </w:rPr>
        <w:t>1</w:t>
      </w:r>
      <w:r w:rsidR="00E1575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-</w:t>
      </w:r>
      <w:r w:rsidR="00E1575C">
        <w:rPr>
          <w:rFonts w:cs="Arial"/>
          <w:sz w:val="22"/>
          <w:szCs w:val="22"/>
        </w:rPr>
        <w:t>2437023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Mr. </w:t>
      </w:r>
      <w:r w:rsidR="00E1575C">
        <w:rPr>
          <w:rFonts w:cs="Arial"/>
          <w:sz w:val="22"/>
          <w:szCs w:val="22"/>
        </w:rPr>
        <w:t>Nakayama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E1575C">
        <w:rPr>
          <w:rFonts w:cs="Arial"/>
          <w:sz w:val="22"/>
          <w:szCs w:val="22"/>
        </w:rPr>
        <w:t>Original Bond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Navigate Power, LLC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>duplicate of the bond already on file, and has expired as of May 30, 2015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file the original financial instrument with my office within 10 days of the date of this letter</w:t>
      </w:r>
      <w:r w:rsidR="007E4C06">
        <w:rPr>
          <w:rFonts w:cs="Arial"/>
          <w:sz w:val="22"/>
          <w:szCs w:val="22"/>
        </w:rPr>
        <w:t xml:space="preserve">, preferably by overnight delivery to </w:t>
      </w:r>
      <w:r w:rsidR="003C7ED9">
        <w:rPr>
          <w:rFonts w:cs="Arial"/>
          <w:sz w:val="22"/>
          <w:szCs w:val="22"/>
        </w:rPr>
        <w:t>the</w:t>
      </w:r>
      <w:r w:rsidR="007E4C06">
        <w:rPr>
          <w:rFonts w:cs="Arial"/>
          <w:sz w:val="22"/>
          <w:szCs w:val="22"/>
        </w:rPr>
        <w:t xml:space="preserve"> address listed above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2016-03-28T13:43:00Z</dcterms:created>
  <dcterms:modified xsi:type="dcterms:W3CDTF">2016-03-28T13:43:00Z</dcterms:modified>
</cp:coreProperties>
</file>