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452DF9">
      <w:pPr>
        <w:jc w:val="center"/>
        <w:rPr>
          <w:b/>
        </w:rPr>
      </w:pPr>
      <w:r>
        <w:rPr>
          <w:b/>
        </w:rPr>
        <w:t>BEFORE THE</w:t>
      </w:r>
    </w:p>
    <w:p w:rsidR="00CF4780" w:rsidRDefault="00CF4780" w:rsidP="00452DF9">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16FEE" w:rsidRDefault="00B16FEE" w:rsidP="00452DF9">
      <w:pPr>
        <w:jc w:val="center"/>
        <w:rPr>
          <w:b/>
        </w:rPr>
      </w:pPr>
    </w:p>
    <w:p w:rsidR="00B16FEE" w:rsidRDefault="00B16FEE" w:rsidP="00452DF9">
      <w:pPr>
        <w:jc w:val="center"/>
        <w:rPr>
          <w:b/>
        </w:rPr>
      </w:pPr>
    </w:p>
    <w:p w:rsidR="00B16FEE" w:rsidRDefault="00B16FEE" w:rsidP="00452DF9">
      <w:pPr>
        <w:jc w:val="center"/>
        <w:rPr>
          <w:b/>
        </w:rPr>
      </w:pPr>
    </w:p>
    <w:p w:rsidR="003C0357" w:rsidRPr="00A57608" w:rsidRDefault="003C0357" w:rsidP="003C0357">
      <w:r>
        <w:t>Albert Buoncristiano</w:t>
      </w:r>
      <w:r>
        <w:tab/>
      </w:r>
      <w:r w:rsidRPr="00A57608">
        <w:tab/>
      </w:r>
      <w:r w:rsidRPr="00A57608">
        <w:tab/>
        <w:t xml:space="preserve"> </w:t>
      </w:r>
      <w:r w:rsidRPr="00A57608">
        <w:fldChar w:fldCharType="begin"/>
      </w:r>
      <w:r w:rsidRPr="00A57608">
        <w:instrText>fillin "Complainant's name" \d ""</w:instrText>
      </w:r>
      <w:r w:rsidRPr="00A57608">
        <w:fldChar w:fldCharType="end"/>
      </w:r>
      <w:r w:rsidRPr="00A57608">
        <w:tab/>
      </w:r>
      <w:r>
        <w:tab/>
      </w:r>
      <w:r w:rsidRPr="00A57608">
        <w:t>:</w:t>
      </w:r>
    </w:p>
    <w:p w:rsidR="003C0357" w:rsidRPr="00A57608" w:rsidRDefault="003C0357" w:rsidP="003C0357">
      <w:r w:rsidRPr="00A57608">
        <w:tab/>
      </w:r>
      <w:r w:rsidRPr="00A57608">
        <w:tab/>
      </w:r>
      <w:r w:rsidRPr="00A57608">
        <w:tab/>
      </w:r>
      <w:r w:rsidRPr="00A57608">
        <w:tab/>
      </w:r>
      <w:r w:rsidRPr="00A57608">
        <w:tab/>
      </w:r>
      <w:r w:rsidRPr="00A57608">
        <w:tab/>
      </w:r>
      <w:r>
        <w:tab/>
      </w:r>
      <w:r w:rsidRPr="00A57608">
        <w:t>:</w:t>
      </w:r>
    </w:p>
    <w:p w:rsidR="003C0357" w:rsidRPr="00A57608" w:rsidRDefault="003C0357" w:rsidP="003C0357">
      <w:r>
        <w:tab/>
      </w:r>
      <w:r w:rsidRPr="00A57608">
        <w:t>v.</w:t>
      </w:r>
      <w:r w:rsidRPr="00A57608">
        <w:tab/>
      </w:r>
      <w:r w:rsidRPr="00A57608">
        <w:tab/>
      </w:r>
      <w:r w:rsidRPr="00A57608">
        <w:tab/>
      </w:r>
      <w:r w:rsidRPr="00A57608">
        <w:tab/>
      </w:r>
      <w:r>
        <w:tab/>
      </w:r>
      <w:r>
        <w:tab/>
      </w:r>
      <w:r w:rsidRPr="00A57608">
        <w:t>:</w:t>
      </w:r>
      <w:r w:rsidRPr="00A57608">
        <w:tab/>
      </w:r>
      <w:r w:rsidRPr="00A57608">
        <w:tab/>
      </w:r>
      <w:r>
        <w:t>C</w:t>
      </w:r>
      <w:r w:rsidRPr="00126FB8">
        <w:t>-20</w:t>
      </w:r>
      <w:r>
        <w:t>15</w:t>
      </w:r>
      <w:r w:rsidRPr="00126FB8">
        <w:t>-2</w:t>
      </w:r>
      <w:r>
        <w:t>466853</w:t>
      </w:r>
    </w:p>
    <w:p w:rsidR="003C0357" w:rsidRPr="00A57608" w:rsidRDefault="003C0357" w:rsidP="003C0357">
      <w:r w:rsidRPr="00A57608">
        <w:tab/>
      </w:r>
      <w:r w:rsidRPr="00A57608">
        <w:tab/>
      </w:r>
      <w:r w:rsidRPr="00A57608">
        <w:tab/>
      </w:r>
      <w:r w:rsidRPr="00A57608">
        <w:tab/>
      </w:r>
      <w:r w:rsidRPr="00A57608">
        <w:tab/>
      </w:r>
      <w:r w:rsidRPr="00A57608">
        <w:tab/>
      </w:r>
      <w:r>
        <w:tab/>
      </w:r>
      <w:r w:rsidRPr="00A57608">
        <w:t>:</w:t>
      </w:r>
    </w:p>
    <w:p w:rsidR="003C0357" w:rsidRPr="00A57608" w:rsidRDefault="003C0357" w:rsidP="003C0357">
      <w:r w:rsidRPr="00A57608">
        <w:t>P</w:t>
      </w:r>
      <w:r>
        <w:t>hiladelphia Gas Works</w:t>
      </w:r>
      <w:r>
        <w:tab/>
      </w:r>
      <w:r w:rsidRPr="00A57608">
        <w:tab/>
      </w:r>
      <w:r w:rsidRPr="00A57608">
        <w:tab/>
      </w:r>
      <w:r>
        <w:tab/>
      </w:r>
      <w:r w:rsidRPr="00A57608">
        <w:t>:</w:t>
      </w:r>
    </w:p>
    <w:p w:rsidR="003C0357" w:rsidRPr="00A57608" w:rsidRDefault="003C0357" w:rsidP="003C0357"/>
    <w:p w:rsidR="003C0357" w:rsidRDefault="003C0357" w:rsidP="003C0357">
      <w:pPr>
        <w:tabs>
          <w:tab w:val="left" w:pos="-720"/>
        </w:tabs>
        <w:suppressAutoHyphens/>
        <w:rPr>
          <w:spacing w:val="-3"/>
        </w:rPr>
      </w:pPr>
    </w:p>
    <w:p w:rsidR="003C0357" w:rsidRDefault="003C0357" w:rsidP="003C0357">
      <w:pPr>
        <w:tabs>
          <w:tab w:val="left" w:pos="-720"/>
        </w:tabs>
        <w:suppressAutoHyphens/>
        <w:rPr>
          <w:spacing w:val="-3"/>
        </w:rPr>
      </w:pPr>
    </w:p>
    <w:p w:rsidR="00B0450A" w:rsidRPr="006F12A1" w:rsidRDefault="00B0450A" w:rsidP="00452DF9">
      <w:pPr>
        <w:jc w:val="center"/>
        <w:rPr>
          <w:b/>
          <w:u w:val="single"/>
        </w:rPr>
      </w:pPr>
      <w:r w:rsidRPr="006F12A1">
        <w:rPr>
          <w:b/>
          <w:u w:val="single"/>
        </w:rPr>
        <w:t>INITIAL DECISION</w:t>
      </w:r>
    </w:p>
    <w:p w:rsidR="00B0450A" w:rsidRPr="006F12A1" w:rsidRDefault="00B0450A" w:rsidP="00452DF9">
      <w:pPr>
        <w:jc w:val="center"/>
        <w:rPr>
          <w:b/>
          <w:u w:val="single"/>
        </w:rPr>
      </w:pPr>
    </w:p>
    <w:p w:rsidR="00B0450A" w:rsidRPr="006F12A1" w:rsidRDefault="00B0450A" w:rsidP="00452DF9">
      <w:pPr>
        <w:jc w:val="center"/>
        <w:rPr>
          <w:b/>
          <w:u w:val="single"/>
        </w:rPr>
      </w:pPr>
    </w:p>
    <w:p w:rsidR="00B0450A" w:rsidRPr="006F12A1" w:rsidRDefault="00B0450A" w:rsidP="00452DF9">
      <w:pPr>
        <w:jc w:val="center"/>
      </w:pPr>
      <w:r w:rsidRPr="006F12A1">
        <w:t>Before</w:t>
      </w:r>
    </w:p>
    <w:p w:rsidR="00B0450A" w:rsidRPr="006F12A1" w:rsidRDefault="00B0450A" w:rsidP="00452DF9">
      <w:pPr>
        <w:jc w:val="center"/>
      </w:pPr>
      <w:r w:rsidRPr="006F12A1">
        <w:t>Angela T. Jones</w:t>
      </w:r>
    </w:p>
    <w:p w:rsidR="00B0450A" w:rsidRPr="006F12A1" w:rsidRDefault="00B0450A" w:rsidP="00452DF9">
      <w:pPr>
        <w:jc w:val="center"/>
      </w:pPr>
      <w:r w:rsidRPr="006F12A1">
        <w:t>Administrative Law Judge</w:t>
      </w:r>
    </w:p>
    <w:p w:rsidR="00B0450A" w:rsidRDefault="00B0450A" w:rsidP="00452DF9">
      <w:pPr>
        <w:jc w:val="center"/>
      </w:pPr>
    </w:p>
    <w:p w:rsidR="00B0450A" w:rsidRDefault="00B0450A" w:rsidP="00452DF9">
      <w:pPr>
        <w:jc w:val="center"/>
        <w:rPr>
          <w:u w:val="single"/>
        </w:rPr>
      </w:pPr>
    </w:p>
    <w:p w:rsidR="00B0450A" w:rsidRPr="00097C51" w:rsidRDefault="00B0450A" w:rsidP="00452DF9">
      <w:pPr>
        <w:jc w:val="center"/>
        <w:rPr>
          <w:u w:val="single"/>
        </w:rPr>
      </w:pPr>
      <w:r w:rsidRPr="00097C51">
        <w:rPr>
          <w:u w:val="single"/>
        </w:rPr>
        <w:t>INTRODUCTION</w:t>
      </w:r>
    </w:p>
    <w:p w:rsidR="00B0450A" w:rsidRDefault="00B0450A" w:rsidP="00452DF9">
      <w:pPr>
        <w:jc w:val="center"/>
        <w:rPr>
          <w:u w:val="single"/>
        </w:rPr>
      </w:pPr>
    </w:p>
    <w:p w:rsidR="00B0450A" w:rsidRDefault="00B0450A" w:rsidP="00452DF9">
      <w:pPr>
        <w:jc w:val="center"/>
        <w:rPr>
          <w:u w:val="single"/>
        </w:rPr>
      </w:pPr>
    </w:p>
    <w:p w:rsidR="00B16FEE" w:rsidRDefault="00D516F9" w:rsidP="00452DF9">
      <w:pPr>
        <w:spacing w:line="360" w:lineRule="auto"/>
        <w:ind w:firstLine="1440"/>
      </w:pPr>
      <w:r>
        <w:t>T</w:t>
      </w:r>
      <w:r w:rsidR="00B0450A">
        <w:t>he Complainant</w:t>
      </w:r>
      <w:r w:rsidR="00920C50">
        <w:t xml:space="preserve"> file</w:t>
      </w:r>
      <w:r>
        <w:t>d</w:t>
      </w:r>
      <w:r w:rsidR="00920C50">
        <w:t xml:space="preserve"> a formal complaint against P</w:t>
      </w:r>
      <w:r w:rsidR="00E35769">
        <w:t>hiladelphia Gas Works</w:t>
      </w:r>
      <w:r w:rsidR="00920C50">
        <w:t xml:space="preserve"> </w:t>
      </w:r>
      <w:r w:rsidR="00920C50" w:rsidRPr="007F27A1">
        <w:t>(</w:t>
      </w:r>
      <w:r w:rsidR="00920C50">
        <w:t>P</w:t>
      </w:r>
      <w:r w:rsidR="00E35769">
        <w:t>GW</w:t>
      </w:r>
      <w:r w:rsidR="00920C50">
        <w:t xml:space="preserve"> or Respondent or Company</w:t>
      </w:r>
      <w:r w:rsidR="00920C50" w:rsidRPr="007F27A1">
        <w:t>)</w:t>
      </w:r>
      <w:r w:rsidR="00920C50">
        <w:t xml:space="preserve"> requesting </w:t>
      </w:r>
      <w:r w:rsidR="00E35769">
        <w:t>an accounting of the amount owed, if any, due to alleged incorrect charges billed for gas service.</w:t>
      </w:r>
      <w:r w:rsidR="007A6714">
        <w:t xml:space="preserve">  This decision dismisses the </w:t>
      </w:r>
      <w:r w:rsidR="00842485">
        <w:t>formal c</w:t>
      </w:r>
      <w:r w:rsidR="007A6714">
        <w:t>omplaint</w:t>
      </w:r>
      <w:r w:rsidR="00BA6E3B">
        <w:t xml:space="preserve"> because the customer previously filed a </w:t>
      </w:r>
      <w:r w:rsidR="00AE68C2">
        <w:t>formal c</w:t>
      </w:r>
      <w:r w:rsidR="00BA6E3B">
        <w:t xml:space="preserve">omplaint with the Pennsylvania Public Utility Commission (Commission or PUC) raising these same issues and the Commission issued an Order denying </w:t>
      </w:r>
      <w:r w:rsidR="00842485">
        <w:t>t</w:t>
      </w:r>
      <w:r w:rsidR="00BA6E3B">
        <w:t>h</w:t>
      </w:r>
      <w:r w:rsidR="00842485">
        <w:t>e</w:t>
      </w:r>
      <w:r w:rsidR="00BA6E3B">
        <w:t xml:space="preserve"> request</w:t>
      </w:r>
      <w:r w:rsidR="00E24A09">
        <w:t>ed</w:t>
      </w:r>
      <w:r w:rsidR="00BA6E3B">
        <w:t xml:space="preserve"> relief</w:t>
      </w:r>
      <w:r w:rsidR="007A6714">
        <w:t>.</w:t>
      </w:r>
    </w:p>
    <w:p w:rsidR="00B0450A" w:rsidRDefault="00B0450A" w:rsidP="00452DF9">
      <w:pPr>
        <w:spacing w:line="360" w:lineRule="auto"/>
        <w:ind w:firstLine="1440"/>
      </w:pPr>
    </w:p>
    <w:p w:rsidR="00B16FEE" w:rsidRPr="00B0450A" w:rsidRDefault="00B0450A" w:rsidP="00452DF9">
      <w:pPr>
        <w:jc w:val="center"/>
        <w:rPr>
          <w:u w:val="single"/>
        </w:rPr>
      </w:pPr>
      <w:r>
        <w:rPr>
          <w:u w:val="single"/>
        </w:rPr>
        <w:t>HISTORY OF THE PROCEEDING</w:t>
      </w:r>
    </w:p>
    <w:p w:rsidR="00B16FEE" w:rsidRDefault="00B16FEE" w:rsidP="00AB3547">
      <w:pPr>
        <w:spacing w:line="360" w:lineRule="auto"/>
        <w:jc w:val="center"/>
      </w:pPr>
    </w:p>
    <w:p w:rsidR="00E35769" w:rsidRDefault="00317560" w:rsidP="00E35769">
      <w:pPr>
        <w:spacing w:line="360" w:lineRule="auto"/>
        <w:ind w:firstLine="1440"/>
      </w:pPr>
      <w:r>
        <w:t xml:space="preserve">On </w:t>
      </w:r>
      <w:r w:rsidR="00E35769">
        <w:t>Jan</w:t>
      </w:r>
      <w:r w:rsidR="00A32938">
        <w:t>u</w:t>
      </w:r>
      <w:r w:rsidR="00E35769">
        <w:t>ary 16</w:t>
      </w:r>
      <w:r>
        <w:t>, 201</w:t>
      </w:r>
      <w:r w:rsidR="00A32938">
        <w:t>5</w:t>
      </w:r>
      <w:r w:rsidR="0007053A">
        <w:t>,</w:t>
      </w:r>
      <w:r w:rsidR="000962F2" w:rsidRPr="007F27A1">
        <w:t xml:space="preserve"> </w:t>
      </w:r>
      <w:r w:rsidR="00E35769">
        <w:t>Edward M. Zawrotny, Esquire, counsel for Albert Buoncristiano</w:t>
      </w:r>
      <w:r w:rsidR="00FB5975">
        <w:t xml:space="preserve"> </w:t>
      </w:r>
      <w:r w:rsidR="007B232C">
        <w:t>(Complainant)</w:t>
      </w:r>
      <w:r w:rsidR="006F5EDB">
        <w:t>,</w:t>
      </w:r>
      <w:r w:rsidR="007B232C">
        <w:t xml:space="preserve"> filed a </w:t>
      </w:r>
      <w:r w:rsidR="00537513">
        <w:t>formal c</w:t>
      </w:r>
      <w:r w:rsidR="007B232C">
        <w:t>omplaint</w:t>
      </w:r>
      <w:r w:rsidR="006B2788">
        <w:t xml:space="preserve"> </w:t>
      </w:r>
      <w:r w:rsidR="00537513">
        <w:t xml:space="preserve">(Complaint </w:t>
      </w:r>
      <w:r w:rsidR="006B2788">
        <w:t>II</w:t>
      </w:r>
      <w:r w:rsidR="00537513">
        <w:t>)</w:t>
      </w:r>
      <w:r w:rsidR="007B232C">
        <w:t xml:space="preserve"> with the </w:t>
      </w:r>
      <w:r w:rsidR="000962F2" w:rsidRPr="007F27A1">
        <w:t>Commission a</w:t>
      </w:r>
      <w:r w:rsidR="007B232C">
        <w:t>gains</w:t>
      </w:r>
      <w:r w:rsidR="000962F2" w:rsidRPr="007F27A1">
        <w:t>t</w:t>
      </w:r>
      <w:r w:rsidR="007B232C">
        <w:t xml:space="preserve"> </w:t>
      </w:r>
      <w:r w:rsidR="00296C41">
        <w:t>the Res</w:t>
      </w:r>
      <w:r w:rsidR="007B232C">
        <w:t>pondent.</w:t>
      </w:r>
      <w:r w:rsidR="0060004E">
        <w:t xml:space="preserve">  </w:t>
      </w:r>
      <w:r w:rsidR="00296C41">
        <w:t>C</w:t>
      </w:r>
      <w:r w:rsidR="0060004E">
        <w:t>omplaint</w:t>
      </w:r>
      <w:r w:rsidR="00887604">
        <w:t xml:space="preserve"> II</w:t>
      </w:r>
      <w:r w:rsidR="0060004E">
        <w:t xml:space="preserve"> </w:t>
      </w:r>
      <w:r w:rsidR="00E35769">
        <w:t>alleged incorrect charges billed at the property at 3180 Grant Avenue, Philadelphia, Pennsylvania</w:t>
      </w:r>
      <w:r w:rsidR="00845D08">
        <w:t xml:space="preserve"> 19114</w:t>
      </w:r>
      <w:r w:rsidR="00E35769">
        <w:t xml:space="preserve"> (service address) based on the Respondent discovering the wrong meter at the service address in 2003.  The Complainant also alleged a municipal lien is attached to the service address for which the Complainant desires an accou</w:t>
      </w:r>
      <w:r w:rsidR="00CC41EE">
        <w:t>nting to determine the amount owed</w:t>
      </w:r>
      <w:r w:rsidR="00E35769">
        <w:t>.</w:t>
      </w:r>
    </w:p>
    <w:p w:rsidR="000962F2" w:rsidRDefault="002124AF" w:rsidP="00452DF9">
      <w:r>
        <w:t xml:space="preserve"> </w:t>
      </w:r>
    </w:p>
    <w:p w:rsidR="000932CA" w:rsidRDefault="007B232C" w:rsidP="00452DF9">
      <w:pPr>
        <w:spacing w:line="360" w:lineRule="auto"/>
        <w:ind w:firstLine="1440"/>
      </w:pPr>
      <w:r>
        <w:lastRenderedPageBreak/>
        <w:t xml:space="preserve">The Respondent filed an Answer with New Matter and a Notice to Plead on </w:t>
      </w:r>
      <w:r w:rsidR="000932CA">
        <w:t>March 4</w:t>
      </w:r>
      <w:r w:rsidR="00D669E0">
        <w:t>, 201</w:t>
      </w:r>
      <w:r w:rsidR="00BD7A6C">
        <w:t>5</w:t>
      </w:r>
      <w:r w:rsidR="00D669E0">
        <w:t xml:space="preserve">.  The </w:t>
      </w:r>
      <w:r w:rsidR="000932CA">
        <w:t xml:space="preserve">Respondent’s </w:t>
      </w:r>
      <w:r w:rsidR="00D669E0">
        <w:t>Answer</w:t>
      </w:r>
      <w:r w:rsidR="002410C5">
        <w:t xml:space="preserve"> </w:t>
      </w:r>
      <w:r w:rsidR="000932CA">
        <w:t xml:space="preserve">denied that all bills are paid in full at the service address.  The Respondent </w:t>
      </w:r>
      <w:r w:rsidR="002410C5">
        <w:t>admit</w:t>
      </w:r>
      <w:r w:rsidR="004248B3">
        <w:t>ted</w:t>
      </w:r>
      <w:r w:rsidR="002410C5">
        <w:t xml:space="preserve"> that </w:t>
      </w:r>
      <w:r w:rsidR="000932CA">
        <w:t>on October 5, 2001, it billed the Complainant in the amount of $34,888.06 due to the</w:t>
      </w:r>
      <w:r w:rsidR="0003615A">
        <w:t xml:space="preserve"> fact that the</w:t>
      </w:r>
      <w:r w:rsidR="000932CA">
        <w:t xml:space="preserve"> Complainant </w:t>
      </w:r>
      <w:r w:rsidR="0003615A">
        <w:t xml:space="preserve">was </w:t>
      </w:r>
      <w:r w:rsidR="000932CA">
        <w:t>previously billed for usage on a 4 dial meter when the appropriate meter was a 6 dial meter.  T</w:t>
      </w:r>
      <w:r w:rsidR="002410C5">
        <w:t xml:space="preserve">he Respondent </w:t>
      </w:r>
      <w:r w:rsidR="000932CA">
        <w:t xml:space="preserve">averred that the Commission addressed the issue in </w:t>
      </w:r>
      <w:r w:rsidR="00463650" w:rsidRPr="00463650">
        <w:rPr>
          <w:i/>
        </w:rPr>
        <w:t>Buoncristiano v. Philadelphia Gas Works,</w:t>
      </w:r>
      <w:r w:rsidR="00463650">
        <w:t xml:space="preserve"> Docket No. F-01061153 (Order entered November </w:t>
      </w:r>
      <w:r w:rsidR="000932CA">
        <w:t>5, 2004</w:t>
      </w:r>
      <w:r w:rsidR="00463650">
        <w:t>)</w:t>
      </w:r>
      <w:r w:rsidR="000932CA">
        <w:t>, which dismissed the formal complaint</w:t>
      </w:r>
      <w:r w:rsidR="00463650">
        <w:t xml:space="preserve"> (Complaint I)</w:t>
      </w:r>
      <w:r w:rsidR="000932CA">
        <w:t xml:space="preserve"> and found the Complainant responsible for the bill.</w:t>
      </w:r>
    </w:p>
    <w:p w:rsidR="000932CA" w:rsidRDefault="000932CA" w:rsidP="00452DF9">
      <w:pPr>
        <w:spacing w:line="360" w:lineRule="auto"/>
        <w:ind w:firstLine="1440"/>
      </w:pPr>
    </w:p>
    <w:p w:rsidR="00731437" w:rsidRDefault="00CC15C8" w:rsidP="00452DF9">
      <w:pPr>
        <w:spacing w:line="360" w:lineRule="auto"/>
        <w:ind w:firstLine="1440"/>
      </w:pPr>
      <w:r>
        <w:t xml:space="preserve">In </w:t>
      </w:r>
      <w:r w:rsidR="000932CA">
        <w:t xml:space="preserve">New Matter the Respondent stated that the </w:t>
      </w:r>
      <w:r w:rsidR="006B2788">
        <w:t>Complainant filed Complaint I on June 17, 2003</w:t>
      </w:r>
      <w:r w:rsidR="00731437">
        <w:t xml:space="preserve">, which </w:t>
      </w:r>
      <w:r w:rsidR="006B2788">
        <w:t>alleg</w:t>
      </w:r>
      <w:r w:rsidR="00731437">
        <w:t>ed</w:t>
      </w:r>
      <w:r w:rsidR="006B2788">
        <w:t xml:space="preserve"> incorrect charges on the gas bill for the service address.  The Complainant’s account was discontinued on July 1, 2003.  The Commission entered a</w:t>
      </w:r>
      <w:r w:rsidR="00AE68C2">
        <w:t>n</w:t>
      </w:r>
      <w:r w:rsidR="006B2788">
        <w:t xml:space="preserve"> Order dismissing </w:t>
      </w:r>
      <w:r>
        <w:t>Complaint I</w:t>
      </w:r>
      <w:r w:rsidR="00463650">
        <w:t xml:space="preserve"> on November 5</w:t>
      </w:r>
      <w:r w:rsidR="006B2788">
        <w:t xml:space="preserve">, </w:t>
      </w:r>
      <w:r w:rsidR="00091896">
        <w:t xml:space="preserve">2004 for lack of prosecution.  </w:t>
      </w:r>
      <w:r w:rsidR="006B2788">
        <w:t>The account balance has remained unpaid.  On June 17, 2009, the City of Philadelphia as owner of the Respondent filed a lien at Docket No. 090635017 in the amount of $33,072.14 against the service address.  The Respondent alleged that Complaint I and Complaint II present the same subject matter.  The Respondent averred that the Complainant is barred from pursuing Complaint II</w:t>
      </w:r>
      <w:r w:rsidR="00887604">
        <w:t>, which</w:t>
      </w:r>
      <w:r w:rsidR="006B2788">
        <w:t xml:space="preserve"> was previously addressed by the Commission.  </w:t>
      </w:r>
    </w:p>
    <w:p w:rsidR="00731437" w:rsidRDefault="00731437" w:rsidP="00452DF9">
      <w:pPr>
        <w:spacing w:line="360" w:lineRule="auto"/>
        <w:ind w:firstLine="1440"/>
      </w:pPr>
    </w:p>
    <w:p w:rsidR="006B2788" w:rsidRDefault="006B2788" w:rsidP="00452DF9">
      <w:pPr>
        <w:spacing w:line="360" w:lineRule="auto"/>
        <w:ind w:firstLine="1440"/>
      </w:pPr>
      <w:r>
        <w:t xml:space="preserve">The Respondent further contended that no further charges were assessed after the gas was discontinued in July 2003.  </w:t>
      </w:r>
      <w:r w:rsidR="0003615A">
        <w:t>The Respondent stated that</w:t>
      </w:r>
      <w:r w:rsidR="008A25A4">
        <w:t xml:space="preserve"> the prosecution of Complaint II is barred because it was not brought within three years from the date the liability arose pursuant to </w:t>
      </w:r>
      <w:r>
        <w:t>Section 3314</w:t>
      </w:r>
      <w:r w:rsidR="00731437">
        <w:t>(a)</w:t>
      </w:r>
      <w:r>
        <w:t xml:space="preserve"> of the Public Utility Code, 66 Pa.C.S. § 3314</w:t>
      </w:r>
      <w:r w:rsidR="00731437">
        <w:t>(a)</w:t>
      </w:r>
      <w:r w:rsidR="008A25A4">
        <w:t>.</w:t>
      </w:r>
      <w:r w:rsidR="008A25A4">
        <w:rPr>
          <w:rStyle w:val="FootnoteReference"/>
        </w:rPr>
        <w:footnoteReference w:id="1"/>
      </w:r>
      <w:r w:rsidR="008A25A4">
        <w:t xml:space="preserve"> </w:t>
      </w:r>
    </w:p>
    <w:p w:rsidR="002410C5" w:rsidRDefault="002410C5" w:rsidP="00452DF9">
      <w:pPr>
        <w:spacing w:line="360" w:lineRule="auto"/>
        <w:ind w:firstLine="1440"/>
      </w:pPr>
    </w:p>
    <w:p w:rsidR="002410C5" w:rsidRDefault="002410C5" w:rsidP="00452DF9">
      <w:pPr>
        <w:spacing w:line="360" w:lineRule="auto"/>
        <w:ind w:firstLine="1440"/>
      </w:pPr>
      <w:r>
        <w:t xml:space="preserve">The </w:t>
      </w:r>
      <w:r w:rsidR="00731437">
        <w:t xml:space="preserve">Complainant responded to the New Matter on March 16, 2015.  </w:t>
      </w:r>
      <w:r w:rsidR="0003615A">
        <w:t xml:space="preserve">The </w:t>
      </w:r>
      <w:r w:rsidR="00856CCA">
        <w:t>Complainant averred that he is without knowledge to form a belief that the allegations and facts stated in New Matter are true and requested proof.</w:t>
      </w:r>
      <w:r w:rsidR="00EE6D48">
        <w:t xml:space="preserve"> </w:t>
      </w:r>
    </w:p>
    <w:p w:rsidR="00955A77" w:rsidRDefault="00955A77" w:rsidP="00452DF9">
      <w:pPr>
        <w:spacing w:line="360" w:lineRule="auto"/>
        <w:ind w:firstLine="1440"/>
      </w:pPr>
    </w:p>
    <w:p w:rsidR="005D0972" w:rsidRDefault="005D0972" w:rsidP="00452DF9">
      <w:pPr>
        <w:spacing w:line="360" w:lineRule="auto"/>
        <w:ind w:firstLine="1440"/>
      </w:pPr>
      <w:r>
        <w:lastRenderedPageBreak/>
        <w:t xml:space="preserve">By Hearing Notice dated </w:t>
      </w:r>
      <w:r w:rsidR="00856CCA">
        <w:t>April 3</w:t>
      </w:r>
      <w:r>
        <w:t>, 201</w:t>
      </w:r>
      <w:r w:rsidR="001F56DA">
        <w:t>5</w:t>
      </w:r>
      <w:r>
        <w:t>, the matter was scheduled for Initial Hearing on Tu</w:t>
      </w:r>
      <w:r w:rsidR="00856CCA">
        <w:t>e</w:t>
      </w:r>
      <w:r>
        <w:t xml:space="preserve">sday, </w:t>
      </w:r>
      <w:r w:rsidR="00856CCA">
        <w:t xml:space="preserve">May </w:t>
      </w:r>
      <w:r>
        <w:t>1</w:t>
      </w:r>
      <w:r w:rsidR="00856CCA">
        <w:t>2</w:t>
      </w:r>
      <w:r>
        <w:t>, 201</w:t>
      </w:r>
      <w:r w:rsidR="001F56DA">
        <w:t>5</w:t>
      </w:r>
      <w:r>
        <w:t>, at</w:t>
      </w:r>
      <w:r w:rsidR="00992BC5">
        <w:t xml:space="preserve"> 1</w:t>
      </w:r>
      <w:r w:rsidR="001F56DA">
        <w:t>0</w:t>
      </w:r>
      <w:r>
        <w:t>:</w:t>
      </w:r>
      <w:r w:rsidR="001F56DA">
        <w:t>0</w:t>
      </w:r>
      <w:r>
        <w:t xml:space="preserve">0 </w:t>
      </w:r>
      <w:r w:rsidR="001F56DA">
        <w:t>a</w:t>
      </w:r>
      <w:r>
        <w:t xml:space="preserve">.m.  The </w:t>
      </w:r>
      <w:r w:rsidR="003E792E">
        <w:t>matter was assigned to the undersigned Administrative Law Judge</w:t>
      </w:r>
      <w:r w:rsidR="00284D30">
        <w:t xml:space="preserve"> (ALJ)</w:t>
      </w:r>
      <w:r w:rsidR="003E792E">
        <w:t>, Angela T. Jones.</w:t>
      </w:r>
    </w:p>
    <w:p w:rsidR="00992BC5" w:rsidRDefault="00992BC5" w:rsidP="00452DF9">
      <w:pPr>
        <w:spacing w:line="360" w:lineRule="auto"/>
        <w:ind w:firstLine="1440"/>
      </w:pPr>
    </w:p>
    <w:p w:rsidR="00C0782A" w:rsidRDefault="009A1D98" w:rsidP="00452DF9">
      <w:pPr>
        <w:spacing w:line="360" w:lineRule="auto"/>
        <w:ind w:firstLine="1440"/>
      </w:pPr>
      <w:r>
        <w:t xml:space="preserve">A </w:t>
      </w:r>
      <w:r w:rsidRPr="00643BFD">
        <w:t xml:space="preserve">Prehearing Order was issued on </w:t>
      </w:r>
      <w:r w:rsidR="00856CCA">
        <w:t>April 7</w:t>
      </w:r>
      <w:r w:rsidRPr="00643BFD">
        <w:t>, 201</w:t>
      </w:r>
      <w:r w:rsidR="00E23A9C">
        <w:t>5</w:t>
      </w:r>
      <w:r w:rsidRPr="00643BFD">
        <w:t>, advising the parties of the date</w:t>
      </w:r>
      <w:r w:rsidR="0003615A">
        <w:t>, day</w:t>
      </w:r>
      <w:r w:rsidRPr="00643BFD">
        <w:t xml:space="preserve"> and time of the scheduled hearing, and informing them of the procedures applicable to this proceeding.  </w:t>
      </w:r>
      <w:r w:rsidR="00856CCA">
        <w:t xml:space="preserve">The Prehearing Order </w:t>
      </w:r>
      <w:r w:rsidR="0003615A">
        <w:t>also raised the matter of claim</w:t>
      </w:r>
      <w:r w:rsidR="00856CCA">
        <w:t xml:space="preserve"> preclusion regarding Complaint I and Complaint II that may be addressed by the parties in written form in this proceeding.  </w:t>
      </w:r>
    </w:p>
    <w:p w:rsidR="00C32B1B" w:rsidRDefault="00C32B1B" w:rsidP="00452DF9"/>
    <w:p w:rsidR="00CD6D25" w:rsidRDefault="00CD6D25" w:rsidP="00452DF9">
      <w:pPr>
        <w:tabs>
          <w:tab w:val="left" w:pos="-1440"/>
          <w:tab w:val="left" w:pos="-720"/>
        </w:tabs>
        <w:suppressAutoHyphens/>
        <w:spacing w:line="360" w:lineRule="auto"/>
        <w:ind w:firstLine="1440"/>
        <w:rPr>
          <w:spacing w:val="-3"/>
        </w:rPr>
      </w:pPr>
      <w:r w:rsidRPr="00643BFD">
        <w:t xml:space="preserve">The </w:t>
      </w:r>
      <w:r>
        <w:t>I</w:t>
      </w:r>
      <w:r w:rsidRPr="00643BFD">
        <w:t xml:space="preserve">nitial </w:t>
      </w:r>
      <w:r>
        <w:t>H</w:t>
      </w:r>
      <w:r w:rsidRPr="00643BFD">
        <w:t xml:space="preserve">earing convened as scheduled.  </w:t>
      </w:r>
      <w:r w:rsidRPr="00D76D4B">
        <w:rPr>
          <w:spacing w:val="-3"/>
        </w:rPr>
        <w:t xml:space="preserve">The Complainant </w:t>
      </w:r>
      <w:r>
        <w:rPr>
          <w:spacing w:val="-3"/>
        </w:rPr>
        <w:t xml:space="preserve">appeared </w:t>
      </w:r>
      <w:r w:rsidR="00A82508">
        <w:rPr>
          <w:spacing w:val="-3"/>
        </w:rPr>
        <w:t>represented by Paul T. Sosnowski, Esquire.</w:t>
      </w:r>
      <w:r w:rsidR="0039567A">
        <w:rPr>
          <w:spacing w:val="-3"/>
        </w:rPr>
        <w:t xml:space="preserve">  </w:t>
      </w:r>
      <w:r w:rsidR="0039567A" w:rsidRPr="0039567A">
        <w:rPr>
          <w:spacing w:val="-3"/>
        </w:rPr>
        <w:t>Mr. Sosnowski file</w:t>
      </w:r>
      <w:r w:rsidR="00DD2B14">
        <w:rPr>
          <w:spacing w:val="-3"/>
        </w:rPr>
        <w:t>d a Notice of Appearance on May </w:t>
      </w:r>
      <w:r w:rsidR="0039567A" w:rsidRPr="0039567A">
        <w:rPr>
          <w:spacing w:val="-3"/>
        </w:rPr>
        <w:t>19, 2015</w:t>
      </w:r>
      <w:r w:rsidR="0039567A">
        <w:rPr>
          <w:spacing w:val="-3"/>
        </w:rPr>
        <w:t>, pursuant to 52 Pa.Code § 1.24(b)</w:t>
      </w:r>
      <w:r w:rsidR="00845D08">
        <w:rPr>
          <w:spacing w:val="-3"/>
        </w:rPr>
        <w:t>(2)</w:t>
      </w:r>
      <w:r w:rsidR="0039567A">
        <w:rPr>
          <w:spacing w:val="-3"/>
        </w:rPr>
        <w:t>.</w:t>
      </w:r>
      <w:r w:rsidR="00463650">
        <w:rPr>
          <w:rStyle w:val="FootnoteReference"/>
          <w:spacing w:val="-3"/>
        </w:rPr>
        <w:footnoteReference w:id="2"/>
      </w:r>
      <w:r w:rsidR="00A82508">
        <w:rPr>
          <w:spacing w:val="-3"/>
        </w:rPr>
        <w:t xml:space="preserve">  </w:t>
      </w:r>
      <w:r w:rsidR="00087BDA">
        <w:rPr>
          <w:spacing w:val="-3"/>
        </w:rPr>
        <w:t>M</w:t>
      </w:r>
      <w:r w:rsidR="00A82508">
        <w:rPr>
          <w:spacing w:val="-3"/>
        </w:rPr>
        <w:t>r</w:t>
      </w:r>
      <w:r w:rsidR="00087BDA">
        <w:rPr>
          <w:spacing w:val="-3"/>
        </w:rPr>
        <w:t xml:space="preserve">. </w:t>
      </w:r>
      <w:r w:rsidR="00A82508">
        <w:rPr>
          <w:spacing w:val="-3"/>
        </w:rPr>
        <w:t>Laureto Farinas</w:t>
      </w:r>
      <w:r w:rsidR="00087BDA">
        <w:rPr>
          <w:spacing w:val="-3"/>
        </w:rPr>
        <w:t>,</w:t>
      </w:r>
      <w:r w:rsidRPr="00D76D4B">
        <w:rPr>
          <w:spacing w:val="-3"/>
        </w:rPr>
        <w:t xml:space="preserve"> </w:t>
      </w:r>
      <w:r w:rsidR="007F3E22">
        <w:rPr>
          <w:spacing w:val="-3"/>
        </w:rPr>
        <w:t xml:space="preserve">Esquire, </w:t>
      </w:r>
      <w:r w:rsidRPr="00D76D4B">
        <w:rPr>
          <w:spacing w:val="-3"/>
        </w:rPr>
        <w:t xml:space="preserve">counsel for the Respondent, </w:t>
      </w:r>
      <w:r>
        <w:rPr>
          <w:spacing w:val="-3"/>
        </w:rPr>
        <w:t>was present</w:t>
      </w:r>
      <w:r w:rsidR="00A82508">
        <w:rPr>
          <w:spacing w:val="-3"/>
        </w:rPr>
        <w:t xml:space="preserve"> accompanied by one witness</w:t>
      </w:r>
      <w:r>
        <w:rPr>
          <w:spacing w:val="-3"/>
        </w:rPr>
        <w:t xml:space="preserve">.  </w:t>
      </w:r>
      <w:r w:rsidR="00A82508">
        <w:rPr>
          <w:spacing w:val="-3"/>
        </w:rPr>
        <w:t xml:space="preserve">No witness testified </w:t>
      </w:r>
      <w:r w:rsidR="00463650">
        <w:rPr>
          <w:spacing w:val="-3"/>
        </w:rPr>
        <w:t>becau</w:t>
      </w:r>
      <w:r w:rsidR="00A82508">
        <w:rPr>
          <w:spacing w:val="-3"/>
        </w:rPr>
        <w:t>s</w:t>
      </w:r>
      <w:r w:rsidR="00463650">
        <w:rPr>
          <w:spacing w:val="-3"/>
        </w:rPr>
        <w:t>e</w:t>
      </w:r>
      <w:r w:rsidR="00A82508">
        <w:rPr>
          <w:spacing w:val="-3"/>
        </w:rPr>
        <w:t xml:space="preserve"> the parties </w:t>
      </w:r>
      <w:r w:rsidR="00463650">
        <w:rPr>
          <w:spacing w:val="-3"/>
        </w:rPr>
        <w:t>argued</w:t>
      </w:r>
      <w:r w:rsidR="00887604">
        <w:rPr>
          <w:spacing w:val="-3"/>
        </w:rPr>
        <w:t xml:space="preserve"> the law as to</w:t>
      </w:r>
      <w:r w:rsidR="00463650">
        <w:rPr>
          <w:spacing w:val="-3"/>
        </w:rPr>
        <w:t xml:space="preserve"> whether the Order from the Commission at Complaint I bar</w:t>
      </w:r>
      <w:r w:rsidR="00887604">
        <w:rPr>
          <w:spacing w:val="-3"/>
        </w:rPr>
        <w:t>red</w:t>
      </w:r>
      <w:r w:rsidR="00463650">
        <w:rPr>
          <w:spacing w:val="-3"/>
        </w:rPr>
        <w:t xml:space="preserve"> t</w:t>
      </w:r>
      <w:r w:rsidR="00887604">
        <w:rPr>
          <w:spacing w:val="-3"/>
        </w:rPr>
        <w:t xml:space="preserve">he evidentiary hearing for </w:t>
      </w:r>
      <w:r w:rsidR="00463650">
        <w:rPr>
          <w:spacing w:val="-3"/>
        </w:rPr>
        <w:t xml:space="preserve">Complaint II.  The parties were directed </w:t>
      </w:r>
      <w:r w:rsidR="0039567A">
        <w:rPr>
          <w:spacing w:val="-3"/>
        </w:rPr>
        <w:t xml:space="preserve">by Order dated May 13, 2015, </w:t>
      </w:r>
      <w:r w:rsidR="00463650">
        <w:rPr>
          <w:spacing w:val="-3"/>
        </w:rPr>
        <w:t>to put t</w:t>
      </w:r>
      <w:r w:rsidR="0003615A">
        <w:rPr>
          <w:spacing w:val="-3"/>
        </w:rPr>
        <w:t xml:space="preserve">heir positions in written </w:t>
      </w:r>
      <w:r w:rsidR="00463650">
        <w:rPr>
          <w:spacing w:val="-3"/>
        </w:rPr>
        <w:t>form for review and ruling by the undersigned.</w:t>
      </w:r>
    </w:p>
    <w:p w:rsidR="00C51C04" w:rsidRDefault="00C51C04" w:rsidP="00452DF9">
      <w:pPr>
        <w:tabs>
          <w:tab w:val="left" w:pos="-1440"/>
          <w:tab w:val="left" w:pos="-720"/>
        </w:tabs>
        <w:suppressAutoHyphens/>
        <w:spacing w:line="360" w:lineRule="auto"/>
        <w:ind w:firstLine="1440"/>
        <w:rPr>
          <w:spacing w:val="-3"/>
        </w:rPr>
      </w:pPr>
    </w:p>
    <w:p w:rsidR="00537513" w:rsidRDefault="00CD6D25" w:rsidP="00452DF9">
      <w:pPr>
        <w:tabs>
          <w:tab w:val="left" w:pos="-1440"/>
          <w:tab w:val="left" w:pos="-720"/>
        </w:tabs>
        <w:suppressAutoHyphens/>
        <w:spacing w:line="360" w:lineRule="auto"/>
        <w:ind w:firstLine="1440"/>
      </w:pPr>
      <w:r w:rsidRPr="00643BFD">
        <w:t xml:space="preserve">The </w:t>
      </w:r>
      <w:r>
        <w:t xml:space="preserve">transcript consists of </w:t>
      </w:r>
      <w:r w:rsidR="0039567A">
        <w:t>30</w:t>
      </w:r>
      <w:r>
        <w:t xml:space="preserve"> pages.</w:t>
      </w:r>
      <w:r w:rsidR="0039567A">
        <w:t xml:space="preserve">  The parties filed written briefs</w:t>
      </w:r>
      <w:r w:rsidR="00AE68C2">
        <w:t xml:space="preserve"> in June and July 2015</w:t>
      </w:r>
      <w:r w:rsidR="0039567A">
        <w:t xml:space="preserve"> </w:t>
      </w:r>
      <w:r w:rsidR="009837E4">
        <w:t>in compliance with the directions provided by the undersigned.</w:t>
      </w:r>
      <w:r w:rsidR="00537513">
        <w:t xml:space="preserve">  </w:t>
      </w:r>
    </w:p>
    <w:p w:rsidR="00537513" w:rsidRDefault="00537513" w:rsidP="00452DF9">
      <w:pPr>
        <w:tabs>
          <w:tab w:val="left" w:pos="-1440"/>
          <w:tab w:val="left" w:pos="-720"/>
        </w:tabs>
        <w:suppressAutoHyphens/>
        <w:spacing w:line="360" w:lineRule="auto"/>
        <w:ind w:firstLine="1440"/>
      </w:pPr>
    </w:p>
    <w:p w:rsidR="00537513" w:rsidRDefault="00537513" w:rsidP="00452DF9">
      <w:pPr>
        <w:tabs>
          <w:tab w:val="left" w:pos="-1440"/>
          <w:tab w:val="left" w:pos="-720"/>
        </w:tabs>
        <w:suppressAutoHyphens/>
        <w:spacing w:line="360" w:lineRule="auto"/>
        <w:ind w:firstLine="1440"/>
      </w:pPr>
      <w:r>
        <w:t xml:space="preserve">On July 16, 2015, </w:t>
      </w:r>
      <w:r w:rsidR="00CC15C8">
        <w:t>at Docket No. P-2015-2</w:t>
      </w:r>
      <w:r w:rsidR="00E774DA">
        <w:t>493209 pursuant to 52 Pa.Code § </w:t>
      </w:r>
      <w:r w:rsidR="00CC15C8">
        <w:t>5.572(d)</w:t>
      </w:r>
      <w:r w:rsidR="00887604">
        <w:t>,</w:t>
      </w:r>
      <w:r w:rsidR="00CC15C8">
        <w:t xml:space="preserve"> </w:t>
      </w:r>
      <w:r w:rsidR="00887604">
        <w:t xml:space="preserve">Complainant’s </w:t>
      </w:r>
      <w:r>
        <w:t>counsel filed a Petition for Rescission</w:t>
      </w:r>
      <w:r w:rsidR="004753E1">
        <w:t xml:space="preserve"> </w:t>
      </w:r>
      <w:r>
        <w:t>of the Order for Complaint I</w:t>
      </w:r>
      <w:r w:rsidR="004753E1">
        <w:t xml:space="preserve"> (Petition)</w:t>
      </w:r>
      <w:r>
        <w:t xml:space="preserve">.  By Order #3 dated July 21, </w:t>
      </w:r>
      <w:r w:rsidR="0003615A">
        <w:t>2015,</w:t>
      </w:r>
      <w:r>
        <w:t xml:space="preserve"> the undersigned </w:t>
      </w:r>
      <w:r w:rsidR="00AE68C2">
        <w:t xml:space="preserve">stated that the decision by the Commission </w:t>
      </w:r>
      <w:r w:rsidR="004753E1">
        <w:t xml:space="preserve">of the Petition </w:t>
      </w:r>
      <w:r w:rsidR="00AE68C2">
        <w:t xml:space="preserve">directly affected the decision of Complaint II.  The undersigned </w:t>
      </w:r>
      <w:r w:rsidR="0003615A">
        <w:t>held</w:t>
      </w:r>
      <w:r>
        <w:t xml:space="preserve"> Complaint II in abeyance until a final Order was entered at Docket No. P-2015-2493209.</w:t>
      </w:r>
    </w:p>
    <w:p w:rsidR="00537513" w:rsidRDefault="00537513" w:rsidP="00452DF9">
      <w:pPr>
        <w:tabs>
          <w:tab w:val="left" w:pos="-1440"/>
          <w:tab w:val="left" w:pos="-720"/>
        </w:tabs>
        <w:suppressAutoHyphens/>
        <w:spacing w:line="360" w:lineRule="auto"/>
        <w:ind w:firstLine="1440"/>
      </w:pPr>
    </w:p>
    <w:p w:rsidR="004753E1" w:rsidRDefault="00AE68C2" w:rsidP="00452DF9">
      <w:pPr>
        <w:tabs>
          <w:tab w:val="left" w:pos="-1440"/>
          <w:tab w:val="left" w:pos="-720"/>
        </w:tabs>
        <w:suppressAutoHyphens/>
        <w:spacing w:line="360" w:lineRule="auto"/>
        <w:ind w:firstLine="1440"/>
      </w:pPr>
      <w:r>
        <w:lastRenderedPageBreak/>
        <w:t xml:space="preserve">By Order the Commission denied the Petition filed by the Complainant and ordered, “that [the Commission’s] Order in </w:t>
      </w:r>
      <w:r>
        <w:rPr>
          <w:i/>
        </w:rPr>
        <w:t xml:space="preserve">Buoncristiano v. Philadelphia Gas Works, </w:t>
      </w:r>
      <w:r>
        <w:t xml:space="preserve">Docket No. F-01061153 (Order entered November 5, 2004), </w:t>
      </w:r>
      <w:r w:rsidR="004753E1">
        <w:t xml:space="preserve">remains final and in effect.”  </w:t>
      </w:r>
      <w:r w:rsidR="004753E1">
        <w:rPr>
          <w:i/>
        </w:rPr>
        <w:t xml:space="preserve">Buoncristiano v. Philadelphia Gas Works, </w:t>
      </w:r>
      <w:r w:rsidR="004753E1">
        <w:t>Docket No. P-2015-2493209</w:t>
      </w:r>
      <w:r>
        <w:t xml:space="preserve"> </w:t>
      </w:r>
      <w:r w:rsidR="004753E1">
        <w:t>(</w:t>
      </w:r>
      <w:r w:rsidR="00D57676">
        <w:t xml:space="preserve">Opinion and </w:t>
      </w:r>
      <w:r w:rsidR="00E774DA">
        <w:t>Order entered January </w:t>
      </w:r>
      <w:r w:rsidR="004753E1">
        <w:t xml:space="preserve">28, 2016) at 11, ordering ¶ 2.  </w:t>
      </w:r>
    </w:p>
    <w:p w:rsidR="004753E1" w:rsidRDefault="004753E1" w:rsidP="00452DF9">
      <w:pPr>
        <w:tabs>
          <w:tab w:val="left" w:pos="-1440"/>
          <w:tab w:val="left" w:pos="-720"/>
        </w:tabs>
        <w:suppressAutoHyphens/>
        <w:spacing w:line="360" w:lineRule="auto"/>
        <w:ind w:firstLine="1440"/>
      </w:pPr>
    </w:p>
    <w:p w:rsidR="00CD6D25" w:rsidRDefault="004753E1" w:rsidP="00452DF9">
      <w:pPr>
        <w:tabs>
          <w:tab w:val="left" w:pos="-1440"/>
          <w:tab w:val="left" w:pos="-720"/>
        </w:tabs>
        <w:suppressAutoHyphens/>
        <w:spacing w:line="360" w:lineRule="auto"/>
        <w:ind w:firstLine="1440"/>
      </w:pPr>
      <w:r>
        <w:t xml:space="preserve">By </w:t>
      </w:r>
      <w:r w:rsidR="001941BB">
        <w:t xml:space="preserve">corrected </w:t>
      </w:r>
      <w:r>
        <w:t xml:space="preserve">Order #4 dated </w:t>
      </w:r>
      <w:r w:rsidR="001941BB">
        <w:t>March 8</w:t>
      </w:r>
      <w:r>
        <w:t>, 2016,</w:t>
      </w:r>
      <w:r w:rsidR="001941BB">
        <w:rPr>
          <w:rStyle w:val="FootnoteReference"/>
        </w:rPr>
        <w:footnoteReference w:id="3"/>
      </w:r>
      <w:r>
        <w:t xml:space="preserve"> the undersigned stated that the condition to hold Complaint II in abeyance ha</w:t>
      </w:r>
      <w:r w:rsidR="00887604">
        <w:t>d</w:t>
      </w:r>
      <w:r>
        <w:t xml:space="preserve"> been satisfied, and therefore</w:t>
      </w:r>
      <w:r w:rsidR="00887604">
        <w:t>,</w:t>
      </w:r>
      <w:r>
        <w:t xml:space="preserve"> Complaint II </w:t>
      </w:r>
      <w:r w:rsidR="00887604">
        <w:t>was</w:t>
      </w:r>
      <w:r>
        <w:t xml:space="preserve"> no longer in abeyance.  </w:t>
      </w:r>
      <w:r w:rsidR="00CD6D25">
        <w:t xml:space="preserve">The </w:t>
      </w:r>
      <w:r w:rsidR="00CD6D25" w:rsidRPr="00643BFD">
        <w:t xml:space="preserve">record </w:t>
      </w:r>
      <w:r>
        <w:t xml:space="preserve">for Complaint II </w:t>
      </w:r>
      <w:r w:rsidR="00CD6D25" w:rsidRPr="00643BFD">
        <w:t xml:space="preserve">closed on </w:t>
      </w:r>
      <w:r>
        <w:t>Febr</w:t>
      </w:r>
      <w:r w:rsidR="00087BDA">
        <w:t xml:space="preserve">uary </w:t>
      </w:r>
      <w:r w:rsidR="00687DC4">
        <w:t>4</w:t>
      </w:r>
      <w:r w:rsidR="00CD6D25" w:rsidRPr="00643BFD">
        <w:t>, 201</w:t>
      </w:r>
      <w:r w:rsidR="00687DC4">
        <w:t>6</w:t>
      </w:r>
      <w:r>
        <w:t xml:space="preserve"> by Order #4</w:t>
      </w:r>
      <w:r w:rsidR="00CD6D25" w:rsidRPr="00643BFD">
        <w:t>.</w:t>
      </w:r>
      <w:r w:rsidR="00CD6D25">
        <w:t xml:space="preserve">  This matter is ripe for decision.</w:t>
      </w:r>
    </w:p>
    <w:p w:rsidR="009724BD" w:rsidRDefault="009724BD" w:rsidP="00452DF9">
      <w:pPr>
        <w:tabs>
          <w:tab w:val="left" w:pos="-1440"/>
          <w:tab w:val="left" w:pos="-720"/>
        </w:tabs>
        <w:suppressAutoHyphens/>
        <w:spacing w:line="360" w:lineRule="auto"/>
        <w:ind w:firstLine="1440"/>
      </w:pPr>
    </w:p>
    <w:p w:rsidR="00CD6D25" w:rsidRPr="00643BFD" w:rsidRDefault="00CD6D25" w:rsidP="00452DF9">
      <w:pPr>
        <w:spacing w:line="360" w:lineRule="auto"/>
        <w:jc w:val="center"/>
        <w:rPr>
          <w:u w:val="single"/>
        </w:rPr>
      </w:pPr>
      <w:r w:rsidRPr="00643BFD">
        <w:rPr>
          <w:u w:val="single"/>
        </w:rPr>
        <w:t>FINDINGS OF FACT</w:t>
      </w:r>
    </w:p>
    <w:p w:rsidR="00CD6D25" w:rsidRPr="00643BFD" w:rsidRDefault="00CD6D25" w:rsidP="00452DF9">
      <w:pPr>
        <w:spacing w:line="360" w:lineRule="auto"/>
        <w:jc w:val="center"/>
        <w:rPr>
          <w:u w:val="single"/>
        </w:rPr>
      </w:pPr>
    </w:p>
    <w:p w:rsidR="00CD6D25" w:rsidRDefault="00CD6D25" w:rsidP="00452DF9">
      <w:pPr>
        <w:numPr>
          <w:ilvl w:val="0"/>
          <w:numId w:val="30"/>
        </w:numPr>
        <w:spacing w:line="360" w:lineRule="auto"/>
        <w:ind w:left="0" w:firstLine="1440"/>
      </w:pPr>
      <w:r w:rsidRPr="00643BFD">
        <w:t xml:space="preserve">The Complainant is </w:t>
      </w:r>
      <w:r w:rsidR="0007053A">
        <w:t>Albert Buoncristiano.</w:t>
      </w:r>
    </w:p>
    <w:p w:rsidR="00CE60DD" w:rsidRDefault="00CE60DD" w:rsidP="009742BB">
      <w:pPr>
        <w:spacing w:line="360" w:lineRule="auto"/>
        <w:ind w:left="720"/>
      </w:pPr>
    </w:p>
    <w:p w:rsidR="00CE60DD" w:rsidRDefault="00CE60DD" w:rsidP="00452DF9">
      <w:pPr>
        <w:numPr>
          <w:ilvl w:val="0"/>
          <w:numId w:val="30"/>
        </w:numPr>
        <w:spacing w:line="360" w:lineRule="auto"/>
        <w:ind w:left="0" w:firstLine="1440"/>
      </w:pPr>
      <w:r>
        <w:t>The Respondent is P</w:t>
      </w:r>
      <w:r w:rsidR="0007053A">
        <w:t>hiladelphia Gas Works</w:t>
      </w:r>
      <w:r>
        <w:t>.</w:t>
      </w:r>
    </w:p>
    <w:p w:rsidR="009D178A" w:rsidRDefault="009D178A" w:rsidP="00452DF9">
      <w:pPr>
        <w:pStyle w:val="ListParagraph"/>
      </w:pPr>
    </w:p>
    <w:p w:rsidR="009D178A" w:rsidRDefault="0007053A" w:rsidP="00452DF9">
      <w:pPr>
        <w:numPr>
          <w:ilvl w:val="0"/>
          <w:numId w:val="30"/>
        </w:numPr>
        <w:spacing w:line="360" w:lineRule="auto"/>
        <w:ind w:left="0" w:firstLine="1440"/>
      </w:pPr>
      <w:r>
        <w:t>On January 1</w:t>
      </w:r>
      <w:r w:rsidR="00432297">
        <w:t xml:space="preserve">6, 2015, the Complainant filed </w:t>
      </w:r>
      <w:r>
        <w:t xml:space="preserve">Complaint II with the Commission against the </w:t>
      </w:r>
      <w:r w:rsidR="0072063F">
        <w:t>Respondent</w:t>
      </w:r>
      <w:r w:rsidR="00A64564">
        <w:t xml:space="preserve"> regarding incorrect charges for billed service in 2003 for the property located at 3180 Grant Avenue, Philadelphia, Pennsylvania 19114</w:t>
      </w:r>
      <w:r w:rsidR="0072063F">
        <w:t xml:space="preserve">. </w:t>
      </w:r>
    </w:p>
    <w:p w:rsidR="00891B53" w:rsidRDefault="00891B53" w:rsidP="00452DF9">
      <w:pPr>
        <w:pStyle w:val="ListParagraph"/>
      </w:pPr>
    </w:p>
    <w:p w:rsidR="00891B53" w:rsidRDefault="0007053A" w:rsidP="00452DF9">
      <w:pPr>
        <w:numPr>
          <w:ilvl w:val="0"/>
          <w:numId w:val="30"/>
        </w:numPr>
        <w:spacing w:line="360" w:lineRule="auto"/>
        <w:ind w:left="0" w:firstLine="1440"/>
      </w:pPr>
      <w:r>
        <w:t>The Respondent filed an Answer with New Matter on March 4, 2015.</w:t>
      </w:r>
    </w:p>
    <w:p w:rsidR="0065784E" w:rsidRDefault="0065784E" w:rsidP="0065784E">
      <w:pPr>
        <w:spacing w:line="360" w:lineRule="auto"/>
        <w:ind w:left="1440"/>
      </w:pPr>
    </w:p>
    <w:p w:rsidR="00A065B6" w:rsidRDefault="00A065B6" w:rsidP="00452DF9">
      <w:pPr>
        <w:numPr>
          <w:ilvl w:val="0"/>
          <w:numId w:val="30"/>
        </w:numPr>
        <w:spacing w:line="360" w:lineRule="auto"/>
        <w:ind w:left="0" w:firstLine="1440"/>
      </w:pPr>
      <w:r>
        <w:t>On March 16, 2015, the Complainant responded to New Matter.</w:t>
      </w:r>
    </w:p>
    <w:p w:rsidR="00891B53" w:rsidRDefault="00891B53" w:rsidP="00452DF9">
      <w:pPr>
        <w:pStyle w:val="ListParagraph"/>
      </w:pPr>
    </w:p>
    <w:p w:rsidR="0007053A" w:rsidRDefault="00887604" w:rsidP="00452DF9">
      <w:pPr>
        <w:numPr>
          <w:ilvl w:val="0"/>
          <w:numId w:val="30"/>
        </w:numPr>
        <w:spacing w:line="360" w:lineRule="auto"/>
        <w:ind w:left="0" w:firstLine="1440"/>
      </w:pPr>
      <w:r>
        <w:t>B</w:t>
      </w:r>
      <w:r w:rsidR="0007053A">
        <w:t>y Prehearing Order dated Ap</w:t>
      </w:r>
      <w:r w:rsidR="00013262">
        <w:t>ril 7, 2015, the matter of claim</w:t>
      </w:r>
      <w:r w:rsidR="0007053A">
        <w:t xml:space="preserve"> preclusion was raised by the undersigned ALJ</w:t>
      </w:r>
      <w:r w:rsidR="004F3117">
        <w:t xml:space="preserve"> as suggested in New Matter of the Respondent</w:t>
      </w:r>
      <w:r w:rsidR="0007053A">
        <w:t>.</w:t>
      </w:r>
    </w:p>
    <w:p w:rsidR="0007053A" w:rsidRDefault="0007053A" w:rsidP="0007053A">
      <w:pPr>
        <w:pStyle w:val="ListParagraph"/>
      </w:pPr>
    </w:p>
    <w:p w:rsidR="00A065B6" w:rsidRDefault="0007053A" w:rsidP="00452DF9">
      <w:pPr>
        <w:numPr>
          <w:ilvl w:val="0"/>
          <w:numId w:val="30"/>
        </w:numPr>
        <w:spacing w:line="360" w:lineRule="auto"/>
        <w:ind w:left="0" w:firstLine="1440"/>
      </w:pPr>
      <w:r>
        <w:t xml:space="preserve">The </w:t>
      </w:r>
      <w:r w:rsidR="00891B53">
        <w:t xml:space="preserve">Complainant </w:t>
      </w:r>
      <w:r>
        <w:t xml:space="preserve">previously filed </w:t>
      </w:r>
      <w:r w:rsidR="00432297">
        <w:t xml:space="preserve">Complaint I, </w:t>
      </w:r>
      <w:r>
        <w:t>a formal complaint at Docket No. F-01061153</w:t>
      </w:r>
      <w:r w:rsidR="00013262">
        <w:t>,</w:t>
      </w:r>
      <w:r>
        <w:t xml:space="preserve"> </w:t>
      </w:r>
      <w:r w:rsidR="00A065B6">
        <w:t>objecting to the charges billed at 3180 Grant Avenue, Philadelphia, Pennsylvania</w:t>
      </w:r>
      <w:r w:rsidR="00DF29E8">
        <w:t xml:space="preserve"> 19114</w:t>
      </w:r>
      <w:r w:rsidR="00A065B6">
        <w:t xml:space="preserve"> where a four dial meter was errantly in place instead of a six dial meter.  </w:t>
      </w:r>
    </w:p>
    <w:p w:rsidR="00A065B6" w:rsidRDefault="00A065B6" w:rsidP="00A065B6">
      <w:pPr>
        <w:pStyle w:val="ListParagraph"/>
      </w:pPr>
    </w:p>
    <w:p w:rsidR="0035574E" w:rsidRDefault="00887604" w:rsidP="00452DF9">
      <w:pPr>
        <w:numPr>
          <w:ilvl w:val="0"/>
          <w:numId w:val="30"/>
        </w:numPr>
        <w:spacing w:line="360" w:lineRule="auto"/>
        <w:ind w:left="0" w:firstLine="1440"/>
      </w:pPr>
      <w:r>
        <w:lastRenderedPageBreak/>
        <w:t>B</w:t>
      </w:r>
      <w:r w:rsidR="00432297">
        <w:t>y Order entered November 5, 2004, t</w:t>
      </w:r>
      <w:r w:rsidR="00A065B6">
        <w:t xml:space="preserve">he Commission </w:t>
      </w:r>
      <w:r w:rsidR="00013262">
        <w:t>dismissed</w:t>
      </w:r>
      <w:r>
        <w:t xml:space="preserve"> Complaint I and </w:t>
      </w:r>
      <w:r w:rsidR="00A065B6">
        <w:t>found that the Complainant was responsible for the final bill</w:t>
      </w:r>
      <w:r w:rsidR="00432297">
        <w:t xml:space="preserve"> of gas service</w:t>
      </w:r>
      <w:r w:rsidR="00A065B6">
        <w:t xml:space="preserve"> at 3180 Grant Avenue, Philadelphia, Pennsylvania</w:t>
      </w:r>
      <w:r w:rsidR="00013262">
        <w:t xml:space="preserve"> in the amount of $33,072.00.</w:t>
      </w:r>
    </w:p>
    <w:p w:rsidR="00627CF1" w:rsidRDefault="00627CF1" w:rsidP="00627CF1">
      <w:pPr>
        <w:spacing w:line="360" w:lineRule="auto"/>
        <w:ind w:left="1440"/>
      </w:pPr>
    </w:p>
    <w:p w:rsidR="00CD6D25" w:rsidRPr="00643BFD" w:rsidRDefault="00CD6D25" w:rsidP="00452DF9">
      <w:pPr>
        <w:jc w:val="center"/>
        <w:rPr>
          <w:u w:val="single"/>
        </w:rPr>
      </w:pPr>
      <w:r w:rsidRPr="00643BFD">
        <w:rPr>
          <w:u w:val="single"/>
        </w:rPr>
        <w:t>DISCUSSION</w:t>
      </w:r>
    </w:p>
    <w:p w:rsidR="00CD6D25" w:rsidRPr="00643BFD" w:rsidRDefault="00CD6D25" w:rsidP="00452DF9">
      <w:pPr>
        <w:spacing w:line="360" w:lineRule="auto"/>
        <w:ind w:firstLine="1440"/>
      </w:pPr>
    </w:p>
    <w:p w:rsidR="008463A8" w:rsidRDefault="008463A8" w:rsidP="00452DF9">
      <w:pPr>
        <w:numPr>
          <w:ilvl w:val="0"/>
          <w:numId w:val="33"/>
        </w:numPr>
        <w:spacing w:line="360" w:lineRule="auto"/>
        <w:rPr>
          <w:u w:val="single"/>
        </w:rPr>
      </w:pPr>
      <w:r w:rsidRPr="00450AB0">
        <w:rPr>
          <w:u w:val="single"/>
        </w:rPr>
        <w:t xml:space="preserve">Applicable Legal Standard </w:t>
      </w:r>
    </w:p>
    <w:p w:rsidR="003D212D" w:rsidRDefault="003D212D" w:rsidP="00452DF9">
      <w:pPr>
        <w:spacing w:line="360" w:lineRule="auto"/>
        <w:ind w:firstLine="1440"/>
      </w:pPr>
    </w:p>
    <w:p w:rsidR="008466BE" w:rsidRDefault="008466BE" w:rsidP="00452DF9">
      <w:pPr>
        <w:spacing w:line="360" w:lineRule="auto"/>
        <w:ind w:firstLine="1440"/>
        <w:rPr>
          <w:i/>
        </w:rPr>
      </w:pPr>
      <w:r>
        <w:t xml:space="preserve">Administrative agencies such as the Commission are required to provide due process to the parties appearing before them.  </w:t>
      </w:r>
      <w:r>
        <w:rPr>
          <w:i/>
        </w:rPr>
        <w:t xml:space="preserve">Schneider v. Pa. Pub. Util. Comm’n, </w:t>
      </w:r>
      <w:r>
        <w:t xml:space="preserve">479 A.2d 10 (Pa.Cmwlth. 1984).  This due process requirement is satisfied when the parties are afforded notice and an opportunity to be heard.  </w:t>
      </w:r>
      <w:r>
        <w:rPr>
          <w:i/>
        </w:rPr>
        <w:t xml:space="preserve">Id.  </w:t>
      </w:r>
    </w:p>
    <w:p w:rsidR="008466BE" w:rsidRDefault="008466BE" w:rsidP="00452DF9">
      <w:pPr>
        <w:spacing w:line="360" w:lineRule="auto"/>
        <w:ind w:firstLine="1440"/>
        <w:rPr>
          <w:i/>
        </w:rPr>
      </w:pPr>
    </w:p>
    <w:p w:rsidR="003F6967" w:rsidRDefault="008466BE" w:rsidP="00452DF9">
      <w:pPr>
        <w:spacing w:line="360" w:lineRule="auto"/>
        <w:ind w:firstLine="1440"/>
      </w:pPr>
      <w:r>
        <w:t>The doctrine of “</w:t>
      </w:r>
      <w:r>
        <w:rPr>
          <w:i/>
        </w:rPr>
        <w:t>res judicata,</w:t>
      </w:r>
      <w:r>
        <w:t xml:space="preserve"> which is also known as claim preclusion, holds that a final judgment on the merits by a court of competent jurisdiction will bar any future action on the same cause of action between the parties and their privies.” </w:t>
      </w:r>
      <w:r>
        <w:rPr>
          <w:i/>
        </w:rPr>
        <w:t>Hopewell Estates, Inc. v. Kent,</w:t>
      </w:r>
      <w:r w:rsidR="001B4989">
        <w:t xml:space="preserve"> 646 A.2d 1192, 1194</w:t>
      </w:r>
      <w:r w:rsidR="00DF29E8">
        <w:t xml:space="preserve"> </w:t>
      </w:r>
      <w:r w:rsidR="001B4989">
        <w:t>(Pa.Super. 1994) citing</w:t>
      </w:r>
      <w:r w:rsidR="00C51C04">
        <w:t>,</w:t>
      </w:r>
      <w:r w:rsidR="001B4989">
        <w:t xml:space="preserve"> </w:t>
      </w:r>
      <w:r w:rsidR="001B4989">
        <w:rPr>
          <w:i/>
        </w:rPr>
        <w:t>McArdle v</w:t>
      </w:r>
      <w:r w:rsidR="006308C3">
        <w:rPr>
          <w:i/>
        </w:rPr>
        <w:t>.</w:t>
      </w:r>
      <w:r w:rsidR="001B4989">
        <w:rPr>
          <w:i/>
        </w:rPr>
        <w:t xml:space="preserve"> Tronetti,</w:t>
      </w:r>
      <w:r w:rsidR="001B4989">
        <w:t xml:space="preserve"> 627</w:t>
      </w:r>
      <w:r w:rsidR="00DF29E8">
        <w:t xml:space="preserve"> </w:t>
      </w:r>
      <w:r w:rsidR="001B4989">
        <w:t>A.2d</w:t>
      </w:r>
      <w:r w:rsidR="00DF29E8">
        <w:t xml:space="preserve"> 1219, 1222 (Pa.Super.</w:t>
      </w:r>
      <w:r w:rsidR="008024A3">
        <w:t xml:space="preserve"> </w:t>
      </w:r>
      <w:r w:rsidR="00DF29E8">
        <w:t>1993)</w:t>
      </w:r>
      <w:r>
        <w:t xml:space="preserve">.  This principle was explained in the case of </w:t>
      </w:r>
      <w:r>
        <w:rPr>
          <w:i/>
        </w:rPr>
        <w:t>Pa. Pub. Util. Comm’n Schu</w:t>
      </w:r>
      <w:r w:rsidR="00E24A09">
        <w:rPr>
          <w:i/>
        </w:rPr>
        <w:t>y</w:t>
      </w:r>
      <w:r>
        <w:rPr>
          <w:i/>
        </w:rPr>
        <w:t xml:space="preserve">lkill Twp. v. Borough of Phoenixville, </w:t>
      </w:r>
      <w:r w:rsidR="003F6967">
        <w:t>1993 Pa. PUC LEXIS 78 as follows:</w:t>
      </w:r>
    </w:p>
    <w:p w:rsidR="00DF29E8" w:rsidRDefault="00DF29E8" w:rsidP="00DF29E8">
      <w:pPr>
        <w:spacing w:line="360" w:lineRule="auto"/>
        <w:ind w:firstLine="1440"/>
      </w:pPr>
    </w:p>
    <w:p w:rsidR="003F6967" w:rsidRDefault="003F6967" w:rsidP="00A42735">
      <w:pPr>
        <w:ind w:left="1440" w:right="720"/>
      </w:pPr>
      <w:r>
        <w:t xml:space="preserve">The terms </w:t>
      </w:r>
      <w:r>
        <w:rPr>
          <w:i/>
        </w:rPr>
        <w:t xml:space="preserve">res judicata </w:t>
      </w:r>
      <w:r>
        <w:t>and collateral estoppel have been replaced in recent years in an effort to clarify the difference between the two … The current terms (adopted by the drafters of the Restatement (Second) of Judgments) are claim preclusion and issue preclusion.</w:t>
      </w:r>
    </w:p>
    <w:p w:rsidR="003F6967" w:rsidRDefault="003F6967" w:rsidP="00A42735">
      <w:pPr>
        <w:ind w:left="1440" w:right="720"/>
      </w:pPr>
      <w:r w:rsidRPr="003F6967">
        <w:rPr>
          <w:b/>
        </w:rPr>
        <w:t>Claim preclusion</w:t>
      </w:r>
      <w:r>
        <w:t xml:space="preserve">, formerly technical or strict </w:t>
      </w:r>
      <w:r>
        <w:rPr>
          <w:i/>
        </w:rPr>
        <w:t xml:space="preserve">res judicata, </w:t>
      </w:r>
      <w:r>
        <w:t>is the term used to describe the effects of merger and bar a prior judgment will have in a later action.  Matters which were actually litigated and also matters which should have been litigated in prior actions as part of the same cause of action will not be allowed to be re-litigated in a subsequent action.</w:t>
      </w:r>
    </w:p>
    <w:p w:rsidR="003F6967" w:rsidRDefault="003F6967" w:rsidP="00A42735">
      <w:pPr>
        <w:ind w:left="1440" w:right="720"/>
      </w:pPr>
      <w:r>
        <w:rPr>
          <w:b/>
        </w:rPr>
        <w:t>Issue preclusion</w:t>
      </w:r>
      <w:r>
        <w:t>, formerly collateral estoppel, prevents the re-litigation of an issue of fact or law which was actually litigated in a prior proceeding and was necessary to the original judgment.</w:t>
      </w:r>
    </w:p>
    <w:p w:rsidR="00627CF1" w:rsidRDefault="00627CF1">
      <w:r>
        <w:br w:type="page"/>
      </w:r>
    </w:p>
    <w:p w:rsidR="003F6967" w:rsidRDefault="003F6967" w:rsidP="00452DF9">
      <w:pPr>
        <w:spacing w:line="360" w:lineRule="auto"/>
        <w:ind w:firstLine="1440"/>
      </w:pPr>
      <w:r>
        <w:lastRenderedPageBreak/>
        <w:t xml:space="preserve">Claim preclusion applies only when </w:t>
      </w:r>
      <w:r w:rsidR="00B77BB1">
        <w:t xml:space="preserve">all </w:t>
      </w:r>
      <w:r>
        <w:t xml:space="preserve">four conditions exist: </w:t>
      </w:r>
    </w:p>
    <w:p w:rsidR="003F6967" w:rsidRDefault="003F6967" w:rsidP="00DE0C0F">
      <w:pPr>
        <w:spacing w:before="240"/>
        <w:ind w:left="1800" w:right="1440" w:hanging="360"/>
      </w:pPr>
      <w:r>
        <w:t xml:space="preserve">(1) </w:t>
      </w:r>
      <w:r w:rsidR="0077240B">
        <w:tab/>
      </w:r>
      <w:r>
        <w:t xml:space="preserve">identity of the subject matter; </w:t>
      </w:r>
    </w:p>
    <w:p w:rsidR="003F6967" w:rsidRDefault="003F6967" w:rsidP="00DE0C0F">
      <w:pPr>
        <w:ind w:left="1800" w:right="1440" w:hanging="360"/>
      </w:pPr>
      <w:r>
        <w:t xml:space="preserve">(2) </w:t>
      </w:r>
      <w:r w:rsidR="0077240B">
        <w:tab/>
      </w:r>
      <w:r>
        <w:t xml:space="preserve">identity of the </w:t>
      </w:r>
      <w:r w:rsidR="004F3117">
        <w:t>cause</w:t>
      </w:r>
      <w:r>
        <w:t xml:space="preserve"> of action;</w:t>
      </w:r>
    </w:p>
    <w:p w:rsidR="003F6967" w:rsidRDefault="003F6967" w:rsidP="00DE0C0F">
      <w:pPr>
        <w:ind w:left="1800" w:right="1440" w:hanging="360"/>
      </w:pPr>
      <w:r>
        <w:t xml:space="preserve">(3) </w:t>
      </w:r>
      <w:r w:rsidR="0077240B">
        <w:tab/>
      </w:r>
      <w:r>
        <w:t>identity of the parties; and</w:t>
      </w:r>
    </w:p>
    <w:p w:rsidR="003F6967" w:rsidRDefault="003F6967" w:rsidP="00DE0C0F">
      <w:pPr>
        <w:ind w:left="1800" w:right="1440" w:hanging="360"/>
      </w:pPr>
      <w:r>
        <w:t>(4)</w:t>
      </w:r>
      <w:r w:rsidR="0077240B">
        <w:tab/>
      </w:r>
      <w:r>
        <w:t>identity of the quality or capacity (legal status) of the parties suing or being sued.</w:t>
      </w:r>
    </w:p>
    <w:p w:rsidR="006308C3" w:rsidRDefault="006308C3"/>
    <w:p w:rsidR="003F6967" w:rsidRDefault="003F6967" w:rsidP="00452DF9">
      <w:pPr>
        <w:spacing w:line="360" w:lineRule="auto"/>
        <w:ind w:firstLine="1440"/>
      </w:pPr>
      <w:r>
        <w:t xml:space="preserve"> Issue preclusion does not require an identity of the parties, but does require:</w:t>
      </w:r>
    </w:p>
    <w:p w:rsidR="003F6967" w:rsidRDefault="003F6967" w:rsidP="00DE0C0F">
      <w:pPr>
        <w:pStyle w:val="ListParagraph"/>
        <w:numPr>
          <w:ilvl w:val="0"/>
          <w:numId w:val="40"/>
        </w:numPr>
        <w:spacing w:before="240"/>
        <w:ind w:right="1440"/>
      </w:pPr>
      <w:r>
        <w:t>the issue(s) decided by a prior final judgment is identical with the one(s) presented in the later action;</w:t>
      </w:r>
    </w:p>
    <w:p w:rsidR="003F6967" w:rsidRDefault="003F6967" w:rsidP="00DE0C0F">
      <w:pPr>
        <w:pStyle w:val="ListParagraph"/>
        <w:numPr>
          <w:ilvl w:val="0"/>
          <w:numId w:val="40"/>
        </w:numPr>
        <w:ind w:right="1440"/>
      </w:pPr>
      <w:r>
        <w:t>the issue(s) was actually litigated;</w:t>
      </w:r>
    </w:p>
    <w:p w:rsidR="003F6967" w:rsidRDefault="003F6967" w:rsidP="00DE0C0F">
      <w:pPr>
        <w:pStyle w:val="ListParagraph"/>
        <w:numPr>
          <w:ilvl w:val="0"/>
          <w:numId w:val="40"/>
        </w:numPr>
        <w:ind w:right="1440"/>
      </w:pPr>
      <w:r>
        <w:t>the party against whom issue preclusion is asserted was a party or in privy with a party to the prior litigation; and</w:t>
      </w:r>
    </w:p>
    <w:p w:rsidR="003F6967" w:rsidRDefault="003F6967" w:rsidP="00DE0C0F">
      <w:pPr>
        <w:pStyle w:val="ListParagraph"/>
        <w:numPr>
          <w:ilvl w:val="0"/>
          <w:numId w:val="40"/>
        </w:numPr>
        <w:ind w:right="1440"/>
      </w:pPr>
      <w:r>
        <w:t>the determination of the issue(s) was essential to the prior final judgment.</w:t>
      </w:r>
    </w:p>
    <w:p w:rsidR="003F6967" w:rsidRDefault="003F6967" w:rsidP="003F6967">
      <w:pPr>
        <w:spacing w:line="360" w:lineRule="auto"/>
        <w:ind w:left="1440"/>
      </w:pPr>
    </w:p>
    <w:p w:rsidR="0077240B" w:rsidRDefault="00A42735" w:rsidP="004F3117">
      <w:pPr>
        <w:spacing w:line="360" w:lineRule="auto"/>
      </w:pPr>
      <w:r>
        <w:t xml:space="preserve">See also, </w:t>
      </w:r>
      <w:r w:rsidRPr="0077240B">
        <w:rPr>
          <w:i/>
        </w:rPr>
        <w:t>O’Toole v. Bell Telephone Co. of Pa., Inc.,</w:t>
      </w:r>
      <w:r>
        <w:t xml:space="preserve"> 77 Pa.PUC 98, 104 (1992) citing, </w:t>
      </w:r>
      <w:r>
        <w:rPr>
          <w:i/>
        </w:rPr>
        <w:t xml:space="preserve">Day v. Volkswagenwerk Aktienqesellschaft, </w:t>
      </w:r>
      <w:r>
        <w:t>464</w:t>
      </w:r>
      <w:r w:rsidR="00B77BB1">
        <w:t xml:space="preserve"> A.2d 1313, 1316-17 (Pa.Super.</w:t>
      </w:r>
      <w:r>
        <w:t xml:space="preserve"> 1983); </w:t>
      </w:r>
      <w:r>
        <w:rPr>
          <w:i/>
        </w:rPr>
        <w:t xml:space="preserve">Baker v. Pa. Human Relations Comm’n, </w:t>
      </w:r>
      <w:r>
        <w:t xml:space="preserve">462 A.2d 881 (Pa.Cmwlth. 1983); and </w:t>
      </w:r>
      <w:r>
        <w:rPr>
          <w:i/>
        </w:rPr>
        <w:t xml:space="preserve">Jordan v. The United Telephone Co. of Pa., </w:t>
      </w:r>
      <w:r>
        <w:t>1995 P</w:t>
      </w:r>
      <w:r w:rsidR="0031196B">
        <w:t>a</w:t>
      </w:r>
      <w:r>
        <w:t>. PUC LEXIS 1558, 22-24 (Initial Decision dated December 22, 1995).</w:t>
      </w:r>
      <w:r w:rsidR="004F3117">
        <w:t xml:space="preserve">  </w:t>
      </w:r>
      <w:r w:rsidR="008466BE">
        <w:t xml:space="preserve">A </w:t>
      </w:r>
      <w:r w:rsidR="0077240B">
        <w:t xml:space="preserve">thorough discussion of both doctrines may be found in </w:t>
      </w:r>
      <w:r w:rsidR="0077240B">
        <w:rPr>
          <w:i/>
        </w:rPr>
        <w:t xml:space="preserve">Safeguard Mutual Insurance Co. v. Williams, </w:t>
      </w:r>
      <w:r w:rsidR="0077240B">
        <w:t xml:space="preserve">463 Pa. 567, 345 A.2d 664 (1975) and </w:t>
      </w:r>
      <w:r w:rsidR="0077240B">
        <w:rPr>
          <w:i/>
        </w:rPr>
        <w:t xml:space="preserve">Hebden v. W.C.A.B (Bethenergy Mines, Inc.), </w:t>
      </w:r>
      <w:r w:rsidR="0077240B">
        <w:t>597 A.2d 182 (</w:t>
      </w:r>
      <w:r w:rsidR="00DE0C0F">
        <w:t xml:space="preserve">Pa.Cmwlth. </w:t>
      </w:r>
      <w:r w:rsidR="0077240B">
        <w:t xml:space="preserve">1991), </w:t>
      </w:r>
      <w:r w:rsidR="00C51C04">
        <w:t xml:space="preserve">app. </w:t>
      </w:r>
      <w:r w:rsidR="0077240B" w:rsidRPr="00C51C04">
        <w:t>granted,</w:t>
      </w:r>
      <w:r w:rsidR="0077240B">
        <w:rPr>
          <w:i/>
        </w:rPr>
        <w:t xml:space="preserve"> </w:t>
      </w:r>
      <w:r w:rsidR="0077240B">
        <w:t xml:space="preserve">604 A.2d 251.  </w:t>
      </w:r>
    </w:p>
    <w:p w:rsidR="0077240B" w:rsidRDefault="0077240B" w:rsidP="0077240B">
      <w:pPr>
        <w:spacing w:line="360" w:lineRule="auto"/>
        <w:ind w:firstLine="1440"/>
      </w:pPr>
    </w:p>
    <w:p w:rsidR="00E24A09" w:rsidRDefault="00E24A09" w:rsidP="0077240B">
      <w:pPr>
        <w:spacing w:line="360" w:lineRule="auto"/>
        <w:ind w:firstLine="1440"/>
        <w:rPr>
          <w:i/>
        </w:rPr>
      </w:pPr>
      <w:r>
        <w:t xml:space="preserve">The doctrine of </w:t>
      </w:r>
      <w:r w:rsidRPr="00E24A09">
        <w:rPr>
          <w:i/>
        </w:rPr>
        <w:t>res judicata</w:t>
      </w:r>
      <w:r>
        <w:t xml:space="preserve"> is designed to promote certainty, finality and judicial economy.  </w:t>
      </w:r>
      <w:r>
        <w:rPr>
          <w:i/>
        </w:rPr>
        <w:t xml:space="preserve">Canon v. Verizon Pennsylvania Inc., </w:t>
      </w:r>
      <w:r>
        <w:t>Docket No. C-2013-2353818 (</w:t>
      </w:r>
      <w:r w:rsidR="001F77FF">
        <w:t xml:space="preserve">Opinion and </w:t>
      </w:r>
      <w:r>
        <w:t xml:space="preserve">Order entered March 6, 2014).  It reflects the refusal of the law to tolerate the re-litigation of a matter decided by a court or agency of competent jurisdiction so as to curtail waste of the resources of the agency and the Respondent regarding issues that already have been adjudicated. </w:t>
      </w:r>
      <w:r w:rsidR="004F3117">
        <w:t xml:space="preserve"> </w:t>
      </w:r>
      <w:r>
        <w:rPr>
          <w:i/>
        </w:rPr>
        <w:t>Id.</w:t>
      </w:r>
    </w:p>
    <w:p w:rsidR="003772ED" w:rsidRDefault="003772ED" w:rsidP="0077240B">
      <w:pPr>
        <w:spacing w:line="360" w:lineRule="auto"/>
        <w:ind w:firstLine="1440"/>
        <w:rPr>
          <w:i/>
        </w:rPr>
      </w:pPr>
    </w:p>
    <w:p w:rsidR="004F3117" w:rsidRPr="00185E17" w:rsidRDefault="004F3117" w:rsidP="0077240B">
      <w:pPr>
        <w:spacing w:line="360" w:lineRule="auto"/>
        <w:ind w:firstLine="1440"/>
      </w:pPr>
      <w:r>
        <w:t xml:space="preserve">Although the undersigned stated </w:t>
      </w:r>
      <w:r w:rsidR="00AD0A0D">
        <w:t xml:space="preserve">erroneously </w:t>
      </w:r>
      <w:r>
        <w:t xml:space="preserve">in the Prehearing Order dated </w:t>
      </w:r>
      <w:r w:rsidR="0085001D">
        <w:t>April </w:t>
      </w:r>
      <w:r w:rsidR="00185E17">
        <w:t>7</w:t>
      </w:r>
      <w:r w:rsidR="00013262">
        <w:t>, 2015, that the matter of claim</w:t>
      </w:r>
      <w:r w:rsidR="00185E17">
        <w:t xml:space="preserve"> preclusion is raised in this proceeding </w:t>
      </w:r>
      <w:r w:rsidR="00185E17">
        <w:rPr>
          <w:i/>
        </w:rPr>
        <w:t xml:space="preserve">sua sponte, </w:t>
      </w:r>
      <w:r w:rsidR="00185E17">
        <w:t xml:space="preserve">in New Matter of the Respondent it stated, “The Complaint filed at Docket No. F-01061153 involved the same charges and balance owed for gas service that is the subject of the instant proceeding.  </w:t>
      </w:r>
      <w:r w:rsidR="00185E17">
        <w:lastRenderedPageBreak/>
        <w:t xml:space="preserve">Thus, the Complainant is barred from pursing (sic) this matter that was dismissed from the Commission…”  PGW Answer </w:t>
      </w:r>
      <w:r w:rsidR="00AD0A0D">
        <w:t xml:space="preserve">and New Matter </w:t>
      </w:r>
      <w:r w:rsidR="00185E17">
        <w:t xml:space="preserve">dated March 4, 2015, at 4 ¶ 16. </w:t>
      </w:r>
      <w:r w:rsidR="00AD0A0D">
        <w:t xml:space="preserve"> Thus, the Respondent in this proceeding </w:t>
      </w:r>
      <w:r w:rsidR="00185E17">
        <w:t>contend</w:t>
      </w:r>
      <w:r w:rsidR="00AD0A0D">
        <w:t>ed</w:t>
      </w:r>
      <w:r w:rsidR="00185E17">
        <w:t xml:space="preserve"> that </w:t>
      </w:r>
      <w:r w:rsidR="00AD0A0D">
        <w:t xml:space="preserve">the Complainant’s </w:t>
      </w:r>
      <w:r w:rsidR="00013262">
        <w:t>claim</w:t>
      </w:r>
      <w:r w:rsidR="00185E17">
        <w:t xml:space="preserve"> is barred because it was already addressed in a competent jurisdiction</w:t>
      </w:r>
      <w:r w:rsidR="00AD0A0D">
        <w:t>.  The</w:t>
      </w:r>
      <w:r w:rsidR="00EE4431">
        <w:t xml:space="preserve"> substantial record evidence is that the</w:t>
      </w:r>
      <w:r w:rsidR="00AD0A0D">
        <w:t xml:space="preserve"> Respondent raised the issue of </w:t>
      </w:r>
      <w:r w:rsidR="00185E17">
        <w:rPr>
          <w:i/>
        </w:rPr>
        <w:t>res judicata</w:t>
      </w:r>
      <w:r w:rsidR="00185E17">
        <w:t>.</w:t>
      </w:r>
      <w:r w:rsidR="00AD0A0D">
        <w:t xml:space="preserve">  The undersigned merely highlighted th</w:t>
      </w:r>
      <w:r w:rsidR="00855602">
        <w:t>at th</w:t>
      </w:r>
      <w:r w:rsidR="00AD0A0D">
        <w:t xml:space="preserve">e issue </w:t>
      </w:r>
      <w:r w:rsidR="00855602">
        <w:t xml:space="preserve">was </w:t>
      </w:r>
      <w:r w:rsidR="00AD0A0D">
        <w:t>to be addressed</w:t>
      </w:r>
      <w:r w:rsidR="00855602">
        <w:t xml:space="preserve"> by the parties</w:t>
      </w:r>
      <w:r w:rsidR="00AD0A0D">
        <w:t xml:space="preserve">. </w:t>
      </w:r>
      <w:r w:rsidR="00185E17">
        <w:t xml:space="preserve"> </w:t>
      </w:r>
      <w:r w:rsidR="000D40E0">
        <w:t xml:space="preserve"> </w:t>
      </w:r>
      <w:r w:rsidR="00185E17">
        <w:t xml:space="preserve">    </w:t>
      </w:r>
    </w:p>
    <w:p w:rsidR="00E24A09" w:rsidRDefault="00E24A09" w:rsidP="0077240B">
      <w:pPr>
        <w:spacing w:line="360" w:lineRule="auto"/>
        <w:ind w:firstLine="1440"/>
        <w:rPr>
          <w:i/>
        </w:rPr>
      </w:pPr>
    </w:p>
    <w:p w:rsidR="003772ED" w:rsidRDefault="003772ED" w:rsidP="0077240B">
      <w:pPr>
        <w:spacing w:line="360" w:lineRule="auto"/>
        <w:ind w:firstLine="1440"/>
      </w:pPr>
      <w:r>
        <w:t xml:space="preserve">In addition to the doctrine of </w:t>
      </w:r>
      <w:r>
        <w:rPr>
          <w:i/>
        </w:rPr>
        <w:t xml:space="preserve">res judicata, </w:t>
      </w:r>
      <w:r>
        <w:t>Comp</w:t>
      </w:r>
      <w:r w:rsidR="00B77BB1">
        <w:t>laint II may be barred by</w:t>
      </w:r>
      <w:r>
        <w:t xml:space="preserve"> Section 316 of the Public Utility Code, 66 Pa.C.S. § 316, which states in part,</w:t>
      </w:r>
    </w:p>
    <w:p w:rsidR="00DF29E8" w:rsidRDefault="00DF29E8" w:rsidP="00DF29E8">
      <w:pPr>
        <w:spacing w:line="360" w:lineRule="auto"/>
        <w:ind w:firstLine="1440"/>
      </w:pPr>
    </w:p>
    <w:p w:rsidR="00F172E7" w:rsidRDefault="003772ED" w:rsidP="003772ED">
      <w:pPr>
        <w:ind w:left="1440" w:right="1440"/>
      </w:pPr>
      <w:r>
        <w:t xml:space="preserve">Whenever the commission shall make any rule, regulation, finding, determination or order, the same shall be prima facie evidence of the facts found and shall remain conclusive upon all parties affected thereby, unless set aside, annulled or modified on judicial review. </w:t>
      </w:r>
    </w:p>
    <w:p w:rsidR="00F172E7" w:rsidRDefault="00F172E7" w:rsidP="00DF29E8">
      <w:pPr>
        <w:spacing w:line="360" w:lineRule="auto"/>
      </w:pPr>
    </w:p>
    <w:p w:rsidR="00782E4F" w:rsidRPr="00782E4F" w:rsidRDefault="00782E4F" w:rsidP="00782E4F">
      <w:pPr>
        <w:pStyle w:val="ListParagraph"/>
        <w:numPr>
          <w:ilvl w:val="0"/>
          <w:numId w:val="33"/>
        </w:numPr>
        <w:spacing w:line="360" w:lineRule="auto"/>
      </w:pPr>
      <w:r>
        <w:rPr>
          <w:u w:val="single"/>
        </w:rPr>
        <w:t>Disposition</w:t>
      </w:r>
    </w:p>
    <w:p w:rsidR="00782E4F" w:rsidRDefault="00782E4F" w:rsidP="00782E4F">
      <w:pPr>
        <w:spacing w:line="360" w:lineRule="auto"/>
        <w:ind w:firstLine="1440"/>
      </w:pPr>
    </w:p>
    <w:p w:rsidR="00A3661B" w:rsidRPr="00A3661B" w:rsidRDefault="00A3661B" w:rsidP="00A3661B">
      <w:pPr>
        <w:pStyle w:val="ListParagraph"/>
        <w:numPr>
          <w:ilvl w:val="0"/>
          <w:numId w:val="44"/>
        </w:numPr>
        <w:spacing w:line="360" w:lineRule="auto"/>
        <w:rPr>
          <w:u w:val="single"/>
        </w:rPr>
      </w:pPr>
      <w:r w:rsidRPr="00A3661B">
        <w:rPr>
          <w:u w:val="single"/>
        </w:rPr>
        <w:t>Incorrect Charges Billed</w:t>
      </w:r>
    </w:p>
    <w:p w:rsidR="00A64564" w:rsidRDefault="00A64564" w:rsidP="003F564B">
      <w:pPr>
        <w:spacing w:line="360" w:lineRule="auto"/>
        <w:ind w:firstLine="1440"/>
      </w:pPr>
    </w:p>
    <w:p w:rsidR="004002A2" w:rsidRDefault="00A07E2D" w:rsidP="003F564B">
      <w:pPr>
        <w:spacing w:line="360" w:lineRule="auto"/>
        <w:ind w:firstLine="1440"/>
      </w:pPr>
      <w:r>
        <w:t xml:space="preserve">The parties have had notice and an opportunity to be heard in compliance with the legal standard of due process.  </w:t>
      </w:r>
      <w:r w:rsidR="004002A2">
        <w:t>An</w:t>
      </w:r>
      <w:r w:rsidR="003772ED">
        <w:t xml:space="preserve"> </w:t>
      </w:r>
      <w:r w:rsidR="003F564B">
        <w:t xml:space="preserve">analysis is determinative by comparing the two formal complaints at issue.  </w:t>
      </w:r>
    </w:p>
    <w:p w:rsidR="004002A2" w:rsidRDefault="004002A2" w:rsidP="003F564B">
      <w:pPr>
        <w:spacing w:line="360" w:lineRule="auto"/>
        <w:ind w:firstLine="1440"/>
      </w:pPr>
    </w:p>
    <w:p w:rsidR="00D57676" w:rsidRPr="00A3661B" w:rsidRDefault="00A3661B" w:rsidP="00A3661B">
      <w:pPr>
        <w:spacing w:line="360" w:lineRule="auto"/>
        <w:ind w:left="720" w:firstLine="720"/>
        <w:rPr>
          <w:u w:val="single"/>
        </w:rPr>
      </w:pPr>
      <w:r w:rsidRPr="00A3661B">
        <w:t xml:space="preserve">1. </w:t>
      </w:r>
      <w:r>
        <w:t xml:space="preserve"> </w:t>
      </w:r>
      <w:r w:rsidR="00D57676" w:rsidRPr="00A3661B">
        <w:rPr>
          <w:u w:val="single"/>
        </w:rPr>
        <w:t>Complaint I</w:t>
      </w:r>
    </w:p>
    <w:p w:rsidR="00D57676" w:rsidRDefault="00D57676" w:rsidP="003F564B">
      <w:pPr>
        <w:spacing w:line="360" w:lineRule="auto"/>
        <w:ind w:firstLine="1440"/>
      </w:pPr>
    </w:p>
    <w:p w:rsidR="003F564B" w:rsidRDefault="003F564B" w:rsidP="003F564B">
      <w:pPr>
        <w:spacing w:line="360" w:lineRule="auto"/>
        <w:ind w:firstLine="1440"/>
      </w:pPr>
      <w:r>
        <w:t xml:space="preserve">The </w:t>
      </w:r>
      <w:r w:rsidR="003772ED">
        <w:t>ALJ for Complaint I described the complaint as alleging</w:t>
      </w:r>
      <w:r>
        <w:t>,</w:t>
      </w:r>
    </w:p>
    <w:p w:rsidR="003F564B" w:rsidRDefault="003772ED" w:rsidP="003F564B">
      <w:pPr>
        <w:ind w:left="1440" w:right="1440"/>
      </w:pPr>
      <w:r>
        <w:t>‘PGW assessed [me] for gas [I] did not use’; PGW blamed him for the wrong meter in the building when PGW put it in; and, that the gas was not being used for 3½ years for which Complainant received estimated.  He wanted the PUC to cut the estimate by 80%</w:t>
      </w:r>
      <w:r w:rsidR="003F564B">
        <w:t>.</w:t>
      </w:r>
    </w:p>
    <w:p w:rsidR="003F564B" w:rsidRDefault="003F564B" w:rsidP="00BF39B6">
      <w:pPr>
        <w:spacing w:line="360" w:lineRule="auto"/>
        <w:ind w:left="1440" w:right="1440"/>
      </w:pPr>
    </w:p>
    <w:p w:rsidR="004002A2" w:rsidRDefault="003F564B" w:rsidP="003F564B">
      <w:pPr>
        <w:spacing w:line="360" w:lineRule="auto"/>
      </w:pPr>
      <w:r>
        <w:rPr>
          <w:i/>
        </w:rPr>
        <w:t xml:space="preserve">Buoncristiano v. Philadelphia Gas Works, </w:t>
      </w:r>
      <w:r>
        <w:t>Docket No. F-01061153 (Initial Decision dated August 5, 2004) at 1</w:t>
      </w:r>
      <w:r w:rsidR="004002A2">
        <w:t xml:space="preserve"> (the formal complaint was dismissed without prejudice</w:t>
      </w:r>
      <w:r w:rsidR="00D57676">
        <w:t xml:space="preserve"> because the </w:t>
      </w:r>
      <w:r w:rsidR="00D57676">
        <w:lastRenderedPageBreak/>
        <w:t>complainant failed to appear and prosecute the formal complaint</w:t>
      </w:r>
      <w:r w:rsidR="004002A2">
        <w:t>)</w:t>
      </w:r>
      <w:r>
        <w:t>.</w:t>
      </w:r>
      <w:r w:rsidR="00171814">
        <w:t xml:space="preserve">  The adjudication was regarding gas service for the property at 3180 Grant Avenue, Philadelphia, Pennsylvania 19114, </w:t>
      </w:r>
      <w:r w:rsidR="00171814" w:rsidRPr="00171814">
        <w:rPr>
          <w:i/>
        </w:rPr>
        <w:t>Id</w:t>
      </w:r>
      <w:r w:rsidR="00171814">
        <w:t xml:space="preserve"> at 2, (FOF 1).  </w:t>
      </w:r>
      <w:r>
        <w:t xml:space="preserve">  </w:t>
      </w:r>
    </w:p>
    <w:p w:rsidR="004002A2" w:rsidRDefault="004002A2" w:rsidP="003F564B">
      <w:pPr>
        <w:spacing w:line="360" w:lineRule="auto"/>
      </w:pPr>
    </w:p>
    <w:p w:rsidR="003F564B" w:rsidRDefault="004002A2" w:rsidP="004002A2">
      <w:pPr>
        <w:spacing w:line="360" w:lineRule="auto"/>
        <w:ind w:firstLine="1440"/>
      </w:pPr>
      <w:r>
        <w:t xml:space="preserve">The Commission has held that where a prior complaint was dismissed because the complainant failed to appear and prosecute the formal complaint, </w:t>
      </w:r>
      <w:r w:rsidRPr="004002A2">
        <w:rPr>
          <w:i/>
        </w:rPr>
        <w:t>res judicata</w:t>
      </w:r>
      <w:r w:rsidR="00013262">
        <w:t xml:space="preserve"> does not apply when there is a</w:t>
      </w:r>
      <w:r>
        <w:t xml:space="preserve"> subsequent complaint filed by the same complaint regarding the same subject matter because there is no adjudication on the merits of the complaint.  </w:t>
      </w:r>
      <w:r w:rsidRPr="004002A2">
        <w:rPr>
          <w:i/>
        </w:rPr>
        <w:t>Winston v. Philadelphia Gas Works,</w:t>
      </w:r>
      <w:r w:rsidR="00013262">
        <w:t xml:space="preserve"> Docket No. C-2010-218150</w:t>
      </w:r>
      <w:r>
        <w:t>4 (Opinion and Order entered April 16, 2012)</w:t>
      </w:r>
      <w:r w:rsidR="00B47CEB">
        <w:t>(</w:t>
      </w:r>
      <w:r w:rsidR="00B47CEB">
        <w:rPr>
          <w:i/>
        </w:rPr>
        <w:t>Winston</w:t>
      </w:r>
      <w:r w:rsidR="00B47CEB">
        <w:t>)</w:t>
      </w:r>
      <w:r>
        <w:t>.</w:t>
      </w:r>
    </w:p>
    <w:p w:rsidR="004002A2" w:rsidRDefault="004002A2" w:rsidP="004002A2">
      <w:pPr>
        <w:spacing w:line="360" w:lineRule="auto"/>
        <w:ind w:firstLine="1440"/>
      </w:pPr>
    </w:p>
    <w:p w:rsidR="004002A2" w:rsidRDefault="004002A2" w:rsidP="004002A2">
      <w:pPr>
        <w:spacing w:line="360" w:lineRule="auto"/>
        <w:ind w:firstLine="1440"/>
      </w:pPr>
      <w:r>
        <w:t xml:space="preserve">The Respondent in Complaint I filed exceptions to dismiss the formal complaint with prejudice.  By Commission Opinion and Order Complaint I was dismissed with prejudice.  See </w:t>
      </w:r>
      <w:r>
        <w:rPr>
          <w:i/>
        </w:rPr>
        <w:t xml:space="preserve">Buoncristiano v. Philadelphia Gas Works, </w:t>
      </w:r>
      <w:r>
        <w:t>Docket No. F-01061153 (Order entered November 5, 2004) at 8, ordering paragraph 4.</w:t>
      </w:r>
      <w:r w:rsidR="00B47CEB">
        <w:t xml:space="preserve">  Consequently, Complaint I is distinguished from </w:t>
      </w:r>
      <w:r w:rsidR="00B47CEB" w:rsidRPr="00B47CEB">
        <w:rPr>
          <w:i/>
        </w:rPr>
        <w:t>Winston</w:t>
      </w:r>
      <w:r w:rsidR="00B47CEB">
        <w:t xml:space="preserve"> because Complaint I was dismissed with prejudice.  Thus, Complaint I is similar to </w:t>
      </w:r>
      <w:r w:rsidR="00B47CEB" w:rsidRPr="00B47CEB">
        <w:rPr>
          <w:i/>
        </w:rPr>
        <w:t>Sebrell v. Philadelphia Police Dep’t,</w:t>
      </w:r>
      <w:r w:rsidR="00013262">
        <w:t xml:space="preserve"> 159 F. App</w:t>
      </w:r>
      <w:r w:rsidR="00B47CEB">
        <w:t>x 371, 2005 U.S. A</w:t>
      </w:r>
      <w:r w:rsidR="006E5FBF">
        <w:t>pp. LEXIS 27296 (3d Cir. 2005)(D</w:t>
      </w:r>
      <w:r w:rsidR="00B47CEB">
        <w:t xml:space="preserve">ismissal with prejudice constituted a </w:t>
      </w:r>
      <w:r w:rsidR="00013262">
        <w:t>decision on the merits barring any further action between the parties.</w:t>
      </w:r>
      <w:r w:rsidR="006E5FBF">
        <w:t>).</w:t>
      </w:r>
      <w:r>
        <w:t xml:space="preserve">  </w:t>
      </w:r>
    </w:p>
    <w:p w:rsidR="00D57676" w:rsidRDefault="00D57676" w:rsidP="004002A2">
      <w:pPr>
        <w:spacing w:line="360" w:lineRule="auto"/>
        <w:ind w:firstLine="1440"/>
      </w:pPr>
    </w:p>
    <w:p w:rsidR="00D57676" w:rsidRPr="00A3661B" w:rsidRDefault="00A3661B" w:rsidP="00A3661B">
      <w:pPr>
        <w:spacing w:line="360" w:lineRule="auto"/>
        <w:ind w:left="720" w:firstLine="720"/>
        <w:rPr>
          <w:u w:val="single"/>
        </w:rPr>
      </w:pPr>
      <w:r>
        <w:t xml:space="preserve">2.  </w:t>
      </w:r>
      <w:r w:rsidR="00D57676" w:rsidRPr="00A3661B">
        <w:rPr>
          <w:u w:val="single"/>
        </w:rPr>
        <w:t>Complaint II</w:t>
      </w:r>
    </w:p>
    <w:p w:rsidR="004002A2" w:rsidRDefault="004002A2" w:rsidP="003F564B">
      <w:pPr>
        <w:spacing w:line="360" w:lineRule="auto"/>
      </w:pPr>
    </w:p>
    <w:p w:rsidR="00136AD2" w:rsidRDefault="003F564B" w:rsidP="003F564B">
      <w:pPr>
        <w:spacing w:line="360" w:lineRule="auto"/>
        <w:ind w:firstLine="1440"/>
      </w:pPr>
      <w:r>
        <w:t>Complaint II indicated that there were incorrect charges on the Complainant’s 2003 bill and further explains, “All of my bills are paid in full for 19 years.  In 2003 PGW said I had the wrong meter in my property and charge me $31,000.00.  The name was Albert’s Restaurant Inc.  We don’t know anything about meters and after they changed…”</w:t>
      </w:r>
      <w:r w:rsidR="00136AD2">
        <w:t xml:space="preserve">  Complaint II at 2, ¶ 4.  </w:t>
      </w:r>
      <w:r w:rsidR="00171814">
        <w:t xml:space="preserve">Complaint II is regarding gas service at 3180 Grant Avenue, Philadelphia, Pennsylvania 19114.  </w:t>
      </w:r>
      <w:r w:rsidR="00136AD2">
        <w:t>The Complainant’s requested relief asks, in part, “…the matter be reviewed to determine the exact amount of mon</w:t>
      </w:r>
      <w:r w:rsidR="001B115C">
        <w:t>ey that should be owed due to m</w:t>
      </w:r>
      <w:r w:rsidR="00136AD2">
        <w:t xml:space="preserve">y failure to pay my PGW bill.”  Complaint II at 3, ¶ 5.  The Complainant also provided information about mechanics and municipal claims: </w:t>
      </w:r>
    </w:p>
    <w:p w:rsidR="00D11289" w:rsidRDefault="00D11289">
      <w:r>
        <w:br w:type="page"/>
      </w:r>
    </w:p>
    <w:p w:rsidR="00136AD2" w:rsidRDefault="001B115C" w:rsidP="00136AD2">
      <w:pPr>
        <w:pStyle w:val="ListParagraph"/>
        <w:numPr>
          <w:ilvl w:val="0"/>
          <w:numId w:val="41"/>
        </w:numPr>
        <w:spacing w:line="360" w:lineRule="auto"/>
      </w:pPr>
      <w:r>
        <w:lastRenderedPageBreak/>
        <w:t>CP</w:t>
      </w:r>
      <w:r w:rsidR="00136AD2">
        <w:t xml:space="preserve"> June 2009 #35017 $33,072.14, June 17, 2009 gas service; and</w:t>
      </w:r>
    </w:p>
    <w:p w:rsidR="00136AD2" w:rsidRDefault="001B115C" w:rsidP="00136AD2">
      <w:pPr>
        <w:pStyle w:val="ListParagraph"/>
        <w:numPr>
          <w:ilvl w:val="0"/>
          <w:numId w:val="41"/>
        </w:numPr>
        <w:spacing w:line="360" w:lineRule="auto"/>
      </w:pPr>
      <w:r>
        <w:t>CP</w:t>
      </w:r>
      <w:r w:rsidR="00136AD2">
        <w:t xml:space="preserve"> June 2009 #35170 $33,072.14 June 19, 2009 gas service.</w:t>
      </w:r>
    </w:p>
    <w:p w:rsidR="00D11289" w:rsidRDefault="00D11289" w:rsidP="00D11289">
      <w:pPr>
        <w:pStyle w:val="ListParagraph"/>
        <w:spacing w:line="360" w:lineRule="auto"/>
        <w:ind w:left="1800"/>
      </w:pPr>
    </w:p>
    <w:p w:rsidR="00F70190" w:rsidRDefault="00A3661B" w:rsidP="00627CF1">
      <w:r>
        <w:tab/>
        <w:t xml:space="preserve">3.  </w:t>
      </w:r>
      <w:r w:rsidR="00F70190" w:rsidRPr="00A3661B">
        <w:rPr>
          <w:u w:val="single"/>
        </w:rPr>
        <w:t>Analysis</w:t>
      </w:r>
    </w:p>
    <w:p w:rsidR="00F70190" w:rsidRDefault="00F70190" w:rsidP="00F70190">
      <w:pPr>
        <w:spacing w:line="360" w:lineRule="auto"/>
        <w:ind w:left="720"/>
      </w:pPr>
    </w:p>
    <w:p w:rsidR="00F70190" w:rsidRDefault="00F70190" w:rsidP="00F70190">
      <w:pPr>
        <w:spacing w:line="360" w:lineRule="auto"/>
        <w:ind w:firstLine="1440"/>
      </w:pPr>
      <w:r>
        <w:t xml:space="preserve">For the doctrine of </w:t>
      </w:r>
      <w:r>
        <w:rPr>
          <w:i/>
        </w:rPr>
        <w:t xml:space="preserve">res judicata </w:t>
      </w:r>
      <w:r>
        <w:t>to prevail four conditions must be met:</w:t>
      </w:r>
    </w:p>
    <w:p w:rsidR="00397661" w:rsidRDefault="00397661" w:rsidP="00F70190">
      <w:pPr>
        <w:spacing w:line="360" w:lineRule="auto"/>
        <w:ind w:firstLine="1440"/>
      </w:pPr>
    </w:p>
    <w:p w:rsidR="00F70190" w:rsidRDefault="00F70190" w:rsidP="00F70190">
      <w:pPr>
        <w:pStyle w:val="ListParagraph"/>
        <w:numPr>
          <w:ilvl w:val="0"/>
          <w:numId w:val="43"/>
        </w:numPr>
      </w:pPr>
      <w:r>
        <w:t>Identity of issues;</w:t>
      </w:r>
    </w:p>
    <w:p w:rsidR="00F70190" w:rsidRDefault="00F70190" w:rsidP="00F70190">
      <w:pPr>
        <w:pStyle w:val="ListParagraph"/>
        <w:numPr>
          <w:ilvl w:val="0"/>
          <w:numId w:val="43"/>
        </w:numPr>
      </w:pPr>
      <w:r>
        <w:t>Identity of causes of action;</w:t>
      </w:r>
    </w:p>
    <w:p w:rsidR="00F70190" w:rsidRDefault="00F70190" w:rsidP="00F70190">
      <w:pPr>
        <w:pStyle w:val="ListParagraph"/>
        <w:numPr>
          <w:ilvl w:val="0"/>
          <w:numId w:val="43"/>
        </w:numPr>
      </w:pPr>
      <w:r>
        <w:t>Identity of persons and parties to the action; and</w:t>
      </w:r>
    </w:p>
    <w:p w:rsidR="00F70190" w:rsidRDefault="00F70190" w:rsidP="00F70190">
      <w:pPr>
        <w:pStyle w:val="ListParagraph"/>
        <w:numPr>
          <w:ilvl w:val="0"/>
          <w:numId w:val="43"/>
        </w:numPr>
        <w:spacing w:line="360" w:lineRule="auto"/>
      </w:pPr>
      <w:r>
        <w:t>Identity of the quality and capacity of the parties suing or sued.</w:t>
      </w:r>
    </w:p>
    <w:p w:rsidR="00397661" w:rsidRDefault="00397661" w:rsidP="00397661">
      <w:pPr>
        <w:spacing w:line="360" w:lineRule="auto"/>
        <w:ind w:left="1440"/>
      </w:pPr>
    </w:p>
    <w:p w:rsidR="00B47CEB" w:rsidRDefault="00F70190" w:rsidP="00F70190">
      <w:pPr>
        <w:spacing w:line="360" w:lineRule="auto"/>
      </w:pPr>
      <w:r w:rsidRPr="00F70190">
        <w:rPr>
          <w:i/>
        </w:rPr>
        <w:t>Day v. Volkswagenwerk Aktienqesellschaft,</w:t>
      </w:r>
      <w:r>
        <w:t xml:space="preserve"> 474 A.2d 1313, 1316-17 (</w:t>
      </w:r>
      <w:r w:rsidR="00B77BB1">
        <w:t>Pa.Super</w:t>
      </w:r>
      <w:r w:rsidR="00397661">
        <w:t>.</w:t>
      </w:r>
      <w:r w:rsidR="00B47CEB">
        <w:t xml:space="preserve"> </w:t>
      </w:r>
      <w:r>
        <w:t xml:space="preserve">1983).  </w:t>
      </w:r>
    </w:p>
    <w:p w:rsidR="00B47CEB" w:rsidRDefault="00B47CEB" w:rsidP="00F70190">
      <w:pPr>
        <w:spacing w:line="360" w:lineRule="auto"/>
      </w:pPr>
    </w:p>
    <w:p w:rsidR="00B47CEB" w:rsidRDefault="008474FF" w:rsidP="008474FF">
      <w:pPr>
        <w:spacing w:line="360" w:lineRule="auto"/>
        <w:ind w:firstLine="1440"/>
      </w:pPr>
      <w:r>
        <w:t>Both complaints dispute the accuracy of the amount billed for service in 2003</w:t>
      </w:r>
      <w:r w:rsidR="00DE0C0F">
        <w:t xml:space="preserve"> for the property located at 3180 Grant Avenue, Philadelphia, Pennsylvania</w:t>
      </w:r>
      <w:r w:rsidR="00B77BB1">
        <w:t xml:space="preserve"> 19114</w:t>
      </w:r>
      <w:r w:rsidR="00DE0C0F">
        <w:t xml:space="preserve"> </w:t>
      </w:r>
      <w:r>
        <w:t xml:space="preserve">and </w:t>
      </w:r>
      <w:r w:rsidR="001B115C">
        <w:t>both</w:t>
      </w:r>
      <w:r w:rsidR="006E5FBF">
        <w:t xml:space="preserve"> complaints</w:t>
      </w:r>
      <w:r w:rsidR="001B115C">
        <w:t xml:space="preserve"> request</w:t>
      </w:r>
      <w:r>
        <w:t xml:space="preserve"> a determination by the Commission for the amount owed for gas service.  The cause of action in both complaints is whether the Respondent, PGW, violated Commission regulations through inaccurate and improper billing.  Each complaint involved the same Complainant, Albert Buoncristiano</w:t>
      </w:r>
      <w:r w:rsidR="001B115C">
        <w:t>,</w:t>
      </w:r>
      <w:r>
        <w:t xml:space="preserve"> and the same Respondent, PGW</w:t>
      </w:r>
      <w:r w:rsidR="001B115C">
        <w:t>,</w:t>
      </w:r>
      <w:r w:rsidR="00A3661B">
        <w:t xml:space="preserve"> for gas service at the same location, 3180 Grant Avenue, Philadelphia, Pennsylvania</w:t>
      </w:r>
      <w:r w:rsidR="00B77BB1">
        <w:t xml:space="preserve"> 19114</w:t>
      </w:r>
      <w:r>
        <w:t>.  Lastly, the parties involved are acting in the same capacities.  The Complainant</w:t>
      </w:r>
      <w:r w:rsidR="00A3661B">
        <w:t>, Albert Buoncristiano,</w:t>
      </w:r>
      <w:r>
        <w:t xml:space="preserve"> is the </w:t>
      </w:r>
      <w:r w:rsidR="00A3661B">
        <w:t>same in</w:t>
      </w:r>
      <w:r>
        <w:t xml:space="preserve"> both proceedings and PGW is the Respondent, public utility, in both proceedings.</w:t>
      </w:r>
    </w:p>
    <w:p w:rsidR="008474FF" w:rsidRDefault="008474FF" w:rsidP="008474FF">
      <w:pPr>
        <w:spacing w:line="360" w:lineRule="auto"/>
        <w:ind w:firstLine="1440"/>
      </w:pPr>
    </w:p>
    <w:p w:rsidR="001941BB" w:rsidRDefault="008474FF" w:rsidP="008474FF">
      <w:pPr>
        <w:spacing w:line="360" w:lineRule="auto"/>
        <w:ind w:firstLine="1440"/>
      </w:pPr>
      <w:r>
        <w:t xml:space="preserve">It is concluded that the doctrine of </w:t>
      </w:r>
      <w:r>
        <w:rPr>
          <w:i/>
        </w:rPr>
        <w:t xml:space="preserve">res judicata </w:t>
      </w:r>
      <w:r>
        <w:t xml:space="preserve"> applies as a bar to litigate Complaint II.  The Commission has entered a final Order at </w:t>
      </w:r>
      <w:r>
        <w:rPr>
          <w:i/>
        </w:rPr>
        <w:t xml:space="preserve">Buoncristiano v. Philadelphia Gas Works, </w:t>
      </w:r>
      <w:r>
        <w:t xml:space="preserve">Docket No. F-01061153 on </w:t>
      </w:r>
      <w:r w:rsidR="00757A9B">
        <w:t xml:space="preserve">November 5, 2004.  Furthermore, the Commission denied the petition at </w:t>
      </w:r>
      <w:r w:rsidR="00757A9B" w:rsidRPr="00757A9B">
        <w:rPr>
          <w:i/>
        </w:rPr>
        <w:t>Buoncristiano v. Philadelphia Gas Works,</w:t>
      </w:r>
      <w:r w:rsidR="00757A9B">
        <w:t xml:space="preserve"> Docket No. P-2015-2493209 (Order entered January 28, 2016) on the specific issue of whether the final Order at docket No. F-01061153 should be rescinded.  Therefore the matter is closed and has not been reopened or reversed on appeal.  Consequently, pursuant to 66 Pa.C.S. § 316, the Order at Docket No. F-01061153 shall be conclusive for all parties affected. </w:t>
      </w:r>
      <w:r w:rsidR="00171814">
        <w:t xml:space="preserve"> Complaint II is dismissed</w:t>
      </w:r>
      <w:r w:rsidR="00A07E2D">
        <w:t xml:space="preserve"> due to the doctrine of </w:t>
      </w:r>
      <w:r w:rsidR="00A07E2D" w:rsidRPr="00A07E2D">
        <w:rPr>
          <w:i/>
        </w:rPr>
        <w:t>res judicata</w:t>
      </w:r>
      <w:r w:rsidR="00171814">
        <w:t>.</w:t>
      </w:r>
    </w:p>
    <w:p w:rsidR="00A3661B" w:rsidRPr="00A3661B" w:rsidRDefault="00A3661B" w:rsidP="00A3661B">
      <w:pPr>
        <w:pStyle w:val="ListParagraph"/>
        <w:numPr>
          <w:ilvl w:val="0"/>
          <w:numId w:val="44"/>
        </w:numPr>
        <w:spacing w:line="360" w:lineRule="auto"/>
        <w:rPr>
          <w:u w:val="single"/>
        </w:rPr>
      </w:pPr>
      <w:r>
        <w:lastRenderedPageBreak/>
        <w:t xml:space="preserve"> </w:t>
      </w:r>
      <w:r w:rsidRPr="00A3661B">
        <w:rPr>
          <w:u w:val="single"/>
        </w:rPr>
        <w:t>Amount Owed</w:t>
      </w:r>
    </w:p>
    <w:p w:rsidR="00A3661B" w:rsidRDefault="00A3661B" w:rsidP="00A3661B">
      <w:pPr>
        <w:spacing w:line="360" w:lineRule="auto"/>
        <w:ind w:left="1440"/>
      </w:pPr>
    </w:p>
    <w:p w:rsidR="00171814" w:rsidRDefault="001941BB" w:rsidP="00A3661B">
      <w:pPr>
        <w:spacing w:line="360" w:lineRule="auto"/>
        <w:ind w:firstLine="1440"/>
      </w:pPr>
      <w:r>
        <w:t xml:space="preserve">Lastly, the undersigned noticed a discrepancy regarding the amount that the Commission adjudicated </w:t>
      </w:r>
      <w:r w:rsidR="00A3661B">
        <w:t xml:space="preserve">that </w:t>
      </w:r>
      <w:r>
        <w:t xml:space="preserve">the Respondent </w:t>
      </w:r>
      <w:r w:rsidR="001B115C">
        <w:t xml:space="preserve">be </w:t>
      </w:r>
      <w:r>
        <w:t xml:space="preserve">billed for gas service rendered to Albert Buoncristiano </w:t>
      </w:r>
      <w:r w:rsidR="00A3661B">
        <w:t xml:space="preserve">for the property at 3180 Grant Avenue, Philadelphia, Pennsylvania 19114 </w:t>
      </w:r>
      <w:r>
        <w:t xml:space="preserve">and the amounts alleged regarding mechanics and municipal claims for gas service.  </w:t>
      </w:r>
      <w:r w:rsidR="00171814">
        <w:t>A</w:t>
      </w:r>
      <w:r>
        <w:t xml:space="preserve">t </w:t>
      </w:r>
      <w:r w:rsidRPr="00A3661B">
        <w:rPr>
          <w:i/>
        </w:rPr>
        <w:t>Buoncristiano v. Philadelphia Gas Works,</w:t>
      </w:r>
      <w:r>
        <w:t xml:space="preserve"> Docket No. F-01061153 (Order entered November 5, 2004)</w:t>
      </w:r>
      <w:r w:rsidR="00171814">
        <w:t xml:space="preserve">, the Commission ordered by ordering paragraph 3, </w:t>
      </w:r>
    </w:p>
    <w:p w:rsidR="001941BB" w:rsidRDefault="00171814" w:rsidP="00171814">
      <w:pPr>
        <w:spacing w:before="240"/>
        <w:ind w:left="1440" w:right="1440"/>
      </w:pPr>
      <w:r>
        <w:t>That Albert Buoncristiano shall immediately pay to the Philadelphia Gas Works the final bill in the amount of $33,072.00 associated with the property located at 3180 Grant Avenue, Philadelphia, PA unless Albert Buoncristiano and the Philadelphia Gas Works enter into a payment arrangement.</w:t>
      </w:r>
      <w:r w:rsidR="001941BB">
        <w:t xml:space="preserve"> </w:t>
      </w:r>
    </w:p>
    <w:p w:rsidR="00757A9B" w:rsidRDefault="00757A9B" w:rsidP="008474FF">
      <w:pPr>
        <w:spacing w:line="360" w:lineRule="auto"/>
        <w:ind w:firstLine="1440"/>
      </w:pPr>
    </w:p>
    <w:p w:rsidR="00757A9B" w:rsidRDefault="00171814" w:rsidP="00171814">
      <w:pPr>
        <w:spacing w:line="360" w:lineRule="auto"/>
      </w:pPr>
      <w:r>
        <w:t>Consequently, any amount other than $33,072.00 is incorrect for the amount owed by Albert Buoncristiano for the property located at 3180 Grant Aven</w:t>
      </w:r>
      <w:r w:rsidR="006308C3">
        <w:t xml:space="preserve">ue, Philadelphia, Pennsylvania 19114 </w:t>
      </w:r>
      <w:r>
        <w:t>from the adjudication at Complaint I.</w:t>
      </w:r>
      <w:r w:rsidR="00A3661B">
        <w:t xml:space="preserve">  Stated affirmatively, the Commission has determined that Albert Buoncristiano </w:t>
      </w:r>
      <w:r w:rsidR="00A64564">
        <w:t xml:space="preserve">owed Philadelphia Gas Works $33,072.00 for gas service </w:t>
      </w:r>
      <w:r w:rsidR="001B115C">
        <w:t>until service was discontinued o</w:t>
      </w:r>
      <w:r w:rsidR="00A64564">
        <w:t xml:space="preserve">n </w:t>
      </w:r>
      <w:r w:rsidR="001B115C">
        <w:t xml:space="preserve">July 1, </w:t>
      </w:r>
      <w:r w:rsidR="00A64564">
        <w:t>2003 to 3180 Grant Avenue, Philadelphia, Pennsylvania</w:t>
      </w:r>
      <w:r>
        <w:t xml:space="preserve"> </w:t>
      </w:r>
      <w:r w:rsidR="00A64564">
        <w:t>19114.</w:t>
      </w:r>
      <w:r>
        <w:t xml:space="preserve"> </w:t>
      </w:r>
    </w:p>
    <w:p w:rsidR="0065784E" w:rsidRPr="008474FF" w:rsidRDefault="0065784E" w:rsidP="00171814">
      <w:pPr>
        <w:spacing w:line="360" w:lineRule="auto"/>
      </w:pPr>
    </w:p>
    <w:p w:rsidR="009D178A" w:rsidRDefault="009D178A" w:rsidP="00452DF9">
      <w:pPr>
        <w:spacing w:line="360" w:lineRule="auto"/>
        <w:jc w:val="center"/>
        <w:rPr>
          <w:u w:val="single"/>
        </w:rPr>
      </w:pPr>
      <w:r>
        <w:rPr>
          <w:u w:val="single"/>
        </w:rPr>
        <w:t>CONCLUSIONS OF LAW</w:t>
      </w:r>
    </w:p>
    <w:p w:rsidR="009D178A" w:rsidRDefault="009D178A" w:rsidP="00452DF9">
      <w:pPr>
        <w:spacing w:line="360" w:lineRule="auto"/>
        <w:jc w:val="center"/>
        <w:rPr>
          <w:u w:val="single"/>
        </w:rPr>
      </w:pPr>
    </w:p>
    <w:p w:rsidR="009D178A" w:rsidRDefault="009D178A" w:rsidP="00452DF9">
      <w:pPr>
        <w:numPr>
          <w:ilvl w:val="0"/>
          <w:numId w:val="12"/>
        </w:numPr>
        <w:tabs>
          <w:tab w:val="clear" w:pos="900"/>
          <w:tab w:val="num" w:pos="2160"/>
        </w:tabs>
        <w:spacing w:line="360" w:lineRule="auto"/>
        <w:ind w:left="0" w:firstLine="1440"/>
      </w:pPr>
      <w:r>
        <w:t>The Commission has jurisdiction over the parties and the subject matter of this proceeding.  66 Pa.C.S. § 701.</w:t>
      </w:r>
    </w:p>
    <w:p w:rsidR="00A64564" w:rsidRDefault="00A64564" w:rsidP="00A64564">
      <w:pPr>
        <w:spacing w:line="360" w:lineRule="auto"/>
        <w:ind w:left="1440"/>
      </w:pPr>
    </w:p>
    <w:p w:rsidR="00A64564" w:rsidRDefault="00A64564" w:rsidP="00452DF9">
      <w:pPr>
        <w:numPr>
          <w:ilvl w:val="0"/>
          <w:numId w:val="12"/>
        </w:numPr>
        <w:tabs>
          <w:tab w:val="clear" w:pos="900"/>
          <w:tab w:val="num" w:pos="2160"/>
        </w:tabs>
        <w:spacing w:line="360" w:lineRule="auto"/>
        <w:ind w:left="0" w:firstLine="1440"/>
      </w:pPr>
      <w:r>
        <w:t>Due process is satisfied when the parties are afforded notice and an opportunity to be heard</w:t>
      </w:r>
      <w:r w:rsidR="0002029E">
        <w:t xml:space="preserve">.  </w:t>
      </w:r>
      <w:r w:rsidR="0002029E">
        <w:rPr>
          <w:i/>
        </w:rPr>
        <w:t xml:space="preserve">Schneider v. Pa. Pub. Util. Comm’n, </w:t>
      </w:r>
      <w:r w:rsidR="0002029E">
        <w:t xml:space="preserve">479 A.2d 10 (Pa.Cmwlth. 1984).  </w:t>
      </w:r>
    </w:p>
    <w:p w:rsidR="0002029E" w:rsidRDefault="0002029E" w:rsidP="0002029E">
      <w:pPr>
        <w:pStyle w:val="ListParagraph"/>
      </w:pPr>
    </w:p>
    <w:p w:rsidR="0002029E" w:rsidRDefault="0002029E" w:rsidP="00452DF9">
      <w:pPr>
        <w:numPr>
          <w:ilvl w:val="0"/>
          <w:numId w:val="12"/>
        </w:numPr>
        <w:tabs>
          <w:tab w:val="clear" w:pos="900"/>
          <w:tab w:val="num" w:pos="2160"/>
        </w:tabs>
        <w:spacing w:line="360" w:lineRule="auto"/>
        <w:ind w:left="0" w:firstLine="1440"/>
      </w:pPr>
      <w:r>
        <w:t xml:space="preserve">The doctrine of </w:t>
      </w:r>
      <w:r w:rsidRPr="00E24A09">
        <w:rPr>
          <w:i/>
        </w:rPr>
        <w:t>res judicata</w:t>
      </w:r>
      <w:r>
        <w:t xml:space="preserve"> is designed to promote certainty, finality and judicial economy reflecting the refusal of the law to tolerate the re-litigation of a matter decided by a court or agency of competent jurisdiction and to curtail wasting of the resources of the agency and the Respondent regarding issues that </w:t>
      </w:r>
      <w:r w:rsidR="00E021EE">
        <w:t xml:space="preserve">already have been adjudicated. </w:t>
      </w:r>
      <w:r>
        <w:t xml:space="preserve"> </w:t>
      </w:r>
      <w:r>
        <w:rPr>
          <w:i/>
        </w:rPr>
        <w:t xml:space="preserve">Canon v. Verizon Pennsylvania Inc., </w:t>
      </w:r>
      <w:r>
        <w:t xml:space="preserve">Docket No. C-2013-2353818 (Order entered March 6, 2014).  </w:t>
      </w:r>
    </w:p>
    <w:p w:rsidR="009D178A" w:rsidRDefault="009D178A" w:rsidP="00452DF9">
      <w:pPr>
        <w:spacing w:line="360" w:lineRule="auto"/>
        <w:ind w:left="1440"/>
      </w:pPr>
    </w:p>
    <w:p w:rsidR="000A20DF" w:rsidRDefault="000A20DF" w:rsidP="000A20DF">
      <w:pPr>
        <w:pStyle w:val="ListParagraph"/>
        <w:numPr>
          <w:ilvl w:val="0"/>
          <w:numId w:val="45"/>
        </w:numPr>
        <w:spacing w:line="360" w:lineRule="auto"/>
        <w:ind w:left="0" w:firstLine="1440"/>
      </w:pPr>
      <w:r>
        <w:lastRenderedPageBreak/>
        <w:t xml:space="preserve">The doctrine of </w:t>
      </w:r>
      <w:r>
        <w:rPr>
          <w:i/>
        </w:rPr>
        <w:t xml:space="preserve">res judicata </w:t>
      </w:r>
      <w:r>
        <w:t xml:space="preserve">will bar any future action on the same cause of action between the parties and their privies when a final judgment on the merits by a court of competent jurisdiction has occurred.  </w:t>
      </w:r>
      <w:r>
        <w:rPr>
          <w:i/>
        </w:rPr>
        <w:t>Hopewell Estates, Inc. v. Kent,</w:t>
      </w:r>
      <w:r>
        <w:t xml:space="preserve"> 646 A.2d 1192, 1194 (Pa.Super. 1994) citing, </w:t>
      </w:r>
      <w:r>
        <w:rPr>
          <w:i/>
        </w:rPr>
        <w:t>McArdle v. Tronetti,</w:t>
      </w:r>
      <w:r>
        <w:t xml:space="preserve"> 627 A.2d 1219, 1222 (Pa.Super. 1993).</w:t>
      </w:r>
    </w:p>
    <w:p w:rsidR="000A20DF" w:rsidRDefault="000A20DF" w:rsidP="000A20DF">
      <w:pPr>
        <w:spacing w:line="360" w:lineRule="auto"/>
        <w:ind w:left="1080"/>
      </w:pPr>
    </w:p>
    <w:p w:rsidR="0002029E" w:rsidRDefault="0002029E" w:rsidP="000A20DF">
      <w:pPr>
        <w:pStyle w:val="ListParagraph"/>
        <w:numPr>
          <w:ilvl w:val="0"/>
          <w:numId w:val="46"/>
        </w:numPr>
        <w:tabs>
          <w:tab w:val="clear" w:pos="900"/>
          <w:tab w:val="num" w:pos="2160"/>
        </w:tabs>
        <w:spacing w:line="360" w:lineRule="auto"/>
        <w:ind w:left="90" w:firstLine="1350"/>
      </w:pPr>
      <w:r>
        <w:t xml:space="preserve">For the doctrine of res judicata to prevail, the following four conditions must be met: the identity of: (1) issues; (2) causes of action; (3) persons and parties of action; and (4) quality and capacity of the parties suing or being sued are the same.  </w:t>
      </w:r>
      <w:r w:rsidRPr="000A20DF">
        <w:rPr>
          <w:i/>
        </w:rPr>
        <w:t xml:space="preserve">Day v. Volkswagenwerk Aktienqesellschaft, </w:t>
      </w:r>
      <w:r>
        <w:t>474</w:t>
      </w:r>
      <w:r w:rsidR="006308C3">
        <w:t xml:space="preserve"> A.2d 1313, 1316-17 (Pa.Super</w:t>
      </w:r>
      <w:r w:rsidR="0065784E">
        <w:t>.</w:t>
      </w:r>
      <w:r>
        <w:t xml:space="preserve"> 1983).</w:t>
      </w:r>
    </w:p>
    <w:p w:rsidR="0002029E" w:rsidRDefault="0002029E" w:rsidP="0002029E">
      <w:pPr>
        <w:pStyle w:val="ListParagraph"/>
      </w:pPr>
    </w:p>
    <w:p w:rsidR="000A20DF" w:rsidRDefault="000A20DF" w:rsidP="000A20DF">
      <w:pPr>
        <w:numPr>
          <w:ilvl w:val="0"/>
          <w:numId w:val="46"/>
        </w:numPr>
        <w:spacing w:line="360" w:lineRule="auto"/>
        <w:ind w:left="0" w:firstLine="1440"/>
      </w:pPr>
      <w:r>
        <w:rPr>
          <w:i/>
        </w:rPr>
        <w:t>Buoncristiano v. Philadelphia Gas Works,</w:t>
      </w:r>
      <w:r>
        <w:t xml:space="preserve"> Docket No. F-01061153 (Opinion and Ord</w:t>
      </w:r>
      <w:r>
        <w:t xml:space="preserve">er entered November 5, 2004) was a </w:t>
      </w:r>
      <w:r w:rsidR="005D32D1">
        <w:t>final</w:t>
      </w:r>
      <w:r>
        <w:t xml:space="preserve"> judgment by the Commission on the merits.  </w:t>
      </w:r>
    </w:p>
    <w:p w:rsidR="000A20DF" w:rsidRDefault="000A20DF" w:rsidP="000A20DF">
      <w:pPr>
        <w:spacing w:line="360" w:lineRule="auto"/>
        <w:ind w:left="1440"/>
      </w:pPr>
    </w:p>
    <w:p w:rsidR="0002029E" w:rsidRDefault="0002029E" w:rsidP="000A20DF">
      <w:pPr>
        <w:numPr>
          <w:ilvl w:val="0"/>
          <w:numId w:val="46"/>
        </w:numPr>
        <w:spacing w:line="360" w:lineRule="auto"/>
        <w:ind w:left="0" w:firstLine="1440"/>
      </w:pPr>
      <w:r w:rsidRPr="0002029E">
        <w:t xml:space="preserve">Whenever the </w:t>
      </w:r>
      <w:r>
        <w:t>C</w:t>
      </w:r>
      <w:r w:rsidRPr="0002029E">
        <w:t>ommission shall make any rule, regulation, finding, determination or order, the same shall be prima facie evidence of the facts found and shall remain conclusive upon all parties affected thereby, unless set aside, annulled or modified on judicial review.</w:t>
      </w:r>
      <w:r>
        <w:t xml:space="preserve">  66 Pa.C.S. § 316.</w:t>
      </w:r>
    </w:p>
    <w:p w:rsidR="0002029E" w:rsidRDefault="0002029E" w:rsidP="0002029E">
      <w:pPr>
        <w:pStyle w:val="ListParagraph"/>
      </w:pPr>
    </w:p>
    <w:p w:rsidR="0002029E" w:rsidRDefault="0002029E" w:rsidP="000A20DF">
      <w:pPr>
        <w:numPr>
          <w:ilvl w:val="0"/>
          <w:numId w:val="46"/>
        </w:numPr>
        <w:spacing w:line="360" w:lineRule="auto"/>
        <w:ind w:left="0" w:firstLine="1440"/>
      </w:pPr>
      <w:r>
        <w:t xml:space="preserve">The Commission failed to rescind </w:t>
      </w:r>
      <w:r w:rsidRPr="00A64564">
        <w:rPr>
          <w:i/>
        </w:rPr>
        <w:t>Buoncristiano v. Philadelphia Gas Works,</w:t>
      </w:r>
      <w:r>
        <w:t xml:space="preserve"> Docket No. F-01061153 (</w:t>
      </w:r>
      <w:r w:rsidR="000A20DF">
        <w:t xml:space="preserve">Opinion and Order </w:t>
      </w:r>
      <w:r>
        <w:t xml:space="preserve">entered November 5, 2004) when petitioned to do so; therefore, </w:t>
      </w:r>
      <w:r w:rsidR="002B7BED">
        <w:t>the decision at Docket No. F-01061153 is conclusive for all parties affected.</w:t>
      </w:r>
      <w:r w:rsidR="001B115C">
        <w:t xml:space="preserve">  66 Pa.C.S. § 316.</w:t>
      </w:r>
    </w:p>
    <w:p w:rsidR="00A64564" w:rsidRDefault="00A64564" w:rsidP="00A64564">
      <w:pPr>
        <w:pStyle w:val="ListParagraph"/>
      </w:pPr>
    </w:p>
    <w:p w:rsidR="000A20DF" w:rsidRDefault="000A20DF" w:rsidP="000A20DF">
      <w:pPr>
        <w:numPr>
          <w:ilvl w:val="0"/>
          <w:numId w:val="46"/>
        </w:numPr>
        <w:spacing w:line="360" w:lineRule="auto"/>
        <w:ind w:left="0" w:firstLine="1440"/>
      </w:pPr>
      <w:r>
        <w:t>The Complainant, Albert Buoncristiano, presented the same claims that were presented in</w:t>
      </w:r>
      <w:r w:rsidRPr="00A64564">
        <w:rPr>
          <w:i/>
        </w:rPr>
        <w:t xml:space="preserve"> Buoncristiano v. Philadelphia Gas Works,</w:t>
      </w:r>
      <w:r>
        <w:t xml:space="preserve"> Docket No. F-01061153 (Opinion and Order entered November 5, 2004) in the instant proceeding.  In comparing the instant formal complaint to that at Docket F-01061153, the doctrine of </w:t>
      </w:r>
      <w:r>
        <w:rPr>
          <w:i/>
        </w:rPr>
        <w:t xml:space="preserve">res judicata </w:t>
      </w:r>
      <w:r>
        <w:t xml:space="preserve">prevails as resolution to this formal Complaint.  </w:t>
      </w:r>
      <w:r>
        <w:rPr>
          <w:i/>
        </w:rPr>
        <w:t xml:space="preserve">Day v. Volkswagenwerk Aktienqesellschaft, </w:t>
      </w:r>
      <w:r>
        <w:t>474 A.2d 1313, 1316-17 (Pa.Super. 1983).</w:t>
      </w:r>
    </w:p>
    <w:p w:rsidR="000A20DF" w:rsidRDefault="000A20DF">
      <w:r>
        <w:br w:type="page"/>
      </w:r>
    </w:p>
    <w:p w:rsidR="00CD6D25" w:rsidRDefault="00CD6D25" w:rsidP="00452DF9">
      <w:pPr>
        <w:pStyle w:val="FootnoteText"/>
        <w:spacing w:line="360" w:lineRule="auto"/>
        <w:jc w:val="center"/>
        <w:rPr>
          <w:sz w:val="24"/>
          <w:szCs w:val="24"/>
          <w:u w:val="single"/>
        </w:rPr>
      </w:pPr>
      <w:r>
        <w:rPr>
          <w:sz w:val="24"/>
          <w:szCs w:val="24"/>
          <w:u w:val="single"/>
        </w:rPr>
        <w:lastRenderedPageBreak/>
        <w:t>ORDER</w:t>
      </w:r>
    </w:p>
    <w:p w:rsidR="00CD6D25" w:rsidRDefault="00CD6D25" w:rsidP="00452DF9">
      <w:pPr>
        <w:spacing w:line="360" w:lineRule="auto"/>
        <w:jc w:val="center"/>
        <w:outlineLvl w:val="0"/>
        <w:rPr>
          <w:u w:val="single"/>
        </w:rPr>
      </w:pPr>
      <w:bookmarkStart w:id="1" w:name="_GoBack"/>
      <w:bookmarkEnd w:id="1"/>
    </w:p>
    <w:p w:rsidR="0014393C" w:rsidRDefault="0014393C" w:rsidP="00452DF9">
      <w:pPr>
        <w:spacing w:line="360" w:lineRule="auto"/>
        <w:jc w:val="center"/>
        <w:outlineLvl w:val="0"/>
        <w:rPr>
          <w:u w:val="single"/>
        </w:rPr>
      </w:pPr>
    </w:p>
    <w:p w:rsidR="00CD6D25" w:rsidRDefault="00CD6D25" w:rsidP="00452DF9">
      <w:pPr>
        <w:tabs>
          <w:tab w:val="num" w:pos="2160"/>
        </w:tabs>
        <w:spacing w:line="360" w:lineRule="auto"/>
        <w:ind w:firstLine="1440"/>
      </w:pPr>
      <w:r>
        <w:t>THEREFORE,</w:t>
      </w:r>
    </w:p>
    <w:p w:rsidR="00CD6D25" w:rsidRDefault="00CD6D25" w:rsidP="00452DF9">
      <w:pPr>
        <w:tabs>
          <w:tab w:val="num" w:pos="2160"/>
        </w:tabs>
        <w:spacing w:line="360" w:lineRule="auto"/>
      </w:pPr>
    </w:p>
    <w:p w:rsidR="00CD6D25" w:rsidRDefault="00CD6D25" w:rsidP="00452DF9">
      <w:pPr>
        <w:tabs>
          <w:tab w:val="num" w:pos="2160"/>
        </w:tabs>
        <w:spacing w:line="360" w:lineRule="auto"/>
        <w:ind w:firstLine="1440"/>
        <w:outlineLvl w:val="0"/>
      </w:pPr>
      <w:r>
        <w:t>IT IS ORDERED:</w:t>
      </w:r>
    </w:p>
    <w:p w:rsidR="00CD6D25" w:rsidRDefault="00CD6D25" w:rsidP="00452DF9">
      <w:pPr>
        <w:tabs>
          <w:tab w:val="num" w:pos="2160"/>
        </w:tabs>
        <w:spacing w:line="360" w:lineRule="auto"/>
        <w:ind w:firstLine="1440"/>
        <w:outlineLvl w:val="0"/>
      </w:pPr>
    </w:p>
    <w:p w:rsidR="003920E6" w:rsidRDefault="00CD6D25" w:rsidP="00452DF9">
      <w:pPr>
        <w:pStyle w:val="ListParagraph"/>
        <w:numPr>
          <w:ilvl w:val="0"/>
          <w:numId w:val="28"/>
        </w:numPr>
        <w:spacing w:line="360" w:lineRule="auto"/>
        <w:ind w:left="0" w:firstLine="1440"/>
        <w:contextualSpacing w:val="0"/>
        <w:outlineLvl w:val="0"/>
      </w:pPr>
      <w:r>
        <w:t xml:space="preserve">That the formal Complaint filed by </w:t>
      </w:r>
      <w:r w:rsidR="002B7BED">
        <w:t xml:space="preserve">Albert Buoncristiano </w:t>
      </w:r>
      <w:r>
        <w:t>against P</w:t>
      </w:r>
      <w:r w:rsidR="002B7BED">
        <w:t>hiladelphia Gas Works</w:t>
      </w:r>
      <w:r w:rsidR="0044617C">
        <w:t xml:space="preserve"> </w:t>
      </w:r>
      <w:r>
        <w:t xml:space="preserve">at Docket No. </w:t>
      </w:r>
      <w:r w:rsidR="002B7BED">
        <w:t>C</w:t>
      </w:r>
      <w:r>
        <w:t>-201</w:t>
      </w:r>
      <w:r w:rsidR="0044617C">
        <w:t>5</w:t>
      </w:r>
      <w:r>
        <w:t>-24</w:t>
      </w:r>
      <w:r w:rsidR="002B7BED">
        <w:t>66</w:t>
      </w:r>
      <w:r w:rsidR="0044617C">
        <w:t>8</w:t>
      </w:r>
      <w:r w:rsidR="002B7BED">
        <w:t>53</w:t>
      </w:r>
      <w:r>
        <w:t xml:space="preserve"> is</w:t>
      </w:r>
      <w:r w:rsidR="00A330C3">
        <w:t xml:space="preserve"> dismissed</w:t>
      </w:r>
      <w:r>
        <w:t>.</w:t>
      </w:r>
    </w:p>
    <w:p w:rsidR="00F172E7" w:rsidRDefault="00F172E7" w:rsidP="00F172E7">
      <w:pPr>
        <w:spacing w:line="360" w:lineRule="auto"/>
        <w:ind w:left="1440"/>
        <w:outlineLvl w:val="0"/>
      </w:pPr>
    </w:p>
    <w:p w:rsidR="00F172E7" w:rsidRDefault="00F172E7" w:rsidP="00452DF9">
      <w:pPr>
        <w:pStyle w:val="ListParagraph"/>
        <w:numPr>
          <w:ilvl w:val="0"/>
          <w:numId w:val="28"/>
        </w:numPr>
        <w:spacing w:line="360" w:lineRule="auto"/>
        <w:ind w:left="0" w:firstLine="1440"/>
        <w:contextualSpacing w:val="0"/>
        <w:outlineLvl w:val="0"/>
      </w:pPr>
      <w:r>
        <w:t>That the amount owed for gas s</w:t>
      </w:r>
      <w:r w:rsidR="001B115C">
        <w:t>ervice, which was discontinued o</w:t>
      </w:r>
      <w:r>
        <w:t xml:space="preserve">n </w:t>
      </w:r>
      <w:r w:rsidR="001B115C">
        <w:t xml:space="preserve">July 1, </w:t>
      </w:r>
      <w:r>
        <w:t xml:space="preserve">2003 at 3180 Grant Avenue, Philadelphia, Pennsylvania 19114 is $33,072.00. </w:t>
      </w:r>
    </w:p>
    <w:p w:rsidR="00CD6D25" w:rsidRDefault="00CD6D25" w:rsidP="00452DF9">
      <w:pPr>
        <w:pStyle w:val="ListParagraph"/>
        <w:numPr>
          <w:ilvl w:val="0"/>
          <w:numId w:val="28"/>
        </w:numPr>
        <w:spacing w:line="360" w:lineRule="auto"/>
        <w:ind w:left="0" w:firstLine="1440"/>
        <w:contextualSpacing w:val="0"/>
        <w:outlineLvl w:val="0"/>
      </w:pPr>
      <w:r>
        <w:t>That the Secretary mark this docket closed.</w:t>
      </w:r>
    </w:p>
    <w:p w:rsidR="00CD6D25" w:rsidRDefault="00CD6D25" w:rsidP="00452DF9">
      <w:pPr>
        <w:spacing w:line="360" w:lineRule="auto"/>
      </w:pPr>
    </w:p>
    <w:p w:rsidR="00CD6D25" w:rsidRDefault="00CD6D25" w:rsidP="00452DF9">
      <w:pPr>
        <w:tabs>
          <w:tab w:val="num" w:pos="2160"/>
          <w:tab w:val="left" w:pos="5048"/>
        </w:tabs>
        <w:spacing w:line="360" w:lineRule="auto"/>
      </w:pPr>
    </w:p>
    <w:p w:rsidR="00CD6D25" w:rsidRDefault="00CD6D25" w:rsidP="00452DF9">
      <w:pPr>
        <w:tabs>
          <w:tab w:val="num" w:pos="2160"/>
          <w:tab w:val="left" w:pos="5048"/>
        </w:tabs>
        <w:rPr>
          <w:u w:val="single"/>
        </w:rPr>
      </w:pPr>
      <w:r>
        <w:t>Date:</w:t>
      </w:r>
      <w:r w:rsidR="0044617C">
        <w:t xml:space="preserve"> </w:t>
      </w:r>
      <w:r w:rsidR="002B7BED">
        <w:rPr>
          <w:u w:val="single"/>
        </w:rPr>
        <w:t>March</w:t>
      </w:r>
      <w:r w:rsidR="002F1F6D">
        <w:rPr>
          <w:u w:val="single"/>
        </w:rPr>
        <w:t xml:space="preserve"> </w:t>
      </w:r>
      <w:r w:rsidR="002B7BED">
        <w:rPr>
          <w:u w:val="single"/>
        </w:rPr>
        <w:t>9</w:t>
      </w:r>
      <w:r>
        <w:rPr>
          <w:u w:val="single"/>
        </w:rPr>
        <w:t>, 201</w:t>
      </w:r>
      <w:r w:rsidR="0044617C">
        <w:rPr>
          <w:u w:val="single"/>
        </w:rPr>
        <w:t>6</w:t>
      </w:r>
      <w:r>
        <w:t xml:space="preserve"> </w:t>
      </w:r>
      <w:r>
        <w:tab/>
      </w:r>
      <w:r w:rsidR="002B7BED">
        <w:tab/>
      </w:r>
      <w:r>
        <w:rPr>
          <w:u w:val="single"/>
        </w:rPr>
        <w:tab/>
        <w:t>/s/</w:t>
      </w:r>
      <w:r>
        <w:rPr>
          <w:u w:val="single"/>
        </w:rPr>
        <w:tab/>
      </w:r>
      <w:r>
        <w:rPr>
          <w:u w:val="single"/>
        </w:rPr>
        <w:tab/>
      </w:r>
      <w:r>
        <w:rPr>
          <w:u w:val="single"/>
        </w:rPr>
        <w:tab/>
      </w:r>
      <w:r>
        <w:rPr>
          <w:u w:val="single"/>
        </w:rPr>
        <w:tab/>
      </w:r>
      <w:r>
        <w:rPr>
          <w:u w:val="single"/>
        </w:rPr>
        <w:tab/>
      </w:r>
    </w:p>
    <w:p w:rsidR="00CD6D25" w:rsidRDefault="00CD6D25" w:rsidP="00452DF9">
      <w:pPr>
        <w:tabs>
          <w:tab w:val="num" w:pos="2160"/>
          <w:tab w:val="left" w:pos="5048"/>
        </w:tabs>
      </w:pPr>
      <w:r>
        <w:tab/>
      </w:r>
      <w:r>
        <w:tab/>
        <w:t xml:space="preserve">Angela T. Jones </w:t>
      </w:r>
    </w:p>
    <w:p w:rsidR="00CD6D25" w:rsidRPr="00643BFD" w:rsidRDefault="00CD6D25" w:rsidP="00452DF9">
      <w:pPr>
        <w:tabs>
          <w:tab w:val="num" w:pos="2160"/>
          <w:tab w:val="left" w:pos="5048"/>
        </w:tabs>
      </w:pPr>
      <w:r>
        <w:tab/>
      </w:r>
      <w:r>
        <w:tab/>
        <w:t>Administrative Law Judge</w:t>
      </w:r>
    </w:p>
    <w:sectPr w:rsidR="00CD6D25" w:rsidRPr="00643BFD" w:rsidSect="0014393C">
      <w:footerReference w:type="even" r:id="rId9"/>
      <w:footerReference w:type="default" r:id="rId10"/>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A04" w:rsidRDefault="00BC2A04">
      <w:r>
        <w:separator/>
      </w:r>
    </w:p>
  </w:endnote>
  <w:endnote w:type="continuationSeparator" w:id="0">
    <w:p w:rsidR="00BC2A04" w:rsidRDefault="00B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Default="00726E71"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E71" w:rsidRDefault="00726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01688469"/>
      <w:docPartObj>
        <w:docPartGallery w:val="Page Numbers (Bottom of Page)"/>
        <w:docPartUnique/>
      </w:docPartObj>
    </w:sdtPr>
    <w:sdtEndPr>
      <w:rPr>
        <w:noProof/>
      </w:rPr>
    </w:sdtEndPr>
    <w:sdtContent>
      <w:p w:rsidR="0014393C" w:rsidRPr="0014393C" w:rsidRDefault="0014393C">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834B57">
          <w:rPr>
            <w:noProof/>
            <w:sz w:val="20"/>
            <w:szCs w:val="20"/>
          </w:rPr>
          <w:t>11</w:t>
        </w:r>
        <w:r w:rsidRPr="0014393C">
          <w:rPr>
            <w:noProof/>
            <w:sz w:val="20"/>
            <w:szCs w:val="20"/>
          </w:rPr>
          <w:fldChar w:fldCharType="end"/>
        </w:r>
      </w:p>
    </w:sdtContent>
  </w:sdt>
  <w:p w:rsidR="00726E71" w:rsidRPr="0014393C" w:rsidRDefault="00726E71" w:rsidP="0014393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A04" w:rsidRDefault="00BC2A04">
      <w:r>
        <w:separator/>
      </w:r>
    </w:p>
  </w:footnote>
  <w:footnote w:type="continuationSeparator" w:id="0">
    <w:p w:rsidR="00BC2A04" w:rsidRDefault="00BC2A04">
      <w:r>
        <w:continuationSeparator/>
      </w:r>
    </w:p>
  </w:footnote>
  <w:footnote w:id="1">
    <w:p w:rsidR="008A25A4" w:rsidRDefault="008A25A4">
      <w:pPr>
        <w:pStyle w:val="FootnoteText"/>
      </w:pPr>
      <w:r>
        <w:rPr>
          <w:rStyle w:val="FootnoteReference"/>
        </w:rPr>
        <w:footnoteRef/>
      </w:r>
      <w:r>
        <w:t xml:space="preserve"> </w:t>
      </w:r>
      <w:r>
        <w:tab/>
        <w:t>66 Pa.C.S. § 3314</w:t>
      </w:r>
      <w:r w:rsidR="00731437">
        <w:t>(a)</w:t>
      </w:r>
      <w:r>
        <w:t xml:space="preserve"> states,</w:t>
      </w:r>
    </w:p>
    <w:p w:rsidR="008A25A4" w:rsidRDefault="00731437" w:rsidP="00731437">
      <w:pPr>
        <w:pStyle w:val="FootnoteText"/>
        <w:numPr>
          <w:ilvl w:val="0"/>
          <w:numId w:val="39"/>
        </w:numPr>
        <w:ind w:left="1800" w:right="1440"/>
      </w:pPr>
      <w:r>
        <w:t xml:space="preserve">General rule.—No action for recovery of any penalties or forfeitures incurred under the provision of this part, and no prosecutions on account of any matter or thing mention in this part, shall be maintained unless brought within three years from the date at which the liability therefore arose, except as otherwise provided in this part. </w:t>
      </w:r>
    </w:p>
  </w:footnote>
  <w:footnote w:id="2">
    <w:p w:rsidR="0039567A" w:rsidRDefault="00463650">
      <w:pPr>
        <w:pStyle w:val="FootnoteText"/>
      </w:pPr>
      <w:r>
        <w:rPr>
          <w:rStyle w:val="FootnoteReference"/>
        </w:rPr>
        <w:footnoteRef/>
      </w:r>
      <w:r>
        <w:t xml:space="preserve"> </w:t>
      </w:r>
      <w:r>
        <w:tab/>
      </w:r>
      <w:r w:rsidR="0039567A">
        <w:t>52 Pa.Code § 1.24(b) states,</w:t>
      </w:r>
    </w:p>
    <w:p w:rsidR="00537513" w:rsidRPr="00537513" w:rsidRDefault="00537513" w:rsidP="00537513">
      <w:pPr>
        <w:pStyle w:val="FootnoteText"/>
        <w:ind w:left="1440" w:right="1440"/>
      </w:pPr>
      <w:bookmarkStart w:id="0" w:name="1.24."/>
      <w:r w:rsidRPr="00537513">
        <w:t> (b)  </w:t>
      </w:r>
      <w:r w:rsidRPr="00537513">
        <w:rPr>
          <w:i/>
          <w:iCs/>
        </w:rPr>
        <w:t>Attorneys</w:t>
      </w:r>
      <w:r w:rsidRPr="00537513">
        <w:t xml:space="preserve">. </w:t>
      </w:r>
    </w:p>
    <w:p w:rsidR="00537513" w:rsidRPr="00537513" w:rsidRDefault="00537513" w:rsidP="00537513">
      <w:pPr>
        <w:pStyle w:val="FootnoteText"/>
        <w:ind w:left="1440" w:right="1440"/>
      </w:pPr>
      <w:r w:rsidRPr="00537513">
        <w:t>   (1)  </w:t>
      </w:r>
      <w:r w:rsidRPr="00537513">
        <w:rPr>
          <w:i/>
          <w:iCs/>
        </w:rPr>
        <w:t>Appearance by initial pleading</w:t>
      </w:r>
      <w:r w:rsidRPr="00537513">
        <w:t xml:space="preserve">. An attorney who signs an initial pleading in a representative capacity shall be considered to have entered an appearance in that proceeding. </w:t>
      </w:r>
    </w:p>
    <w:p w:rsidR="00463650" w:rsidRDefault="00537513" w:rsidP="00845D08">
      <w:pPr>
        <w:pStyle w:val="FootnoteText"/>
        <w:ind w:left="1440" w:right="1440"/>
      </w:pPr>
      <w:r w:rsidRPr="00537513">
        <w:t>   (2)  </w:t>
      </w:r>
      <w:r w:rsidRPr="00537513">
        <w:rPr>
          <w:i/>
          <w:iCs/>
        </w:rPr>
        <w:t>Appearance in all other instances</w:t>
      </w:r>
      <w:r w:rsidRPr="00537513">
        <w:t xml:space="preserve">. An attorney shall file with the Secretary a written notice of appearance. </w:t>
      </w:r>
      <w:bookmarkEnd w:id="0"/>
    </w:p>
  </w:footnote>
  <w:footnote w:id="3">
    <w:p w:rsidR="001941BB" w:rsidRDefault="001941BB">
      <w:pPr>
        <w:pStyle w:val="FootnoteText"/>
      </w:pPr>
      <w:r>
        <w:rPr>
          <w:rStyle w:val="FootnoteReference"/>
        </w:rPr>
        <w:footnoteRef/>
      </w:r>
      <w:r>
        <w:t xml:space="preserve"> </w:t>
      </w:r>
      <w:r>
        <w:tab/>
        <w:t>The original Order</w:t>
      </w:r>
      <w:r w:rsidR="0025000C">
        <w:t xml:space="preserve"> #4</w:t>
      </w:r>
      <w:r>
        <w:t xml:space="preserve"> was dated </w:t>
      </w:r>
      <w:r w:rsidRPr="001941BB">
        <w:t>February 4</w:t>
      </w:r>
      <w:r>
        <w:t>, 2016.  The original Order had a typo in the docket</w:t>
      </w:r>
      <w:r w:rsidR="00845D08">
        <w:t xml:space="preserve"> number</w:t>
      </w:r>
      <w:r>
        <w:t xml:space="preserve"> of Complaint I which was corrected by the corrected Order.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01E"/>
    <w:multiLevelType w:val="hybridMultilevel"/>
    <w:tmpl w:val="B216AD16"/>
    <w:lvl w:ilvl="0" w:tplc="7CCAAF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B77AE"/>
    <w:multiLevelType w:val="hybridMultilevel"/>
    <w:tmpl w:val="DB3041B0"/>
    <w:lvl w:ilvl="0" w:tplc="2BAA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7E5736"/>
    <w:multiLevelType w:val="hybridMultilevel"/>
    <w:tmpl w:val="98349A28"/>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8C50C9D"/>
    <w:multiLevelType w:val="hybridMultilevel"/>
    <w:tmpl w:val="BCC2DEA0"/>
    <w:lvl w:ilvl="0" w:tplc="BAD652AA">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A90775E"/>
    <w:multiLevelType w:val="hybridMultilevel"/>
    <w:tmpl w:val="CA7691EA"/>
    <w:lvl w:ilvl="0" w:tplc="83B651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nsid w:val="10BD64BA"/>
    <w:multiLevelType w:val="hybridMultilevel"/>
    <w:tmpl w:val="56627930"/>
    <w:lvl w:ilvl="0" w:tplc="43B4C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346B1B"/>
    <w:multiLevelType w:val="hybridMultilevel"/>
    <w:tmpl w:val="86F4A13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6A0D4D"/>
    <w:multiLevelType w:val="hybridMultilevel"/>
    <w:tmpl w:val="3536BFCC"/>
    <w:lvl w:ilvl="0" w:tplc="65C4AB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26276FDD"/>
    <w:multiLevelType w:val="hybridMultilevel"/>
    <w:tmpl w:val="86887FDE"/>
    <w:lvl w:ilvl="0" w:tplc="0BDEC50A">
      <w:start w:val="1"/>
      <w:numFmt w:val="lowerLetter"/>
      <w:lvlText w:val="(%1)"/>
      <w:lvlJc w:val="left"/>
      <w:pPr>
        <w:ind w:left="3264" w:hanging="1104"/>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31053A5B"/>
    <w:multiLevelType w:val="hybridMultilevel"/>
    <w:tmpl w:val="D41CE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14C6971"/>
    <w:multiLevelType w:val="hybridMultilevel"/>
    <w:tmpl w:val="272C364A"/>
    <w:lvl w:ilvl="0" w:tplc="8956504E">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8">
    <w:nsid w:val="31BB0BF7"/>
    <w:multiLevelType w:val="hybridMultilevel"/>
    <w:tmpl w:val="60806C5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32E3C51"/>
    <w:multiLevelType w:val="hybridMultilevel"/>
    <w:tmpl w:val="76F88240"/>
    <w:lvl w:ilvl="0" w:tplc="724411C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111C82"/>
    <w:multiLevelType w:val="hybridMultilevel"/>
    <w:tmpl w:val="46DCE2CA"/>
    <w:lvl w:ilvl="0" w:tplc="3E3CFF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nsid w:val="479E4AFF"/>
    <w:multiLevelType w:val="hybridMultilevel"/>
    <w:tmpl w:val="36663B24"/>
    <w:lvl w:ilvl="0" w:tplc="292AB05C">
      <w:start w:val="2"/>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6">
    <w:nsid w:val="4B496230"/>
    <w:multiLevelType w:val="hybridMultilevel"/>
    <w:tmpl w:val="4ED6F038"/>
    <w:lvl w:ilvl="0" w:tplc="1A78F3A4">
      <w:start w:val="5"/>
      <w:numFmt w:val="decimal"/>
      <w:lvlText w:val="%1."/>
      <w:lvlJc w:val="left"/>
      <w:pPr>
        <w:tabs>
          <w:tab w:val="num" w:pos="900"/>
        </w:tabs>
        <w:ind w:left="90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CD6DFA"/>
    <w:multiLevelType w:val="hybridMultilevel"/>
    <w:tmpl w:val="99C222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60F533C"/>
    <w:multiLevelType w:val="hybridMultilevel"/>
    <w:tmpl w:val="9520611C"/>
    <w:lvl w:ilvl="0" w:tplc="A692E2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82A0279"/>
    <w:multiLevelType w:val="hybridMultilevel"/>
    <w:tmpl w:val="FFCCC0D6"/>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9001167"/>
    <w:multiLevelType w:val="hybridMultilevel"/>
    <w:tmpl w:val="5188303A"/>
    <w:lvl w:ilvl="0" w:tplc="6AD6FC8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5A9301B9"/>
    <w:multiLevelType w:val="hybridMultilevel"/>
    <w:tmpl w:val="34C84FBA"/>
    <w:lvl w:ilvl="0" w:tplc="0F708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AB51F3D"/>
    <w:multiLevelType w:val="hybridMultilevel"/>
    <w:tmpl w:val="9A2E405E"/>
    <w:lvl w:ilvl="0" w:tplc="224E5F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5B9C31AA"/>
    <w:multiLevelType w:val="hybridMultilevel"/>
    <w:tmpl w:val="F2B6D13A"/>
    <w:lvl w:ilvl="0" w:tplc="AB068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BB15143"/>
    <w:multiLevelType w:val="hybridMultilevel"/>
    <w:tmpl w:val="D856FC30"/>
    <w:lvl w:ilvl="0" w:tplc="D2D0F3A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DDF74F4"/>
    <w:multiLevelType w:val="hybridMultilevel"/>
    <w:tmpl w:val="E7F09380"/>
    <w:lvl w:ilvl="0" w:tplc="7D6E4A8A">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6">
    <w:nsid w:val="60F97AA3"/>
    <w:multiLevelType w:val="hybridMultilevel"/>
    <w:tmpl w:val="286867FA"/>
    <w:lvl w:ilvl="0" w:tplc="68A4F6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4380182"/>
    <w:multiLevelType w:val="hybridMultilevel"/>
    <w:tmpl w:val="1AE29044"/>
    <w:lvl w:ilvl="0" w:tplc="CEC4C37E">
      <w:start w:val="1"/>
      <w:numFmt w:val="decimal"/>
      <w:lvlText w:val="(%1)"/>
      <w:lvlJc w:val="left"/>
      <w:pPr>
        <w:ind w:left="1800" w:hanging="360"/>
      </w:pPr>
      <w:rPr>
        <w:rFonts w:hint="default"/>
      </w:rPr>
    </w:lvl>
    <w:lvl w:ilvl="1" w:tplc="E6A873E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65E3FF0"/>
    <w:multiLevelType w:val="hybridMultilevel"/>
    <w:tmpl w:val="FA0C5128"/>
    <w:lvl w:ilvl="0" w:tplc="0F440444">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771C3896"/>
    <w:multiLevelType w:val="hybridMultilevel"/>
    <w:tmpl w:val="03EE1F56"/>
    <w:lvl w:ilvl="0" w:tplc="7BD63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FE15AC"/>
    <w:multiLevelType w:val="hybridMultilevel"/>
    <w:tmpl w:val="1F2E8CB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D3D6795"/>
    <w:multiLevelType w:val="hybridMultilevel"/>
    <w:tmpl w:val="D46EFD1C"/>
    <w:lvl w:ilvl="0" w:tplc="C63803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15"/>
  </w:num>
  <w:num w:numId="3">
    <w:abstractNumId w:val="10"/>
  </w:num>
  <w:num w:numId="4">
    <w:abstractNumId w:val="9"/>
  </w:num>
  <w:num w:numId="5">
    <w:abstractNumId w:val="11"/>
  </w:num>
  <w:num w:numId="6">
    <w:abstractNumId w:val="38"/>
  </w:num>
  <w:num w:numId="7">
    <w:abstractNumId w:val="37"/>
  </w:num>
  <w:num w:numId="8">
    <w:abstractNumId w:val="3"/>
  </w:num>
  <w:num w:numId="9">
    <w:abstractNumId w:val="24"/>
  </w:num>
  <w:num w:numId="10">
    <w:abstractNumId w:val="23"/>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18"/>
  </w:num>
  <w:num w:numId="16">
    <w:abstractNumId w:val="42"/>
  </w:num>
  <w:num w:numId="17">
    <w:abstractNumId w:val="4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
  </w:num>
  <w:num w:numId="21">
    <w:abstractNumId w:val="33"/>
  </w:num>
  <w:num w:numId="22">
    <w:abstractNumId w:val="31"/>
  </w:num>
  <w:num w:numId="23">
    <w:abstractNumId w:val="34"/>
  </w:num>
  <w:num w:numId="24">
    <w:abstractNumId w:val="19"/>
  </w:num>
  <w:num w:numId="25">
    <w:abstractNumId w:val="25"/>
  </w:num>
  <w:num w:numId="26">
    <w:abstractNumId w:val="17"/>
  </w:num>
  <w:num w:numId="27">
    <w:abstractNumId w:val="35"/>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9"/>
  </w:num>
  <w:num w:numId="34">
    <w:abstractNumId w:val="20"/>
  </w:num>
  <w:num w:numId="35">
    <w:abstractNumId w:val="0"/>
  </w:num>
  <w:num w:numId="36">
    <w:abstractNumId w:val="27"/>
  </w:num>
  <w:num w:numId="37">
    <w:abstractNumId w:val="14"/>
  </w:num>
  <w:num w:numId="38">
    <w:abstractNumId w:val="30"/>
  </w:num>
  <w:num w:numId="39">
    <w:abstractNumId w:val="41"/>
  </w:num>
  <w:num w:numId="40">
    <w:abstractNumId w:val="28"/>
  </w:num>
  <w:num w:numId="41">
    <w:abstractNumId w:val="43"/>
  </w:num>
  <w:num w:numId="42">
    <w:abstractNumId w:val="36"/>
  </w:num>
  <w:num w:numId="43">
    <w:abstractNumId w:val="5"/>
  </w:num>
  <w:num w:numId="44">
    <w:abstractNumId w:val="12"/>
  </w:num>
  <w:num w:numId="45">
    <w:abstractNumId w:val="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360D"/>
    <w:rsid w:val="00006BC2"/>
    <w:rsid w:val="00007520"/>
    <w:rsid w:val="000075FC"/>
    <w:rsid w:val="00007AD3"/>
    <w:rsid w:val="00010964"/>
    <w:rsid w:val="00010F3B"/>
    <w:rsid w:val="0001209D"/>
    <w:rsid w:val="00012624"/>
    <w:rsid w:val="00012AA7"/>
    <w:rsid w:val="00012F0F"/>
    <w:rsid w:val="000130CF"/>
    <w:rsid w:val="00013262"/>
    <w:rsid w:val="0001330B"/>
    <w:rsid w:val="0001395D"/>
    <w:rsid w:val="00013B00"/>
    <w:rsid w:val="00014B9B"/>
    <w:rsid w:val="00015637"/>
    <w:rsid w:val="00015FC5"/>
    <w:rsid w:val="0002029E"/>
    <w:rsid w:val="000205EF"/>
    <w:rsid w:val="00020DD2"/>
    <w:rsid w:val="00021C47"/>
    <w:rsid w:val="00021E05"/>
    <w:rsid w:val="00021F05"/>
    <w:rsid w:val="000303CB"/>
    <w:rsid w:val="000315D8"/>
    <w:rsid w:val="00031968"/>
    <w:rsid w:val="000320EA"/>
    <w:rsid w:val="00034D35"/>
    <w:rsid w:val="000353FC"/>
    <w:rsid w:val="000359CF"/>
    <w:rsid w:val="0003615A"/>
    <w:rsid w:val="00037AB9"/>
    <w:rsid w:val="00037FC7"/>
    <w:rsid w:val="00040B16"/>
    <w:rsid w:val="0004187E"/>
    <w:rsid w:val="00042212"/>
    <w:rsid w:val="00042CBF"/>
    <w:rsid w:val="000431CB"/>
    <w:rsid w:val="00044226"/>
    <w:rsid w:val="000446DB"/>
    <w:rsid w:val="00046434"/>
    <w:rsid w:val="0004698F"/>
    <w:rsid w:val="00046F49"/>
    <w:rsid w:val="000479B4"/>
    <w:rsid w:val="00047DE8"/>
    <w:rsid w:val="00050656"/>
    <w:rsid w:val="00052875"/>
    <w:rsid w:val="00052AF9"/>
    <w:rsid w:val="0005373A"/>
    <w:rsid w:val="00053792"/>
    <w:rsid w:val="0005431F"/>
    <w:rsid w:val="0005540A"/>
    <w:rsid w:val="0005568B"/>
    <w:rsid w:val="00061103"/>
    <w:rsid w:val="000616D1"/>
    <w:rsid w:val="00061CCC"/>
    <w:rsid w:val="0007053A"/>
    <w:rsid w:val="0007460B"/>
    <w:rsid w:val="00074BA6"/>
    <w:rsid w:val="0007524A"/>
    <w:rsid w:val="000757AD"/>
    <w:rsid w:val="00076C46"/>
    <w:rsid w:val="00077E32"/>
    <w:rsid w:val="000831AA"/>
    <w:rsid w:val="00085155"/>
    <w:rsid w:val="00085C0D"/>
    <w:rsid w:val="000868D6"/>
    <w:rsid w:val="00087009"/>
    <w:rsid w:val="00087BDA"/>
    <w:rsid w:val="000901CB"/>
    <w:rsid w:val="00091896"/>
    <w:rsid w:val="000928E5"/>
    <w:rsid w:val="000932CA"/>
    <w:rsid w:val="000936AA"/>
    <w:rsid w:val="00093CF1"/>
    <w:rsid w:val="00094A2B"/>
    <w:rsid w:val="000962F2"/>
    <w:rsid w:val="000A055A"/>
    <w:rsid w:val="000A07BD"/>
    <w:rsid w:val="000A1769"/>
    <w:rsid w:val="000A20DF"/>
    <w:rsid w:val="000A25EB"/>
    <w:rsid w:val="000A27C5"/>
    <w:rsid w:val="000A2D8C"/>
    <w:rsid w:val="000A5190"/>
    <w:rsid w:val="000A5360"/>
    <w:rsid w:val="000A741D"/>
    <w:rsid w:val="000A7657"/>
    <w:rsid w:val="000B0781"/>
    <w:rsid w:val="000B08F5"/>
    <w:rsid w:val="000B4662"/>
    <w:rsid w:val="000B4A44"/>
    <w:rsid w:val="000C0751"/>
    <w:rsid w:val="000C0E75"/>
    <w:rsid w:val="000C1740"/>
    <w:rsid w:val="000C1854"/>
    <w:rsid w:val="000C1970"/>
    <w:rsid w:val="000C46E1"/>
    <w:rsid w:val="000C6FB8"/>
    <w:rsid w:val="000D02BC"/>
    <w:rsid w:val="000D0B38"/>
    <w:rsid w:val="000D2F5A"/>
    <w:rsid w:val="000D40E0"/>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DD5"/>
    <w:rsid w:val="000F4EE1"/>
    <w:rsid w:val="000F546F"/>
    <w:rsid w:val="000F5A5F"/>
    <w:rsid w:val="000F5F2C"/>
    <w:rsid w:val="000F62EA"/>
    <w:rsid w:val="000F6954"/>
    <w:rsid w:val="001004D2"/>
    <w:rsid w:val="0010105F"/>
    <w:rsid w:val="001071E3"/>
    <w:rsid w:val="0010766A"/>
    <w:rsid w:val="00110DF3"/>
    <w:rsid w:val="0011139A"/>
    <w:rsid w:val="00111838"/>
    <w:rsid w:val="001129E3"/>
    <w:rsid w:val="00113B84"/>
    <w:rsid w:val="00114141"/>
    <w:rsid w:val="00116E34"/>
    <w:rsid w:val="0011780E"/>
    <w:rsid w:val="00117AB3"/>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D2"/>
    <w:rsid w:val="00136AF3"/>
    <w:rsid w:val="00136BC9"/>
    <w:rsid w:val="00136C9A"/>
    <w:rsid w:val="00137A58"/>
    <w:rsid w:val="00137DBE"/>
    <w:rsid w:val="00141571"/>
    <w:rsid w:val="00142279"/>
    <w:rsid w:val="00142920"/>
    <w:rsid w:val="00142C54"/>
    <w:rsid w:val="00143719"/>
    <w:rsid w:val="0014393C"/>
    <w:rsid w:val="00143DCC"/>
    <w:rsid w:val="00144856"/>
    <w:rsid w:val="0014491A"/>
    <w:rsid w:val="00144CF2"/>
    <w:rsid w:val="001460FA"/>
    <w:rsid w:val="00146443"/>
    <w:rsid w:val="00146F1F"/>
    <w:rsid w:val="00151911"/>
    <w:rsid w:val="00152ADD"/>
    <w:rsid w:val="0015332A"/>
    <w:rsid w:val="00153362"/>
    <w:rsid w:val="00154FD6"/>
    <w:rsid w:val="001554C0"/>
    <w:rsid w:val="00155C48"/>
    <w:rsid w:val="001576E9"/>
    <w:rsid w:val="0016192B"/>
    <w:rsid w:val="00162991"/>
    <w:rsid w:val="00163921"/>
    <w:rsid w:val="00164042"/>
    <w:rsid w:val="00164213"/>
    <w:rsid w:val="00166790"/>
    <w:rsid w:val="001671A3"/>
    <w:rsid w:val="001673BA"/>
    <w:rsid w:val="00167E26"/>
    <w:rsid w:val="00170954"/>
    <w:rsid w:val="00171814"/>
    <w:rsid w:val="001719B5"/>
    <w:rsid w:val="00171B15"/>
    <w:rsid w:val="00172031"/>
    <w:rsid w:val="00174838"/>
    <w:rsid w:val="00175E13"/>
    <w:rsid w:val="00177450"/>
    <w:rsid w:val="001825C3"/>
    <w:rsid w:val="00182AEC"/>
    <w:rsid w:val="00184760"/>
    <w:rsid w:val="00185A40"/>
    <w:rsid w:val="00185E17"/>
    <w:rsid w:val="00192956"/>
    <w:rsid w:val="001936E7"/>
    <w:rsid w:val="00193B60"/>
    <w:rsid w:val="00193C8F"/>
    <w:rsid w:val="001941BB"/>
    <w:rsid w:val="00195EBA"/>
    <w:rsid w:val="001973E5"/>
    <w:rsid w:val="001A039F"/>
    <w:rsid w:val="001A12C3"/>
    <w:rsid w:val="001A225A"/>
    <w:rsid w:val="001A3706"/>
    <w:rsid w:val="001A4C79"/>
    <w:rsid w:val="001A4DCA"/>
    <w:rsid w:val="001A7526"/>
    <w:rsid w:val="001A77D3"/>
    <w:rsid w:val="001B009E"/>
    <w:rsid w:val="001B0BEE"/>
    <w:rsid w:val="001B115C"/>
    <w:rsid w:val="001B39C2"/>
    <w:rsid w:val="001B4411"/>
    <w:rsid w:val="001B4989"/>
    <w:rsid w:val="001B65E5"/>
    <w:rsid w:val="001B6AFF"/>
    <w:rsid w:val="001B6F4A"/>
    <w:rsid w:val="001B7509"/>
    <w:rsid w:val="001C0959"/>
    <w:rsid w:val="001C2D99"/>
    <w:rsid w:val="001C45AF"/>
    <w:rsid w:val="001C591F"/>
    <w:rsid w:val="001C63D6"/>
    <w:rsid w:val="001C6995"/>
    <w:rsid w:val="001C73C9"/>
    <w:rsid w:val="001C7624"/>
    <w:rsid w:val="001C7868"/>
    <w:rsid w:val="001D057D"/>
    <w:rsid w:val="001D17E6"/>
    <w:rsid w:val="001D2EB6"/>
    <w:rsid w:val="001D2ED4"/>
    <w:rsid w:val="001D2F5E"/>
    <w:rsid w:val="001D40D2"/>
    <w:rsid w:val="001D43E1"/>
    <w:rsid w:val="001D63E0"/>
    <w:rsid w:val="001D66A1"/>
    <w:rsid w:val="001D6E1D"/>
    <w:rsid w:val="001D708E"/>
    <w:rsid w:val="001D7982"/>
    <w:rsid w:val="001E12A6"/>
    <w:rsid w:val="001E168D"/>
    <w:rsid w:val="001E3219"/>
    <w:rsid w:val="001E4DE9"/>
    <w:rsid w:val="001E4F80"/>
    <w:rsid w:val="001E5C7B"/>
    <w:rsid w:val="001E6082"/>
    <w:rsid w:val="001F2E47"/>
    <w:rsid w:val="001F38DD"/>
    <w:rsid w:val="001F56DA"/>
    <w:rsid w:val="001F5959"/>
    <w:rsid w:val="001F627F"/>
    <w:rsid w:val="001F6805"/>
    <w:rsid w:val="001F6BA3"/>
    <w:rsid w:val="001F7426"/>
    <w:rsid w:val="001F77FF"/>
    <w:rsid w:val="002040B2"/>
    <w:rsid w:val="0020452F"/>
    <w:rsid w:val="0020455D"/>
    <w:rsid w:val="002049CE"/>
    <w:rsid w:val="00204E2B"/>
    <w:rsid w:val="002068A5"/>
    <w:rsid w:val="00206E08"/>
    <w:rsid w:val="00206FF0"/>
    <w:rsid w:val="00207226"/>
    <w:rsid w:val="002078BB"/>
    <w:rsid w:val="0021072E"/>
    <w:rsid w:val="00210DF5"/>
    <w:rsid w:val="00211026"/>
    <w:rsid w:val="002118A9"/>
    <w:rsid w:val="002119BD"/>
    <w:rsid w:val="002124AF"/>
    <w:rsid w:val="00212782"/>
    <w:rsid w:val="00214AFE"/>
    <w:rsid w:val="00214D60"/>
    <w:rsid w:val="002150CA"/>
    <w:rsid w:val="002152B2"/>
    <w:rsid w:val="0021546F"/>
    <w:rsid w:val="00215D5A"/>
    <w:rsid w:val="002165C5"/>
    <w:rsid w:val="00220FE5"/>
    <w:rsid w:val="00221256"/>
    <w:rsid w:val="002224F9"/>
    <w:rsid w:val="0022431E"/>
    <w:rsid w:val="00224B6E"/>
    <w:rsid w:val="0022585A"/>
    <w:rsid w:val="00231435"/>
    <w:rsid w:val="00231C0D"/>
    <w:rsid w:val="002324AD"/>
    <w:rsid w:val="00232EF1"/>
    <w:rsid w:val="00233425"/>
    <w:rsid w:val="002336DD"/>
    <w:rsid w:val="00234AF5"/>
    <w:rsid w:val="00234ECC"/>
    <w:rsid w:val="0023608D"/>
    <w:rsid w:val="002410C5"/>
    <w:rsid w:val="002415F2"/>
    <w:rsid w:val="0024317F"/>
    <w:rsid w:val="00244CBE"/>
    <w:rsid w:val="00244D31"/>
    <w:rsid w:val="00244F8C"/>
    <w:rsid w:val="0024513C"/>
    <w:rsid w:val="002452E3"/>
    <w:rsid w:val="00245F9C"/>
    <w:rsid w:val="00246E11"/>
    <w:rsid w:val="0025000C"/>
    <w:rsid w:val="0025047B"/>
    <w:rsid w:val="00250849"/>
    <w:rsid w:val="002524AE"/>
    <w:rsid w:val="00252D91"/>
    <w:rsid w:val="002534FF"/>
    <w:rsid w:val="00254025"/>
    <w:rsid w:val="00254DC4"/>
    <w:rsid w:val="002568A1"/>
    <w:rsid w:val="002573E2"/>
    <w:rsid w:val="0026175F"/>
    <w:rsid w:val="00261950"/>
    <w:rsid w:val="002635EF"/>
    <w:rsid w:val="0026395A"/>
    <w:rsid w:val="0026397D"/>
    <w:rsid w:val="00265612"/>
    <w:rsid w:val="002664A3"/>
    <w:rsid w:val="00266C2B"/>
    <w:rsid w:val="0026732E"/>
    <w:rsid w:val="00270B7C"/>
    <w:rsid w:val="00272A22"/>
    <w:rsid w:val="00273C64"/>
    <w:rsid w:val="0027536E"/>
    <w:rsid w:val="00276A81"/>
    <w:rsid w:val="00276DCE"/>
    <w:rsid w:val="00277337"/>
    <w:rsid w:val="00277A4C"/>
    <w:rsid w:val="00280326"/>
    <w:rsid w:val="00280F50"/>
    <w:rsid w:val="00281E25"/>
    <w:rsid w:val="00284168"/>
    <w:rsid w:val="00284CE5"/>
    <w:rsid w:val="00284D30"/>
    <w:rsid w:val="002852ED"/>
    <w:rsid w:val="00286757"/>
    <w:rsid w:val="00286EC1"/>
    <w:rsid w:val="00286F6A"/>
    <w:rsid w:val="00291609"/>
    <w:rsid w:val="00291FFF"/>
    <w:rsid w:val="00296273"/>
    <w:rsid w:val="00296C41"/>
    <w:rsid w:val="002972AC"/>
    <w:rsid w:val="002A3176"/>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B7BED"/>
    <w:rsid w:val="002C0106"/>
    <w:rsid w:val="002C398C"/>
    <w:rsid w:val="002C4903"/>
    <w:rsid w:val="002C5896"/>
    <w:rsid w:val="002C665D"/>
    <w:rsid w:val="002C75EE"/>
    <w:rsid w:val="002C786A"/>
    <w:rsid w:val="002D05FF"/>
    <w:rsid w:val="002D2E41"/>
    <w:rsid w:val="002D3A0E"/>
    <w:rsid w:val="002D45D1"/>
    <w:rsid w:val="002D4D3D"/>
    <w:rsid w:val="002D5D82"/>
    <w:rsid w:val="002D79A2"/>
    <w:rsid w:val="002D7FA4"/>
    <w:rsid w:val="002E0D9D"/>
    <w:rsid w:val="002E1EED"/>
    <w:rsid w:val="002E4098"/>
    <w:rsid w:val="002E4595"/>
    <w:rsid w:val="002E4FCF"/>
    <w:rsid w:val="002E546C"/>
    <w:rsid w:val="002E6570"/>
    <w:rsid w:val="002E6F33"/>
    <w:rsid w:val="002F1981"/>
    <w:rsid w:val="002F1F6D"/>
    <w:rsid w:val="002F2838"/>
    <w:rsid w:val="002F2FC5"/>
    <w:rsid w:val="002F3EE1"/>
    <w:rsid w:val="002F6B84"/>
    <w:rsid w:val="003015CD"/>
    <w:rsid w:val="00301C0B"/>
    <w:rsid w:val="00301F30"/>
    <w:rsid w:val="00302253"/>
    <w:rsid w:val="00302A6D"/>
    <w:rsid w:val="0030574A"/>
    <w:rsid w:val="00305D74"/>
    <w:rsid w:val="00307C6C"/>
    <w:rsid w:val="0031196B"/>
    <w:rsid w:val="003124FC"/>
    <w:rsid w:val="00313833"/>
    <w:rsid w:val="00314D31"/>
    <w:rsid w:val="00317560"/>
    <w:rsid w:val="00317627"/>
    <w:rsid w:val="00320F10"/>
    <w:rsid w:val="0032153C"/>
    <w:rsid w:val="00321F00"/>
    <w:rsid w:val="0032281C"/>
    <w:rsid w:val="0032416B"/>
    <w:rsid w:val="003271DE"/>
    <w:rsid w:val="003304AF"/>
    <w:rsid w:val="003330E4"/>
    <w:rsid w:val="003332E9"/>
    <w:rsid w:val="00333743"/>
    <w:rsid w:val="00333E5D"/>
    <w:rsid w:val="003362B8"/>
    <w:rsid w:val="00337524"/>
    <w:rsid w:val="00340895"/>
    <w:rsid w:val="00341495"/>
    <w:rsid w:val="003426C9"/>
    <w:rsid w:val="0034412D"/>
    <w:rsid w:val="00344367"/>
    <w:rsid w:val="003450D5"/>
    <w:rsid w:val="003465D9"/>
    <w:rsid w:val="0034749C"/>
    <w:rsid w:val="003500FF"/>
    <w:rsid w:val="00350218"/>
    <w:rsid w:val="0035049A"/>
    <w:rsid w:val="00351F39"/>
    <w:rsid w:val="003531AF"/>
    <w:rsid w:val="0035574E"/>
    <w:rsid w:val="00362686"/>
    <w:rsid w:val="00362EA2"/>
    <w:rsid w:val="00363ADD"/>
    <w:rsid w:val="00364825"/>
    <w:rsid w:val="003660B7"/>
    <w:rsid w:val="003662E1"/>
    <w:rsid w:val="00370894"/>
    <w:rsid w:val="00370A05"/>
    <w:rsid w:val="0037197D"/>
    <w:rsid w:val="00372DCB"/>
    <w:rsid w:val="0037442F"/>
    <w:rsid w:val="00374E61"/>
    <w:rsid w:val="0037508B"/>
    <w:rsid w:val="003756D2"/>
    <w:rsid w:val="003759D8"/>
    <w:rsid w:val="00375A0B"/>
    <w:rsid w:val="00376639"/>
    <w:rsid w:val="00376858"/>
    <w:rsid w:val="003768EB"/>
    <w:rsid w:val="00376F6B"/>
    <w:rsid w:val="003772ED"/>
    <w:rsid w:val="00377790"/>
    <w:rsid w:val="0038043B"/>
    <w:rsid w:val="003824F6"/>
    <w:rsid w:val="00382C34"/>
    <w:rsid w:val="00383038"/>
    <w:rsid w:val="003838B9"/>
    <w:rsid w:val="00384A39"/>
    <w:rsid w:val="003861F0"/>
    <w:rsid w:val="00391F07"/>
    <w:rsid w:val="003920E6"/>
    <w:rsid w:val="003923E4"/>
    <w:rsid w:val="00392D91"/>
    <w:rsid w:val="0039374E"/>
    <w:rsid w:val="00393B86"/>
    <w:rsid w:val="003946AE"/>
    <w:rsid w:val="00395648"/>
    <w:rsid w:val="0039567A"/>
    <w:rsid w:val="00396DE8"/>
    <w:rsid w:val="00397661"/>
    <w:rsid w:val="0039789B"/>
    <w:rsid w:val="00397C8B"/>
    <w:rsid w:val="003A36F3"/>
    <w:rsid w:val="003A6925"/>
    <w:rsid w:val="003A6BDE"/>
    <w:rsid w:val="003B116B"/>
    <w:rsid w:val="003B205A"/>
    <w:rsid w:val="003B5667"/>
    <w:rsid w:val="003B5C86"/>
    <w:rsid w:val="003B645B"/>
    <w:rsid w:val="003B71A0"/>
    <w:rsid w:val="003B78F7"/>
    <w:rsid w:val="003C032E"/>
    <w:rsid w:val="003C0357"/>
    <w:rsid w:val="003C04E8"/>
    <w:rsid w:val="003C08DA"/>
    <w:rsid w:val="003C0E2C"/>
    <w:rsid w:val="003C23C4"/>
    <w:rsid w:val="003C280C"/>
    <w:rsid w:val="003C3594"/>
    <w:rsid w:val="003C64A0"/>
    <w:rsid w:val="003C6D65"/>
    <w:rsid w:val="003C7165"/>
    <w:rsid w:val="003C7A78"/>
    <w:rsid w:val="003D00EF"/>
    <w:rsid w:val="003D0521"/>
    <w:rsid w:val="003D0F6A"/>
    <w:rsid w:val="003D112B"/>
    <w:rsid w:val="003D212D"/>
    <w:rsid w:val="003D2C90"/>
    <w:rsid w:val="003D43BA"/>
    <w:rsid w:val="003D4CE7"/>
    <w:rsid w:val="003D53CA"/>
    <w:rsid w:val="003D55B8"/>
    <w:rsid w:val="003D575B"/>
    <w:rsid w:val="003D605E"/>
    <w:rsid w:val="003D677D"/>
    <w:rsid w:val="003D7B0C"/>
    <w:rsid w:val="003E2005"/>
    <w:rsid w:val="003E24CD"/>
    <w:rsid w:val="003E6024"/>
    <w:rsid w:val="003E670A"/>
    <w:rsid w:val="003E786D"/>
    <w:rsid w:val="003E792E"/>
    <w:rsid w:val="003F0A3F"/>
    <w:rsid w:val="003F1704"/>
    <w:rsid w:val="003F459E"/>
    <w:rsid w:val="003F45A1"/>
    <w:rsid w:val="003F564B"/>
    <w:rsid w:val="003F6606"/>
    <w:rsid w:val="003F6967"/>
    <w:rsid w:val="003F7E03"/>
    <w:rsid w:val="004002A2"/>
    <w:rsid w:val="00400E61"/>
    <w:rsid w:val="004034CE"/>
    <w:rsid w:val="00403B5A"/>
    <w:rsid w:val="004052B7"/>
    <w:rsid w:val="00405944"/>
    <w:rsid w:val="00405FDA"/>
    <w:rsid w:val="0040648E"/>
    <w:rsid w:val="00406856"/>
    <w:rsid w:val="004110EC"/>
    <w:rsid w:val="00411D76"/>
    <w:rsid w:val="004123F9"/>
    <w:rsid w:val="00415F43"/>
    <w:rsid w:val="00416181"/>
    <w:rsid w:val="00416CD2"/>
    <w:rsid w:val="00420E18"/>
    <w:rsid w:val="00421A70"/>
    <w:rsid w:val="004229A6"/>
    <w:rsid w:val="004230D1"/>
    <w:rsid w:val="004248B3"/>
    <w:rsid w:val="0042498C"/>
    <w:rsid w:val="004258F4"/>
    <w:rsid w:val="00426CEB"/>
    <w:rsid w:val="0043010B"/>
    <w:rsid w:val="00430E36"/>
    <w:rsid w:val="00432297"/>
    <w:rsid w:val="004331E1"/>
    <w:rsid w:val="004351AD"/>
    <w:rsid w:val="004355C8"/>
    <w:rsid w:val="004365FC"/>
    <w:rsid w:val="00436950"/>
    <w:rsid w:val="0043708E"/>
    <w:rsid w:val="00437368"/>
    <w:rsid w:val="0043784A"/>
    <w:rsid w:val="00443515"/>
    <w:rsid w:val="00443DE2"/>
    <w:rsid w:val="00443E23"/>
    <w:rsid w:val="0044617C"/>
    <w:rsid w:val="00450625"/>
    <w:rsid w:val="00450D25"/>
    <w:rsid w:val="00452DF9"/>
    <w:rsid w:val="00453F66"/>
    <w:rsid w:val="00456D91"/>
    <w:rsid w:val="00457018"/>
    <w:rsid w:val="0046053D"/>
    <w:rsid w:val="00460B35"/>
    <w:rsid w:val="00460DCC"/>
    <w:rsid w:val="00461E61"/>
    <w:rsid w:val="00463650"/>
    <w:rsid w:val="0046382E"/>
    <w:rsid w:val="004642A1"/>
    <w:rsid w:val="00464B98"/>
    <w:rsid w:val="0046541A"/>
    <w:rsid w:val="00466080"/>
    <w:rsid w:val="004661AD"/>
    <w:rsid w:val="004663B3"/>
    <w:rsid w:val="00466C76"/>
    <w:rsid w:val="00466E13"/>
    <w:rsid w:val="00472CC3"/>
    <w:rsid w:val="00474243"/>
    <w:rsid w:val="00474D81"/>
    <w:rsid w:val="004753E1"/>
    <w:rsid w:val="00475928"/>
    <w:rsid w:val="00475949"/>
    <w:rsid w:val="00475D83"/>
    <w:rsid w:val="00475F0B"/>
    <w:rsid w:val="004769A9"/>
    <w:rsid w:val="00477497"/>
    <w:rsid w:val="00480736"/>
    <w:rsid w:val="00480806"/>
    <w:rsid w:val="00481A65"/>
    <w:rsid w:val="0048289A"/>
    <w:rsid w:val="00482D88"/>
    <w:rsid w:val="00483E47"/>
    <w:rsid w:val="00485294"/>
    <w:rsid w:val="00485861"/>
    <w:rsid w:val="00486532"/>
    <w:rsid w:val="004873C6"/>
    <w:rsid w:val="004878FE"/>
    <w:rsid w:val="00487A3E"/>
    <w:rsid w:val="00487B09"/>
    <w:rsid w:val="004926AC"/>
    <w:rsid w:val="00493BB3"/>
    <w:rsid w:val="0049510E"/>
    <w:rsid w:val="00497922"/>
    <w:rsid w:val="004A2CFF"/>
    <w:rsid w:val="004A69DB"/>
    <w:rsid w:val="004B0BCC"/>
    <w:rsid w:val="004B0F6B"/>
    <w:rsid w:val="004B1570"/>
    <w:rsid w:val="004B1B60"/>
    <w:rsid w:val="004B3046"/>
    <w:rsid w:val="004B3061"/>
    <w:rsid w:val="004B60FF"/>
    <w:rsid w:val="004C21C3"/>
    <w:rsid w:val="004C24C3"/>
    <w:rsid w:val="004C3FD2"/>
    <w:rsid w:val="004C5E0F"/>
    <w:rsid w:val="004C6775"/>
    <w:rsid w:val="004C6C62"/>
    <w:rsid w:val="004D00F1"/>
    <w:rsid w:val="004D0854"/>
    <w:rsid w:val="004D0CD5"/>
    <w:rsid w:val="004D231C"/>
    <w:rsid w:val="004D3350"/>
    <w:rsid w:val="004D626C"/>
    <w:rsid w:val="004D711C"/>
    <w:rsid w:val="004D749A"/>
    <w:rsid w:val="004E01D4"/>
    <w:rsid w:val="004E0EDD"/>
    <w:rsid w:val="004E0FB7"/>
    <w:rsid w:val="004E109F"/>
    <w:rsid w:val="004E12A2"/>
    <w:rsid w:val="004E1D7C"/>
    <w:rsid w:val="004E1F8C"/>
    <w:rsid w:val="004E3785"/>
    <w:rsid w:val="004E381E"/>
    <w:rsid w:val="004E5A27"/>
    <w:rsid w:val="004E5D60"/>
    <w:rsid w:val="004E6B46"/>
    <w:rsid w:val="004E74A6"/>
    <w:rsid w:val="004E75A8"/>
    <w:rsid w:val="004F2BEE"/>
    <w:rsid w:val="004F3117"/>
    <w:rsid w:val="004F52DC"/>
    <w:rsid w:val="004F5BBA"/>
    <w:rsid w:val="004F6F90"/>
    <w:rsid w:val="004F74A8"/>
    <w:rsid w:val="004F7610"/>
    <w:rsid w:val="004F7B3C"/>
    <w:rsid w:val="004F7E21"/>
    <w:rsid w:val="0050099A"/>
    <w:rsid w:val="00500C09"/>
    <w:rsid w:val="005011AF"/>
    <w:rsid w:val="00501C57"/>
    <w:rsid w:val="00502443"/>
    <w:rsid w:val="00502F96"/>
    <w:rsid w:val="00503B86"/>
    <w:rsid w:val="00503E54"/>
    <w:rsid w:val="00504EB6"/>
    <w:rsid w:val="00504EDF"/>
    <w:rsid w:val="00505A90"/>
    <w:rsid w:val="00505EEE"/>
    <w:rsid w:val="0050663A"/>
    <w:rsid w:val="0050721B"/>
    <w:rsid w:val="005076B1"/>
    <w:rsid w:val="00507EDD"/>
    <w:rsid w:val="00511CE3"/>
    <w:rsid w:val="00511ECD"/>
    <w:rsid w:val="0051491D"/>
    <w:rsid w:val="005171C1"/>
    <w:rsid w:val="005172EA"/>
    <w:rsid w:val="005173E8"/>
    <w:rsid w:val="005201EE"/>
    <w:rsid w:val="0052087C"/>
    <w:rsid w:val="00520BA7"/>
    <w:rsid w:val="00522427"/>
    <w:rsid w:val="00524161"/>
    <w:rsid w:val="00530859"/>
    <w:rsid w:val="005312D7"/>
    <w:rsid w:val="005317E1"/>
    <w:rsid w:val="00532B8B"/>
    <w:rsid w:val="00533581"/>
    <w:rsid w:val="00533822"/>
    <w:rsid w:val="00537513"/>
    <w:rsid w:val="00540664"/>
    <w:rsid w:val="005409C5"/>
    <w:rsid w:val="00541FE1"/>
    <w:rsid w:val="00542A59"/>
    <w:rsid w:val="00543B4D"/>
    <w:rsid w:val="005469BF"/>
    <w:rsid w:val="005470FD"/>
    <w:rsid w:val="00547E46"/>
    <w:rsid w:val="00550669"/>
    <w:rsid w:val="005555A5"/>
    <w:rsid w:val="00557F8E"/>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82597"/>
    <w:rsid w:val="005829ED"/>
    <w:rsid w:val="00582F1E"/>
    <w:rsid w:val="00583043"/>
    <w:rsid w:val="0058421D"/>
    <w:rsid w:val="00584C4C"/>
    <w:rsid w:val="00586449"/>
    <w:rsid w:val="00586718"/>
    <w:rsid w:val="005901BD"/>
    <w:rsid w:val="00590C92"/>
    <w:rsid w:val="0059326C"/>
    <w:rsid w:val="00593772"/>
    <w:rsid w:val="00593B6D"/>
    <w:rsid w:val="00594701"/>
    <w:rsid w:val="00594827"/>
    <w:rsid w:val="005948F4"/>
    <w:rsid w:val="00594AE8"/>
    <w:rsid w:val="0059529E"/>
    <w:rsid w:val="00596DDC"/>
    <w:rsid w:val="005978AA"/>
    <w:rsid w:val="005A34E7"/>
    <w:rsid w:val="005A3ABC"/>
    <w:rsid w:val="005A6C80"/>
    <w:rsid w:val="005A6E9D"/>
    <w:rsid w:val="005A7A07"/>
    <w:rsid w:val="005A7F69"/>
    <w:rsid w:val="005B0F36"/>
    <w:rsid w:val="005B29AE"/>
    <w:rsid w:val="005B2C6F"/>
    <w:rsid w:val="005B3179"/>
    <w:rsid w:val="005B31C8"/>
    <w:rsid w:val="005B53FA"/>
    <w:rsid w:val="005B72FC"/>
    <w:rsid w:val="005C0391"/>
    <w:rsid w:val="005C1646"/>
    <w:rsid w:val="005C1CD7"/>
    <w:rsid w:val="005C1D12"/>
    <w:rsid w:val="005C30C9"/>
    <w:rsid w:val="005C5469"/>
    <w:rsid w:val="005C56DE"/>
    <w:rsid w:val="005C780A"/>
    <w:rsid w:val="005D0166"/>
    <w:rsid w:val="005D0972"/>
    <w:rsid w:val="005D26CB"/>
    <w:rsid w:val="005D29A4"/>
    <w:rsid w:val="005D2A76"/>
    <w:rsid w:val="005D32D1"/>
    <w:rsid w:val="005D4280"/>
    <w:rsid w:val="005D460A"/>
    <w:rsid w:val="005D5186"/>
    <w:rsid w:val="005D687C"/>
    <w:rsid w:val="005D7F6F"/>
    <w:rsid w:val="005E100E"/>
    <w:rsid w:val="005E199C"/>
    <w:rsid w:val="005E1CCD"/>
    <w:rsid w:val="005E2BB6"/>
    <w:rsid w:val="005E349A"/>
    <w:rsid w:val="005E3B4F"/>
    <w:rsid w:val="005E51CD"/>
    <w:rsid w:val="005E6B58"/>
    <w:rsid w:val="005E7929"/>
    <w:rsid w:val="005E7BEB"/>
    <w:rsid w:val="005F1B8D"/>
    <w:rsid w:val="005F1C7E"/>
    <w:rsid w:val="005F1FCA"/>
    <w:rsid w:val="005F4E63"/>
    <w:rsid w:val="005F6022"/>
    <w:rsid w:val="005F68FF"/>
    <w:rsid w:val="005F6A75"/>
    <w:rsid w:val="005F7E5F"/>
    <w:rsid w:val="0060004E"/>
    <w:rsid w:val="00600512"/>
    <w:rsid w:val="0060243A"/>
    <w:rsid w:val="006028A7"/>
    <w:rsid w:val="006032A8"/>
    <w:rsid w:val="006037EF"/>
    <w:rsid w:val="00603D85"/>
    <w:rsid w:val="006042B7"/>
    <w:rsid w:val="00604D9F"/>
    <w:rsid w:val="00604EEE"/>
    <w:rsid w:val="0060524E"/>
    <w:rsid w:val="006057DE"/>
    <w:rsid w:val="00605DC5"/>
    <w:rsid w:val="006064D4"/>
    <w:rsid w:val="00606527"/>
    <w:rsid w:val="00606750"/>
    <w:rsid w:val="006105D0"/>
    <w:rsid w:val="0061246F"/>
    <w:rsid w:val="0061261B"/>
    <w:rsid w:val="00613BF1"/>
    <w:rsid w:val="00615BB8"/>
    <w:rsid w:val="00616CCF"/>
    <w:rsid w:val="00616F7B"/>
    <w:rsid w:val="00617D73"/>
    <w:rsid w:val="0062025B"/>
    <w:rsid w:val="00626A5C"/>
    <w:rsid w:val="00626FCB"/>
    <w:rsid w:val="0062796C"/>
    <w:rsid w:val="00627A2B"/>
    <w:rsid w:val="00627CF1"/>
    <w:rsid w:val="006308C3"/>
    <w:rsid w:val="00631336"/>
    <w:rsid w:val="00631B51"/>
    <w:rsid w:val="00632A8D"/>
    <w:rsid w:val="00632AD7"/>
    <w:rsid w:val="0063436E"/>
    <w:rsid w:val="00634DDA"/>
    <w:rsid w:val="0063529C"/>
    <w:rsid w:val="006353E5"/>
    <w:rsid w:val="00637620"/>
    <w:rsid w:val="00637E6E"/>
    <w:rsid w:val="00641579"/>
    <w:rsid w:val="00641629"/>
    <w:rsid w:val="00641FBD"/>
    <w:rsid w:val="00643476"/>
    <w:rsid w:val="00644547"/>
    <w:rsid w:val="00644B43"/>
    <w:rsid w:val="006472F6"/>
    <w:rsid w:val="00647829"/>
    <w:rsid w:val="00647C81"/>
    <w:rsid w:val="0065008E"/>
    <w:rsid w:val="00651754"/>
    <w:rsid w:val="00652798"/>
    <w:rsid w:val="00652BC4"/>
    <w:rsid w:val="00653C1A"/>
    <w:rsid w:val="0065425D"/>
    <w:rsid w:val="00654315"/>
    <w:rsid w:val="00654F90"/>
    <w:rsid w:val="0065547F"/>
    <w:rsid w:val="0065784E"/>
    <w:rsid w:val="00657E49"/>
    <w:rsid w:val="0066103B"/>
    <w:rsid w:val="00662E10"/>
    <w:rsid w:val="0066362F"/>
    <w:rsid w:val="00665135"/>
    <w:rsid w:val="00665C79"/>
    <w:rsid w:val="00667157"/>
    <w:rsid w:val="006676D1"/>
    <w:rsid w:val="006677EE"/>
    <w:rsid w:val="00670904"/>
    <w:rsid w:val="00672D33"/>
    <w:rsid w:val="00675D17"/>
    <w:rsid w:val="006765AB"/>
    <w:rsid w:val="00677723"/>
    <w:rsid w:val="0067773D"/>
    <w:rsid w:val="006807DC"/>
    <w:rsid w:val="006821C5"/>
    <w:rsid w:val="006831A4"/>
    <w:rsid w:val="0068439A"/>
    <w:rsid w:val="006849CE"/>
    <w:rsid w:val="00685947"/>
    <w:rsid w:val="00685B43"/>
    <w:rsid w:val="00685EC0"/>
    <w:rsid w:val="00687DC4"/>
    <w:rsid w:val="00687E26"/>
    <w:rsid w:val="00690C53"/>
    <w:rsid w:val="00691C9D"/>
    <w:rsid w:val="00694BB0"/>
    <w:rsid w:val="006A1B4A"/>
    <w:rsid w:val="006A2C9A"/>
    <w:rsid w:val="006A2DBF"/>
    <w:rsid w:val="006A3BE6"/>
    <w:rsid w:val="006A6ADB"/>
    <w:rsid w:val="006A73DE"/>
    <w:rsid w:val="006B011C"/>
    <w:rsid w:val="006B0567"/>
    <w:rsid w:val="006B0593"/>
    <w:rsid w:val="006B1C6D"/>
    <w:rsid w:val="006B252A"/>
    <w:rsid w:val="006B2788"/>
    <w:rsid w:val="006B3272"/>
    <w:rsid w:val="006B3FBF"/>
    <w:rsid w:val="006B4635"/>
    <w:rsid w:val="006C06F9"/>
    <w:rsid w:val="006C1767"/>
    <w:rsid w:val="006C184E"/>
    <w:rsid w:val="006C309E"/>
    <w:rsid w:val="006C4E10"/>
    <w:rsid w:val="006C742D"/>
    <w:rsid w:val="006D0342"/>
    <w:rsid w:val="006D100A"/>
    <w:rsid w:val="006D1251"/>
    <w:rsid w:val="006D1FC7"/>
    <w:rsid w:val="006D4730"/>
    <w:rsid w:val="006D5DAE"/>
    <w:rsid w:val="006D5E05"/>
    <w:rsid w:val="006D69AA"/>
    <w:rsid w:val="006D73D9"/>
    <w:rsid w:val="006E0829"/>
    <w:rsid w:val="006E0CC8"/>
    <w:rsid w:val="006E11B8"/>
    <w:rsid w:val="006E12B8"/>
    <w:rsid w:val="006E1600"/>
    <w:rsid w:val="006E22D4"/>
    <w:rsid w:val="006E22EE"/>
    <w:rsid w:val="006E5AAC"/>
    <w:rsid w:val="006E5FBF"/>
    <w:rsid w:val="006E660F"/>
    <w:rsid w:val="006E7285"/>
    <w:rsid w:val="006F0679"/>
    <w:rsid w:val="006F3CEE"/>
    <w:rsid w:val="006F5EDB"/>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16C7D"/>
    <w:rsid w:val="007203F9"/>
    <w:rsid w:val="0072063F"/>
    <w:rsid w:val="00720A5D"/>
    <w:rsid w:val="00720BB7"/>
    <w:rsid w:val="00721125"/>
    <w:rsid w:val="0072152C"/>
    <w:rsid w:val="007217DA"/>
    <w:rsid w:val="00722A1F"/>
    <w:rsid w:val="00723174"/>
    <w:rsid w:val="007238AB"/>
    <w:rsid w:val="00723AA2"/>
    <w:rsid w:val="00724502"/>
    <w:rsid w:val="00724C9C"/>
    <w:rsid w:val="0072657D"/>
    <w:rsid w:val="007269F9"/>
    <w:rsid w:val="00726E71"/>
    <w:rsid w:val="0072794D"/>
    <w:rsid w:val="00727F5F"/>
    <w:rsid w:val="00727F89"/>
    <w:rsid w:val="00730DDB"/>
    <w:rsid w:val="00731437"/>
    <w:rsid w:val="0073193D"/>
    <w:rsid w:val="00735176"/>
    <w:rsid w:val="0073668C"/>
    <w:rsid w:val="00736917"/>
    <w:rsid w:val="00737FEC"/>
    <w:rsid w:val="0074066D"/>
    <w:rsid w:val="00741E8C"/>
    <w:rsid w:val="0074267B"/>
    <w:rsid w:val="00743C40"/>
    <w:rsid w:val="00744AF3"/>
    <w:rsid w:val="007453B1"/>
    <w:rsid w:val="0075097C"/>
    <w:rsid w:val="00750D18"/>
    <w:rsid w:val="00751F22"/>
    <w:rsid w:val="00753152"/>
    <w:rsid w:val="00753FD1"/>
    <w:rsid w:val="007544B1"/>
    <w:rsid w:val="00754791"/>
    <w:rsid w:val="00754893"/>
    <w:rsid w:val="00755583"/>
    <w:rsid w:val="00755971"/>
    <w:rsid w:val="00755E5F"/>
    <w:rsid w:val="00757A9B"/>
    <w:rsid w:val="007647B4"/>
    <w:rsid w:val="007647C1"/>
    <w:rsid w:val="0076492C"/>
    <w:rsid w:val="00766817"/>
    <w:rsid w:val="00766A47"/>
    <w:rsid w:val="00766D16"/>
    <w:rsid w:val="00766E4B"/>
    <w:rsid w:val="00767FA3"/>
    <w:rsid w:val="00770354"/>
    <w:rsid w:val="007705B6"/>
    <w:rsid w:val="00770D1A"/>
    <w:rsid w:val="00770F9F"/>
    <w:rsid w:val="007712D5"/>
    <w:rsid w:val="0077240B"/>
    <w:rsid w:val="0077333C"/>
    <w:rsid w:val="007733E4"/>
    <w:rsid w:val="00774D85"/>
    <w:rsid w:val="0077529F"/>
    <w:rsid w:val="007765FE"/>
    <w:rsid w:val="00780448"/>
    <w:rsid w:val="00780AAD"/>
    <w:rsid w:val="00780FBD"/>
    <w:rsid w:val="00781D0B"/>
    <w:rsid w:val="00782119"/>
    <w:rsid w:val="00782E4F"/>
    <w:rsid w:val="007836AD"/>
    <w:rsid w:val="007847DE"/>
    <w:rsid w:val="00786881"/>
    <w:rsid w:val="00787AB7"/>
    <w:rsid w:val="007910EF"/>
    <w:rsid w:val="0079395D"/>
    <w:rsid w:val="0079417E"/>
    <w:rsid w:val="0079526D"/>
    <w:rsid w:val="007964EA"/>
    <w:rsid w:val="0079668E"/>
    <w:rsid w:val="0079754C"/>
    <w:rsid w:val="007A2046"/>
    <w:rsid w:val="007A2505"/>
    <w:rsid w:val="007A2B6B"/>
    <w:rsid w:val="007A3E44"/>
    <w:rsid w:val="007A6714"/>
    <w:rsid w:val="007B0095"/>
    <w:rsid w:val="007B069E"/>
    <w:rsid w:val="007B19AC"/>
    <w:rsid w:val="007B1E26"/>
    <w:rsid w:val="007B2034"/>
    <w:rsid w:val="007B232C"/>
    <w:rsid w:val="007B24AA"/>
    <w:rsid w:val="007B25AD"/>
    <w:rsid w:val="007B2D19"/>
    <w:rsid w:val="007B505F"/>
    <w:rsid w:val="007B69C6"/>
    <w:rsid w:val="007C00B2"/>
    <w:rsid w:val="007C1657"/>
    <w:rsid w:val="007C27EB"/>
    <w:rsid w:val="007C34FB"/>
    <w:rsid w:val="007C44A0"/>
    <w:rsid w:val="007C4B96"/>
    <w:rsid w:val="007C5CA4"/>
    <w:rsid w:val="007C65FB"/>
    <w:rsid w:val="007D0D5D"/>
    <w:rsid w:val="007D19CE"/>
    <w:rsid w:val="007D3639"/>
    <w:rsid w:val="007D49E4"/>
    <w:rsid w:val="007D4B51"/>
    <w:rsid w:val="007D5FDB"/>
    <w:rsid w:val="007D7F7A"/>
    <w:rsid w:val="007E0E82"/>
    <w:rsid w:val="007E16F3"/>
    <w:rsid w:val="007E23B7"/>
    <w:rsid w:val="007E422C"/>
    <w:rsid w:val="007E4F3F"/>
    <w:rsid w:val="007E4F7B"/>
    <w:rsid w:val="007E5467"/>
    <w:rsid w:val="007E6426"/>
    <w:rsid w:val="007E7528"/>
    <w:rsid w:val="007F0356"/>
    <w:rsid w:val="007F0451"/>
    <w:rsid w:val="007F0952"/>
    <w:rsid w:val="007F18CC"/>
    <w:rsid w:val="007F1B3C"/>
    <w:rsid w:val="007F21B9"/>
    <w:rsid w:val="007F3175"/>
    <w:rsid w:val="007F3E22"/>
    <w:rsid w:val="007F55A8"/>
    <w:rsid w:val="007F5ED4"/>
    <w:rsid w:val="007F7F28"/>
    <w:rsid w:val="008024A3"/>
    <w:rsid w:val="0080572E"/>
    <w:rsid w:val="00807663"/>
    <w:rsid w:val="00807959"/>
    <w:rsid w:val="00807D17"/>
    <w:rsid w:val="0081024D"/>
    <w:rsid w:val="00812D1B"/>
    <w:rsid w:val="00813A40"/>
    <w:rsid w:val="00815510"/>
    <w:rsid w:val="00816FE5"/>
    <w:rsid w:val="0081720D"/>
    <w:rsid w:val="00820A0C"/>
    <w:rsid w:val="00825C97"/>
    <w:rsid w:val="00827F90"/>
    <w:rsid w:val="008304C8"/>
    <w:rsid w:val="00830C63"/>
    <w:rsid w:val="00830CFD"/>
    <w:rsid w:val="00831192"/>
    <w:rsid w:val="008324DA"/>
    <w:rsid w:val="008341BA"/>
    <w:rsid w:val="00834B0B"/>
    <w:rsid w:val="00834B57"/>
    <w:rsid w:val="008355D3"/>
    <w:rsid w:val="00836757"/>
    <w:rsid w:val="00837B3B"/>
    <w:rsid w:val="00837F6A"/>
    <w:rsid w:val="00842485"/>
    <w:rsid w:val="00842A09"/>
    <w:rsid w:val="0084385D"/>
    <w:rsid w:val="00845D08"/>
    <w:rsid w:val="008463A8"/>
    <w:rsid w:val="0084647B"/>
    <w:rsid w:val="008466BE"/>
    <w:rsid w:val="008474FF"/>
    <w:rsid w:val="0085001D"/>
    <w:rsid w:val="00850E0E"/>
    <w:rsid w:val="00850E6F"/>
    <w:rsid w:val="008511FD"/>
    <w:rsid w:val="00854545"/>
    <w:rsid w:val="0085531B"/>
    <w:rsid w:val="00855602"/>
    <w:rsid w:val="00856CCA"/>
    <w:rsid w:val="008611EB"/>
    <w:rsid w:val="00861EEC"/>
    <w:rsid w:val="008627DA"/>
    <w:rsid w:val="00862C37"/>
    <w:rsid w:val="00863916"/>
    <w:rsid w:val="00864378"/>
    <w:rsid w:val="008646D8"/>
    <w:rsid w:val="00865587"/>
    <w:rsid w:val="00866A06"/>
    <w:rsid w:val="00867289"/>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604"/>
    <w:rsid w:val="00887786"/>
    <w:rsid w:val="008879F5"/>
    <w:rsid w:val="0089084E"/>
    <w:rsid w:val="0089176C"/>
    <w:rsid w:val="00891978"/>
    <w:rsid w:val="00891B53"/>
    <w:rsid w:val="00892232"/>
    <w:rsid w:val="00892917"/>
    <w:rsid w:val="00892E71"/>
    <w:rsid w:val="00893A02"/>
    <w:rsid w:val="00893F35"/>
    <w:rsid w:val="00893F68"/>
    <w:rsid w:val="008948F4"/>
    <w:rsid w:val="008955B1"/>
    <w:rsid w:val="00897A03"/>
    <w:rsid w:val="008A199D"/>
    <w:rsid w:val="008A2224"/>
    <w:rsid w:val="008A25A4"/>
    <w:rsid w:val="008A2818"/>
    <w:rsid w:val="008A36CB"/>
    <w:rsid w:val="008A3980"/>
    <w:rsid w:val="008A3ACC"/>
    <w:rsid w:val="008A3F67"/>
    <w:rsid w:val="008A70A8"/>
    <w:rsid w:val="008A70B4"/>
    <w:rsid w:val="008A7B2B"/>
    <w:rsid w:val="008A7DB0"/>
    <w:rsid w:val="008B1335"/>
    <w:rsid w:val="008B56B6"/>
    <w:rsid w:val="008B58C7"/>
    <w:rsid w:val="008B79F0"/>
    <w:rsid w:val="008C0B6A"/>
    <w:rsid w:val="008C0EE5"/>
    <w:rsid w:val="008C0F6E"/>
    <w:rsid w:val="008C1B33"/>
    <w:rsid w:val="008C20EC"/>
    <w:rsid w:val="008C2807"/>
    <w:rsid w:val="008D11BB"/>
    <w:rsid w:val="008D16DD"/>
    <w:rsid w:val="008D1CD4"/>
    <w:rsid w:val="008D35DF"/>
    <w:rsid w:val="008D4696"/>
    <w:rsid w:val="008D5922"/>
    <w:rsid w:val="008D732B"/>
    <w:rsid w:val="008D7AE4"/>
    <w:rsid w:val="008E30E5"/>
    <w:rsid w:val="008E34FE"/>
    <w:rsid w:val="008E52F6"/>
    <w:rsid w:val="008E7D23"/>
    <w:rsid w:val="008E7D91"/>
    <w:rsid w:val="008F0230"/>
    <w:rsid w:val="008F1C3C"/>
    <w:rsid w:val="008F32E3"/>
    <w:rsid w:val="008F3D70"/>
    <w:rsid w:val="008F4A0C"/>
    <w:rsid w:val="008F5726"/>
    <w:rsid w:val="008F7755"/>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0C50"/>
    <w:rsid w:val="0092380E"/>
    <w:rsid w:val="00923D74"/>
    <w:rsid w:val="009254E9"/>
    <w:rsid w:val="00926312"/>
    <w:rsid w:val="00926644"/>
    <w:rsid w:val="009303CF"/>
    <w:rsid w:val="00930564"/>
    <w:rsid w:val="00930A00"/>
    <w:rsid w:val="0093135F"/>
    <w:rsid w:val="009320B6"/>
    <w:rsid w:val="009326EF"/>
    <w:rsid w:val="009338CE"/>
    <w:rsid w:val="00935382"/>
    <w:rsid w:val="00940104"/>
    <w:rsid w:val="0094041A"/>
    <w:rsid w:val="00940E3C"/>
    <w:rsid w:val="009413B8"/>
    <w:rsid w:val="00941573"/>
    <w:rsid w:val="00943130"/>
    <w:rsid w:val="00943E6C"/>
    <w:rsid w:val="00945DE7"/>
    <w:rsid w:val="009470DB"/>
    <w:rsid w:val="0095032A"/>
    <w:rsid w:val="00950984"/>
    <w:rsid w:val="00950BD0"/>
    <w:rsid w:val="00951170"/>
    <w:rsid w:val="00953659"/>
    <w:rsid w:val="00953B78"/>
    <w:rsid w:val="00953C11"/>
    <w:rsid w:val="00953C14"/>
    <w:rsid w:val="00954CEC"/>
    <w:rsid w:val="00954FC5"/>
    <w:rsid w:val="00955A77"/>
    <w:rsid w:val="0095679C"/>
    <w:rsid w:val="00961FF2"/>
    <w:rsid w:val="00962711"/>
    <w:rsid w:val="0096285C"/>
    <w:rsid w:val="00962F73"/>
    <w:rsid w:val="00963621"/>
    <w:rsid w:val="00965150"/>
    <w:rsid w:val="00965596"/>
    <w:rsid w:val="0096743A"/>
    <w:rsid w:val="00971270"/>
    <w:rsid w:val="009719F6"/>
    <w:rsid w:val="009724BD"/>
    <w:rsid w:val="00972768"/>
    <w:rsid w:val="009742BB"/>
    <w:rsid w:val="00975481"/>
    <w:rsid w:val="00977207"/>
    <w:rsid w:val="00980066"/>
    <w:rsid w:val="0098185A"/>
    <w:rsid w:val="009837E4"/>
    <w:rsid w:val="00983EA0"/>
    <w:rsid w:val="00986682"/>
    <w:rsid w:val="00986E79"/>
    <w:rsid w:val="00987846"/>
    <w:rsid w:val="00991C41"/>
    <w:rsid w:val="00992621"/>
    <w:rsid w:val="00992BC5"/>
    <w:rsid w:val="00994E33"/>
    <w:rsid w:val="00995309"/>
    <w:rsid w:val="009960C3"/>
    <w:rsid w:val="00996BB2"/>
    <w:rsid w:val="00997697"/>
    <w:rsid w:val="0099796B"/>
    <w:rsid w:val="009979D7"/>
    <w:rsid w:val="009A0F77"/>
    <w:rsid w:val="009A18E2"/>
    <w:rsid w:val="009A1D98"/>
    <w:rsid w:val="009A1F82"/>
    <w:rsid w:val="009A217F"/>
    <w:rsid w:val="009A22A5"/>
    <w:rsid w:val="009A436E"/>
    <w:rsid w:val="009A5962"/>
    <w:rsid w:val="009A646A"/>
    <w:rsid w:val="009A64B8"/>
    <w:rsid w:val="009A6D1E"/>
    <w:rsid w:val="009B243D"/>
    <w:rsid w:val="009B3326"/>
    <w:rsid w:val="009B54A8"/>
    <w:rsid w:val="009B5AA0"/>
    <w:rsid w:val="009B5B9D"/>
    <w:rsid w:val="009B5E4F"/>
    <w:rsid w:val="009C01E7"/>
    <w:rsid w:val="009C099B"/>
    <w:rsid w:val="009C0A14"/>
    <w:rsid w:val="009C0CA6"/>
    <w:rsid w:val="009C0D06"/>
    <w:rsid w:val="009C230C"/>
    <w:rsid w:val="009C3486"/>
    <w:rsid w:val="009C36A8"/>
    <w:rsid w:val="009C3D4C"/>
    <w:rsid w:val="009C51C2"/>
    <w:rsid w:val="009C58E5"/>
    <w:rsid w:val="009C6899"/>
    <w:rsid w:val="009D178A"/>
    <w:rsid w:val="009D22F4"/>
    <w:rsid w:val="009D315A"/>
    <w:rsid w:val="009E00CB"/>
    <w:rsid w:val="009E1321"/>
    <w:rsid w:val="009E4A30"/>
    <w:rsid w:val="009E54F2"/>
    <w:rsid w:val="009E6510"/>
    <w:rsid w:val="009F0BEF"/>
    <w:rsid w:val="009F3737"/>
    <w:rsid w:val="009F5756"/>
    <w:rsid w:val="009F611D"/>
    <w:rsid w:val="009F7E45"/>
    <w:rsid w:val="00A008DB"/>
    <w:rsid w:val="00A00AA7"/>
    <w:rsid w:val="00A00F2D"/>
    <w:rsid w:val="00A0260B"/>
    <w:rsid w:val="00A02A5D"/>
    <w:rsid w:val="00A03B08"/>
    <w:rsid w:val="00A04498"/>
    <w:rsid w:val="00A04D91"/>
    <w:rsid w:val="00A056DB"/>
    <w:rsid w:val="00A065B6"/>
    <w:rsid w:val="00A07E2D"/>
    <w:rsid w:val="00A1010F"/>
    <w:rsid w:val="00A108C4"/>
    <w:rsid w:val="00A10BA4"/>
    <w:rsid w:val="00A1150E"/>
    <w:rsid w:val="00A14EA7"/>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2938"/>
    <w:rsid w:val="00A329E0"/>
    <w:rsid w:val="00A330C3"/>
    <w:rsid w:val="00A34056"/>
    <w:rsid w:val="00A353F1"/>
    <w:rsid w:val="00A3661B"/>
    <w:rsid w:val="00A36D45"/>
    <w:rsid w:val="00A36D91"/>
    <w:rsid w:val="00A3736C"/>
    <w:rsid w:val="00A408D7"/>
    <w:rsid w:val="00A40DD7"/>
    <w:rsid w:val="00A42735"/>
    <w:rsid w:val="00A435B6"/>
    <w:rsid w:val="00A45267"/>
    <w:rsid w:val="00A4696F"/>
    <w:rsid w:val="00A470EF"/>
    <w:rsid w:val="00A47161"/>
    <w:rsid w:val="00A512F6"/>
    <w:rsid w:val="00A51A63"/>
    <w:rsid w:val="00A52809"/>
    <w:rsid w:val="00A5506C"/>
    <w:rsid w:val="00A559AF"/>
    <w:rsid w:val="00A55E4E"/>
    <w:rsid w:val="00A574E2"/>
    <w:rsid w:val="00A57923"/>
    <w:rsid w:val="00A61137"/>
    <w:rsid w:val="00A62404"/>
    <w:rsid w:val="00A6294C"/>
    <w:rsid w:val="00A64564"/>
    <w:rsid w:val="00A65A1C"/>
    <w:rsid w:val="00A65E2A"/>
    <w:rsid w:val="00A66540"/>
    <w:rsid w:val="00A6714F"/>
    <w:rsid w:val="00A714C3"/>
    <w:rsid w:val="00A74AE5"/>
    <w:rsid w:val="00A74CA6"/>
    <w:rsid w:val="00A74F31"/>
    <w:rsid w:val="00A751B8"/>
    <w:rsid w:val="00A75A9D"/>
    <w:rsid w:val="00A75DF9"/>
    <w:rsid w:val="00A75FCD"/>
    <w:rsid w:val="00A7621A"/>
    <w:rsid w:val="00A763A8"/>
    <w:rsid w:val="00A76EDA"/>
    <w:rsid w:val="00A81C4C"/>
    <w:rsid w:val="00A82508"/>
    <w:rsid w:val="00A83524"/>
    <w:rsid w:val="00A8564A"/>
    <w:rsid w:val="00A87C77"/>
    <w:rsid w:val="00A909C4"/>
    <w:rsid w:val="00A90F08"/>
    <w:rsid w:val="00A92ED9"/>
    <w:rsid w:val="00A934CF"/>
    <w:rsid w:val="00A93BBB"/>
    <w:rsid w:val="00A9559D"/>
    <w:rsid w:val="00A961DC"/>
    <w:rsid w:val="00A961F3"/>
    <w:rsid w:val="00A96A18"/>
    <w:rsid w:val="00AA14F8"/>
    <w:rsid w:val="00AA1646"/>
    <w:rsid w:val="00AA213E"/>
    <w:rsid w:val="00AA5B4D"/>
    <w:rsid w:val="00AA75DA"/>
    <w:rsid w:val="00AB0D3D"/>
    <w:rsid w:val="00AB2ED0"/>
    <w:rsid w:val="00AB3547"/>
    <w:rsid w:val="00AB37D5"/>
    <w:rsid w:val="00AB3DCC"/>
    <w:rsid w:val="00AB3E36"/>
    <w:rsid w:val="00AB520A"/>
    <w:rsid w:val="00AB6499"/>
    <w:rsid w:val="00AB749D"/>
    <w:rsid w:val="00AC0C1E"/>
    <w:rsid w:val="00AC0FBC"/>
    <w:rsid w:val="00AC17A1"/>
    <w:rsid w:val="00AC2DB7"/>
    <w:rsid w:val="00AC35BB"/>
    <w:rsid w:val="00AC38C4"/>
    <w:rsid w:val="00AC454B"/>
    <w:rsid w:val="00AC5DF4"/>
    <w:rsid w:val="00AC6C2D"/>
    <w:rsid w:val="00AC6EE8"/>
    <w:rsid w:val="00AC722D"/>
    <w:rsid w:val="00AC7290"/>
    <w:rsid w:val="00AC72F9"/>
    <w:rsid w:val="00AC74B5"/>
    <w:rsid w:val="00AD0A0D"/>
    <w:rsid w:val="00AD21E1"/>
    <w:rsid w:val="00AD51D8"/>
    <w:rsid w:val="00AD60C4"/>
    <w:rsid w:val="00AD6DE5"/>
    <w:rsid w:val="00AD6E2D"/>
    <w:rsid w:val="00AD7983"/>
    <w:rsid w:val="00AD7D0A"/>
    <w:rsid w:val="00AE037B"/>
    <w:rsid w:val="00AE1885"/>
    <w:rsid w:val="00AE231B"/>
    <w:rsid w:val="00AE2B16"/>
    <w:rsid w:val="00AE68C2"/>
    <w:rsid w:val="00AE6E3A"/>
    <w:rsid w:val="00AE7BCC"/>
    <w:rsid w:val="00AE7F92"/>
    <w:rsid w:val="00AF022B"/>
    <w:rsid w:val="00AF3324"/>
    <w:rsid w:val="00AF5A08"/>
    <w:rsid w:val="00AF7419"/>
    <w:rsid w:val="00B03440"/>
    <w:rsid w:val="00B0450A"/>
    <w:rsid w:val="00B05997"/>
    <w:rsid w:val="00B05DFF"/>
    <w:rsid w:val="00B0780B"/>
    <w:rsid w:val="00B07A6C"/>
    <w:rsid w:val="00B07B2E"/>
    <w:rsid w:val="00B13271"/>
    <w:rsid w:val="00B1367F"/>
    <w:rsid w:val="00B137C9"/>
    <w:rsid w:val="00B14E5D"/>
    <w:rsid w:val="00B16FEE"/>
    <w:rsid w:val="00B205EC"/>
    <w:rsid w:val="00B21863"/>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47CEB"/>
    <w:rsid w:val="00B505F4"/>
    <w:rsid w:val="00B51AB1"/>
    <w:rsid w:val="00B51B4D"/>
    <w:rsid w:val="00B521DC"/>
    <w:rsid w:val="00B5348C"/>
    <w:rsid w:val="00B547D5"/>
    <w:rsid w:val="00B54ABC"/>
    <w:rsid w:val="00B5703C"/>
    <w:rsid w:val="00B5707C"/>
    <w:rsid w:val="00B61066"/>
    <w:rsid w:val="00B61F24"/>
    <w:rsid w:val="00B62903"/>
    <w:rsid w:val="00B62E3E"/>
    <w:rsid w:val="00B64663"/>
    <w:rsid w:val="00B663F2"/>
    <w:rsid w:val="00B66D65"/>
    <w:rsid w:val="00B67C7C"/>
    <w:rsid w:val="00B67E2E"/>
    <w:rsid w:val="00B67FE1"/>
    <w:rsid w:val="00B72423"/>
    <w:rsid w:val="00B740BD"/>
    <w:rsid w:val="00B742E9"/>
    <w:rsid w:val="00B76A92"/>
    <w:rsid w:val="00B77BB1"/>
    <w:rsid w:val="00B77E4D"/>
    <w:rsid w:val="00B81090"/>
    <w:rsid w:val="00B819CC"/>
    <w:rsid w:val="00B82BD3"/>
    <w:rsid w:val="00B82FCA"/>
    <w:rsid w:val="00B83926"/>
    <w:rsid w:val="00B83BF3"/>
    <w:rsid w:val="00B8424E"/>
    <w:rsid w:val="00B84AEB"/>
    <w:rsid w:val="00B86488"/>
    <w:rsid w:val="00B90D55"/>
    <w:rsid w:val="00B92DA4"/>
    <w:rsid w:val="00B9595D"/>
    <w:rsid w:val="00B95DA5"/>
    <w:rsid w:val="00B963EF"/>
    <w:rsid w:val="00B97C35"/>
    <w:rsid w:val="00BA0872"/>
    <w:rsid w:val="00BA1206"/>
    <w:rsid w:val="00BA2170"/>
    <w:rsid w:val="00BA309E"/>
    <w:rsid w:val="00BA4584"/>
    <w:rsid w:val="00BA5C15"/>
    <w:rsid w:val="00BA66BE"/>
    <w:rsid w:val="00BA6E3B"/>
    <w:rsid w:val="00BA6FB4"/>
    <w:rsid w:val="00BB0C9F"/>
    <w:rsid w:val="00BB1285"/>
    <w:rsid w:val="00BB2136"/>
    <w:rsid w:val="00BB2A4A"/>
    <w:rsid w:val="00BB515E"/>
    <w:rsid w:val="00BB5EFD"/>
    <w:rsid w:val="00BB7BA3"/>
    <w:rsid w:val="00BC1758"/>
    <w:rsid w:val="00BC1C73"/>
    <w:rsid w:val="00BC2A04"/>
    <w:rsid w:val="00BC4222"/>
    <w:rsid w:val="00BC5210"/>
    <w:rsid w:val="00BC5623"/>
    <w:rsid w:val="00BC593F"/>
    <w:rsid w:val="00BC6415"/>
    <w:rsid w:val="00BD0D1B"/>
    <w:rsid w:val="00BD15F0"/>
    <w:rsid w:val="00BD1E6C"/>
    <w:rsid w:val="00BD30A5"/>
    <w:rsid w:val="00BD3E1C"/>
    <w:rsid w:val="00BD4AE6"/>
    <w:rsid w:val="00BD54E8"/>
    <w:rsid w:val="00BD57BC"/>
    <w:rsid w:val="00BD5A67"/>
    <w:rsid w:val="00BD6352"/>
    <w:rsid w:val="00BD77E4"/>
    <w:rsid w:val="00BD7A6C"/>
    <w:rsid w:val="00BE07A0"/>
    <w:rsid w:val="00BE0B3A"/>
    <w:rsid w:val="00BE13BD"/>
    <w:rsid w:val="00BE1D10"/>
    <w:rsid w:val="00BE1ECC"/>
    <w:rsid w:val="00BE2421"/>
    <w:rsid w:val="00BE2CA3"/>
    <w:rsid w:val="00BE2F79"/>
    <w:rsid w:val="00BE33C8"/>
    <w:rsid w:val="00BE352F"/>
    <w:rsid w:val="00BE5085"/>
    <w:rsid w:val="00BE65D8"/>
    <w:rsid w:val="00BE65FA"/>
    <w:rsid w:val="00BF0478"/>
    <w:rsid w:val="00BF1054"/>
    <w:rsid w:val="00BF12CA"/>
    <w:rsid w:val="00BF14F0"/>
    <w:rsid w:val="00BF1BBF"/>
    <w:rsid w:val="00BF299C"/>
    <w:rsid w:val="00BF2A19"/>
    <w:rsid w:val="00BF2ADE"/>
    <w:rsid w:val="00BF39B6"/>
    <w:rsid w:val="00BF4A61"/>
    <w:rsid w:val="00BF6191"/>
    <w:rsid w:val="00BF7ED6"/>
    <w:rsid w:val="00C01880"/>
    <w:rsid w:val="00C0194F"/>
    <w:rsid w:val="00C01992"/>
    <w:rsid w:val="00C0256F"/>
    <w:rsid w:val="00C03B88"/>
    <w:rsid w:val="00C041B3"/>
    <w:rsid w:val="00C0435C"/>
    <w:rsid w:val="00C0458C"/>
    <w:rsid w:val="00C05B41"/>
    <w:rsid w:val="00C068A2"/>
    <w:rsid w:val="00C0782A"/>
    <w:rsid w:val="00C134FC"/>
    <w:rsid w:val="00C136D1"/>
    <w:rsid w:val="00C158FC"/>
    <w:rsid w:val="00C1698C"/>
    <w:rsid w:val="00C16E89"/>
    <w:rsid w:val="00C2015E"/>
    <w:rsid w:val="00C216A3"/>
    <w:rsid w:val="00C21E65"/>
    <w:rsid w:val="00C24A0F"/>
    <w:rsid w:val="00C24FB3"/>
    <w:rsid w:val="00C26934"/>
    <w:rsid w:val="00C27176"/>
    <w:rsid w:val="00C2720B"/>
    <w:rsid w:val="00C27584"/>
    <w:rsid w:val="00C32B1B"/>
    <w:rsid w:val="00C33327"/>
    <w:rsid w:val="00C33787"/>
    <w:rsid w:val="00C337E0"/>
    <w:rsid w:val="00C40F59"/>
    <w:rsid w:val="00C4154F"/>
    <w:rsid w:val="00C41C20"/>
    <w:rsid w:val="00C43018"/>
    <w:rsid w:val="00C43D81"/>
    <w:rsid w:val="00C43E8C"/>
    <w:rsid w:val="00C44469"/>
    <w:rsid w:val="00C4555E"/>
    <w:rsid w:val="00C477F6"/>
    <w:rsid w:val="00C50693"/>
    <w:rsid w:val="00C51C04"/>
    <w:rsid w:val="00C5245D"/>
    <w:rsid w:val="00C525AE"/>
    <w:rsid w:val="00C52B11"/>
    <w:rsid w:val="00C52CF5"/>
    <w:rsid w:val="00C5370C"/>
    <w:rsid w:val="00C541DD"/>
    <w:rsid w:val="00C55C76"/>
    <w:rsid w:val="00C56EDD"/>
    <w:rsid w:val="00C60C95"/>
    <w:rsid w:val="00C61944"/>
    <w:rsid w:val="00C63007"/>
    <w:rsid w:val="00C63813"/>
    <w:rsid w:val="00C6446C"/>
    <w:rsid w:val="00C64D91"/>
    <w:rsid w:val="00C65709"/>
    <w:rsid w:val="00C70971"/>
    <w:rsid w:val="00C72026"/>
    <w:rsid w:val="00C73C24"/>
    <w:rsid w:val="00C7595C"/>
    <w:rsid w:val="00C803D5"/>
    <w:rsid w:val="00C807F7"/>
    <w:rsid w:val="00C81FA7"/>
    <w:rsid w:val="00C8226E"/>
    <w:rsid w:val="00C8360E"/>
    <w:rsid w:val="00C85658"/>
    <w:rsid w:val="00C859CB"/>
    <w:rsid w:val="00C86EDC"/>
    <w:rsid w:val="00C8710E"/>
    <w:rsid w:val="00C87D84"/>
    <w:rsid w:val="00C90AFD"/>
    <w:rsid w:val="00C90C9C"/>
    <w:rsid w:val="00C921E2"/>
    <w:rsid w:val="00C94596"/>
    <w:rsid w:val="00C95299"/>
    <w:rsid w:val="00C95A39"/>
    <w:rsid w:val="00C95AA4"/>
    <w:rsid w:val="00C97132"/>
    <w:rsid w:val="00CA039C"/>
    <w:rsid w:val="00CA095D"/>
    <w:rsid w:val="00CA203C"/>
    <w:rsid w:val="00CA2672"/>
    <w:rsid w:val="00CA2EA5"/>
    <w:rsid w:val="00CA4525"/>
    <w:rsid w:val="00CA4F94"/>
    <w:rsid w:val="00CA66C0"/>
    <w:rsid w:val="00CB0A05"/>
    <w:rsid w:val="00CB1645"/>
    <w:rsid w:val="00CB2293"/>
    <w:rsid w:val="00CB2859"/>
    <w:rsid w:val="00CB5914"/>
    <w:rsid w:val="00CB5C53"/>
    <w:rsid w:val="00CB5DD0"/>
    <w:rsid w:val="00CB7E7E"/>
    <w:rsid w:val="00CC053F"/>
    <w:rsid w:val="00CC057D"/>
    <w:rsid w:val="00CC0B54"/>
    <w:rsid w:val="00CC15C8"/>
    <w:rsid w:val="00CC2290"/>
    <w:rsid w:val="00CC2C94"/>
    <w:rsid w:val="00CC37F1"/>
    <w:rsid w:val="00CC3B04"/>
    <w:rsid w:val="00CC3B26"/>
    <w:rsid w:val="00CC41EE"/>
    <w:rsid w:val="00CC4229"/>
    <w:rsid w:val="00CC5A0F"/>
    <w:rsid w:val="00CC5DD5"/>
    <w:rsid w:val="00CC5F17"/>
    <w:rsid w:val="00CC6182"/>
    <w:rsid w:val="00CC63CC"/>
    <w:rsid w:val="00CD2AFA"/>
    <w:rsid w:val="00CD3192"/>
    <w:rsid w:val="00CD354D"/>
    <w:rsid w:val="00CD3AAB"/>
    <w:rsid w:val="00CD3EFF"/>
    <w:rsid w:val="00CD4681"/>
    <w:rsid w:val="00CD6D25"/>
    <w:rsid w:val="00CD7A01"/>
    <w:rsid w:val="00CE0219"/>
    <w:rsid w:val="00CE09B6"/>
    <w:rsid w:val="00CE1598"/>
    <w:rsid w:val="00CE1B61"/>
    <w:rsid w:val="00CE3530"/>
    <w:rsid w:val="00CE4F46"/>
    <w:rsid w:val="00CE60DD"/>
    <w:rsid w:val="00CE65D2"/>
    <w:rsid w:val="00CE70C3"/>
    <w:rsid w:val="00CE7A35"/>
    <w:rsid w:val="00CF0B72"/>
    <w:rsid w:val="00CF3A9B"/>
    <w:rsid w:val="00CF4780"/>
    <w:rsid w:val="00CF4E75"/>
    <w:rsid w:val="00CF6038"/>
    <w:rsid w:val="00CF66A2"/>
    <w:rsid w:val="00CF7061"/>
    <w:rsid w:val="00D00318"/>
    <w:rsid w:val="00D004EA"/>
    <w:rsid w:val="00D01DA1"/>
    <w:rsid w:val="00D0244C"/>
    <w:rsid w:val="00D02585"/>
    <w:rsid w:val="00D02F9F"/>
    <w:rsid w:val="00D04BD0"/>
    <w:rsid w:val="00D061A5"/>
    <w:rsid w:val="00D070A0"/>
    <w:rsid w:val="00D07110"/>
    <w:rsid w:val="00D07524"/>
    <w:rsid w:val="00D07606"/>
    <w:rsid w:val="00D07B01"/>
    <w:rsid w:val="00D07D43"/>
    <w:rsid w:val="00D10D2B"/>
    <w:rsid w:val="00D10E80"/>
    <w:rsid w:val="00D11289"/>
    <w:rsid w:val="00D11997"/>
    <w:rsid w:val="00D12D7C"/>
    <w:rsid w:val="00D1413E"/>
    <w:rsid w:val="00D15442"/>
    <w:rsid w:val="00D20EAA"/>
    <w:rsid w:val="00D20F3C"/>
    <w:rsid w:val="00D21459"/>
    <w:rsid w:val="00D21AEF"/>
    <w:rsid w:val="00D21CED"/>
    <w:rsid w:val="00D23680"/>
    <w:rsid w:val="00D25456"/>
    <w:rsid w:val="00D259A7"/>
    <w:rsid w:val="00D25B02"/>
    <w:rsid w:val="00D2790D"/>
    <w:rsid w:val="00D33019"/>
    <w:rsid w:val="00D34FE1"/>
    <w:rsid w:val="00D351BC"/>
    <w:rsid w:val="00D35CFE"/>
    <w:rsid w:val="00D36462"/>
    <w:rsid w:val="00D3679F"/>
    <w:rsid w:val="00D37701"/>
    <w:rsid w:val="00D417CC"/>
    <w:rsid w:val="00D4224A"/>
    <w:rsid w:val="00D42BC8"/>
    <w:rsid w:val="00D42BCE"/>
    <w:rsid w:val="00D42C51"/>
    <w:rsid w:val="00D43154"/>
    <w:rsid w:val="00D4444F"/>
    <w:rsid w:val="00D45198"/>
    <w:rsid w:val="00D47177"/>
    <w:rsid w:val="00D473E4"/>
    <w:rsid w:val="00D47D89"/>
    <w:rsid w:val="00D516F9"/>
    <w:rsid w:val="00D52053"/>
    <w:rsid w:val="00D53F20"/>
    <w:rsid w:val="00D5468B"/>
    <w:rsid w:val="00D55CCD"/>
    <w:rsid w:val="00D57676"/>
    <w:rsid w:val="00D600A5"/>
    <w:rsid w:val="00D61B3D"/>
    <w:rsid w:val="00D6207A"/>
    <w:rsid w:val="00D62B9A"/>
    <w:rsid w:val="00D63402"/>
    <w:rsid w:val="00D64A38"/>
    <w:rsid w:val="00D65561"/>
    <w:rsid w:val="00D669E0"/>
    <w:rsid w:val="00D675A5"/>
    <w:rsid w:val="00D70324"/>
    <w:rsid w:val="00D72C11"/>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86917"/>
    <w:rsid w:val="00D9297C"/>
    <w:rsid w:val="00D9314E"/>
    <w:rsid w:val="00D93DA5"/>
    <w:rsid w:val="00D947A6"/>
    <w:rsid w:val="00D947D1"/>
    <w:rsid w:val="00D94A3E"/>
    <w:rsid w:val="00D962CC"/>
    <w:rsid w:val="00D96370"/>
    <w:rsid w:val="00D972B0"/>
    <w:rsid w:val="00DA1096"/>
    <w:rsid w:val="00DA16D3"/>
    <w:rsid w:val="00DA19F1"/>
    <w:rsid w:val="00DA3492"/>
    <w:rsid w:val="00DA4C57"/>
    <w:rsid w:val="00DA65E9"/>
    <w:rsid w:val="00DA734C"/>
    <w:rsid w:val="00DB09EB"/>
    <w:rsid w:val="00DB0E1A"/>
    <w:rsid w:val="00DB303E"/>
    <w:rsid w:val="00DB4421"/>
    <w:rsid w:val="00DB6DF9"/>
    <w:rsid w:val="00DB6F9D"/>
    <w:rsid w:val="00DC0281"/>
    <w:rsid w:val="00DC058A"/>
    <w:rsid w:val="00DC4D37"/>
    <w:rsid w:val="00DC4FF6"/>
    <w:rsid w:val="00DC6E30"/>
    <w:rsid w:val="00DD0566"/>
    <w:rsid w:val="00DD1587"/>
    <w:rsid w:val="00DD210E"/>
    <w:rsid w:val="00DD2B14"/>
    <w:rsid w:val="00DD4EB0"/>
    <w:rsid w:val="00DD6134"/>
    <w:rsid w:val="00DD7572"/>
    <w:rsid w:val="00DE0176"/>
    <w:rsid w:val="00DE0C0F"/>
    <w:rsid w:val="00DE1E09"/>
    <w:rsid w:val="00DE1E33"/>
    <w:rsid w:val="00DE278F"/>
    <w:rsid w:val="00DE449F"/>
    <w:rsid w:val="00DF0508"/>
    <w:rsid w:val="00DF1364"/>
    <w:rsid w:val="00DF231E"/>
    <w:rsid w:val="00DF29E8"/>
    <w:rsid w:val="00DF3023"/>
    <w:rsid w:val="00DF38DF"/>
    <w:rsid w:val="00DF44B0"/>
    <w:rsid w:val="00DF5F3D"/>
    <w:rsid w:val="00DF65DA"/>
    <w:rsid w:val="00DF6689"/>
    <w:rsid w:val="00DF7100"/>
    <w:rsid w:val="00E00575"/>
    <w:rsid w:val="00E01CF3"/>
    <w:rsid w:val="00E021EE"/>
    <w:rsid w:val="00E02C2F"/>
    <w:rsid w:val="00E02EC1"/>
    <w:rsid w:val="00E02FC7"/>
    <w:rsid w:val="00E03590"/>
    <w:rsid w:val="00E03703"/>
    <w:rsid w:val="00E042D8"/>
    <w:rsid w:val="00E049DB"/>
    <w:rsid w:val="00E0619C"/>
    <w:rsid w:val="00E072F2"/>
    <w:rsid w:val="00E129D3"/>
    <w:rsid w:val="00E129D9"/>
    <w:rsid w:val="00E1415C"/>
    <w:rsid w:val="00E14AEB"/>
    <w:rsid w:val="00E14B86"/>
    <w:rsid w:val="00E163D0"/>
    <w:rsid w:val="00E1744E"/>
    <w:rsid w:val="00E17556"/>
    <w:rsid w:val="00E2005E"/>
    <w:rsid w:val="00E20316"/>
    <w:rsid w:val="00E209F1"/>
    <w:rsid w:val="00E20E39"/>
    <w:rsid w:val="00E22C83"/>
    <w:rsid w:val="00E237EB"/>
    <w:rsid w:val="00E23A9C"/>
    <w:rsid w:val="00E24A09"/>
    <w:rsid w:val="00E261F6"/>
    <w:rsid w:val="00E31EC6"/>
    <w:rsid w:val="00E31FEE"/>
    <w:rsid w:val="00E3214D"/>
    <w:rsid w:val="00E347FD"/>
    <w:rsid w:val="00E35769"/>
    <w:rsid w:val="00E36B32"/>
    <w:rsid w:val="00E412B0"/>
    <w:rsid w:val="00E4193B"/>
    <w:rsid w:val="00E43E50"/>
    <w:rsid w:val="00E43FA9"/>
    <w:rsid w:val="00E45361"/>
    <w:rsid w:val="00E512C9"/>
    <w:rsid w:val="00E55B65"/>
    <w:rsid w:val="00E56E54"/>
    <w:rsid w:val="00E57A7C"/>
    <w:rsid w:val="00E62611"/>
    <w:rsid w:val="00E62615"/>
    <w:rsid w:val="00E627BB"/>
    <w:rsid w:val="00E6537A"/>
    <w:rsid w:val="00E656C1"/>
    <w:rsid w:val="00E65BBE"/>
    <w:rsid w:val="00E661DD"/>
    <w:rsid w:val="00E66889"/>
    <w:rsid w:val="00E66E39"/>
    <w:rsid w:val="00E70A64"/>
    <w:rsid w:val="00E72297"/>
    <w:rsid w:val="00E76D1E"/>
    <w:rsid w:val="00E77178"/>
    <w:rsid w:val="00E774DA"/>
    <w:rsid w:val="00E777D1"/>
    <w:rsid w:val="00E80A41"/>
    <w:rsid w:val="00E83731"/>
    <w:rsid w:val="00E839FC"/>
    <w:rsid w:val="00E856BC"/>
    <w:rsid w:val="00E858BF"/>
    <w:rsid w:val="00E862D5"/>
    <w:rsid w:val="00E90ADA"/>
    <w:rsid w:val="00E910B7"/>
    <w:rsid w:val="00E916B8"/>
    <w:rsid w:val="00E93239"/>
    <w:rsid w:val="00E932D2"/>
    <w:rsid w:val="00E9565B"/>
    <w:rsid w:val="00E97D35"/>
    <w:rsid w:val="00EA00D4"/>
    <w:rsid w:val="00EA01A8"/>
    <w:rsid w:val="00EA388B"/>
    <w:rsid w:val="00EA3982"/>
    <w:rsid w:val="00EA3D52"/>
    <w:rsid w:val="00EA53BC"/>
    <w:rsid w:val="00EA54EB"/>
    <w:rsid w:val="00EB1169"/>
    <w:rsid w:val="00EB2025"/>
    <w:rsid w:val="00EB3B29"/>
    <w:rsid w:val="00EB4A00"/>
    <w:rsid w:val="00EB53C0"/>
    <w:rsid w:val="00EB6E59"/>
    <w:rsid w:val="00EB782E"/>
    <w:rsid w:val="00EB7F37"/>
    <w:rsid w:val="00EC0DF2"/>
    <w:rsid w:val="00EC283A"/>
    <w:rsid w:val="00EC28DF"/>
    <w:rsid w:val="00EC2942"/>
    <w:rsid w:val="00EC4A90"/>
    <w:rsid w:val="00EC51B5"/>
    <w:rsid w:val="00EC6B12"/>
    <w:rsid w:val="00EC7BE7"/>
    <w:rsid w:val="00ED0CCF"/>
    <w:rsid w:val="00ED0D4E"/>
    <w:rsid w:val="00ED11BE"/>
    <w:rsid w:val="00ED1521"/>
    <w:rsid w:val="00ED2283"/>
    <w:rsid w:val="00ED301C"/>
    <w:rsid w:val="00ED39FA"/>
    <w:rsid w:val="00ED57FB"/>
    <w:rsid w:val="00ED6BC7"/>
    <w:rsid w:val="00ED719D"/>
    <w:rsid w:val="00EE0471"/>
    <w:rsid w:val="00EE0531"/>
    <w:rsid w:val="00EE17A4"/>
    <w:rsid w:val="00EE18E3"/>
    <w:rsid w:val="00EE4431"/>
    <w:rsid w:val="00EE51D6"/>
    <w:rsid w:val="00EE6C7D"/>
    <w:rsid w:val="00EE6D48"/>
    <w:rsid w:val="00EE7EDA"/>
    <w:rsid w:val="00EF1FB8"/>
    <w:rsid w:val="00EF3176"/>
    <w:rsid w:val="00EF3E9C"/>
    <w:rsid w:val="00EF42EE"/>
    <w:rsid w:val="00EF6033"/>
    <w:rsid w:val="00EF72F0"/>
    <w:rsid w:val="00EF72FA"/>
    <w:rsid w:val="00F000AA"/>
    <w:rsid w:val="00F0200A"/>
    <w:rsid w:val="00F02022"/>
    <w:rsid w:val="00F033A2"/>
    <w:rsid w:val="00F03479"/>
    <w:rsid w:val="00F043F3"/>
    <w:rsid w:val="00F06061"/>
    <w:rsid w:val="00F130A9"/>
    <w:rsid w:val="00F13605"/>
    <w:rsid w:val="00F155FD"/>
    <w:rsid w:val="00F1718B"/>
    <w:rsid w:val="00F172E7"/>
    <w:rsid w:val="00F24AAC"/>
    <w:rsid w:val="00F251C1"/>
    <w:rsid w:val="00F2704A"/>
    <w:rsid w:val="00F275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8F9"/>
    <w:rsid w:val="00F64D43"/>
    <w:rsid w:val="00F65AFA"/>
    <w:rsid w:val="00F67AA1"/>
    <w:rsid w:val="00F70190"/>
    <w:rsid w:val="00F701C0"/>
    <w:rsid w:val="00F70774"/>
    <w:rsid w:val="00F714CB"/>
    <w:rsid w:val="00F721F9"/>
    <w:rsid w:val="00F73CC8"/>
    <w:rsid w:val="00F77A7A"/>
    <w:rsid w:val="00F77F2B"/>
    <w:rsid w:val="00F814C8"/>
    <w:rsid w:val="00F823C6"/>
    <w:rsid w:val="00F83844"/>
    <w:rsid w:val="00F85B69"/>
    <w:rsid w:val="00F85F9D"/>
    <w:rsid w:val="00F8648B"/>
    <w:rsid w:val="00F8690A"/>
    <w:rsid w:val="00F86C2F"/>
    <w:rsid w:val="00F90BC9"/>
    <w:rsid w:val="00F90F6B"/>
    <w:rsid w:val="00F914CD"/>
    <w:rsid w:val="00F937D6"/>
    <w:rsid w:val="00F9541D"/>
    <w:rsid w:val="00F965E3"/>
    <w:rsid w:val="00F97AD9"/>
    <w:rsid w:val="00FA08A0"/>
    <w:rsid w:val="00FA0B35"/>
    <w:rsid w:val="00FA1243"/>
    <w:rsid w:val="00FA1EFE"/>
    <w:rsid w:val="00FA505C"/>
    <w:rsid w:val="00FA58BB"/>
    <w:rsid w:val="00FA6E2D"/>
    <w:rsid w:val="00FA7643"/>
    <w:rsid w:val="00FA7850"/>
    <w:rsid w:val="00FA786E"/>
    <w:rsid w:val="00FA78BB"/>
    <w:rsid w:val="00FA7F20"/>
    <w:rsid w:val="00FB0456"/>
    <w:rsid w:val="00FB11EF"/>
    <w:rsid w:val="00FB3431"/>
    <w:rsid w:val="00FB4096"/>
    <w:rsid w:val="00FB4438"/>
    <w:rsid w:val="00FB5975"/>
    <w:rsid w:val="00FB5A71"/>
    <w:rsid w:val="00FB62AB"/>
    <w:rsid w:val="00FB7379"/>
    <w:rsid w:val="00FB7B65"/>
    <w:rsid w:val="00FC0303"/>
    <w:rsid w:val="00FC7E81"/>
    <w:rsid w:val="00FD0302"/>
    <w:rsid w:val="00FD3164"/>
    <w:rsid w:val="00FD44A8"/>
    <w:rsid w:val="00FD5B47"/>
    <w:rsid w:val="00FD6AC7"/>
    <w:rsid w:val="00FE153E"/>
    <w:rsid w:val="00FE1D5C"/>
    <w:rsid w:val="00FE2D3A"/>
    <w:rsid w:val="00FE2E67"/>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1408923202">
      <w:bodyDiv w:val="1"/>
      <w:marLeft w:val="0"/>
      <w:marRight w:val="0"/>
      <w:marTop w:val="0"/>
      <w:marBottom w:val="0"/>
      <w:divBdr>
        <w:top w:val="none" w:sz="0" w:space="0" w:color="auto"/>
        <w:left w:val="none" w:sz="0" w:space="0" w:color="auto"/>
        <w:bottom w:val="none" w:sz="0" w:space="0" w:color="auto"/>
        <w:right w:val="none" w:sz="0" w:space="0" w:color="auto"/>
      </w:divBdr>
      <w:divsChild>
        <w:div w:id="40292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DAC7-1FBD-4311-9945-742F1FCE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12</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McNeal, Pamela</cp:lastModifiedBy>
  <cp:revision>18</cp:revision>
  <cp:lastPrinted>2016-03-10T17:16:00Z</cp:lastPrinted>
  <dcterms:created xsi:type="dcterms:W3CDTF">2016-03-09T16:12:00Z</dcterms:created>
  <dcterms:modified xsi:type="dcterms:W3CDTF">2016-03-23T19:41:00Z</dcterms:modified>
</cp:coreProperties>
</file>