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Pr="002C5AA3" w:rsidRDefault="005C1E28" w:rsidP="003970BC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March 29, 2016</w:t>
      </w:r>
    </w:p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PAUL E RUSSELL</w:t>
      </w:r>
    </w:p>
    <w:p w:rsidR="00436A74" w:rsidRDefault="00436A74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ASSOCIATE GENERAL COUNSEL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8A13F3">
        <w:rPr>
          <w:rFonts w:ascii="Arial" w:hAnsi="Arial" w:cs="Arial"/>
          <w:b/>
          <w:spacing w:val="-2"/>
          <w:sz w:val="24"/>
          <w:szCs w:val="24"/>
        </w:rPr>
        <w:t>April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2016-2534633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202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to PPL Electric’s Tariff – Electric 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8A13F3">
        <w:rPr>
          <w:rFonts w:ascii="Arial" w:hAnsi="Arial" w:cs="Arial"/>
          <w:spacing w:val="-2"/>
          <w:sz w:val="24"/>
          <w:szCs w:val="24"/>
        </w:rPr>
        <w:t>March 18, 2016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8A13F3">
        <w:rPr>
          <w:rFonts w:ascii="Arial" w:hAnsi="Arial" w:cs="Arial"/>
          <w:spacing w:val="-2"/>
          <w:sz w:val="24"/>
          <w:szCs w:val="24"/>
        </w:rPr>
        <w:t>April </w:t>
      </w:r>
      <w:r w:rsidR="0099219D">
        <w:rPr>
          <w:rFonts w:ascii="Arial" w:hAnsi="Arial" w:cs="Arial"/>
          <w:spacing w:val="-2"/>
          <w:sz w:val="24"/>
          <w:szCs w:val="24"/>
        </w:rPr>
        <w:t>1, 2016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he three month period of </w:t>
      </w:r>
      <w:r w:rsidR="008A13F3">
        <w:rPr>
          <w:rFonts w:ascii="Arial" w:hAnsi="Arial" w:cs="Arial"/>
          <w:spacing w:val="-2"/>
          <w:sz w:val="24"/>
          <w:szCs w:val="24"/>
        </w:rPr>
        <w:t>April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 through </w:t>
      </w:r>
      <w:r w:rsidR="008A13F3">
        <w:rPr>
          <w:rFonts w:ascii="Arial" w:hAnsi="Arial" w:cs="Arial"/>
          <w:spacing w:val="-2"/>
          <w:sz w:val="24"/>
          <w:szCs w:val="24"/>
        </w:rPr>
        <w:t>June 30</w:t>
      </w:r>
      <w:r w:rsidR="0099219D">
        <w:rPr>
          <w:rFonts w:ascii="Arial" w:hAnsi="Arial" w:cs="Arial"/>
          <w:spacing w:val="-2"/>
          <w:sz w:val="24"/>
          <w:szCs w:val="24"/>
        </w:rPr>
        <w:t>, 2016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</w:t>
      </w:r>
      <w:r w:rsidR="008A13F3">
        <w:rPr>
          <w:rFonts w:ascii="Arial" w:hAnsi="Arial" w:cs="Arial"/>
          <w:spacing w:val="-2"/>
          <w:sz w:val="24"/>
          <w:szCs w:val="24"/>
        </w:rPr>
        <w:t>16-2534633.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5C1E2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0A92C5" wp14:editId="2DAD5F37">
            <wp:simplePos x="0" y="0"/>
            <wp:positionH relativeFrom="column">
              <wp:posOffset>3114675</wp:posOffset>
            </wp:positionH>
            <wp:positionV relativeFrom="paragraph">
              <wp:posOffset>116840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8A13F3">
        <w:rPr>
          <w:rFonts w:ascii="Arial" w:hAnsi="Arial" w:cs="Arial"/>
          <w:sz w:val="24"/>
          <w:szCs w:val="24"/>
        </w:rPr>
        <w:t>Jennie Banzhof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A13F3">
        <w:rPr>
          <w:rFonts w:ascii="Arial" w:hAnsi="Arial" w:cs="Arial"/>
          <w:sz w:val="24"/>
          <w:szCs w:val="24"/>
        </w:rPr>
        <w:t>772-0307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A13F3"/>
    <w:rsid w:val="008F62B1"/>
    <w:rsid w:val="008F7FD2"/>
    <w:rsid w:val="00936CC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C30125"/>
    <w:rsid w:val="00CD5063"/>
    <w:rsid w:val="00CE0167"/>
    <w:rsid w:val="00D52934"/>
    <w:rsid w:val="00E656EF"/>
    <w:rsid w:val="00EA26CF"/>
    <w:rsid w:val="00EC6C69"/>
    <w:rsid w:val="00EF57CA"/>
    <w:rsid w:val="00F2785B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7745-8922-4F93-9216-FA6CD7CE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2015-12-29T18:20:00Z</cp:lastPrinted>
  <dcterms:created xsi:type="dcterms:W3CDTF">2016-03-21T17:21:00Z</dcterms:created>
  <dcterms:modified xsi:type="dcterms:W3CDTF">2016-03-29T13:15:00Z</dcterms:modified>
</cp:coreProperties>
</file>