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6E3" w:rsidRPr="006A50AE" w:rsidRDefault="00FF26E3" w:rsidP="00C61CD3">
      <w:pPr>
        <w:pStyle w:val="Title"/>
        <w:rPr>
          <w:rFonts w:ascii="Times New Roman" w:hAnsi="Times New Roman"/>
        </w:rPr>
      </w:pPr>
      <w:r w:rsidRPr="006A50AE">
        <w:rPr>
          <w:rFonts w:ascii="Times New Roman" w:hAnsi="Times New Roman"/>
        </w:rPr>
        <w:t>BEFORE THE</w:t>
      </w:r>
    </w:p>
    <w:p w:rsidR="00FF26E3" w:rsidRPr="006A50AE" w:rsidRDefault="00FF26E3" w:rsidP="00C61CD3">
      <w:pPr>
        <w:pStyle w:val="Subtitle"/>
        <w:rPr>
          <w:rFonts w:ascii="Times New Roman" w:hAnsi="Times New Roman"/>
        </w:rPr>
      </w:pPr>
      <w:r w:rsidRPr="006A50AE">
        <w:rPr>
          <w:rFonts w:ascii="Times New Roman" w:hAnsi="Times New Roman"/>
        </w:rPr>
        <w:t>PENNSYLVANIA PUBLIC UTILITY COMMISSION</w:t>
      </w:r>
    </w:p>
    <w:p w:rsidR="00FF26E3" w:rsidRPr="006A50AE" w:rsidRDefault="00FF26E3" w:rsidP="00C61CD3">
      <w:pPr>
        <w:jc w:val="both"/>
      </w:pPr>
    </w:p>
    <w:p w:rsidR="00FF26E3" w:rsidRPr="006A50AE" w:rsidRDefault="00FF26E3" w:rsidP="00C61CD3">
      <w:pPr>
        <w:jc w:val="both"/>
      </w:pPr>
    </w:p>
    <w:p w:rsidR="00FF26E3" w:rsidRPr="006A50AE" w:rsidRDefault="00FF26E3" w:rsidP="00C61CD3">
      <w:pPr>
        <w:jc w:val="both"/>
      </w:pPr>
    </w:p>
    <w:p w:rsidR="006A565D" w:rsidRPr="006A50AE" w:rsidRDefault="006A565D" w:rsidP="00C61CD3">
      <w:pPr>
        <w:jc w:val="both"/>
      </w:pPr>
      <w:r w:rsidRPr="006A50AE">
        <w:t>Aslam Malik</w:t>
      </w:r>
      <w:r w:rsidRPr="006A50AE">
        <w:tab/>
      </w:r>
      <w:r w:rsidRPr="006A50AE">
        <w:tab/>
      </w:r>
      <w:r w:rsidRPr="006A50AE">
        <w:tab/>
      </w:r>
      <w:r w:rsidRPr="006A50AE">
        <w:tab/>
      </w:r>
      <w:r w:rsidRPr="006A50AE">
        <w:tab/>
      </w:r>
      <w:r w:rsidRPr="006A50AE">
        <w:tab/>
        <w:t>:</w:t>
      </w:r>
    </w:p>
    <w:p w:rsidR="006A565D" w:rsidRPr="006A50AE" w:rsidRDefault="006A565D" w:rsidP="00C61CD3">
      <w:pPr>
        <w:jc w:val="both"/>
      </w:pPr>
      <w:r w:rsidRPr="006A50AE">
        <w:tab/>
      </w:r>
      <w:r w:rsidRPr="006A50AE">
        <w:tab/>
      </w:r>
      <w:r w:rsidRPr="006A50AE">
        <w:tab/>
      </w:r>
      <w:r w:rsidRPr="006A50AE">
        <w:tab/>
      </w:r>
      <w:r w:rsidRPr="006A50AE">
        <w:tab/>
      </w:r>
      <w:r w:rsidRPr="006A50AE">
        <w:tab/>
      </w:r>
      <w:r w:rsidRPr="006A50AE">
        <w:tab/>
        <w:t>:</w:t>
      </w:r>
    </w:p>
    <w:p w:rsidR="006A565D" w:rsidRPr="006A50AE" w:rsidRDefault="006A565D" w:rsidP="00C61CD3">
      <w:pPr>
        <w:jc w:val="both"/>
      </w:pPr>
      <w:r w:rsidRPr="006A50AE">
        <w:tab/>
        <w:t>v.</w:t>
      </w:r>
      <w:r w:rsidRPr="006A50AE">
        <w:tab/>
      </w:r>
      <w:r w:rsidRPr="006A50AE">
        <w:tab/>
      </w:r>
      <w:r w:rsidRPr="006A50AE">
        <w:tab/>
      </w:r>
      <w:r w:rsidRPr="006A50AE">
        <w:tab/>
      </w:r>
      <w:r w:rsidRPr="006A50AE">
        <w:tab/>
      </w:r>
      <w:r w:rsidRPr="006A50AE">
        <w:tab/>
        <w:t>:</w:t>
      </w:r>
      <w:r w:rsidRPr="006A50AE">
        <w:tab/>
      </w:r>
      <w:r w:rsidRPr="006A50AE">
        <w:tab/>
        <w:t>C-2015-2500594</w:t>
      </w:r>
    </w:p>
    <w:p w:rsidR="006A565D" w:rsidRPr="006A50AE" w:rsidRDefault="006A565D" w:rsidP="00C61CD3">
      <w:pPr>
        <w:jc w:val="both"/>
      </w:pPr>
      <w:r w:rsidRPr="006A50AE">
        <w:tab/>
      </w:r>
      <w:r w:rsidRPr="006A50AE">
        <w:tab/>
      </w:r>
      <w:r w:rsidRPr="006A50AE">
        <w:tab/>
      </w:r>
      <w:r w:rsidRPr="006A50AE">
        <w:tab/>
      </w:r>
      <w:r w:rsidRPr="006A50AE">
        <w:tab/>
      </w:r>
      <w:r w:rsidRPr="006A50AE">
        <w:tab/>
      </w:r>
      <w:r w:rsidRPr="006A50AE">
        <w:tab/>
        <w:t>:</w:t>
      </w:r>
    </w:p>
    <w:p w:rsidR="006A565D" w:rsidRPr="006A50AE" w:rsidRDefault="006A565D" w:rsidP="00C61CD3">
      <w:pPr>
        <w:jc w:val="both"/>
      </w:pPr>
      <w:r w:rsidRPr="006A50AE">
        <w:t>PECO Energy Company</w:t>
      </w:r>
      <w:r w:rsidRPr="006A50AE">
        <w:tab/>
      </w:r>
      <w:r w:rsidRPr="006A50AE">
        <w:tab/>
      </w:r>
      <w:r w:rsidRPr="006A50AE">
        <w:tab/>
      </w:r>
      <w:r w:rsidRPr="006A50AE">
        <w:tab/>
        <w:t>:</w:t>
      </w:r>
    </w:p>
    <w:p w:rsidR="006F0DE0" w:rsidRPr="006A50AE" w:rsidRDefault="006F0DE0" w:rsidP="00C61CD3">
      <w:pPr>
        <w:jc w:val="both"/>
      </w:pPr>
    </w:p>
    <w:p w:rsidR="00FF26E3" w:rsidRPr="006A50AE" w:rsidRDefault="00FF26E3" w:rsidP="00C61CD3">
      <w:pPr>
        <w:jc w:val="both"/>
      </w:pPr>
    </w:p>
    <w:p w:rsidR="005A0684" w:rsidRPr="006A50AE" w:rsidRDefault="005A0684" w:rsidP="00C61CD3">
      <w:pPr>
        <w:jc w:val="both"/>
      </w:pPr>
    </w:p>
    <w:p w:rsidR="00FF26E3" w:rsidRPr="006A50AE" w:rsidRDefault="00FF26E3" w:rsidP="00C61CD3">
      <w:pPr>
        <w:pStyle w:val="Heading1"/>
        <w:rPr>
          <w:rFonts w:ascii="Times New Roman" w:hAnsi="Times New Roman"/>
        </w:rPr>
      </w:pPr>
      <w:r w:rsidRPr="006A50AE">
        <w:rPr>
          <w:rFonts w:ascii="Times New Roman" w:hAnsi="Times New Roman"/>
        </w:rPr>
        <w:t xml:space="preserve">INITIAL </w:t>
      </w:r>
      <w:r w:rsidR="00000687" w:rsidRPr="006A50AE">
        <w:rPr>
          <w:rFonts w:ascii="Times New Roman" w:hAnsi="Times New Roman"/>
        </w:rPr>
        <w:t>DECISION</w:t>
      </w:r>
    </w:p>
    <w:p w:rsidR="00FF26E3" w:rsidRPr="006A50AE" w:rsidRDefault="00FF26E3" w:rsidP="00C61CD3">
      <w:pPr>
        <w:jc w:val="center"/>
        <w:rPr>
          <w:b/>
        </w:rPr>
      </w:pPr>
    </w:p>
    <w:p w:rsidR="00FF26E3" w:rsidRPr="006A50AE" w:rsidRDefault="00FF26E3" w:rsidP="00C61CD3">
      <w:pPr>
        <w:jc w:val="center"/>
        <w:rPr>
          <w:b/>
        </w:rPr>
      </w:pPr>
    </w:p>
    <w:p w:rsidR="00FF26E3" w:rsidRPr="006A50AE" w:rsidRDefault="00FF26E3" w:rsidP="00C61CD3">
      <w:pPr>
        <w:pStyle w:val="Heading2"/>
        <w:rPr>
          <w:rFonts w:ascii="Times New Roman" w:hAnsi="Times New Roman"/>
          <w:b w:val="0"/>
        </w:rPr>
      </w:pPr>
      <w:r w:rsidRPr="006A50AE">
        <w:rPr>
          <w:rFonts w:ascii="Times New Roman" w:hAnsi="Times New Roman"/>
          <w:b w:val="0"/>
        </w:rPr>
        <w:t>Before</w:t>
      </w:r>
    </w:p>
    <w:p w:rsidR="00FF26E3" w:rsidRPr="006A50AE" w:rsidRDefault="00FF26E3" w:rsidP="00C61CD3">
      <w:pPr>
        <w:jc w:val="center"/>
      </w:pPr>
      <w:r w:rsidRPr="006A50AE">
        <w:t>Cynthia Williams Fordham</w:t>
      </w:r>
    </w:p>
    <w:p w:rsidR="00FF26E3" w:rsidRPr="006A50AE" w:rsidRDefault="00FF26E3" w:rsidP="00C61CD3">
      <w:pPr>
        <w:jc w:val="center"/>
      </w:pPr>
      <w:r w:rsidRPr="006A50AE">
        <w:t>Administrative Law Judge</w:t>
      </w:r>
    </w:p>
    <w:p w:rsidR="00FF26E3" w:rsidRPr="006A50AE" w:rsidRDefault="00FF26E3" w:rsidP="00C61CD3">
      <w:pPr>
        <w:jc w:val="center"/>
        <w:rPr>
          <w:b/>
        </w:rPr>
      </w:pPr>
    </w:p>
    <w:p w:rsidR="005A0684" w:rsidRPr="006A50AE" w:rsidRDefault="005A0684" w:rsidP="00C61CD3">
      <w:pPr>
        <w:jc w:val="center"/>
        <w:rPr>
          <w:b/>
        </w:rPr>
      </w:pPr>
    </w:p>
    <w:p w:rsidR="004C00D9" w:rsidRPr="006A50AE" w:rsidRDefault="004C00D9" w:rsidP="00C61CD3">
      <w:pPr>
        <w:spacing w:line="360" w:lineRule="auto"/>
      </w:pPr>
      <w:r w:rsidRPr="006A50AE">
        <w:tab/>
      </w:r>
      <w:r w:rsidRPr="006A50AE">
        <w:tab/>
        <w:t xml:space="preserve">The Complainant alleged that </w:t>
      </w:r>
      <w:r w:rsidR="00F7339C" w:rsidRPr="006A50AE">
        <w:t xml:space="preserve">no </w:t>
      </w:r>
      <w:r w:rsidR="00B733C6" w:rsidRPr="006A50AE">
        <w:t>foreign load</w:t>
      </w:r>
      <w:r w:rsidR="00F7339C" w:rsidRPr="006A50AE">
        <w:t xml:space="preserve"> was found and that </w:t>
      </w:r>
      <w:r w:rsidRPr="006A50AE">
        <w:t>the Respondent transferred h</w:t>
      </w:r>
      <w:r w:rsidR="00733F6F" w:rsidRPr="006A50AE">
        <w:t>is</w:t>
      </w:r>
      <w:r w:rsidRPr="006A50AE">
        <w:t xml:space="preserve"> tenants’ </w:t>
      </w:r>
      <w:r w:rsidR="00F56D5C" w:rsidRPr="006A50AE">
        <w:t xml:space="preserve">electric </w:t>
      </w:r>
      <w:r w:rsidRPr="006A50AE">
        <w:t>bills to him without notifying him.  The Respondent presented evidence to show that it transferred the tenants’ bills to the Complainant/landlord a</w:t>
      </w:r>
      <w:r w:rsidR="00733F6F" w:rsidRPr="006A50AE">
        <w:t xml:space="preserve">fter </w:t>
      </w:r>
      <w:r w:rsidRPr="006A50AE">
        <w:t xml:space="preserve">it found </w:t>
      </w:r>
      <w:r w:rsidR="00B733C6" w:rsidRPr="006A50AE">
        <w:t>foreign load</w:t>
      </w:r>
      <w:r w:rsidRPr="006A50AE">
        <w:t>.  The complaint is dismissed because the Complainant failed to prove that the Respondent violated the Public Utility Code</w:t>
      </w:r>
      <w:r w:rsidR="00733F6F" w:rsidRPr="006A50AE">
        <w:t xml:space="preserve"> or</w:t>
      </w:r>
      <w:r w:rsidRPr="006A50AE">
        <w:t xml:space="preserve"> the Commission’s regulations. </w:t>
      </w:r>
    </w:p>
    <w:p w:rsidR="00FF26E3" w:rsidRPr="006A50AE" w:rsidRDefault="00FF26E3" w:rsidP="00C61CD3">
      <w:pPr>
        <w:spacing w:line="360" w:lineRule="auto"/>
        <w:jc w:val="center"/>
        <w:rPr>
          <w:b/>
        </w:rPr>
      </w:pPr>
    </w:p>
    <w:p w:rsidR="00FF26E3" w:rsidRPr="006A50AE" w:rsidRDefault="00FF26E3" w:rsidP="00C61CD3">
      <w:pPr>
        <w:pStyle w:val="Heading1"/>
        <w:tabs>
          <w:tab w:val="left" w:pos="1980"/>
        </w:tabs>
        <w:spacing w:line="360" w:lineRule="auto"/>
        <w:rPr>
          <w:rFonts w:ascii="Times New Roman" w:hAnsi="Times New Roman"/>
          <w:b w:val="0"/>
        </w:rPr>
      </w:pPr>
      <w:r w:rsidRPr="006A50AE">
        <w:rPr>
          <w:rFonts w:ascii="Times New Roman" w:hAnsi="Times New Roman"/>
          <w:b w:val="0"/>
        </w:rPr>
        <w:t>HISTORY OF THE PROCEEDING</w:t>
      </w:r>
    </w:p>
    <w:p w:rsidR="00973DDC" w:rsidRPr="006A50AE" w:rsidRDefault="00973DDC" w:rsidP="00C61CD3">
      <w:pPr>
        <w:spacing w:line="360" w:lineRule="auto"/>
      </w:pPr>
    </w:p>
    <w:p w:rsidR="000E554D" w:rsidRPr="006A50AE" w:rsidRDefault="000E554D" w:rsidP="001C4C9D">
      <w:pPr>
        <w:pStyle w:val="BodyText"/>
        <w:tabs>
          <w:tab w:val="clear" w:pos="1980"/>
          <w:tab w:val="left" w:pos="0"/>
        </w:tabs>
        <w:spacing w:line="360" w:lineRule="auto"/>
        <w:jc w:val="left"/>
        <w:rPr>
          <w:rFonts w:ascii="Times New Roman" w:hAnsi="Times New Roman"/>
        </w:rPr>
      </w:pPr>
      <w:r w:rsidRPr="006A50AE">
        <w:rPr>
          <w:rFonts w:ascii="Times New Roman" w:hAnsi="Times New Roman"/>
        </w:rPr>
        <w:tab/>
      </w:r>
      <w:r w:rsidRPr="006A50AE">
        <w:rPr>
          <w:rFonts w:ascii="Times New Roman" w:hAnsi="Times New Roman"/>
        </w:rPr>
        <w:tab/>
        <w:t>On August 26, 20</w:t>
      </w:r>
      <w:r w:rsidR="00C61CD3">
        <w:rPr>
          <w:rFonts w:ascii="Times New Roman" w:hAnsi="Times New Roman"/>
        </w:rPr>
        <w:t xml:space="preserve">15, Aslam Malik (“Malik” or </w:t>
      </w:r>
      <w:r w:rsidRPr="006A50AE">
        <w:rPr>
          <w:rFonts w:ascii="Times New Roman" w:hAnsi="Times New Roman"/>
        </w:rPr>
        <w:t xml:space="preserve">“Complainant”) filed a complaint with the Public Utility Commission (“Commission”) against PECO Energy Company (“PECO” or “Respondent”), alleging that the Respondent did not find </w:t>
      </w:r>
      <w:r w:rsidR="00B733C6" w:rsidRPr="006A50AE">
        <w:rPr>
          <w:rFonts w:ascii="Times New Roman" w:hAnsi="Times New Roman"/>
        </w:rPr>
        <w:t>foreign load</w:t>
      </w:r>
      <w:r w:rsidR="00687D26">
        <w:rPr>
          <w:rFonts w:ascii="Times New Roman" w:hAnsi="Times New Roman"/>
        </w:rPr>
        <w:t>,</w:t>
      </w:r>
      <w:r w:rsidRPr="006A50AE">
        <w:rPr>
          <w:rFonts w:ascii="Times New Roman" w:hAnsi="Times New Roman"/>
        </w:rPr>
        <w:t xml:space="preserve"> and </w:t>
      </w:r>
      <w:r w:rsidR="004C00D9" w:rsidRPr="006A50AE">
        <w:rPr>
          <w:rFonts w:ascii="Times New Roman" w:hAnsi="Times New Roman"/>
        </w:rPr>
        <w:t xml:space="preserve">that </w:t>
      </w:r>
      <w:r w:rsidRPr="006A50AE">
        <w:rPr>
          <w:rFonts w:ascii="Times New Roman" w:hAnsi="Times New Roman"/>
        </w:rPr>
        <w:t xml:space="preserve">the Respondent transferred the electric service for </w:t>
      </w:r>
      <w:r w:rsidR="00F56D5C" w:rsidRPr="006A50AE">
        <w:rPr>
          <w:rFonts w:ascii="Times New Roman" w:hAnsi="Times New Roman"/>
        </w:rPr>
        <w:t>his tenants</w:t>
      </w:r>
      <w:r w:rsidRPr="006A50AE">
        <w:rPr>
          <w:rFonts w:ascii="Times New Roman" w:hAnsi="Times New Roman"/>
        </w:rPr>
        <w:t xml:space="preserve"> to h</w:t>
      </w:r>
      <w:r w:rsidR="00DF7C05" w:rsidRPr="006A50AE">
        <w:rPr>
          <w:rFonts w:ascii="Times New Roman" w:hAnsi="Times New Roman"/>
        </w:rPr>
        <w:t>is name without his knowledge</w:t>
      </w:r>
      <w:r w:rsidRPr="006A50AE">
        <w:rPr>
          <w:rFonts w:ascii="Times New Roman" w:hAnsi="Times New Roman"/>
        </w:rPr>
        <w:t xml:space="preserve">.  The Complainant requested </w:t>
      </w:r>
      <w:r w:rsidR="0001222A" w:rsidRPr="006A50AE">
        <w:rPr>
          <w:rFonts w:ascii="Times New Roman" w:hAnsi="Times New Roman"/>
        </w:rPr>
        <w:t xml:space="preserve">that </w:t>
      </w:r>
      <w:r w:rsidRPr="006A50AE">
        <w:rPr>
          <w:rFonts w:ascii="Times New Roman" w:hAnsi="Times New Roman"/>
        </w:rPr>
        <w:t>the Respondent remove the charges from his bill.</w:t>
      </w:r>
    </w:p>
    <w:p w:rsidR="000E554D" w:rsidRPr="006A50AE" w:rsidRDefault="000E554D" w:rsidP="00C61CD3">
      <w:pPr>
        <w:pStyle w:val="BodyText"/>
        <w:tabs>
          <w:tab w:val="left" w:pos="0"/>
        </w:tabs>
        <w:spacing w:line="360" w:lineRule="auto"/>
        <w:rPr>
          <w:rFonts w:ascii="Times New Roman" w:hAnsi="Times New Roman"/>
        </w:rPr>
      </w:pPr>
    </w:p>
    <w:p w:rsidR="000E554D" w:rsidRPr="006A50AE" w:rsidRDefault="000E554D" w:rsidP="00C61CD3">
      <w:pPr>
        <w:pStyle w:val="BodyText"/>
        <w:tabs>
          <w:tab w:val="clear" w:pos="1980"/>
          <w:tab w:val="left" w:pos="0"/>
        </w:tabs>
        <w:spacing w:line="360" w:lineRule="auto"/>
        <w:jc w:val="left"/>
        <w:rPr>
          <w:rFonts w:ascii="Times New Roman" w:hAnsi="Times New Roman"/>
        </w:rPr>
      </w:pPr>
      <w:r w:rsidRPr="006A50AE">
        <w:rPr>
          <w:rFonts w:ascii="Times New Roman" w:hAnsi="Times New Roman"/>
        </w:rPr>
        <w:tab/>
      </w:r>
      <w:r w:rsidRPr="006A50AE">
        <w:rPr>
          <w:rFonts w:ascii="Times New Roman" w:hAnsi="Times New Roman"/>
        </w:rPr>
        <w:tab/>
        <w:t xml:space="preserve">On September 16, 2015, the Respondent filed an answer.  The Respondent stated that the Complainant owns the property at 9470 Frankford Avenue.  </w:t>
      </w:r>
      <w:r w:rsidR="00F56D5C" w:rsidRPr="006A50AE">
        <w:rPr>
          <w:rFonts w:ascii="Times New Roman" w:hAnsi="Times New Roman"/>
        </w:rPr>
        <w:t xml:space="preserve">In the answer, the Respondent made the following statements.  </w:t>
      </w:r>
      <w:r w:rsidRPr="006A50AE">
        <w:rPr>
          <w:rFonts w:ascii="Times New Roman" w:hAnsi="Times New Roman"/>
        </w:rPr>
        <w:t xml:space="preserve">The first floor tenant, Anthony Carraccio, </w:t>
      </w:r>
      <w:r w:rsidRPr="006A50AE">
        <w:rPr>
          <w:rFonts w:ascii="Times New Roman" w:hAnsi="Times New Roman"/>
        </w:rPr>
        <w:lastRenderedPageBreak/>
        <w:t xml:space="preserve">complained of high bills in September 2014.  When the Respondent’s technician visited the property on September 8, 2014, he found </w:t>
      </w:r>
      <w:r w:rsidR="00B733C6" w:rsidRPr="006A50AE">
        <w:rPr>
          <w:rFonts w:ascii="Times New Roman" w:hAnsi="Times New Roman"/>
        </w:rPr>
        <w:t>foreign load</w:t>
      </w:r>
      <w:r w:rsidRPr="006A50AE">
        <w:rPr>
          <w:rFonts w:ascii="Times New Roman" w:hAnsi="Times New Roman"/>
        </w:rPr>
        <w:t xml:space="preserve">.  The Respondent sent the Complainant correspondence, dated September 9, 2014, advising the Complainant of the </w:t>
      </w:r>
      <w:r w:rsidR="00B733C6" w:rsidRPr="006A50AE">
        <w:rPr>
          <w:rFonts w:ascii="Times New Roman" w:hAnsi="Times New Roman"/>
        </w:rPr>
        <w:t>foreign load</w:t>
      </w:r>
      <w:r w:rsidRPr="006A50AE">
        <w:rPr>
          <w:rFonts w:ascii="Times New Roman" w:hAnsi="Times New Roman"/>
        </w:rPr>
        <w:t>.  On September 12, 2014, the Respondent transferred Mr. Carraccio’s $310</w:t>
      </w:r>
      <w:r w:rsidR="00B93E26" w:rsidRPr="006A50AE">
        <w:rPr>
          <w:rFonts w:ascii="Times New Roman" w:hAnsi="Times New Roman"/>
        </w:rPr>
        <w:t>.38 balance to the</w:t>
      </w:r>
      <w:r w:rsidRPr="006A50AE">
        <w:rPr>
          <w:rFonts w:ascii="Times New Roman" w:hAnsi="Times New Roman"/>
        </w:rPr>
        <w:t xml:space="preserve"> new account</w:t>
      </w:r>
      <w:r w:rsidR="00B93E26" w:rsidRPr="006A50AE">
        <w:rPr>
          <w:rFonts w:ascii="Times New Roman" w:hAnsi="Times New Roman"/>
        </w:rPr>
        <w:t xml:space="preserve"> the Respondent established for the Complainant</w:t>
      </w:r>
      <w:r w:rsidRPr="006A50AE">
        <w:rPr>
          <w:rFonts w:ascii="Times New Roman" w:hAnsi="Times New Roman"/>
        </w:rPr>
        <w:t xml:space="preserve">.  The second floor tenant, Teresa McNamee, complained of high bills in September 2014.  When the Respondent’s technician visited the property on October 14, 2014, he found </w:t>
      </w:r>
      <w:r w:rsidR="00B733C6" w:rsidRPr="006A50AE">
        <w:rPr>
          <w:rFonts w:ascii="Times New Roman" w:hAnsi="Times New Roman"/>
        </w:rPr>
        <w:t>foreign load</w:t>
      </w:r>
      <w:r w:rsidRPr="006A50AE">
        <w:rPr>
          <w:rFonts w:ascii="Times New Roman" w:hAnsi="Times New Roman"/>
        </w:rPr>
        <w:t>.</w:t>
      </w:r>
      <w:r w:rsidR="008658AB">
        <w:rPr>
          <w:rFonts w:ascii="Times New Roman" w:hAnsi="Times New Roman"/>
        </w:rPr>
        <w:t xml:space="preserve">  On October 14, 2014, the Respondent transferred Ms. McNamee’s $477.13 balance to the new account the Respondent established for the Complainant.</w:t>
      </w:r>
      <w:r w:rsidRPr="006A50AE">
        <w:rPr>
          <w:rFonts w:ascii="Times New Roman" w:hAnsi="Times New Roman"/>
        </w:rPr>
        <w:t xml:space="preserve">  On December 19, 2014, the Complainant filed an informal complaint disputing the transfers.  On December 30, 2014, the Complainant advised the Respondent that the </w:t>
      </w:r>
      <w:r w:rsidR="00B733C6" w:rsidRPr="006A50AE">
        <w:rPr>
          <w:rFonts w:ascii="Times New Roman" w:hAnsi="Times New Roman"/>
        </w:rPr>
        <w:t>foreign load</w:t>
      </w:r>
      <w:r w:rsidRPr="006A50AE">
        <w:rPr>
          <w:rFonts w:ascii="Times New Roman" w:hAnsi="Times New Roman"/>
        </w:rPr>
        <w:t xml:space="preserve"> had been corrected.  On January 8, 2015, the Respondent’s technician verified that the </w:t>
      </w:r>
      <w:r w:rsidR="00B733C6" w:rsidRPr="006A50AE">
        <w:rPr>
          <w:rFonts w:ascii="Times New Roman" w:hAnsi="Times New Roman"/>
        </w:rPr>
        <w:t>foreign load</w:t>
      </w:r>
      <w:r w:rsidRPr="006A50AE">
        <w:rPr>
          <w:rFonts w:ascii="Times New Roman" w:hAnsi="Times New Roman"/>
        </w:rPr>
        <w:t xml:space="preserve"> had been corrected.  Therefore, the Respondent closed the </w:t>
      </w:r>
      <w:r w:rsidR="00B93E26" w:rsidRPr="006A50AE">
        <w:rPr>
          <w:rFonts w:ascii="Times New Roman" w:hAnsi="Times New Roman"/>
        </w:rPr>
        <w:t>Complainant’s</w:t>
      </w:r>
      <w:r w:rsidRPr="006A50AE">
        <w:rPr>
          <w:rFonts w:ascii="Times New Roman" w:hAnsi="Times New Roman"/>
        </w:rPr>
        <w:t xml:space="preserve"> accounts effective January 8, 2015</w:t>
      </w:r>
      <w:r w:rsidR="008B3944" w:rsidRPr="006A50AE">
        <w:rPr>
          <w:rFonts w:ascii="Times New Roman" w:hAnsi="Times New Roman"/>
        </w:rPr>
        <w:t>,</w:t>
      </w:r>
      <w:r w:rsidR="00687D26">
        <w:rPr>
          <w:rFonts w:ascii="Times New Roman" w:hAnsi="Times New Roman"/>
        </w:rPr>
        <w:t xml:space="preserve"> and</w:t>
      </w:r>
      <w:r w:rsidRPr="006A50AE">
        <w:rPr>
          <w:rFonts w:ascii="Times New Roman" w:hAnsi="Times New Roman"/>
        </w:rPr>
        <w:t xml:space="preserve"> </w:t>
      </w:r>
      <w:r w:rsidR="00B93E26" w:rsidRPr="006A50AE">
        <w:rPr>
          <w:rFonts w:ascii="Times New Roman" w:hAnsi="Times New Roman"/>
        </w:rPr>
        <w:t xml:space="preserve">returned the </w:t>
      </w:r>
      <w:r w:rsidR="00687D26">
        <w:rPr>
          <w:rFonts w:ascii="Times New Roman" w:hAnsi="Times New Roman"/>
        </w:rPr>
        <w:t>service</w:t>
      </w:r>
      <w:r w:rsidRPr="006A50AE">
        <w:rPr>
          <w:rFonts w:ascii="Times New Roman" w:hAnsi="Times New Roman"/>
        </w:rPr>
        <w:t xml:space="preserve"> to the tenants’ </w:t>
      </w:r>
      <w:r w:rsidR="00B93E26" w:rsidRPr="006A50AE">
        <w:rPr>
          <w:rFonts w:ascii="Times New Roman" w:hAnsi="Times New Roman"/>
        </w:rPr>
        <w:t>accounts</w:t>
      </w:r>
      <w:r w:rsidRPr="006A50AE">
        <w:rPr>
          <w:rFonts w:ascii="Times New Roman" w:hAnsi="Times New Roman"/>
        </w:rPr>
        <w:t xml:space="preserve">.  The Bureau of Consumer Services dismissed the </w:t>
      </w:r>
      <w:r w:rsidR="00F7339C" w:rsidRPr="006A50AE">
        <w:rPr>
          <w:rFonts w:ascii="Times New Roman" w:hAnsi="Times New Roman"/>
        </w:rPr>
        <w:t xml:space="preserve">informal </w:t>
      </w:r>
      <w:r w:rsidRPr="006A50AE">
        <w:rPr>
          <w:rFonts w:ascii="Times New Roman" w:hAnsi="Times New Roman"/>
        </w:rPr>
        <w:t xml:space="preserve">complaint </w:t>
      </w:r>
      <w:r w:rsidR="00F7339C" w:rsidRPr="006A50AE">
        <w:rPr>
          <w:rFonts w:ascii="Times New Roman" w:hAnsi="Times New Roman"/>
        </w:rPr>
        <w:t xml:space="preserve">(#003313627) </w:t>
      </w:r>
      <w:r w:rsidRPr="006A50AE">
        <w:rPr>
          <w:rFonts w:ascii="Times New Roman" w:hAnsi="Times New Roman"/>
        </w:rPr>
        <w:t xml:space="preserve">on July 16, 2015. </w:t>
      </w:r>
    </w:p>
    <w:p w:rsidR="000E554D" w:rsidRPr="006A50AE" w:rsidRDefault="000E554D" w:rsidP="00C61CD3">
      <w:pPr>
        <w:spacing w:line="360" w:lineRule="auto"/>
      </w:pPr>
    </w:p>
    <w:p w:rsidR="000E554D" w:rsidRPr="006A50AE" w:rsidRDefault="000E554D" w:rsidP="00C61CD3">
      <w:pPr>
        <w:spacing w:line="360" w:lineRule="auto"/>
      </w:pPr>
      <w:r w:rsidRPr="006A50AE">
        <w:tab/>
      </w:r>
      <w:r w:rsidRPr="006A50AE">
        <w:tab/>
        <w:t xml:space="preserve">By hearing notice dated </w:t>
      </w:r>
      <w:r w:rsidR="00B71EB6" w:rsidRPr="006A50AE">
        <w:t>September 28</w:t>
      </w:r>
      <w:r w:rsidRPr="006A50AE">
        <w:t xml:space="preserve">, 2015, the hearing in this matter was scheduled for </w:t>
      </w:r>
      <w:r w:rsidR="00B71EB6" w:rsidRPr="006A50AE">
        <w:t>Wednesday</w:t>
      </w:r>
      <w:r w:rsidRPr="006A50AE">
        <w:t xml:space="preserve">, </w:t>
      </w:r>
      <w:r w:rsidR="00B71EB6" w:rsidRPr="006A50AE">
        <w:t>December 9</w:t>
      </w:r>
      <w:r w:rsidRPr="006A50AE">
        <w:t xml:space="preserve">, 2015 at 10:00 a.m. and the case was assigned to </w:t>
      </w:r>
      <w:r w:rsidR="00B71EB6" w:rsidRPr="006A50AE">
        <w:t>Administrative Law Judge Katrina L. Dunderdale</w:t>
      </w:r>
      <w:r w:rsidRPr="006A50AE">
        <w:t>.</w:t>
      </w:r>
    </w:p>
    <w:p w:rsidR="00B71EB6" w:rsidRPr="006A50AE" w:rsidRDefault="00B71EB6" w:rsidP="00C61CD3">
      <w:pPr>
        <w:spacing w:line="360" w:lineRule="auto"/>
      </w:pPr>
    </w:p>
    <w:p w:rsidR="00B71EB6" w:rsidRPr="006A50AE" w:rsidRDefault="00B71EB6" w:rsidP="00C61CD3">
      <w:pPr>
        <w:spacing w:line="360" w:lineRule="auto"/>
      </w:pPr>
      <w:r w:rsidRPr="006A50AE">
        <w:tab/>
      </w:r>
      <w:r w:rsidRPr="006A50AE">
        <w:tab/>
        <w:t>By hearing change notice dated September 29, 2015, the case was assigned to the undersigned.</w:t>
      </w:r>
    </w:p>
    <w:p w:rsidR="000E554D" w:rsidRPr="006A50AE" w:rsidRDefault="000E554D" w:rsidP="00C61CD3">
      <w:pPr>
        <w:spacing w:line="360" w:lineRule="auto"/>
      </w:pPr>
    </w:p>
    <w:p w:rsidR="000E554D" w:rsidRPr="006A50AE" w:rsidRDefault="000E554D" w:rsidP="00C61CD3">
      <w:pPr>
        <w:spacing w:line="360" w:lineRule="auto"/>
      </w:pPr>
      <w:r w:rsidRPr="006A50AE">
        <w:tab/>
      </w:r>
      <w:r w:rsidRPr="006A50AE">
        <w:tab/>
        <w:t xml:space="preserve">A Prehearing Order was sent to the parties on </w:t>
      </w:r>
      <w:r w:rsidR="00B71EB6" w:rsidRPr="006A50AE">
        <w:t>November 16, 2015</w:t>
      </w:r>
      <w:r w:rsidRPr="006A50AE">
        <w:t>.</w:t>
      </w:r>
    </w:p>
    <w:p w:rsidR="000E554D" w:rsidRPr="006A50AE" w:rsidRDefault="000E554D" w:rsidP="00C61CD3">
      <w:pPr>
        <w:spacing w:line="360" w:lineRule="auto"/>
      </w:pPr>
    </w:p>
    <w:p w:rsidR="00E250F2" w:rsidRPr="006A50AE" w:rsidRDefault="000E554D" w:rsidP="00C61CD3">
      <w:pPr>
        <w:spacing w:line="360" w:lineRule="auto"/>
      </w:pPr>
      <w:r w:rsidRPr="006A50AE">
        <w:tab/>
      </w:r>
      <w:r w:rsidRPr="006A50AE">
        <w:tab/>
        <w:t>A hearing was held in this matter on December 9, 2015 at 10:00 a.m. in the Philadelphia Regional Office at 801 Market Street before Administrative Law Judge Cynthia Williams Fordham</w:t>
      </w:r>
      <w:r w:rsidR="00FF26E3" w:rsidRPr="006A50AE">
        <w:t xml:space="preserve">.  </w:t>
      </w:r>
      <w:r w:rsidRPr="006A50AE">
        <w:t>Louis Schwartz, Esquire, represented t</w:t>
      </w:r>
      <w:r w:rsidR="00FF26E3" w:rsidRPr="006A50AE">
        <w:t xml:space="preserve">he Complainant, </w:t>
      </w:r>
      <w:r w:rsidR="00BA5E07" w:rsidRPr="006A50AE">
        <w:t>Aslam Malik</w:t>
      </w:r>
      <w:r w:rsidR="00FF26E3" w:rsidRPr="006A50AE">
        <w:t xml:space="preserve">, </w:t>
      </w:r>
      <w:r w:rsidRPr="006A50AE">
        <w:t xml:space="preserve">who </w:t>
      </w:r>
      <w:r w:rsidR="00FF26E3" w:rsidRPr="006A50AE">
        <w:t xml:space="preserve">testified in support of the complaint and sponsored </w:t>
      </w:r>
      <w:r w:rsidRPr="006A50AE">
        <w:t>four</w:t>
      </w:r>
      <w:r w:rsidR="00925AD1" w:rsidRPr="006A50AE">
        <w:t xml:space="preserve"> exhibits</w:t>
      </w:r>
      <w:r w:rsidR="002C098E" w:rsidRPr="006A50AE">
        <w:t>:</w:t>
      </w:r>
    </w:p>
    <w:p w:rsidR="00EE25BE" w:rsidRDefault="00EE25BE">
      <w:r>
        <w:br w:type="page"/>
      </w:r>
    </w:p>
    <w:p w:rsidR="000E554D" w:rsidRPr="006A50AE" w:rsidRDefault="00FF26E3" w:rsidP="00C61CD3">
      <w:pPr>
        <w:pStyle w:val="BodyText"/>
        <w:tabs>
          <w:tab w:val="clear" w:pos="1980"/>
          <w:tab w:val="left" w:pos="0"/>
        </w:tabs>
        <w:spacing w:line="240" w:lineRule="auto"/>
        <w:ind w:left="1440"/>
        <w:jc w:val="left"/>
        <w:rPr>
          <w:rFonts w:ascii="Times New Roman" w:hAnsi="Times New Roman"/>
        </w:rPr>
      </w:pPr>
      <w:r w:rsidRPr="006A50AE">
        <w:rPr>
          <w:rFonts w:ascii="Times New Roman" w:hAnsi="Times New Roman"/>
        </w:rPr>
        <w:lastRenderedPageBreak/>
        <w:t>Complainant’s Exhibit 1</w:t>
      </w:r>
      <w:r w:rsidR="008B3944" w:rsidRPr="006A50AE">
        <w:rPr>
          <w:rFonts w:ascii="Times New Roman" w:hAnsi="Times New Roman"/>
        </w:rPr>
        <w:t xml:space="preserve"> </w:t>
      </w:r>
      <w:r w:rsidRPr="006A50AE">
        <w:rPr>
          <w:rFonts w:ascii="Times New Roman" w:hAnsi="Times New Roman"/>
        </w:rPr>
        <w:t>-</w:t>
      </w:r>
      <w:r w:rsidR="008B3944" w:rsidRPr="006A50AE">
        <w:rPr>
          <w:rFonts w:ascii="Times New Roman" w:hAnsi="Times New Roman"/>
        </w:rPr>
        <w:t xml:space="preserve"> </w:t>
      </w:r>
      <w:r w:rsidR="000E554D" w:rsidRPr="006A50AE">
        <w:rPr>
          <w:rFonts w:ascii="Times New Roman" w:hAnsi="Times New Roman"/>
        </w:rPr>
        <w:t>residential lease</w:t>
      </w:r>
      <w:r w:rsidR="00570A3A" w:rsidRPr="006A50AE">
        <w:rPr>
          <w:rFonts w:ascii="Times New Roman" w:hAnsi="Times New Roman"/>
        </w:rPr>
        <w:t xml:space="preserve"> for the first floor apartment</w:t>
      </w:r>
      <w:r w:rsidR="006A7BB6" w:rsidRPr="006A50AE">
        <w:rPr>
          <w:rFonts w:ascii="Times New Roman" w:hAnsi="Times New Roman"/>
        </w:rPr>
        <w:t>;</w:t>
      </w:r>
    </w:p>
    <w:p w:rsidR="000E554D" w:rsidRPr="006A50AE" w:rsidRDefault="00925AD1" w:rsidP="00C61CD3">
      <w:pPr>
        <w:pStyle w:val="BodyText"/>
        <w:tabs>
          <w:tab w:val="clear" w:pos="1980"/>
          <w:tab w:val="left" w:pos="0"/>
        </w:tabs>
        <w:spacing w:line="240" w:lineRule="auto"/>
        <w:ind w:left="1440"/>
        <w:jc w:val="left"/>
        <w:rPr>
          <w:rFonts w:ascii="Times New Roman" w:hAnsi="Times New Roman"/>
        </w:rPr>
      </w:pPr>
      <w:r w:rsidRPr="006A50AE">
        <w:rPr>
          <w:rFonts w:ascii="Times New Roman" w:hAnsi="Times New Roman"/>
        </w:rPr>
        <w:t>Complainant’s Exhibit 2</w:t>
      </w:r>
      <w:r w:rsidR="008B3944" w:rsidRPr="006A50AE">
        <w:rPr>
          <w:rFonts w:ascii="Times New Roman" w:hAnsi="Times New Roman"/>
        </w:rPr>
        <w:t xml:space="preserve"> </w:t>
      </w:r>
      <w:r w:rsidR="006F0DE0" w:rsidRPr="006A50AE">
        <w:rPr>
          <w:rFonts w:ascii="Times New Roman" w:hAnsi="Times New Roman"/>
        </w:rPr>
        <w:t>-</w:t>
      </w:r>
      <w:r w:rsidR="008B3944" w:rsidRPr="006A50AE">
        <w:rPr>
          <w:rFonts w:ascii="Times New Roman" w:hAnsi="Times New Roman"/>
        </w:rPr>
        <w:t xml:space="preserve"> </w:t>
      </w:r>
      <w:r w:rsidR="000E554D" w:rsidRPr="006A50AE">
        <w:rPr>
          <w:rFonts w:ascii="Times New Roman" w:hAnsi="Times New Roman"/>
        </w:rPr>
        <w:t xml:space="preserve">residential lease </w:t>
      </w:r>
      <w:r w:rsidR="00570A3A" w:rsidRPr="006A50AE">
        <w:rPr>
          <w:rFonts w:ascii="Times New Roman" w:hAnsi="Times New Roman"/>
        </w:rPr>
        <w:t>for the second floor apartment</w:t>
      </w:r>
      <w:r w:rsidR="006A7BB6" w:rsidRPr="006A50AE">
        <w:rPr>
          <w:rFonts w:ascii="Times New Roman" w:hAnsi="Times New Roman"/>
        </w:rPr>
        <w:t>;</w:t>
      </w:r>
    </w:p>
    <w:p w:rsidR="000E554D" w:rsidRPr="006A50AE" w:rsidRDefault="00925AD1" w:rsidP="00C61CD3">
      <w:pPr>
        <w:pStyle w:val="BodyText"/>
        <w:tabs>
          <w:tab w:val="clear" w:pos="1980"/>
          <w:tab w:val="left" w:pos="0"/>
        </w:tabs>
        <w:spacing w:line="240" w:lineRule="auto"/>
        <w:ind w:left="1440"/>
        <w:jc w:val="left"/>
        <w:rPr>
          <w:rFonts w:ascii="Times New Roman" w:hAnsi="Times New Roman"/>
        </w:rPr>
      </w:pPr>
      <w:r w:rsidRPr="006A50AE">
        <w:rPr>
          <w:rFonts w:ascii="Times New Roman" w:hAnsi="Times New Roman"/>
        </w:rPr>
        <w:t>Complainant’s Exhibit 3</w:t>
      </w:r>
      <w:r w:rsidR="008B3944" w:rsidRPr="006A50AE">
        <w:rPr>
          <w:rFonts w:ascii="Times New Roman" w:hAnsi="Times New Roman"/>
        </w:rPr>
        <w:t xml:space="preserve"> </w:t>
      </w:r>
      <w:r w:rsidRPr="006A50AE">
        <w:rPr>
          <w:rFonts w:ascii="Times New Roman" w:hAnsi="Times New Roman"/>
        </w:rPr>
        <w:t>-</w:t>
      </w:r>
      <w:r w:rsidR="008B3944" w:rsidRPr="006A50AE">
        <w:rPr>
          <w:rFonts w:ascii="Times New Roman" w:hAnsi="Times New Roman"/>
        </w:rPr>
        <w:t xml:space="preserve"> </w:t>
      </w:r>
      <w:r w:rsidR="000E554D" w:rsidRPr="006A50AE">
        <w:rPr>
          <w:rFonts w:ascii="Times New Roman" w:hAnsi="Times New Roman"/>
        </w:rPr>
        <w:t>pho</w:t>
      </w:r>
      <w:r w:rsidR="00E61478" w:rsidRPr="006A50AE">
        <w:rPr>
          <w:rFonts w:ascii="Times New Roman" w:hAnsi="Times New Roman"/>
        </w:rPr>
        <w:t>to</w:t>
      </w:r>
      <w:r w:rsidR="00570A3A" w:rsidRPr="006A50AE">
        <w:rPr>
          <w:rFonts w:ascii="Times New Roman" w:hAnsi="Times New Roman"/>
        </w:rPr>
        <w:t xml:space="preserve"> of circuit breakers </w:t>
      </w:r>
      <w:r w:rsidR="00B71EB6" w:rsidRPr="006A50AE">
        <w:rPr>
          <w:rFonts w:ascii="Times New Roman" w:hAnsi="Times New Roman"/>
        </w:rPr>
        <w:t>for each apartment</w:t>
      </w:r>
      <w:r w:rsidR="006A7BB6" w:rsidRPr="006A50AE">
        <w:rPr>
          <w:rFonts w:ascii="Times New Roman" w:hAnsi="Times New Roman"/>
        </w:rPr>
        <w:t>; and</w:t>
      </w:r>
    </w:p>
    <w:p w:rsidR="00E250F2" w:rsidRDefault="00925AD1" w:rsidP="00C61CD3">
      <w:pPr>
        <w:pStyle w:val="BodyText"/>
        <w:tabs>
          <w:tab w:val="clear" w:pos="1980"/>
          <w:tab w:val="left" w:pos="0"/>
        </w:tabs>
        <w:spacing w:line="240" w:lineRule="auto"/>
        <w:ind w:left="1440"/>
        <w:jc w:val="left"/>
        <w:rPr>
          <w:rFonts w:ascii="Times New Roman" w:hAnsi="Times New Roman"/>
        </w:rPr>
      </w:pPr>
      <w:r w:rsidRPr="006A50AE">
        <w:rPr>
          <w:rFonts w:ascii="Times New Roman" w:hAnsi="Times New Roman"/>
        </w:rPr>
        <w:t>Complainant’s Exhibit 4</w:t>
      </w:r>
      <w:r w:rsidR="001E00C0" w:rsidRPr="006A50AE">
        <w:rPr>
          <w:rFonts w:ascii="Times New Roman" w:hAnsi="Times New Roman"/>
        </w:rPr>
        <w:t xml:space="preserve"> </w:t>
      </w:r>
      <w:r w:rsidRPr="006A50AE">
        <w:rPr>
          <w:rFonts w:ascii="Times New Roman" w:hAnsi="Times New Roman"/>
        </w:rPr>
        <w:t>-</w:t>
      </w:r>
      <w:r w:rsidR="001E00C0" w:rsidRPr="006A50AE">
        <w:rPr>
          <w:rFonts w:ascii="Times New Roman" w:hAnsi="Times New Roman"/>
        </w:rPr>
        <w:t xml:space="preserve"> </w:t>
      </w:r>
      <w:r w:rsidR="000E554D" w:rsidRPr="006A50AE">
        <w:rPr>
          <w:rFonts w:ascii="Times New Roman" w:hAnsi="Times New Roman"/>
        </w:rPr>
        <w:t>ph</w:t>
      </w:r>
      <w:r w:rsidR="000F5AA2" w:rsidRPr="006A50AE">
        <w:rPr>
          <w:rFonts w:ascii="Times New Roman" w:hAnsi="Times New Roman"/>
        </w:rPr>
        <w:t>o</w:t>
      </w:r>
      <w:r w:rsidR="000E554D" w:rsidRPr="006A50AE">
        <w:rPr>
          <w:rFonts w:ascii="Times New Roman" w:hAnsi="Times New Roman"/>
        </w:rPr>
        <w:t>t</w:t>
      </w:r>
      <w:r w:rsidR="000F5AA2" w:rsidRPr="006A50AE">
        <w:rPr>
          <w:rFonts w:ascii="Times New Roman" w:hAnsi="Times New Roman"/>
        </w:rPr>
        <w:t>o</w:t>
      </w:r>
      <w:r w:rsidR="00570A3A" w:rsidRPr="006A50AE">
        <w:rPr>
          <w:rFonts w:ascii="Times New Roman" w:hAnsi="Times New Roman"/>
        </w:rPr>
        <w:t xml:space="preserve"> of the laundry facilities in the basement</w:t>
      </w:r>
      <w:r w:rsidR="00F7339C" w:rsidRPr="006A50AE">
        <w:rPr>
          <w:rFonts w:ascii="Times New Roman" w:hAnsi="Times New Roman"/>
        </w:rPr>
        <w:t>.</w:t>
      </w:r>
      <w:r w:rsidR="00570A3A" w:rsidRPr="006A50AE">
        <w:rPr>
          <w:rFonts w:ascii="Times New Roman" w:hAnsi="Times New Roman"/>
        </w:rPr>
        <w:t xml:space="preserve"> </w:t>
      </w:r>
    </w:p>
    <w:p w:rsidR="00EE25BE" w:rsidRPr="006A50AE" w:rsidRDefault="00EE25BE" w:rsidP="00C61CD3">
      <w:pPr>
        <w:pStyle w:val="BodyText"/>
        <w:tabs>
          <w:tab w:val="clear" w:pos="1980"/>
          <w:tab w:val="left" w:pos="0"/>
        </w:tabs>
        <w:spacing w:line="240" w:lineRule="auto"/>
        <w:ind w:left="1440"/>
        <w:jc w:val="left"/>
        <w:rPr>
          <w:rFonts w:ascii="Times New Roman" w:hAnsi="Times New Roman"/>
        </w:rPr>
      </w:pPr>
    </w:p>
    <w:p w:rsidR="00BA5E07" w:rsidRPr="006A50AE" w:rsidRDefault="00E250F2" w:rsidP="00C61CD3">
      <w:pPr>
        <w:pStyle w:val="BodyText"/>
        <w:tabs>
          <w:tab w:val="clear" w:pos="1980"/>
          <w:tab w:val="left" w:pos="0"/>
        </w:tabs>
        <w:spacing w:line="360" w:lineRule="auto"/>
        <w:jc w:val="left"/>
        <w:rPr>
          <w:rFonts w:ascii="Times New Roman" w:hAnsi="Times New Roman"/>
        </w:rPr>
      </w:pPr>
      <w:r w:rsidRPr="006A50AE">
        <w:rPr>
          <w:rFonts w:ascii="Times New Roman" w:hAnsi="Times New Roman"/>
        </w:rPr>
        <w:tab/>
      </w:r>
      <w:r w:rsidRPr="006A50AE">
        <w:rPr>
          <w:rFonts w:ascii="Times New Roman" w:hAnsi="Times New Roman"/>
        </w:rPr>
        <w:tab/>
      </w:r>
      <w:r w:rsidR="006A565D" w:rsidRPr="006A50AE">
        <w:rPr>
          <w:rFonts w:ascii="Times New Roman" w:hAnsi="Times New Roman"/>
          <w:bCs/>
          <w:iCs/>
        </w:rPr>
        <w:t>Shawane L. Lee, Esquire,</w:t>
      </w:r>
      <w:r w:rsidR="00925AD1" w:rsidRPr="006A50AE">
        <w:rPr>
          <w:rFonts w:ascii="Times New Roman" w:hAnsi="Times New Roman"/>
        </w:rPr>
        <w:t xml:space="preserve"> represented PECO Energy Company.  The Respondent presented two witnesses, </w:t>
      </w:r>
      <w:r w:rsidR="00BA5E07" w:rsidRPr="006A50AE">
        <w:rPr>
          <w:rFonts w:ascii="Times New Roman" w:hAnsi="Times New Roman"/>
        </w:rPr>
        <w:t>Renee Tarpley</w:t>
      </w:r>
      <w:r w:rsidR="00925AD1" w:rsidRPr="006A50AE">
        <w:rPr>
          <w:rFonts w:ascii="Times New Roman" w:hAnsi="Times New Roman"/>
          <w:bCs/>
          <w:iCs/>
        </w:rPr>
        <w:t xml:space="preserve">, a </w:t>
      </w:r>
      <w:r w:rsidR="00BA5E07" w:rsidRPr="006A50AE">
        <w:rPr>
          <w:rFonts w:ascii="Times New Roman" w:hAnsi="Times New Roman"/>
          <w:bCs/>
          <w:iCs/>
        </w:rPr>
        <w:t xml:space="preserve">senior </w:t>
      </w:r>
      <w:r w:rsidR="00925AD1" w:rsidRPr="006A50AE">
        <w:rPr>
          <w:rFonts w:ascii="Times New Roman" w:hAnsi="Times New Roman"/>
          <w:bCs/>
          <w:iCs/>
        </w:rPr>
        <w:t xml:space="preserve">regulatory assessor for the Respondent, and </w:t>
      </w:r>
      <w:r w:rsidR="00BA5E07" w:rsidRPr="006A50AE">
        <w:rPr>
          <w:rFonts w:ascii="Times New Roman" w:hAnsi="Times New Roman"/>
          <w:bCs/>
          <w:iCs/>
        </w:rPr>
        <w:t>Thomas Lerro</w:t>
      </w:r>
      <w:r w:rsidR="00925AD1" w:rsidRPr="006A50AE">
        <w:rPr>
          <w:rFonts w:ascii="Times New Roman" w:hAnsi="Times New Roman"/>
          <w:bCs/>
          <w:iCs/>
        </w:rPr>
        <w:t xml:space="preserve">, </w:t>
      </w:r>
      <w:r w:rsidR="00414B87" w:rsidRPr="006A50AE">
        <w:rPr>
          <w:rFonts w:ascii="Times New Roman" w:hAnsi="Times New Roman"/>
          <w:bCs/>
          <w:iCs/>
        </w:rPr>
        <w:t>the senior</w:t>
      </w:r>
      <w:r w:rsidR="00925AD1" w:rsidRPr="006A50AE">
        <w:rPr>
          <w:rFonts w:ascii="Times New Roman" w:hAnsi="Times New Roman"/>
          <w:bCs/>
          <w:iCs/>
        </w:rPr>
        <w:t xml:space="preserve"> </w:t>
      </w:r>
      <w:r w:rsidR="00414B87" w:rsidRPr="006A50AE">
        <w:rPr>
          <w:rFonts w:ascii="Times New Roman" w:hAnsi="Times New Roman"/>
          <w:bCs/>
          <w:iCs/>
        </w:rPr>
        <w:t xml:space="preserve">foreman for the </w:t>
      </w:r>
      <w:r w:rsidR="008D1111" w:rsidRPr="006A50AE">
        <w:rPr>
          <w:rFonts w:ascii="Times New Roman" w:hAnsi="Times New Roman"/>
          <w:bCs/>
          <w:iCs/>
        </w:rPr>
        <w:t xml:space="preserve">Respondent’s </w:t>
      </w:r>
      <w:r w:rsidR="00925AD1" w:rsidRPr="006A50AE">
        <w:rPr>
          <w:rFonts w:ascii="Times New Roman" w:hAnsi="Times New Roman"/>
          <w:bCs/>
          <w:iCs/>
        </w:rPr>
        <w:t>high bill field investigator</w:t>
      </w:r>
      <w:r w:rsidR="00414B87" w:rsidRPr="006A50AE">
        <w:rPr>
          <w:rFonts w:ascii="Times New Roman" w:hAnsi="Times New Roman"/>
          <w:bCs/>
          <w:iCs/>
        </w:rPr>
        <w:t xml:space="preserve"> group</w:t>
      </w:r>
      <w:r w:rsidR="00925AD1" w:rsidRPr="006A50AE">
        <w:rPr>
          <w:rFonts w:ascii="Times New Roman" w:hAnsi="Times New Roman"/>
          <w:bCs/>
          <w:iCs/>
        </w:rPr>
        <w:t xml:space="preserve">, </w:t>
      </w:r>
      <w:r w:rsidR="00FF26E3" w:rsidRPr="006A50AE">
        <w:rPr>
          <w:rFonts w:ascii="Times New Roman" w:hAnsi="Times New Roman"/>
        </w:rPr>
        <w:t xml:space="preserve">who sponsored </w:t>
      </w:r>
      <w:r w:rsidR="00BA5E07" w:rsidRPr="006A50AE">
        <w:rPr>
          <w:rFonts w:ascii="Times New Roman" w:hAnsi="Times New Roman"/>
        </w:rPr>
        <w:t>fourt</w:t>
      </w:r>
      <w:r w:rsidR="00E61478" w:rsidRPr="006A50AE">
        <w:rPr>
          <w:rFonts w:ascii="Times New Roman" w:hAnsi="Times New Roman"/>
        </w:rPr>
        <w:t>e</w:t>
      </w:r>
      <w:r w:rsidR="00BA5E07" w:rsidRPr="006A50AE">
        <w:rPr>
          <w:rFonts w:ascii="Times New Roman" w:hAnsi="Times New Roman"/>
        </w:rPr>
        <w:t>en</w:t>
      </w:r>
      <w:r w:rsidR="00FF26E3" w:rsidRPr="006A50AE">
        <w:rPr>
          <w:rFonts w:ascii="Times New Roman" w:hAnsi="Times New Roman"/>
        </w:rPr>
        <w:t xml:space="preserve"> exhibits:</w:t>
      </w:r>
    </w:p>
    <w:p w:rsidR="00ED41AF" w:rsidRPr="006A50AE" w:rsidRDefault="00ED41AF" w:rsidP="00C61CD3">
      <w:pPr>
        <w:pStyle w:val="BodyText"/>
        <w:tabs>
          <w:tab w:val="clear" w:pos="1980"/>
          <w:tab w:val="left" w:pos="0"/>
        </w:tabs>
        <w:spacing w:line="360" w:lineRule="auto"/>
        <w:jc w:val="left"/>
        <w:rPr>
          <w:rFonts w:ascii="Times New Roman" w:hAnsi="Times New Roman"/>
        </w:rPr>
      </w:pPr>
    </w:p>
    <w:p w:rsidR="00F7339C" w:rsidRPr="006A50AE" w:rsidRDefault="00BA5E07" w:rsidP="00C61CD3">
      <w:pPr>
        <w:pStyle w:val="BodyText"/>
        <w:tabs>
          <w:tab w:val="left" w:pos="0"/>
        </w:tabs>
        <w:spacing w:line="240" w:lineRule="auto"/>
        <w:ind w:left="1440"/>
        <w:jc w:val="left"/>
        <w:rPr>
          <w:rFonts w:ascii="Times New Roman" w:hAnsi="Times New Roman"/>
        </w:rPr>
      </w:pPr>
      <w:r w:rsidRPr="006A50AE">
        <w:rPr>
          <w:rFonts w:ascii="Times New Roman" w:hAnsi="Times New Roman"/>
        </w:rPr>
        <w:t xml:space="preserve">PECO Exhibit 1 - Account Activity Statement for </w:t>
      </w:r>
      <w:r w:rsidR="001C0CC6" w:rsidRPr="006A50AE">
        <w:rPr>
          <w:rFonts w:ascii="Times New Roman" w:hAnsi="Times New Roman"/>
        </w:rPr>
        <w:t xml:space="preserve">Anthony </w:t>
      </w:r>
      <w:r w:rsidR="006A7BB6" w:rsidRPr="006A50AE">
        <w:rPr>
          <w:rFonts w:ascii="Times New Roman" w:hAnsi="Times New Roman"/>
        </w:rPr>
        <w:t>Carraccio</w:t>
      </w:r>
      <w:r w:rsidR="001C0CC6" w:rsidRPr="006A50AE">
        <w:rPr>
          <w:rFonts w:ascii="Times New Roman" w:hAnsi="Times New Roman"/>
        </w:rPr>
        <w:t>, the first floor tenan</w:t>
      </w:r>
      <w:r w:rsidRPr="006A50AE">
        <w:rPr>
          <w:rFonts w:ascii="Times New Roman" w:hAnsi="Times New Roman"/>
        </w:rPr>
        <w:t>t</w:t>
      </w:r>
      <w:r w:rsidR="00AB4F8A" w:rsidRPr="006A50AE">
        <w:rPr>
          <w:rFonts w:ascii="Times New Roman" w:hAnsi="Times New Roman"/>
        </w:rPr>
        <w:t xml:space="preserve"> at the Frankford Avenue property</w:t>
      </w:r>
      <w:r w:rsidR="006A7BB6" w:rsidRPr="006A50AE">
        <w:rPr>
          <w:rFonts w:ascii="Times New Roman" w:hAnsi="Times New Roman"/>
        </w:rPr>
        <w:t>,</w:t>
      </w:r>
      <w:r w:rsidRPr="006A50AE">
        <w:rPr>
          <w:rFonts w:ascii="Times New Roman" w:hAnsi="Times New Roman"/>
        </w:rPr>
        <w:t xml:space="preserve"> from </w:t>
      </w:r>
      <w:r w:rsidR="00AB4F8A" w:rsidRPr="006A50AE">
        <w:rPr>
          <w:rFonts w:ascii="Times New Roman" w:hAnsi="Times New Roman"/>
        </w:rPr>
        <w:t>February</w:t>
      </w:r>
      <w:r w:rsidRPr="006A50AE">
        <w:rPr>
          <w:rFonts w:ascii="Times New Roman" w:hAnsi="Times New Roman"/>
        </w:rPr>
        <w:t xml:space="preserve"> 201</w:t>
      </w:r>
      <w:r w:rsidR="00AB4F8A" w:rsidRPr="006A50AE">
        <w:rPr>
          <w:rFonts w:ascii="Times New Roman" w:hAnsi="Times New Roman"/>
        </w:rPr>
        <w:t>3</w:t>
      </w:r>
      <w:r w:rsidRPr="006A50AE">
        <w:rPr>
          <w:rFonts w:ascii="Times New Roman" w:hAnsi="Times New Roman"/>
        </w:rPr>
        <w:t xml:space="preserve"> through </w:t>
      </w:r>
      <w:r w:rsidR="00F872A5" w:rsidRPr="006A50AE">
        <w:rPr>
          <w:rFonts w:ascii="Times New Roman" w:hAnsi="Times New Roman"/>
        </w:rPr>
        <w:t>September</w:t>
      </w:r>
      <w:r w:rsidRPr="006A50AE">
        <w:rPr>
          <w:rFonts w:ascii="Times New Roman" w:hAnsi="Times New Roman"/>
        </w:rPr>
        <w:t xml:space="preserve"> 201</w:t>
      </w:r>
      <w:r w:rsidR="00F872A5" w:rsidRPr="006A50AE">
        <w:rPr>
          <w:rFonts w:ascii="Times New Roman" w:hAnsi="Times New Roman"/>
        </w:rPr>
        <w:t>4</w:t>
      </w:r>
      <w:r w:rsidRPr="006A50AE">
        <w:rPr>
          <w:rFonts w:ascii="Times New Roman" w:hAnsi="Times New Roman"/>
        </w:rPr>
        <w:t xml:space="preserve">; </w:t>
      </w:r>
    </w:p>
    <w:p w:rsidR="005C6979" w:rsidRPr="006A50AE" w:rsidRDefault="00BA5E07" w:rsidP="00C61CD3">
      <w:pPr>
        <w:pStyle w:val="BodyText"/>
        <w:tabs>
          <w:tab w:val="left" w:pos="0"/>
        </w:tabs>
        <w:spacing w:line="240" w:lineRule="auto"/>
        <w:ind w:left="1440"/>
        <w:jc w:val="left"/>
        <w:rPr>
          <w:rFonts w:ascii="Times New Roman" w:hAnsi="Times New Roman"/>
        </w:rPr>
      </w:pPr>
      <w:r w:rsidRPr="006A50AE">
        <w:rPr>
          <w:rFonts w:ascii="Times New Roman" w:hAnsi="Times New Roman"/>
        </w:rPr>
        <w:t xml:space="preserve">PECO Exhibit 2 - </w:t>
      </w:r>
      <w:r w:rsidR="005C6979" w:rsidRPr="006A50AE">
        <w:rPr>
          <w:rFonts w:ascii="Times New Roman" w:hAnsi="Times New Roman"/>
        </w:rPr>
        <w:t xml:space="preserve">Account Activity Statement for </w:t>
      </w:r>
      <w:r w:rsidR="00F872A5" w:rsidRPr="006A50AE">
        <w:rPr>
          <w:rFonts w:ascii="Times New Roman" w:hAnsi="Times New Roman"/>
        </w:rPr>
        <w:t>Teresa McNamee, t</w:t>
      </w:r>
      <w:r w:rsidR="005C6979" w:rsidRPr="006A50AE">
        <w:rPr>
          <w:rFonts w:ascii="Times New Roman" w:hAnsi="Times New Roman"/>
        </w:rPr>
        <w:t xml:space="preserve">he </w:t>
      </w:r>
      <w:r w:rsidR="001C0CC6" w:rsidRPr="006A50AE">
        <w:rPr>
          <w:rFonts w:ascii="Times New Roman" w:hAnsi="Times New Roman"/>
        </w:rPr>
        <w:t>second floor tenan</w:t>
      </w:r>
      <w:r w:rsidR="005C6979" w:rsidRPr="006A50AE">
        <w:rPr>
          <w:rFonts w:ascii="Times New Roman" w:hAnsi="Times New Roman"/>
        </w:rPr>
        <w:t xml:space="preserve">t </w:t>
      </w:r>
      <w:r w:rsidR="001B35EA" w:rsidRPr="006A50AE">
        <w:rPr>
          <w:rFonts w:ascii="Times New Roman" w:hAnsi="Times New Roman"/>
        </w:rPr>
        <w:t>at the Frankford Avenue property</w:t>
      </w:r>
      <w:r w:rsidR="00DD7CB3" w:rsidRPr="006A50AE">
        <w:rPr>
          <w:rFonts w:ascii="Times New Roman" w:hAnsi="Times New Roman"/>
        </w:rPr>
        <w:t>,</w:t>
      </w:r>
      <w:r w:rsidR="001B35EA" w:rsidRPr="006A50AE">
        <w:rPr>
          <w:rFonts w:ascii="Times New Roman" w:hAnsi="Times New Roman"/>
        </w:rPr>
        <w:t xml:space="preserve"> </w:t>
      </w:r>
      <w:r w:rsidR="005C6979" w:rsidRPr="006A50AE">
        <w:rPr>
          <w:rFonts w:ascii="Times New Roman" w:hAnsi="Times New Roman"/>
        </w:rPr>
        <w:t>from J</w:t>
      </w:r>
      <w:r w:rsidR="001E00C0" w:rsidRPr="006A50AE">
        <w:rPr>
          <w:rFonts w:ascii="Times New Roman" w:hAnsi="Times New Roman"/>
        </w:rPr>
        <w:t>an</w:t>
      </w:r>
      <w:r w:rsidR="005C6979" w:rsidRPr="006A50AE">
        <w:rPr>
          <w:rFonts w:ascii="Times New Roman" w:hAnsi="Times New Roman"/>
        </w:rPr>
        <w:t>u</w:t>
      </w:r>
      <w:r w:rsidR="001E00C0" w:rsidRPr="006A50AE">
        <w:rPr>
          <w:rFonts w:ascii="Times New Roman" w:hAnsi="Times New Roman"/>
        </w:rPr>
        <w:t>ar</w:t>
      </w:r>
      <w:r w:rsidR="005C6979" w:rsidRPr="006A50AE">
        <w:rPr>
          <w:rFonts w:ascii="Times New Roman" w:hAnsi="Times New Roman"/>
        </w:rPr>
        <w:t>y 201</w:t>
      </w:r>
      <w:r w:rsidR="001E00C0" w:rsidRPr="006A50AE">
        <w:rPr>
          <w:rFonts w:ascii="Times New Roman" w:hAnsi="Times New Roman"/>
        </w:rPr>
        <w:t>3</w:t>
      </w:r>
      <w:r w:rsidR="005C6979" w:rsidRPr="006A50AE">
        <w:rPr>
          <w:rFonts w:ascii="Times New Roman" w:hAnsi="Times New Roman"/>
        </w:rPr>
        <w:t xml:space="preserve"> through </w:t>
      </w:r>
      <w:r w:rsidR="001E00C0" w:rsidRPr="006A50AE">
        <w:rPr>
          <w:rFonts w:ascii="Times New Roman" w:hAnsi="Times New Roman"/>
        </w:rPr>
        <w:t>October 2014</w:t>
      </w:r>
      <w:r w:rsidR="005C6979" w:rsidRPr="006A50AE">
        <w:rPr>
          <w:rFonts w:ascii="Times New Roman" w:hAnsi="Times New Roman"/>
        </w:rPr>
        <w:t xml:space="preserve">; </w:t>
      </w:r>
    </w:p>
    <w:p w:rsidR="00BA5E07" w:rsidRPr="006A50AE" w:rsidRDefault="00BA5E07" w:rsidP="00C61CD3">
      <w:pPr>
        <w:pStyle w:val="BodyText"/>
        <w:tabs>
          <w:tab w:val="left" w:pos="0"/>
        </w:tabs>
        <w:spacing w:line="240" w:lineRule="auto"/>
        <w:ind w:left="1440"/>
        <w:jc w:val="left"/>
        <w:rPr>
          <w:rFonts w:ascii="Times New Roman" w:hAnsi="Times New Roman"/>
        </w:rPr>
      </w:pPr>
      <w:r w:rsidRPr="006A50AE">
        <w:rPr>
          <w:rFonts w:ascii="Times New Roman" w:hAnsi="Times New Roman"/>
        </w:rPr>
        <w:t xml:space="preserve">PECO Exhibit 3 - </w:t>
      </w:r>
      <w:r w:rsidR="001E00C0" w:rsidRPr="006A50AE">
        <w:rPr>
          <w:rFonts w:ascii="Times New Roman" w:hAnsi="Times New Roman"/>
        </w:rPr>
        <w:t xml:space="preserve">Roberto Alicea’s </w:t>
      </w:r>
      <w:r w:rsidR="005C6979" w:rsidRPr="006A50AE">
        <w:rPr>
          <w:rFonts w:ascii="Times New Roman" w:hAnsi="Times New Roman"/>
        </w:rPr>
        <w:t>residential high bill investigator’s report for</w:t>
      </w:r>
      <w:r w:rsidR="00DD7CB3" w:rsidRPr="006A50AE">
        <w:rPr>
          <w:rFonts w:ascii="Times New Roman" w:hAnsi="Times New Roman"/>
        </w:rPr>
        <w:t xml:space="preserve"> the</w:t>
      </w:r>
      <w:r w:rsidR="005C6979" w:rsidRPr="006A50AE">
        <w:rPr>
          <w:rFonts w:ascii="Times New Roman" w:hAnsi="Times New Roman"/>
        </w:rPr>
        <w:t xml:space="preserve"> field investigation conducted on </w:t>
      </w:r>
      <w:r w:rsidR="00DD6B50" w:rsidRPr="006A50AE">
        <w:rPr>
          <w:rFonts w:ascii="Times New Roman" w:hAnsi="Times New Roman"/>
        </w:rPr>
        <w:t xml:space="preserve">September </w:t>
      </w:r>
      <w:r w:rsidR="001E00C0" w:rsidRPr="006A50AE">
        <w:rPr>
          <w:rFonts w:ascii="Times New Roman" w:hAnsi="Times New Roman"/>
        </w:rPr>
        <w:t xml:space="preserve">8, </w:t>
      </w:r>
      <w:r w:rsidR="00DD6B50" w:rsidRPr="006A50AE">
        <w:rPr>
          <w:rFonts w:ascii="Times New Roman" w:hAnsi="Times New Roman"/>
        </w:rPr>
        <w:t>2014</w:t>
      </w:r>
      <w:r w:rsidR="00DD7CB3" w:rsidRPr="006A50AE">
        <w:rPr>
          <w:rFonts w:ascii="Times New Roman" w:hAnsi="Times New Roman"/>
        </w:rPr>
        <w:t>;</w:t>
      </w:r>
    </w:p>
    <w:p w:rsidR="00DD6B50" w:rsidRPr="006A50AE" w:rsidRDefault="00BA5E07" w:rsidP="00C61CD3">
      <w:pPr>
        <w:pStyle w:val="BodyText"/>
        <w:tabs>
          <w:tab w:val="left" w:pos="0"/>
        </w:tabs>
        <w:spacing w:line="240" w:lineRule="auto"/>
        <w:ind w:left="1440"/>
        <w:jc w:val="left"/>
        <w:rPr>
          <w:rFonts w:ascii="Times New Roman" w:hAnsi="Times New Roman"/>
        </w:rPr>
      </w:pPr>
      <w:r w:rsidRPr="006A50AE">
        <w:rPr>
          <w:rFonts w:ascii="Times New Roman" w:hAnsi="Times New Roman"/>
        </w:rPr>
        <w:t xml:space="preserve">PECO Exhibit 4 - </w:t>
      </w:r>
      <w:r w:rsidR="005C6979" w:rsidRPr="006A50AE">
        <w:rPr>
          <w:rFonts w:ascii="Times New Roman" w:hAnsi="Times New Roman"/>
        </w:rPr>
        <w:t>Account Activity Statement for the</w:t>
      </w:r>
      <w:r w:rsidR="00DD6B50" w:rsidRPr="006A50AE">
        <w:rPr>
          <w:rFonts w:ascii="Times New Roman" w:hAnsi="Times New Roman"/>
        </w:rPr>
        <w:t xml:space="preserve"> Complainant for the first floor of the Frankford Avenue property </w:t>
      </w:r>
      <w:r w:rsidR="005C6979" w:rsidRPr="006A50AE">
        <w:rPr>
          <w:rFonts w:ascii="Times New Roman" w:hAnsi="Times New Roman"/>
        </w:rPr>
        <w:t xml:space="preserve">from </w:t>
      </w:r>
      <w:r w:rsidR="00DD6B50" w:rsidRPr="006A50AE">
        <w:rPr>
          <w:rFonts w:ascii="Times New Roman" w:hAnsi="Times New Roman"/>
        </w:rPr>
        <w:t xml:space="preserve">September 2014 </w:t>
      </w:r>
      <w:r w:rsidR="005C6979" w:rsidRPr="006A50AE">
        <w:rPr>
          <w:rFonts w:ascii="Times New Roman" w:hAnsi="Times New Roman"/>
        </w:rPr>
        <w:t>through J</w:t>
      </w:r>
      <w:r w:rsidR="00DD6B50" w:rsidRPr="006A50AE">
        <w:rPr>
          <w:rFonts w:ascii="Times New Roman" w:hAnsi="Times New Roman"/>
        </w:rPr>
        <w:t>an</w:t>
      </w:r>
      <w:r w:rsidR="005C6979" w:rsidRPr="006A50AE">
        <w:rPr>
          <w:rFonts w:ascii="Times New Roman" w:hAnsi="Times New Roman"/>
        </w:rPr>
        <w:t>u</w:t>
      </w:r>
      <w:r w:rsidR="00DD6B50" w:rsidRPr="006A50AE">
        <w:rPr>
          <w:rFonts w:ascii="Times New Roman" w:hAnsi="Times New Roman"/>
        </w:rPr>
        <w:t>ar</w:t>
      </w:r>
      <w:r w:rsidR="005C6979" w:rsidRPr="006A50AE">
        <w:rPr>
          <w:rFonts w:ascii="Times New Roman" w:hAnsi="Times New Roman"/>
        </w:rPr>
        <w:t>y 2015</w:t>
      </w:r>
      <w:r w:rsidR="00DD7CB3" w:rsidRPr="006A50AE">
        <w:rPr>
          <w:rFonts w:ascii="Times New Roman" w:hAnsi="Times New Roman"/>
        </w:rPr>
        <w:t>;</w:t>
      </w:r>
    </w:p>
    <w:p w:rsidR="00BA5E07" w:rsidRPr="006A50AE" w:rsidRDefault="00BA5E07" w:rsidP="00C61CD3">
      <w:pPr>
        <w:pStyle w:val="BodyText"/>
        <w:tabs>
          <w:tab w:val="left" w:pos="0"/>
        </w:tabs>
        <w:spacing w:line="240" w:lineRule="auto"/>
        <w:ind w:left="1440"/>
        <w:jc w:val="left"/>
        <w:rPr>
          <w:rFonts w:ascii="Times New Roman" w:hAnsi="Times New Roman"/>
        </w:rPr>
      </w:pPr>
      <w:r w:rsidRPr="006A50AE">
        <w:rPr>
          <w:rFonts w:ascii="Times New Roman" w:hAnsi="Times New Roman"/>
        </w:rPr>
        <w:t xml:space="preserve">PECO Exhibit 5 - </w:t>
      </w:r>
      <w:r w:rsidR="001E00C0" w:rsidRPr="006A50AE">
        <w:rPr>
          <w:rFonts w:ascii="Times New Roman" w:hAnsi="Times New Roman"/>
        </w:rPr>
        <w:t>Roberto Alicea’s letter to the Complainant dated September 9</w:t>
      </w:r>
      <w:r w:rsidR="005C6979" w:rsidRPr="006A50AE">
        <w:rPr>
          <w:rFonts w:ascii="Times New Roman" w:hAnsi="Times New Roman"/>
        </w:rPr>
        <w:t>, 2014</w:t>
      </w:r>
      <w:r w:rsidR="001E00C0" w:rsidRPr="006A50AE">
        <w:rPr>
          <w:rFonts w:ascii="Times New Roman" w:hAnsi="Times New Roman"/>
        </w:rPr>
        <w:t xml:space="preserve">; </w:t>
      </w:r>
    </w:p>
    <w:p w:rsidR="00BA5E07" w:rsidRPr="006A50AE" w:rsidRDefault="00BA5E07" w:rsidP="00C61CD3">
      <w:pPr>
        <w:pStyle w:val="BodyText"/>
        <w:tabs>
          <w:tab w:val="left" w:pos="0"/>
        </w:tabs>
        <w:spacing w:line="240" w:lineRule="auto"/>
        <w:ind w:left="1440"/>
        <w:jc w:val="left"/>
        <w:rPr>
          <w:rFonts w:ascii="Times New Roman" w:hAnsi="Times New Roman"/>
        </w:rPr>
      </w:pPr>
      <w:r w:rsidRPr="006A50AE">
        <w:rPr>
          <w:rFonts w:ascii="Times New Roman" w:hAnsi="Times New Roman"/>
        </w:rPr>
        <w:t xml:space="preserve">PECO Exhibit 6 - </w:t>
      </w:r>
      <w:r w:rsidR="005C6979" w:rsidRPr="006A50AE">
        <w:rPr>
          <w:rFonts w:ascii="Times New Roman" w:hAnsi="Times New Roman"/>
        </w:rPr>
        <w:t>utility report</w:t>
      </w:r>
      <w:r w:rsidR="001E00C0" w:rsidRPr="006A50AE">
        <w:rPr>
          <w:rFonts w:ascii="Times New Roman" w:hAnsi="Times New Roman"/>
        </w:rPr>
        <w:t xml:space="preserve"> dated September 22, 2014 sent to first floor tenant</w:t>
      </w:r>
      <w:r w:rsidRPr="006A50AE">
        <w:rPr>
          <w:rFonts w:ascii="Times New Roman" w:hAnsi="Times New Roman"/>
        </w:rPr>
        <w:t>;</w:t>
      </w:r>
    </w:p>
    <w:p w:rsidR="001E00C0" w:rsidRPr="006A50AE" w:rsidRDefault="00BA5E07" w:rsidP="00C61CD3">
      <w:pPr>
        <w:pStyle w:val="BodyText"/>
        <w:tabs>
          <w:tab w:val="left" w:pos="0"/>
        </w:tabs>
        <w:spacing w:line="240" w:lineRule="auto"/>
        <w:ind w:left="1440"/>
        <w:jc w:val="left"/>
        <w:rPr>
          <w:rFonts w:ascii="Times New Roman" w:hAnsi="Times New Roman"/>
        </w:rPr>
      </w:pPr>
      <w:r w:rsidRPr="006A50AE">
        <w:rPr>
          <w:rFonts w:ascii="Times New Roman" w:hAnsi="Times New Roman"/>
        </w:rPr>
        <w:t>PECO Exhibit 7 -</w:t>
      </w:r>
      <w:r w:rsidR="001E00C0" w:rsidRPr="006A50AE">
        <w:rPr>
          <w:rFonts w:ascii="Times New Roman" w:hAnsi="Times New Roman"/>
        </w:rPr>
        <w:t xml:space="preserve"> Roberto Alicea’s residential high bill investigator’s report for</w:t>
      </w:r>
      <w:r w:rsidR="00DD7CB3" w:rsidRPr="006A50AE">
        <w:rPr>
          <w:rFonts w:ascii="Times New Roman" w:hAnsi="Times New Roman"/>
        </w:rPr>
        <w:t xml:space="preserve"> the</w:t>
      </w:r>
      <w:r w:rsidR="001E00C0" w:rsidRPr="006A50AE">
        <w:rPr>
          <w:rFonts w:ascii="Times New Roman" w:hAnsi="Times New Roman"/>
        </w:rPr>
        <w:t xml:space="preserve"> field investigation conducted on October 14, 2014; </w:t>
      </w:r>
    </w:p>
    <w:p w:rsidR="00BA5E07" w:rsidRPr="006A50AE" w:rsidRDefault="00BA5E07" w:rsidP="00C61CD3">
      <w:pPr>
        <w:pStyle w:val="BodyText"/>
        <w:tabs>
          <w:tab w:val="left" w:pos="0"/>
        </w:tabs>
        <w:spacing w:line="240" w:lineRule="auto"/>
        <w:ind w:left="1440"/>
        <w:jc w:val="left"/>
        <w:rPr>
          <w:rFonts w:ascii="Times New Roman" w:hAnsi="Times New Roman"/>
        </w:rPr>
      </w:pPr>
      <w:r w:rsidRPr="006A50AE">
        <w:rPr>
          <w:rFonts w:ascii="Times New Roman" w:hAnsi="Times New Roman"/>
        </w:rPr>
        <w:t xml:space="preserve">PECO Exhibit 8 - </w:t>
      </w:r>
      <w:r w:rsidR="005C6979" w:rsidRPr="006A50AE">
        <w:rPr>
          <w:rFonts w:ascii="Times New Roman" w:hAnsi="Times New Roman"/>
        </w:rPr>
        <w:t xml:space="preserve">Account Activity Statement for the </w:t>
      </w:r>
      <w:r w:rsidR="001B35EA" w:rsidRPr="006A50AE">
        <w:rPr>
          <w:rFonts w:ascii="Times New Roman" w:hAnsi="Times New Roman"/>
        </w:rPr>
        <w:t xml:space="preserve">Complainant for the </w:t>
      </w:r>
      <w:r w:rsidR="00DD6B50" w:rsidRPr="006A50AE">
        <w:rPr>
          <w:rFonts w:ascii="Times New Roman" w:hAnsi="Times New Roman"/>
        </w:rPr>
        <w:t xml:space="preserve">second floor </w:t>
      </w:r>
      <w:r w:rsidR="001B35EA" w:rsidRPr="006A50AE">
        <w:rPr>
          <w:rFonts w:ascii="Times New Roman" w:hAnsi="Times New Roman"/>
        </w:rPr>
        <w:t xml:space="preserve">at the Frankford Avenue property </w:t>
      </w:r>
      <w:r w:rsidR="005C6979" w:rsidRPr="006A50AE">
        <w:rPr>
          <w:rFonts w:ascii="Times New Roman" w:hAnsi="Times New Roman"/>
        </w:rPr>
        <w:t xml:space="preserve">from </w:t>
      </w:r>
      <w:r w:rsidR="00DD6B50" w:rsidRPr="006A50AE">
        <w:rPr>
          <w:rFonts w:ascii="Times New Roman" w:hAnsi="Times New Roman"/>
        </w:rPr>
        <w:t xml:space="preserve">October 2014 </w:t>
      </w:r>
      <w:r w:rsidR="005C6979" w:rsidRPr="006A50AE">
        <w:rPr>
          <w:rFonts w:ascii="Times New Roman" w:hAnsi="Times New Roman"/>
        </w:rPr>
        <w:t>through J</w:t>
      </w:r>
      <w:r w:rsidR="00DD6B50" w:rsidRPr="006A50AE">
        <w:rPr>
          <w:rFonts w:ascii="Times New Roman" w:hAnsi="Times New Roman"/>
        </w:rPr>
        <w:t>an</w:t>
      </w:r>
      <w:r w:rsidR="005C6979" w:rsidRPr="006A50AE">
        <w:rPr>
          <w:rFonts w:ascii="Times New Roman" w:hAnsi="Times New Roman"/>
        </w:rPr>
        <w:t>u</w:t>
      </w:r>
      <w:r w:rsidR="00DD6B50" w:rsidRPr="006A50AE">
        <w:rPr>
          <w:rFonts w:ascii="Times New Roman" w:hAnsi="Times New Roman"/>
        </w:rPr>
        <w:t>ar</w:t>
      </w:r>
      <w:r w:rsidR="005C6979" w:rsidRPr="006A50AE">
        <w:rPr>
          <w:rFonts w:ascii="Times New Roman" w:hAnsi="Times New Roman"/>
        </w:rPr>
        <w:t>y 2015;</w:t>
      </w:r>
    </w:p>
    <w:p w:rsidR="00A738AD" w:rsidRPr="006A50AE" w:rsidRDefault="00BA5E07" w:rsidP="00C61CD3">
      <w:pPr>
        <w:pStyle w:val="BodyText"/>
        <w:tabs>
          <w:tab w:val="left" w:pos="0"/>
        </w:tabs>
        <w:spacing w:line="240" w:lineRule="auto"/>
        <w:ind w:left="1440"/>
        <w:jc w:val="left"/>
        <w:rPr>
          <w:rFonts w:ascii="Times New Roman" w:hAnsi="Times New Roman"/>
        </w:rPr>
      </w:pPr>
      <w:r w:rsidRPr="006A50AE">
        <w:rPr>
          <w:rFonts w:ascii="Times New Roman" w:hAnsi="Times New Roman"/>
        </w:rPr>
        <w:t xml:space="preserve">PECO Exhibit 9 - </w:t>
      </w:r>
      <w:r w:rsidR="00A738AD" w:rsidRPr="006A50AE">
        <w:rPr>
          <w:rFonts w:ascii="Times New Roman" w:hAnsi="Times New Roman"/>
        </w:rPr>
        <w:t xml:space="preserve">Roberto Alicea’s letter to the Complainant dated October 20, 2014; </w:t>
      </w:r>
    </w:p>
    <w:p w:rsidR="00BA5E07" w:rsidRPr="006A50AE" w:rsidRDefault="00BA5E07" w:rsidP="00C61CD3">
      <w:pPr>
        <w:pStyle w:val="BodyText"/>
        <w:tabs>
          <w:tab w:val="left" w:pos="0"/>
        </w:tabs>
        <w:spacing w:line="240" w:lineRule="auto"/>
        <w:ind w:left="1440"/>
        <w:jc w:val="left"/>
        <w:rPr>
          <w:rFonts w:ascii="Times New Roman" w:hAnsi="Times New Roman"/>
        </w:rPr>
      </w:pPr>
      <w:r w:rsidRPr="006A50AE">
        <w:rPr>
          <w:rFonts w:ascii="Times New Roman" w:hAnsi="Times New Roman"/>
        </w:rPr>
        <w:t xml:space="preserve">PECO Exhibit 10 - </w:t>
      </w:r>
      <w:r w:rsidR="00A738AD" w:rsidRPr="006A50AE">
        <w:rPr>
          <w:rFonts w:ascii="Times New Roman" w:hAnsi="Times New Roman"/>
        </w:rPr>
        <w:t>utility report dated October 28, 2014 sent to the second floor tenant</w:t>
      </w:r>
      <w:r w:rsidR="00DD7CB3" w:rsidRPr="006A50AE">
        <w:rPr>
          <w:rFonts w:ascii="Times New Roman" w:hAnsi="Times New Roman"/>
        </w:rPr>
        <w:t>;</w:t>
      </w:r>
    </w:p>
    <w:p w:rsidR="00A738AD" w:rsidRPr="006A50AE" w:rsidRDefault="00BA5E07" w:rsidP="00C61CD3">
      <w:pPr>
        <w:pStyle w:val="BodyText"/>
        <w:tabs>
          <w:tab w:val="left" w:pos="0"/>
        </w:tabs>
        <w:spacing w:line="240" w:lineRule="auto"/>
        <w:ind w:left="1440"/>
        <w:jc w:val="left"/>
        <w:rPr>
          <w:rFonts w:ascii="Times New Roman" w:hAnsi="Times New Roman"/>
        </w:rPr>
      </w:pPr>
      <w:r w:rsidRPr="006A50AE">
        <w:rPr>
          <w:rFonts w:ascii="Times New Roman" w:hAnsi="Times New Roman"/>
        </w:rPr>
        <w:t xml:space="preserve">PECO Exhibit 11 - </w:t>
      </w:r>
      <w:r w:rsidR="00A738AD" w:rsidRPr="006A50AE">
        <w:rPr>
          <w:rFonts w:ascii="Times New Roman" w:hAnsi="Times New Roman"/>
        </w:rPr>
        <w:t>Roberto Alicea’s residential high bill investigator’s report for field investigation conducted on January 8, 2015</w:t>
      </w:r>
      <w:r w:rsidR="00DD7CB3" w:rsidRPr="006A50AE">
        <w:rPr>
          <w:rFonts w:ascii="Times New Roman" w:hAnsi="Times New Roman"/>
        </w:rPr>
        <w:t>;</w:t>
      </w:r>
      <w:r w:rsidR="00A738AD" w:rsidRPr="006A50AE">
        <w:rPr>
          <w:rFonts w:ascii="Times New Roman" w:hAnsi="Times New Roman"/>
        </w:rPr>
        <w:t xml:space="preserve"> </w:t>
      </w:r>
    </w:p>
    <w:p w:rsidR="00BA5E07" w:rsidRPr="006A50AE" w:rsidRDefault="00DD7CB3" w:rsidP="00C61CD3">
      <w:pPr>
        <w:pStyle w:val="BodyText"/>
        <w:tabs>
          <w:tab w:val="left" w:pos="0"/>
        </w:tabs>
        <w:spacing w:line="240" w:lineRule="auto"/>
        <w:ind w:left="1440"/>
        <w:jc w:val="left"/>
        <w:rPr>
          <w:rFonts w:ascii="Times New Roman" w:hAnsi="Times New Roman"/>
        </w:rPr>
      </w:pPr>
      <w:r w:rsidRPr="006A50AE">
        <w:rPr>
          <w:rFonts w:ascii="Times New Roman" w:hAnsi="Times New Roman"/>
        </w:rPr>
        <w:t xml:space="preserve">PECO Exhibit 12 - </w:t>
      </w:r>
      <w:r w:rsidR="00BA5E07" w:rsidRPr="006A50AE">
        <w:rPr>
          <w:rFonts w:ascii="Times New Roman" w:hAnsi="Times New Roman"/>
        </w:rPr>
        <w:t xml:space="preserve">Bureau of Consumer Services Decision Report (#003126454) dated </w:t>
      </w:r>
      <w:r w:rsidR="00A738AD" w:rsidRPr="006A50AE">
        <w:rPr>
          <w:rFonts w:ascii="Times New Roman" w:hAnsi="Times New Roman"/>
        </w:rPr>
        <w:t>July 16</w:t>
      </w:r>
      <w:r w:rsidR="00BA5E07" w:rsidRPr="006A50AE">
        <w:rPr>
          <w:rFonts w:ascii="Times New Roman" w:hAnsi="Times New Roman"/>
        </w:rPr>
        <w:t>, 201</w:t>
      </w:r>
      <w:r w:rsidR="00A738AD" w:rsidRPr="006A50AE">
        <w:rPr>
          <w:rFonts w:ascii="Times New Roman" w:hAnsi="Times New Roman"/>
        </w:rPr>
        <w:t>5</w:t>
      </w:r>
      <w:r w:rsidR="00BA5E07" w:rsidRPr="006A50AE">
        <w:rPr>
          <w:rFonts w:ascii="Times New Roman" w:hAnsi="Times New Roman"/>
        </w:rPr>
        <w:t>.</w:t>
      </w:r>
    </w:p>
    <w:p w:rsidR="00FF26E3" w:rsidRPr="006A50AE" w:rsidRDefault="005C6979" w:rsidP="00C61CD3">
      <w:pPr>
        <w:pStyle w:val="BodyText"/>
        <w:tabs>
          <w:tab w:val="left" w:pos="720"/>
        </w:tabs>
        <w:spacing w:line="240" w:lineRule="auto"/>
        <w:ind w:left="1440"/>
        <w:jc w:val="left"/>
        <w:rPr>
          <w:rFonts w:ascii="Times New Roman" w:hAnsi="Times New Roman"/>
        </w:rPr>
      </w:pPr>
      <w:r w:rsidRPr="006A50AE">
        <w:rPr>
          <w:rFonts w:ascii="Times New Roman" w:hAnsi="Times New Roman"/>
        </w:rPr>
        <w:t>PECO Exhibit 13</w:t>
      </w:r>
      <w:r w:rsidR="00F6195D">
        <w:rPr>
          <w:rFonts w:ascii="Times New Roman" w:hAnsi="Times New Roman"/>
        </w:rPr>
        <w:t xml:space="preserve"> </w:t>
      </w:r>
      <w:r w:rsidRPr="006A50AE">
        <w:rPr>
          <w:rFonts w:ascii="Times New Roman" w:hAnsi="Times New Roman"/>
        </w:rPr>
        <w:t>-</w:t>
      </w:r>
      <w:r w:rsidR="00F6195D">
        <w:rPr>
          <w:rFonts w:ascii="Times New Roman" w:hAnsi="Times New Roman"/>
        </w:rPr>
        <w:t xml:space="preserve"> </w:t>
      </w:r>
      <w:r w:rsidRPr="006A50AE">
        <w:rPr>
          <w:rFonts w:ascii="Times New Roman" w:hAnsi="Times New Roman"/>
        </w:rPr>
        <w:t>photo</w:t>
      </w:r>
      <w:r w:rsidR="00A738AD" w:rsidRPr="006A50AE">
        <w:rPr>
          <w:rFonts w:ascii="Times New Roman" w:hAnsi="Times New Roman"/>
        </w:rPr>
        <w:t xml:space="preserve"> of tenants’ items in </w:t>
      </w:r>
      <w:r w:rsidR="00056BF9" w:rsidRPr="006A50AE">
        <w:rPr>
          <w:rFonts w:ascii="Times New Roman" w:hAnsi="Times New Roman"/>
        </w:rPr>
        <w:t>g</w:t>
      </w:r>
      <w:r w:rsidR="00A738AD" w:rsidRPr="006A50AE">
        <w:rPr>
          <w:rFonts w:ascii="Times New Roman" w:hAnsi="Times New Roman"/>
        </w:rPr>
        <w:t>a</w:t>
      </w:r>
      <w:r w:rsidR="00056BF9" w:rsidRPr="006A50AE">
        <w:rPr>
          <w:rFonts w:ascii="Times New Roman" w:hAnsi="Times New Roman"/>
        </w:rPr>
        <w:t>rag</w:t>
      </w:r>
      <w:r w:rsidR="00A738AD" w:rsidRPr="006A50AE">
        <w:rPr>
          <w:rFonts w:ascii="Times New Roman" w:hAnsi="Times New Roman"/>
        </w:rPr>
        <w:t>e;</w:t>
      </w:r>
      <w:r w:rsidR="00DD7CB3" w:rsidRPr="006A50AE">
        <w:rPr>
          <w:rFonts w:ascii="Times New Roman" w:hAnsi="Times New Roman"/>
        </w:rPr>
        <w:t xml:space="preserve"> and</w:t>
      </w:r>
    </w:p>
    <w:p w:rsidR="005C6979" w:rsidRPr="006A50AE" w:rsidRDefault="005C6979" w:rsidP="00C61CD3">
      <w:pPr>
        <w:pStyle w:val="BodyText"/>
        <w:tabs>
          <w:tab w:val="left" w:pos="720"/>
        </w:tabs>
        <w:spacing w:line="240" w:lineRule="auto"/>
        <w:ind w:left="1440"/>
        <w:jc w:val="left"/>
        <w:rPr>
          <w:rFonts w:ascii="Times New Roman" w:hAnsi="Times New Roman"/>
        </w:rPr>
      </w:pPr>
      <w:r w:rsidRPr="006A50AE">
        <w:rPr>
          <w:rFonts w:ascii="Times New Roman" w:hAnsi="Times New Roman"/>
        </w:rPr>
        <w:t>PECO Exhibit 14</w:t>
      </w:r>
      <w:r w:rsidR="00F6195D">
        <w:rPr>
          <w:rFonts w:ascii="Times New Roman" w:hAnsi="Times New Roman"/>
        </w:rPr>
        <w:t xml:space="preserve"> </w:t>
      </w:r>
      <w:r w:rsidRPr="006A50AE">
        <w:rPr>
          <w:rFonts w:ascii="Times New Roman" w:hAnsi="Times New Roman"/>
        </w:rPr>
        <w:t>-</w:t>
      </w:r>
      <w:r w:rsidR="00F6195D">
        <w:rPr>
          <w:rFonts w:ascii="Times New Roman" w:hAnsi="Times New Roman"/>
        </w:rPr>
        <w:t xml:space="preserve"> </w:t>
      </w:r>
      <w:r w:rsidRPr="006A50AE">
        <w:rPr>
          <w:rFonts w:ascii="Times New Roman" w:hAnsi="Times New Roman"/>
        </w:rPr>
        <w:t>photo</w:t>
      </w:r>
      <w:r w:rsidR="00FC3D60" w:rsidRPr="006A50AE">
        <w:rPr>
          <w:rFonts w:ascii="Times New Roman" w:hAnsi="Times New Roman"/>
        </w:rPr>
        <w:t xml:space="preserve"> </w:t>
      </w:r>
      <w:r w:rsidR="00056BF9" w:rsidRPr="006A50AE">
        <w:rPr>
          <w:rFonts w:ascii="Times New Roman" w:hAnsi="Times New Roman"/>
        </w:rPr>
        <w:t>of tenants’ items in garage with trashcan.</w:t>
      </w:r>
    </w:p>
    <w:p w:rsidR="006A50AE" w:rsidRPr="006A50AE" w:rsidRDefault="006A50AE" w:rsidP="00EE25BE">
      <w:pPr>
        <w:pStyle w:val="BodyText"/>
        <w:tabs>
          <w:tab w:val="left" w:pos="720"/>
        </w:tabs>
        <w:spacing w:line="360" w:lineRule="auto"/>
        <w:ind w:left="1440"/>
        <w:jc w:val="left"/>
        <w:rPr>
          <w:rFonts w:ascii="Times New Roman" w:hAnsi="Times New Roman"/>
        </w:rPr>
      </w:pPr>
    </w:p>
    <w:p w:rsidR="00FF26E3" w:rsidRPr="006A50AE" w:rsidRDefault="00FF26E3" w:rsidP="00C61CD3">
      <w:pPr>
        <w:spacing w:line="360" w:lineRule="auto"/>
      </w:pPr>
      <w:r w:rsidRPr="006A50AE">
        <w:tab/>
      </w:r>
      <w:r w:rsidRPr="006A50AE">
        <w:tab/>
        <w:t xml:space="preserve">The record </w:t>
      </w:r>
      <w:r w:rsidR="0034530D" w:rsidRPr="006A50AE">
        <w:t>c</w:t>
      </w:r>
      <w:r w:rsidRPr="006A50AE">
        <w:t>onsist</w:t>
      </w:r>
      <w:r w:rsidR="00F40C00" w:rsidRPr="006A50AE">
        <w:t>s</w:t>
      </w:r>
      <w:r w:rsidRPr="006A50AE">
        <w:t xml:space="preserve"> of a </w:t>
      </w:r>
      <w:r w:rsidR="00BA5E07" w:rsidRPr="006A50AE">
        <w:t>seve</w:t>
      </w:r>
      <w:r w:rsidR="00925AD1" w:rsidRPr="006A50AE">
        <w:t>nty</w:t>
      </w:r>
      <w:r w:rsidR="00C45FE5" w:rsidRPr="006A50AE">
        <w:t>-</w:t>
      </w:r>
      <w:r w:rsidR="00BA5E07" w:rsidRPr="006A50AE">
        <w:t>seve</w:t>
      </w:r>
      <w:r w:rsidR="00925AD1" w:rsidRPr="006A50AE">
        <w:t>n (</w:t>
      </w:r>
      <w:r w:rsidR="00BA5E07" w:rsidRPr="006A50AE">
        <w:t>77</w:t>
      </w:r>
      <w:r w:rsidR="00925AD1" w:rsidRPr="006A50AE">
        <w:t xml:space="preserve">) </w:t>
      </w:r>
      <w:r w:rsidRPr="006A50AE">
        <w:t xml:space="preserve">page transcript of the hearing and </w:t>
      </w:r>
      <w:r w:rsidR="00433383" w:rsidRPr="006A50AE">
        <w:t>e</w:t>
      </w:r>
      <w:r w:rsidR="00BA5E07" w:rsidRPr="006A50AE">
        <w:t>igh</w:t>
      </w:r>
      <w:r w:rsidR="00433383" w:rsidRPr="006A50AE">
        <w:t>t</w:t>
      </w:r>
      <w:r w:rsidR="00BA5E07" w:rsidRPr="006A50AE">
        <w:t>e</w:t>
      </w:r>
      <w:r w:rsidR="00433383" w:rsidRPr="006A50AE">
        <w:t xml:space="preserve">en </w:t>
      </w:r>
      <w:r w:rsidRPr="006A50AE">
        <w:t>exhibits</w:t>
      </w:r>
      <w:r w:rsidR="00056BF9" w:rsidRPr="006A50AE">
        <w:rPr>
          <w:rStyle w:val="FootnoteReference"/>
        </w:rPr>
        <w:footnoteReference w:id="1"/>
      </w:r>
      <w:r w:rsidRPr="006A50AE">
        <w:t>.  Th</w:t>
      </w:r>
      <w:r w:rsidR="00A91328" w:rsidRPr="006A50AE">
        <w:t>e</w:t>
      </w:r>
      <w:r w:rsidRPr="006A50AE">
        <w:t xml:space="preserve"> record closed on </w:t>
      </w:r>
      <w:r w:rsidR="00BA5E07" w:rsidRPr="006A50AE">
        <w:t>January</w:t>
      </w:r>
      <w:r w:rsidR="00433383" w:rsidRPr="006A50AE">
        <w:t xml:space="preserve"> </w:t>
      </w:r>
      <w:r w:rsidR="00BA5E07" w:rsidRPr="006A50AE">
        <w:t>4</w:t>
      </w:r>
      <w:r w:rsidR="00433383" w:rsidRPr="006A50AE">
        <w:t>, 201</w:t>
      </w:r>
      <w:r w:rsidR="00BA5E07" w:rsidRPr="006A50AE">
        <w:t>6</w:t>
      </w:r>
      <w:r w:rsidR="00A91328" w:rsidRPr="006A50AE">
        <w:t>, when the transcript was received</w:t>
      </w:r>
      <w:r w:rsidR="00433383" w:rsidRPr="006A50AE">
        <w:t>.</w:t>
      </w:r>
      <w:r w:rsidR="00A11EAA" w:rsidRPr="006A50AE">
        <w:t xml:space="preserve"> </w:t>
      </w:r>
    </w:p>
    <w:p w:rsidR="00FF26E3" w:rsidRPr="006A50AE" w:rsidRDefault="00FF26E3" w:rsidP="00C61CD3">
      <w:pPr>
        <w:pStyle w:val="Heading1"/>
        <w:tabs>
          <w:tab w:val="left" w:pos="1980"/>
        </w:tabs>
        <w:spacing w:line="360" w:lineRule="auto"/>
        <w:rPr>
          <w:rFonts w:ascii="Times New Roman" w:hAnsi="Times New Roman"/>
          <w:b w:val="0"/>
        </w:rPr>
      </w:pPr>
      <w:r w:rsidRPr="006A50AE">
        <w:rPr>
          <w:rFonts w:ascii="Times New Roman" w:hAnsi="Times New Roman"/>
          <w:b w:val="0"/>
        </w:rPr>
        <w:lastRenderedPageBreak/>
        <w:t>FINDINGS OF FACT</w:t>
      </w:r>
    </w:p>
    <w:p w:rsidR="00FF26E3" w:rsidRPr="006A50AE" w:rsidRDefault="00FF26E3" w:rsidP="00C61CD3"/>
    <w:p w:rsidR="00FF26E3" w:rsidRPr="006A50AE" w:rsidRDefault="00FF26E3" w:rsidP="00C61CD3">
      <w:pPr>
        <w:pStyle w:val="BodyText"/>
        <w:numPr>
          <w:ilvl w:val="0"/>
          <w:numId w:val="2"/>
        </w:numPr>
        <w:tabs>
          <w:tab w:val="clear" w:pos="1980"/>
          <w:tab w:val="left" w:pos="0"/>
        </w:tabs>
        <w:spacing w:line="360" w:lineRule="auto"/>
        <w:ind w:left="0" w:firstLine="1440"/>
        <w:jc w:val="left"/>
        <w:rPr>
          <w:rFonts w:ascii="Times New Roman" w:hAnsi="Times New Roman"/>
        </w:rPr>
      </w:pPr>
      <w:r w:rsidRPr="006A50AE">
        <w:rPr>
          <w:rFonts w:ascii="Times New Roman" w:hAnsi="Times New Roman"/>
        </w:rPr>
        <w:t>The Complainant</w:t>
      </w:r>
      <w:r w:rsidR="00DF7C05" w:rsidRPr="006A50AE">
        <w:rPr>
          <w:rFonts w:ascii="Times New Roman" w:hAnsi="Times New Roman"/>
        </w:rPr>
        <w:t>,</w:t>
      </w:r>
      <w:r w:rsidRPr="006A50AE">
        <w:rPr>
          <w:rFonts w:ascii="Times New Roman" w:hAnsi="Times New Roman"/>
        </w:rPr>
        <w:t xml:space="preserve"> </w:t>
      </w:r>
      <w:r w:rsidR="00BA5E07" w:rsidRPr="006A50AE">
        <w:rPr>
          <w:rFonts w:ascii="Times New Roman" w:hAnsi="Times New Roman"/>
        </w:rPr>
        <w:t>Aslam Malik</w:t>
      </w:r>
      <w:r w:rsidRPr="006A50AE">
        <w:rPr>
          <w:rFonts w:ascii="Times New Roman" w:hAnsi="Times New Roman"/>
        </w:rPr>
        <w:t xml:space="preserve">, </w:t>
      </w:r>
      <w:r w:rsidR="00DF7C05" w:rsidRPr="006A50AE">
        <w:rPr>
          <w:rFonts w:ascii="Times New Roman" w:hAnsi="Times New Roman"/>
        </w:rPr>
        <w:t xml:space="preserve">resides at 3 Lori Lane, Huntingdon Valley, </w:t>
      </w:r>
      <w:r w:rsidRPr="006A50AE">
        <w:rPr>
          <w:rFonts w:ascii="Times New Roman" w:hAnsi="Times New Roman"/>
        </w:rPr>
        <w:t>PA 19</w:t>
      </w:r>
      <w:r w:rsidR="00C55A2F" w:rsidRPr="006A50AE">
        <w:rPr>
          <w:rFonts w:ascii="Times New Roman" w:hAnsi="Times New Roman"/>
        </w:rPr>
        <w:t>0</w:t>
      </w:r>
      <w:r w:rsidR="00DF7C05" w:rsidRPr="006A50AE">
        <w:rPr>
          <w:rFonts w:ascii="Times New Roman" w:hAnsi="Times New Roman"/>
        </w:rPr>
        <w:t>06</w:t>
      </w:r>
      <w:r w:rsidRPr="006A50AE">
        <w:rPr>
          <w:rFonts w:ascii="Times New Roman" w:hAnsi="Times New Roman"/>
        </w:rPr>
        <w:t>.</w:t>
      </w:r>
    </w:p>
    <w:p w:rsidR="00510627" w:rsidRPr="006A50AE" w:rsidRDefault="00510627" w:rsidP="00C61CD3">
      <w:pPr>
        <w:pStyle w:val="BodyText"/>
        <w:tabs>
          <w:tab w:val="clear" w:pos="1980"/>
          <w:tab w:val="left" w:pos="0"/>
        </w:tabs>
        <w:spacing w:line="360" w:lineRule="auto"/>
        <w:ind w:firstLine="1440"/>
        <w:jc w:val="left"/>
        <w:rPr>
          <w:rFonts w:ascii="Times New Roman" w:hAnsi="Times New Roman"/>
        </w:rPr>
      </w:pPr>
    </w:p>
    <w:p w:rsidR="00FF26E3" w:rsidRPr="006A50AE" w:rsidRDefault="00FF26E3" w:rsidP="00C61CD3">
      <w:pPr>
        <w:pStyle w:val="BodyText"/>
        <w:numPr>
          <w:ilvl w:val="0"/>
          <w:numId w:val="2"/>
        </w:numPr>
        <w:tabs>
          <w:tab w:val="clear" w:pos="1980"/>
        </w:tabs>
        <w:spacing w:line="360" w:lineRule="auto"/>
        <w:ind w:left="0" w:firstLine="1440"/>
        <w:jc w:val="left"/>
        <w:rPr>
          <w:rFonts w:ascii="Times New Roman" w:hAnsi="Times New Roman"/>
        </w:rPr>
      </w:pPr>
      <w:r w:rsidRPr="006A50AE">
        <w:rPr>
          <w:rFonts w:ascii="Times New Roman" w:hAnsi="Times New Roman"/>
        </w:rPr>
        <w:t>The Respondent in this proceeding is PECO Energy Company.</w:t>
      </w:r>
    </w:p>
    <w:p w:rsidR="00534DAD" w:rsidRPr="006A50AE" w:rsidRDefault="00534DAD" w:rsidP="00C61CD3">
      <w:pPr>
        <w:pStyle w:val="BodyText"/>
        <w:tabs>
          <w:tab w:val="left" w:pos="0"/>
        </w:tabs>
        <w:spacing w:line="360" w:lineRule="auto"/>
        <w:ind w:firstLine="1440"/>
        <w:jc w:val="left"/>
        <w:rPr>
          <w:rFonts w:ascii="Times New Roman" w:hAnsi="Times New Roman"/>
        </w:rPr>
      </w:pPr>
    </w:p>
    <w:p w:rsidR="00BA5E07" w:rsidRPr="006A50AE" w:rsidRDefault="00BA5E07"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The Complainant owns the pr</w:t>
      </w:r>
      <w:r w:rsidR="00DF7C05" w:rsidRPr="006A50AE">
        <w:rPr>
          <w:rFonts w:ascii="Times New Roman" w:hAnsi="Times New Roman"/>
        </w:rPr>
        <w:t xml:space="preserve">operty at 9470 Frankford Avenue, Philadelphia, PA </w:t>
      </w:r>
      <w:r w:rsidR="00534DAD" w:rsidRPr="006A50AE">
        <w:rPr>
          <w:rFonts w:ascii="Times New Roman" w:hAnsi="Times New Roman"/>
        </w:rPr>
        <w:t xml:space="preserve">(Tr. </w:t>
      </w:r>
      <w:r w:rsidR="00DF7C05" w:rsidRPr="006A50AE">
        <w:rPr>
          <w:rFonts w:ascii="Times New Roman" w:hAnsi="Times New Roman"/>
        </w:rPr>
        <w:t>6</w:t>
      </w:r>
      <w:r w:rsidR="00534DAD" w:rsidRPr="006A50AE">
        <w:rPr>
          <w:rFonts w:ascii="Times New Roman" w:hAnsi="Times New Roman"/>
        </w:rPr>
        <w:t xml:space="preserve">; C. Ex. </w:t>
      </w:r>
      <w:r w:rsidR="008B3944" w:rsidRPr="006A50AE">
        <w:rPr>
          <w:rFonts w:ascii="Times New Roman" w:hAnsi="Times New Roman"/>
        </w:rPr>
        <w:t>1</w:t>
      </w:r>
      <w:r w:rsidR="00534DAD" w:rsidRPr="006A50AE">
        <w:rPr>
          <w:rFonts w:ascii="Times New Roman" w:hAnsi="Times New Roman"/>
        </w:rPr>
        <w:t>).</w:t>
      </w:r>
    </w:p>
    <w:p w:rsidR="00534DAD" w:rsidRPr="006A50AE" w:rsidRDefault="00534DAD" w:rsidP="00C61CD3">
      <w:pPr>
        <w:pStyle w:val="BodyText"/>
        <w:tabs>
          <w:tab w:val="left" w:pos="0"/>
        </w:tabs>
        <w:spacing w:line="360" w:lineRule="auto"/>
        <w:ind w:firstLine="1440"/>
        <w:jc w:val="left"/>
        <w:rPr>
          <w:rFonts w:ascii="Times New Roman" w:hAnsi="Times New Roman"/>
        </w:rPr>
      </w:pPr>
    </w:p>
    <w:p w:rsidR="00510627" w:rsidRPr="006A50AE" w:rsidRDefault="00BA5E07"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 xml:space="preserve">The </w:t>
      </w:r>
      <w:r w:rsidR="00F06C95" w:rsidRPr="006A50AE">
        <w:rPr>
          <w:rFonts w:ascii="Times New Roman" w:hAnsi="Times New Roman"/>
        </w:rPr>
        <w:t>Complainant never lived at the Frankford Avenue property (Tr. 6).</w:t>
      </w:r>
    </w:p>
    <w:p w:rsidR="008211C2" w:rsidRPr="006A50AE" w:rsidRDefault="008211C2" w:rsidP="00C61CD3">
      <w:pPr>
        <w:pStyle w:val="ListParagraph"/>
      </w:pPr>
    </w:p>
    <w:p w:rsidR="008211C2" w:rsidRPr="006A50AE" w:rsidRDefault="008211C2"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The Complainant previously resided at 3138 Glenview Street, Philadelphia, PA 19149.</w:t>
      </w:r>
    </w:p>
    <w:p w:rsidR="00510627" w:rsidRPr="006A50AE" w:rsidRDefault="00510627" w:rsidP="00C61CD3">
      <w:pPr>
        <w:pStyle w:val="ListParagraph"/>
        <w:spacing w:line="360" w:lineRule="auto"/>
        <w:ind w:left="0" w:firstLine="1440"/>
      </w:pPr>
    </w:p>
    <w:p w:rsidR="007B6BDA" w:rsidRPr="006A50AE" w:rsidRDefault="00705B69"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The Complainant purchased the Frankford Avenue property in 2012</w:t>
      </w:r>
    </w:p>
    <w:p w:rsidR="00705B69" w:rsidRPr="006A50AE" w:rsidRDefault="006D28F6" w:rsidP="00C61CD3">
      <w:pPr>
        <w:pStyle w:val="BodyText"/>
        <w:tabs>
          <w:tab w:val="left" w:pos="0"/>
        </w:tabs>
        <w:spacing w:line="360" w:lineRule="auto"/>
        <w:jc w:val="left"/>
        <w:rPr>
          <w:rFonts w:ascii="Times New Roman" w:hAnsi="Times New Roman"/>
        </w:rPr>
      </w:pPr>
      <w:r w:rsidRPr="006A50AE">
        <w:rPr>
          <w:rFonts w:ascii="Times New Roman" w:hAnsi="Times New Roman"/>
        </w:rPr>
        <w:t>(Tr. 14)</w:t>
      </w:r>
      <w:r w:rsidR="00510627" w:rsidRPr="006A50AE">
        <w:rPr>
          <w:rFonts w:ascii="Times New Roman" w:hAnsi="Times New Roman"/>
        </w:rPr>
        <w:t>.</w:t>
      </w:r>
    </w:p>
    <w:p w:rsidR="00510627" w:rsidRPr="006A50AE" w:rsidRDefault="00510627" w:rsidP="00C61CD3">
      <w:pPr>
        <w:pStyle w:val="BodyText"/>
        <w:tabs>
          <w:tab w:val="left" w:pos="0"/>
        </w:tabs>
        <w:spacing w:line="360" w:lineRule="auto"/>
        <w:ind w:firstLine="1440"/>
        <w:jc w:val="left"/>
        <w:rPr>
          <w:rFonts w:ascii="Times New Roman" w:hAnsi="Times New Roman"/>
        </w:rPr>
      </w:pPr>
    </w:p>
    <w:p w:rsidR="008211C2" w:rsidRPr="006A50AE" w:rsidRDefault="008B3944"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 xml:space="preserve">The Complainant had a </w:t>
      </w:r>
      <w:r w:rsidR="00987ACE" w:rsidRPr="006A50AE">
        <w:rPr>
          <w:rFonts w:ascii="Times New Roman" w:hAnsi="Times New Roman"/>
        </w:rPr>
        <w:t>month-to-month</w:t>
      </w:r>
      <w:r w:rsidRPr="006A50AE">
        <w:rPr>
          <w:rFonts w:ascii="Times New Roman" w:hAnsi="Times New Roman"/>
        </w:rPr>
        <w:t xml:space="preserve"> lease with Theresa McNamee </w:t>
      </w:r>
    </w:p>
    <w:p w:rsidR="008B3944" w:rsidRPr="006A50AE" w:rsidRDefault="008B3944" w:rsidP="00C61CD3">
      <w:pPr>
        <w:pStyle w:val="BodyText"/>
        <w:tabs>
          <w:tab w:val="clear" w:pos="1980"/>
          <w:tab w:val="left" w:pos="0"/>
        </w:tabs>
        <w:spacing w:line="360" w:lineRule="auto"/>
        <w:jc w:val="left"/>
        <w:rPr>
          <w:rFonts w:ascii="Times New Roman" w:hAnsi="Times New Roman"/>
        </w:rPr>
      </w:pPr>
      <w:r w:rsidRPr="006A50AE">
        <w:rPr>
          <w:rFonts w:ascii="Times New Roman" w:hAnsi="Times New Roman"/>
        </w:rPr>
        <w:t>(C. Ex. 2).</w:t>
      </w:r>
    </w:p>
    <w:p w:rsidR="00510627" w:rsidRPr="006A50AE" w:rsidRDefault="00510627" w:rsidP="00C61CD3">
      <w:pPr>
        <w:pStyle w:val="BodyText"/>
        <w:tabs>
          <w:tab w:val="left" w:pos="0"/>
        </w:tabs>
        <w:spacing w:line="360" w:lineRule="auto"/>
        <w:ind w:firstLine="1440"/>
        <w:jc w:val="left"/>
        <w:rPr>
          <w:rFonts w:ascii="Times New Roman" w:hAnsi="Times New Roman"/>
        </w:rPr>
      </w:pPr>
    </w:p>
    <w:p w:rsidR="008B3944" w:rsidRPr="006A50AE" w:rsidRDefault="008B3944"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 xml:space="preserve">The Complainant had a lease </w:t>
      </w:r>
      <w:r w:rsidR="00FC3D60" w:rsidRPr="006A50AE">
        <w:rPr>
          <w:rFonts w:ascii="Times New Roman" w:hAnsi="Times New Roman"/>
        </w:rPr>
        <w:t>with Anthony and Janet Carrac</w:t>
      </w:r>
      <w:r w:rsidR="00987ACE" w:rsidRPr="006A50AE">
        <w:rPr>
          <w:rFonts w:ascii="Times New Roman" w:hAnsi="Times New Roman"/>
        </w:rPr>
        <w:t>c</w:t>
      </w:r>
      <w:r w:rsidR="00FC3D60" w:rsidRPr="006A50AE">
        <w:rPr>
          <w:rFonts w:ascii="Times New Roman" w:hAnsi="Times New Roman"/>
        </w:rPr>
        <w:t xml:space="preserve">io </w:t>
      </w:r>
      <w:r w:rsidRPr="006A50AE">
        <w:rPr>
          <w:rFonts w:ascii="Times New Roman" w:hAnsi="Times New Roman"/>
        </w:rPr>
        <w:t>f</w:t>
      </w:r>
      <w:r w:rsidR="00FC3D60" w:rsidRPr="006A50AE">
        <w:rPr>
          <w:rFonts w:ascii="Times New Roman" w:hAnsi="Times New Roman"/>
        </w:rPr>
        <w:t>o</w:t>
      </w:r>
      <w:r w:rsidRPr="006A50AE">
        <w:rPr>
          <w:rFonts w:ascii="Times New Roman" w:hAnsi="Times New Roman"/>
        </w:rPr>
        <w:t>r</w:t>
      </w:r>
      <w:r w:rsidR="00FC3D60" w:rsidRPr="006A50AE">
        <w:rPr>
          <w:rFonts w:ascii="Times New Roman" w:hAnsi="Times New Roman"/>
        </w:rPr>
        <w:t xml:space="preserve"> the period from</w:t>
      </w:r>
      <w:r w:rsidRPr="006A50AE">
        <w:rPr>
          <w:rFonts w:ascii="Times New Roman" w:hAnsi="Times New Roman"/>
        </w:rPr>
        <w:t xml:space="preserve"> February 7, 2013 to January 30, 2015 (C. Ex. 1).</w:t>
      </w:r>
    </w:p>
    <w:p w:rsidR="00510627" w:rsidRPr="006A50AE" w:rsidRDefault="00510627" w:rsidP="00C61CD3">
      <w:pPr>
        <w:pStyle w:val="BodyText"/>
        <w:tabs>
          <w:tab w:val="left" w:pos="0"/>
        </w:tabs>
        <w:spacing w:line="360" w:lineRule="auto"/>
        <w:ind w:firstLine="1440"/>
        <w:jc w:val="left"/>
        <w:rPr>
          <w:rFonts w:ascii="Times New Roman" w:hAnsi="Times New Roman"/>
        </w:rPr>
      </w:pPr>
    </w:p>
    <w:p w:rsidR="00BA5E07" w:rsidRPr="006A50AE" w:rsidRDefault="00705B69"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 xml:space="preserve">The </w:t>
      </w:r>
      <w:r w:rsidR="00BA5E07" w:rsidRPr="006A50AE">
        <w:rPr>
          <w:rFonts w:ascii="Times New Roman" w:hAnsi="Times New Roman"/>
        </w:rPr>
        <w:t xml:space="preserve">first floor tenant, Anthony Carraccio, </w:t>
      </w:r>
      <w:r w:rsidR="00AB4F8A" w:rsidRPr="006A50AE">
        <w:rPr>
          <w:rFonts w:ascii="Times New Roman" w:hAnsi="Times New Roman"/>
        </w:rPr>
        <w:t>established an electric account with the Respondent for the Frankford Avenue property on February</w:t>
      </w:r>
      <w:r w:rsidR="00BA5E07" w:rsidRPr="006A50AE">
        <w:rPr>
          <w:rFonts w:ascii="Times New Roman" w:hAnsi="Times New Roman"/>
        </w:rPr>
        <w:t xml:space="preserve"> </w:t>
      </w:r>
      <w:r w:rsidR="00AB4F8A" w:rsidRPr="006A50AE">
        <w:rPr>
          <w:rFonts w:ascii="Times New Roman" w:hAnsi="Times New Roman"/>
        </w:rPr>
        <w:t xml:space="preserve">7, </w:t>
      </w:r>
      <w:r w:rsidR="00BA5E07" w:rsidRPr="006A50AE">
        <w:rPr>
          <w:rFonts w:ascii="Times New Roman" w:hAnsi="Times New Roman"/>
        </w:rPr>
        <w:t>201</w:t>
      </w:r>
      <w:r w:rsidR="00AB4F8A" w:rsidRPr="006A50AE">
        <w:rPr>
          <w:rFonts w:ascii="Times New Roman" w:hAnsi="Times New Roman"/>
        </w:rPr>
        <w:t>3</w:t>
      </w:r>
      <w:r w:rsidRPr="006A50AE">
        <w:rPr>
          <w:rFonts w:ascii="Times New Roman" w:hAnsi="Times New Roman"/>
        </w:rPr>
        <w:t xml:space="preserve"> (Tr</w:t>
      </w:r>
      <w:r w:rsidR="00BA5E07" w:rsidRPr="006A50AE">
        <w:rPr>
          <w:rFonts w:ascii="Times New Roman" w:hAnsi="Times New Roman"/>
        </w:rPr>
        <w:t xml:space="preserve">. </w:t>
      </w:r>
      <w:r w:rsidR="00AB4F8A" w:rsidRPr="006A50AE">
        <w:rPr>
          <w:rFonts w:ascii="Times New Roman" w:hAnsi="Times New Roman"/>
        </w:rPr>
        <w:t>47, 48</w:t>
      </w:r>
      <w:r w:rsidRPr="006A50AE">
        <w:rPr>
          <w:rFonts w:ascii="Times New Roman" w:hAnsi="Times New Roman"/>
        </w:rPr>
        <w:t>; PECO Ex.1).</w:t>
      </w:r>
    </w:p>
    <w:p w:rsidR="00510627" w:rsidRPr="006A50AE" w:rsidRDefault="00510627" w:rsidP="00C61CD3">
      <w:pPr>
        <w:pStyle w:val="BodyText"/>
        <w:tabs>
          <w:tab w:val="left" w:pos="0"/>
        </w:tabs>
        <w:spacing w:line="360" w:lineRule="auto"/>
        <w:ind w:firstLine="1440"/>
        <w:jc w:val="left"/>
        <w:rPr>
          <w:rFonts w:ascii="Times New Roman" w:hAnsi="Times New Roman"/>
        </w:rPr>
      </w:pPr>
    </w:p>
    <w:p w:rsidR="00AB4F8A" w:rsidRPr="006A50AE" w:rsidRDefault="00AB4F8A"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 xml:space="preserve">Mr. Carraccio contacted the Respondent on September 3, 2014, because he suspected </w:t>
      </w:r>
      <w:r w:rsidR="00B733C6" w:rsidRPr="006A50AE">
        <w:rPr>
          <w:rFonts w:ascii="Times New Roman" w:hAnsi="Times New Roman"/>
        </w:rPr>
        <w:t>foreign load</w:t>
      </w:r>
      <w:r w:rsidRPr="006A50AE">
        <w:rPr>
          <w:rFonts w:ascii="Times New Roman" w:hAnsi="Times New Roman"/>
        </w:rPr>
        <w:t xml:space="preserve"> (Tr. 48</w:t>
      </w:r>
      <w:r w:rsidR="00DE4AF1" w:rsidRPr="006A50AE">
        <w:rPr>
          <w:rFonts w:ascii="Times New Roman" w:hAnsi="Times New Roman"/>
        </w:rPr>
        <w:t>, 55</w:t>
      </w:r>
      <w:r w:rsidRPr="006A50AE">
        <w:rPr>
          <w:rFonts w:ascii="Times New Roman" w:hAnsi="Times New Roman"/>
        </w:rPr>
        <w:t>).</w:t>
      </w:r>
    </w:p>
    <w:p w:rsidR="002A2685" w:rsidRPr="006A50AE" w:rsidRDefault="002A2685" w:rsidP="00C61CD3">
      <w:pPr>
        <w:pStyle w:val="BodyText"/>
        <w:tabs>
          <w:tab w:val="left" w:pos="0"/>
        </w:tabs>
        <w:spacing w:line="360" w:lineRule="auto"/>
        <w:jc w:val="left"/>
        <w:rPr>
          <w:rFonts w:ascii="Times New Roman" w:hAnsi="Times New Roman"/>
        </w:rPr>
      </w:pPr>
    </w:p>
    <w:p w:rsidR="00AB4F8A" w:rsidRPr="006A50AE" w:rsidRDefault="00BA5E07"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lastRenderedPageBreak/>
        <w:t xml:space="preserve">When </w:t>
      </w:r>
      <w:r w:rsidR="00DD6B50" w:rsidRPr="006A50AE">
        <w:rPr>
          <w:rFonts w:ascii="Times New Roman" w:hAnsi="Times New Roman"/>
        </w:rPr>
        <w:t xml:space="preserve">Roberto Alicea, the </w:t>
      </w:r>
      <w:r w:rsidRPr="006A50AE">
        <w:rPr>
          <w:rFonts w:ascii="Times New Roman" w:hAnsi="Times New Roman"/>
        </w:rPr>
        <w:t>Respondent’s technician</w:t>
      </w:r>
      <w:r w:rsidR="00DD6B50" w:rsidRPr="006A50AE">
        <w:rPr>
          <w:rFonts w:ascii="Times New Roman" w:hAnsi="Times New Roman"/>
        </w:rPr>
        <w:t>,</w:t>
      </w:r>
      <w:r w:rsidRPr="006A50AE">
        <w:rPr>
          <w:rFonts w:ascii="Times New Roman" w:hAnsi="Times New Roman"/>
        </w:rPr>
        <w:t xml:space="preserve"> visited the property on September 8, 2014, he found </w:t>
      </w:r>
      <w:r w:rsidR="00B733C6" w:rsidRPr="006A50AE">
        <w:rPr>
          <w:rFonts w:ascii="Times New Roman" w:hAnsi="Times New Roman"/>
        </w:rPr>
        <w:t>foreign load</w:t>
      </w:r>
      <w:r w:rsidR="00AB4F8A" w:rsidRPr="006A50AE">
        <w:rPr>
          <w:rFonts w:ascii="Times New Roman" w:hAnsi="Times New Roman"/>
        </w:rPr>
        <w:t xml:space="preserve"> (Tr. 48</w:t>
      </w:r>
      <w:r w:rsidR="00DD6B50" w:rsidRPr="006A50AE">
        <w:rPr>
          <w:rFonts w:ascii="Times New Roman" w:hAnsi="Times New Roman"/>
        </w:rPr>
        <w:t>, 60, 61; PECO Ex. 3</w:t>
      </w:r>
      <w:r w:rsidR="00AB4F8A" w:rsidRPr="006A50AE">
        <w:rPr>
          <w:rFonts w:ascii="Times New Roman" w:hAnsi="Times New Roman"/>
        </w:rPr>
        <w:t>)</w:t>
      </w:r>
      <w:r w:rsidRPr="006A50AE">
        <w:rPr>
          <w:rFonts w:ascii="Times New Roman" w:hAnsi="Times New Roman"/>
        </w:rPr>
        <w:t>.</w:t>
      </w:r>
    </w:p>
    <w:p w:rsidR="00DD6B50" w:rsidRPr="006A50AE" w:rsidRDefault="00DD6B50" w:rsidP="00C61CD3">
      <w:pPr>
        <w:pStyle w:val="ListParagraph"/>
        <w:spacing w:line="360" w:lineRule="auto"/>
        <w:ind w:left="0" w:firstLine="1440"/>
      </w:pPr>
    </w:p>
    <w:p w:rsidR="00DD6B50" w:rsidRPr="006A50AE" w:rsidRDefault="00DD6B50"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 xml:space="preserve">On September 8, 2014, Mr. Alicea dropped the load, </w:t>
      </w:r>
      <w:proofErr w:type="gramStart"/>
      <w:r w:rsidRPr="006A50AE">
        <w:rPr>
          <w:rFonts w:ascii="Times New Roman" w:hAnsi="Times New Roman"/>
        </w:rPr>
        <w:t>idled</w:t>
      </w:r>
      <w:proofErr w:type="gramEnd"/>
      <w:r w:rsidRPr="006A50AE">
        <w:rPr>
          <w:rFonts w:ascii="Times New Roman" w:hAnsi="Times New Roman"/>
        </w:rPr>
        <w:t xml:space="preserve"> the disk, verified the meter and the meter reading and performed a </w:t>
      </w:r>
      <w:r w:rsidR="00B733C6" w:rsidRPr="006A50AE">
        <w:rPr>
          <w:rFonts w:ascii="Times New Roman" w:hAnsi="Times New Roman"/>
        </w:rPr>
        <w:t>foreign load</w:t>
      </w:r>
      <w:r w:rsidRPr="006A50AE">
        <w:rPr>
          <w:rFonts w:ascii="Times New Roman" w:hAnsi="Times New Roman"/>
        </w:rPr>
        <w:t xml:space="preserve"> investigation (Tr. 62</w:t>
      </w:r>
      <w:r w:rsidR="00F6195D">
        <w:rPr>
          <w:rFonts w:ascii="Times New Roman" w:hAnsi="Times New Roman"/>
        </w:rPr>
        <w:t>; PECO Ex. </w:t>
      </w:r>
      <w:r w:rsidR="002F63C5" w:rsidRPr="006A50AE">
        <w:rPr>
          <w:rFonts w:ascii="Times New Roman" w:hAnsi="Times New Roman"/>
        </w:rPr>
        <w:t>3</w:t>
      </w:r>
      <w:r w:rsidRPr="006A50AE">
        <w:rPr>
          <w:rFonts w:ascii="Times New Roman" w:hAnsi="Times New Roman"/>
        </w:rPr>
        <w:t>).</w:t>
      </w:r>
    </w:p>
    <w:p w:rsidR="00DD6B50" w:rsidRPr="006A50AE" w:rsidRDefault="00DD6B50" w:rsidP="00C61CD3">
      <w:pPr>
        <w:pStyle w:val="ListParagraph"/>
        <w:spacing w:line="360" w:lineRule="auto"/>
        <w:ind w:left="0" w:firstLine="1440"/>
      </w:pPr>
    </w:p>
    <w:p w:rsidR="00DD6B50" w:rsidRPr="006A50AE" w:rsidRDefault="00DD6B50"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Mr. Alicea found that there were outlets and two lights</w:t>
      </w:r>
      <w:r w:rsidR="002F63C5" w:rsidRPr="006A50AE">
        <w:rPr>
          <w:rFonts w:ascii="Times New Roman" w:hAnsi="Times New Roman"/>
        </w:rPr>
        <w:t xml:space="preserve"> under </w:t>
      </w:r>
      <w:r w:rsidRPr="006A50AE">
        <w:rPr>
          <w:rFonts w:ascii="Times New Roman" w:hAnsi="Times New Roman"/>
        </w:rPr>
        <w:t xml:space="preserve">the basement </w:t>
      </w:r>
      <w:r w:rsidR="002F63C5" w:rsidRPr="006A50AE">
        <w:rPr>
          <w:rFonts w:ascii="Times New Roman" w:hAnsi="Times New Roman"/>
        </w:rPr>
        <w:t xml:space="preserve">steps </w:t>
      </w:r>
      <w:r w:rsidRPr="006A50AE">
        <w:rPr>
          <w:rFonts w:ascii="Times New Roman" w:hAnsi="Times New Roman"/>
        </w:rPr>
        <w:t>that were on the meter for the first floor tenant (Tr. 62</w:t>
      </w:r>
      <w:r w:rsidR="002F63C5" w:rsidRPr="006A50AE">
        <w:rPr>
          <w:rFonts w:ascii="Times New Roman" w:hAnsi="Times New Roman"/>
        </w:rPr>
        <w:t>-64</w:t>
      </w:r>
      <w:r w:rsidRPr="006A50AE">
        <w:rPr>
          <w:rFonts w:ascii="Times New Roman" w:hAnsi="Times New Roman"/>
        </w:rPr>
        <w:t xml:space="preserve">; </w:t>
      </w:r>
      <w:r w:rsidR="002F63C5" w:rsidRPr="006A50AE">
        <w:rPr>
          <w:rFonts w:ascii="Times New Roman" w:hAnsi="Times New Roman"/>
        </w:rPr>
        <w:t>PECO Ex. 3</w:t>
      </w:r>
      <w:r w:rsidRPr="006A50AE">
        <w:rPr>
          <w:rFonts w:ascii="Times New Roman" w:hAnsi="Times New Roman"/>
        </w:rPr>
        <w:t>).</w:t>
      </w:r>
    </w:p>
    <w:p w:rsidR="00DD6B50" w:rsidRPr="006A50AE" w:rsidRDefault="00DD6B50" w:rsidP="00C61CD3">
      <w:pPr>
        <w:pStyle w:val="ListParagraph"/>
        <w:spacing w:line="360" w:lineRule="auto"/>
        <w:ind w:left="0" w:firstLine="1440"/>
      </w:pPr>
    </w:p>
    <w:p w:rsidR="00DD6B50" w:rsidRPr="006A50AE" w:rsidRDefault="002F63C5"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 xml:space="preserve">The first and second floor tenants had access to the </w:t>
      </w:r>
      <w:r w:rsidR="008211C2" w:rsidRPr="006A50AE">
        <w:rPr>
          <w:rFonts w:ascii="Times New Roman" w:hAnsi="Times New Roman"/>
        </w:rPr>
        <w:t xml:space="preserve">lights and </w:t>
      </w:r>
      <w:r w:rsidRPr="006A50AE">
        <w:rPr>
          <w:rFonts w:ascii="Times New Roman" w:hAnsi="Times New Roman"/>
        </w:rPr>
        <w:t xml:space="preserve">outlets under the basement steps although the </w:t>
      </w:r>
      <w:r w:rsidR="008211C2" w:rsidRPr="006A50AE">
        <w:rPr>
          <w:rFonts w:ascii="Times New Roman" w:hAnsi="Times New Roman"/>
        </w:rPr>
        <w:t xml:space="preserve">lights and </w:t>
      </w:r>
      <w:r w:rsidRPr="006A50AE">
        <w:rPr>
          <w:rFonts w:ascii="Times New Roman" w:hAnsi="Times New Roman"/>
        </w:rPr>
        <w:t xml:space="preserve">outlets were on the first floor meter (Tr. 62, 63; PECO Ex. 3). </w:t>
      </w:r>
    </w:p>
    <w:p w:rsidR="002F63C5" w:rsidRPr="006A50AE" w:rsidRDefault="002F63C5" w:rsidP="00C61CD3">
      <w:pPr>
        <w:pStyle w:val="ListParagraph"/>
        <w:spacing w:line="360" w:lineRule="auto"/>
        <w:ind w:left="0" w:firstLine="1440"/>
      </w:pPr>
    </w:p>
    <w:p w:rsidR="00AC1B66" w:rsidRPr="006A50AE" w:rsidRDefault="008211C2"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In the basement, each tenant had a separate laundry area with a</w:t>
      </w:r>
      <w:r w:rsidR="002F63C5" w:rsidRPr="006A50AE">
        <w:rPr>
          <w:rFonts w:ascii="Times New Roman" w:hAnsi="Times New Roman"/>
        </w:rPr>
        <w:t xml:space="preserve"> washer, dryer and </w:t>
      </w:r>
      <w:r w:rsidRPr="006A50AE">
        <w:rPr>
          <w:rFonts w:ascii="Times New Roman" w:hAnsi="Times New Roman"/>
        </w:rPr>
        <w:t>a</w:t>
      </w:r>
      <w:r w:rsidR="002F63C5" w:rsidRPr="006A50AE">
        <w:rPr>
          <w:rFonts w:ascii="Times New Roman" w:hAnsi="Times New Roman"/>
        </w:rPr>
        <w:t xml:space="preserve"> light (Tr. 63; </w:t>
      </w:r>
      <w:r w:rsidRPr="006A50AE">
        <w:rPr>
          <w:rFonts w:ascii="Times New Roman" w:hAnsi="Times New Roman"/>
        </w:rPr>
        <w:t xml:space="preserve">C. Ex. 3; </w:t>
      </w:r>
      <w:r w:rsidR="002F63C5" w:rsidRPr="006A50AE">
        <w:rPr>
          <w:rFonts w:ascii="Times New Roman" w:hAnsi="Times New Roman"/>
        </w:rPr>
        <w:t>PECO Ex. 3).</w:t>
      </w:r>
    </w:p>
    <w:p w:rsidR="00AC1B66" w:rsidRPr="006A50AE" w:rsidRDefault="00AC1B66" w:rsidP="00C61CD3">
      <w:pPr>
        <w:pStyle w:val="ListParagraph"/>
        <w:rPr>
          <w:highlight w:val="yellow"/>
        </w:rPr>
      </w:pPr>
    </w:p>
    <w:p w:rsidR="00510627" w:rsidRPr="006A50AE" w:rsidRDefault="00AC1B66"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When foreign load is found, the Respondent automatically transfers the account and any outstanding balance of the tenant to the landlord (Tr. 48; PECO Exs. 5, 9).</w:t>
      </w:r>
    </w:p>
    <w:p w:rsidR="00AC1B66" w:rsidRPr="006A50AE" w:rsidRDefault="00AC1B66" w:rsidP="00C61CD3">
      <w:pPr>
        <w:pStyle w:val="BodyText"/>
        <w:tabs>
          <w:tab w:val="left" w:pos="0"/>
        </w:tabs>
        <w:spacing w:line="360" w:lineRule="auto"/>
        <w:jc w:val="left"/>
        <w:rPr>
          <w:rFonts w:ascii="Times New Roman" w:hAnsi="Times New Roman"/>
        </w:rPr>
      </w:pPr>
    </w:p>
    <w:p w:rsidR="00586535" w:rsidRPr="006A50AE" w:rsidRDefault="00586535" w:rsidP="00C61CD3">
      <w:pPr>
        <w:pStyle w:val="BodyText"/>
        <w:numPr>
          <w:ilvl w:val="0"/>
          <w:numId w:val="2"/>
        </w:numPr>
        <w:tabs>
          <w:tab w:val="clear" w:pos="1980"/>
          <w:tab w:val="left" w:pos="0"/>
        </w:tabs>
        <w:spacing w:line="360" w:lineRule="auto"/>
        <w:ind w:left="0" w:firstLine="1440"/>
        <w:jc w:val="left"/>
        <w:rPr>
          <w:rFonts w:ascii="Times New Roman" w:hAnsi="Times New Roman"/>
        </w:rPr>
      </w:pPr>
      <w:r w:rsidRPr="006A50AE">
        <w:rPr>
          <w:rFonts w:ascii="Times New Roman" w:hAnsi="Times New Roman"/>
        </w:rPr>
        <w:t>The Respondent established an electric account for the Complainant for the first floor for the Frankford Avenue property on September 8, 2014 (Tr. 50; PECO Ex. 4).</w:t>
      </w:r>
    </w:p>
    <w:p w:rsidR="00586535" w:rsidRPr="006A50AE" w:rsidRDefault="00586535" w:rsidP="00C61CD3">
      <w:pPr>
        <w:pStyle w:val="BodyText"/>
        <w:tabs>
          <w:tab w:val="clear" w:pos="1980"/>
          <w:tab w:val="left" w:pos="0"/>
        </w:tabs>
        <w:spacing w:line="360" w:lineRule="auto"/>
        <w:jc w:val="left"/>
        <w:rPr>
          <w:rFonts w:ascii="Times New Roman" w:hAnsi="Times New Roman"/>
        </w:rPr>
      </w:pPr>
    </w:p>
    <w:p w:rsidR="00586535" w:rsidRPr="006A50AE" w:rsidRDefault="00BA5E07"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 xml:space="preserve">The Respondent sent the Complainant correspondence, dated September 9, 2014, advising the Complainant of the </w:t>
      </w:r>
      <w:r w:rsidR="00B733C6" w:rsidRPr="006A50AE">
        <w:rPr>
          <w:rFonts w:ascii="Times New Roman" w:hAnsi="Times New Roman"/>
        </w:rPr>
        <w:t>foreign load</w:t>
      </w:r>
      <w:r w:rsidRPr="006A50AE">
        <w:rPr>
          <w:rFonts w:ascii="Times New Roman" w:hAnsi="Times New Roman"/>
        </w:rPr>
        <w:t xml:space="preserve"> </w:t>
      </w:r>
      <w:r w:rsidR="00C347D5" w:rsidRPr="006A50AE">
        <w:rPr>
          <w:rFonts w:ascii="Times New Roman" w:hAnsi="Times New Roman"/>
        </w:rPr>
        <w:t>(Tr. 64, 65; PECO Ex. 5).</w:t>
      </w:r>
    </w:p>
    <w:p w:rsidR="00586535" w:rsidRPr="006A50AE" w:rsidRDefault="00586535" w:rsidP="00C61CD3">
      <w:pPr>
        <w:pStyle w:val="ListParagraph"/>
      </w:pPr>
    </w:p>
    <w:p w:rsidR="00586535" w:rsidRPr="006A50AE" w:rsidRDefault="00586535" w:rsidP="00C61CD3">
      <w:pPr>
        <w:pStyle w:val="BodyText"/>
        <w:numPr>
          <w:ilvl w:val="0"/>
          <w:numId w:val="2"/>
        </w:numPr>
        <w:tabs>
          <w:tab w:val="clear" w:pos="1980"/>
          <w:tab w:val="left" w:pos="0"/>
        </w:tabs>
        <w:spacing w:line="360" w:lineRule="auto"/>
        <w:ind w:left="0" w:firstLine="1440"/>
        <w:jc w:val="left"/>
        <w:rPr>
          <w:rFonts w:ascii="Times New Roman" w:hAnsi="Times New Roman"/>
        </w:rPr>
      </w:pPr>
      <w:r w:rsidRPr="006A50AE">
        <w:rPr>
          <w:rFonts w:ascii="Times New Roman" w:hAnsi="Times New Roman"/>
        </w:rPr>
        <w:t>The Respondent sent the correspondence to the Complainant at 3138 Glenview Street in Philadelphia (Tr. 64, 65; PECO Ex. 5).</w:t>
      </w:r>
    </w:p>
    <w:p w:rsidR="00586535" w:rsidRPr="006A50AE" w:rsidRDefault="00586535" w:rsidP="00C61CD3">
      <w:pPr>
        <w:pStyle w:val="ListParagraph"/>
      </w:pPr>
    </w:p>
    <w:p w:rsidR="00BA5E07" w:rsidRPr="006A50AE" w:rsidRDefault="00586535" w:rsidP="00C61CD3">
      <w:pPr>
        <w:pStyle w:val="BodyText"/>
        <w:numPr>
          <w:ilvl w:val="0"/>
          <w:numId w:val="2"/>
        </w:numPr>
        <w:tabs>
          <w:tab w:val="clear" w:pos="1980"/>
          <w:tab w:val="left" w:pos="0"/>
        </w:tabs>
        <w:spacing w:line="360" w:lineRule="auto"/>
        <w:ind w:left="0" w:firstLine="1440"/>
        <w:jc w:val="left"/>
        <w:rPr>
          <w:rFonts w:ascii="Times New Roman" w:hAnsi="Times New Roman"/>
        </w:rPr>
      </w:pPr>
      <w:r w:rsidRPr="006A50AE">
        <w:rPr>
          <w:rFonts w:ascii="Times New Roman" w:hAnsi="Times New Roman"/>
        </w:rPr>
        <w:t>The Respondent obtained the mailing information for the Complainant from the public records of the county where the property is located (Tr. 48).</w:t>
      </w:r>
    </w:p>
    <w:p w:rsidR="00534DAD" w:rsidRPr="006A50AE" w:rsidRDefault="00534DAD" w:rsidP="00C61CD3">
      <w:pPr>
        <w:pStyle w:val="BodyText"/>
        <w:tabs>
          <w:tab w:val="clear" w:pos="1980"/>
          <w:tab w:val="left" w:pos="0"/>
        </w:tabs>
        <w:spacing w:line="360" w:lineRule="auto"/>
        <w:ind w:firstLine="1440"/>
        <w:jc w:val="left"/>
        <w:rPr>
          <w:rFonts w:ascii="Times New Roman" w:hAnsi="Times New Roman"/>
        </w:rPr>
      </w:pPr>
    </w:p>
    <w:p w:rsidR="00586535" w:rsidRPr="006A50AE" w:rsidRDefault="00BA5E07"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lastRenderedPageBreak/>
        <w:t>On September 12, 2014, the Respondent transferred Mr. Carraccio’s $310.38 balance to the Complainant’s new account</w:t>
      </w:r>
      <w:r w:rsidR="00AB4F8A" w:rsidRPr="006A50AE">
        <w:rPr>
          <w:rFonts w:ascii="Times New Roman" w:hAnsi="Times New Roman"/>
        </w:rPr>
        <w:t xml:space="preserve"> (Tr. 49</w:t>
      </w:r>
      <w:r w:rsidR="00456C93" w:rsidRPr="006A50AE">
        <w:rPr>
          <w:rFonts w:ascii="Times New Roman" w:hAnsi="Times New Roman"/>
        </w:rPr>
        <w:t>, 50</w:t>
      </w:r>
      <w:r w:rsidR="00AB4F8A" w:rsidRPr="006A50AE">
        <w:rPr>
          <w:rFonts w:ascii="Times New Roman" w:hAnsi="Times New Roman"/>
        </w:rPr>
        <w:t>; PECO Ex</w:t>
      </w:r>
      <w:r w:rsidR="00F872A5" w:rsidRPr="006A50AE">
        <w:rPr>
          <w:rFonts w:ascii="Times New Roman" w:hAnsi="Times New Roman"/>
        </w:rPr>
        <w:t>s</w:t>
      </w:r>
      <w:r w:rsidR="00AB4F8A" w:rsidRPr="006A50AE">
        <w:rPr>
          <w:rFonts w:ascii="Times New Roman" w:hAnsi="Times New Roman"/>
        </w:rPr>
        <w:t>. 1</w:t>
      </w:r>
      <w:r w:rsidR="00F872A5" w:rsidRPr="006A50AE">
        <w:rPr>
          <w:rFonts w:ascii="Times New Roman" w:hAnsi="Times New Roman"/>
        </w:rPr>
        <w:t>, 4</w:t>
      </w:r>
      <w:r w:rsidR="00AB4F8A" w:rsidRPr="006A50AE">
        <w:rPr>
          <w:rFonts w:ascii="Times New Roman" w:hAnsi="Times New Roman"/>
        </w:rPr>
        <w:t>)</w:t>
      </w:r>
      <w:r w:rsidRPr="006A50AE">
        <w:rPr>
          <w:rFonts w:ascii="Times New Roman" w:hAnsi="Times New Roman"/>
        </w:rPr>
        <w:t xml:space="preserve">.  </w:t>
      </w:r>
    </w:p>
    <w:p w:rsidR="00586535" w:rsidRPr="006A50AE" w:rsidRDefault="00586535" w:rsidP="00C61CD3">
      <w:pPr>
        <w:pStyle w:val="ListParagraph"/>
      </w:pPr>
    </w:p>
    <w:p w:rsidR="00BA5E07" w:rsidRPr="006A50AE" w:rsidRDefault="00BA5E07"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 xml:space="preserve">The second floor tenant, Teresa McNamee, complained of high bills </w:t>
      </w:r>
      <w:r w:rsidR="00F872A5" w:rsidRPr="006A50AE">
        <w:rPr>
          <w:rFonts w:ascii="Times New Roman" w:hAnsi="Times New Roman"/>
        </w:rPr>
        <w:t>o</w:t>
      </w:r>
      <w:r w:rsidRPr="006A50AE">
        <w:rPr>
          <w:rFonts w:ascii="Times New Roman" w:hAnsi="Times New Roman"/>
        </w:rPr>
        <w:t xml:space="preserve">n September </w:t>
      </w:r>
      <w:r w:rsidR="00F872A5" w:rsidRPr="006A50AE">
        <w:rPr>
          <w:rFonts w:ascii="Times New Roman" w:hAnsi="Times New Roman"/>
        </w:rPr>
        <w:t xml:space="preserve">30, </w:t>
      </w:r>
      <w:r w:rsidRPr="006A50AE">
        <w:rPr>
          <w:rFonts w:ascii="Times New Roman" w:hAnsi="Times New Roman"/>
        </w:rPr>
        <w:t>2014</w:t>
      </w:r>
      <w:r w:rsidR="00F872A5" w:rsidRPr="006A50AE">
        <w:rPr>
          <w:rFonts w:ascii="Times New Roman" w:hAnsi="Times New Roman"/>
        </w:rPr>
        <w:t xml:space="preserve"> (Tr</w:t>
      </w:r>
      <w:r w:rsidRPr="006A50AE">
        <w:rPr>
          <w:rFonts w:ascii="Times New Roman" w:hAnsi="Times New Roman"/>
        </w:rPr>
        <w:t>.</w:t>
      </w:r>
      <w:r w:rsidR="00F872A5" w:rsidRPr="006A50AE">
        <w:rPr>
          <w:rFonts w:ascii="Times New Roman" w:hAnsi="Times New Roman"/>
        </w:rPr>
        <w:t xml:space="preserve"> 52).</w:t>
      </w:r>
      <w:r w:rsidRPr="006A50AE">
        <w:rPr>
          <w:rFonts w:ascii="Times New Roman" w:hAnsi="Times New Roman"/>
        </w:rPr>
        <w:t xml:space="preserve"> </w:t>
      </w:r>
    </w:p>
    <w:p w:rsidR="00534DAD" w:rsidRPr="006A50AE" w:rsidRDefault="00534DAD" w:rsidP="00C61CD3">
      <w:pPr>
        <w:pStyle w:val="BodyText"/>
        <w:tabs>
          <w:tab w:val="left" w:pos="0"/>
        </w:tabs>
        <w:spacing w:line="360" w:lineRule="auto"/>
        <w:ind w:firstLine="1440"/>
        <w:jc w:val="left"/>
        <w:rPr>
          <w:rFonts w:ascii="Times New Roman" w:hAnsi="Times New Roman"/>
        </w:rPr>
      </w:pPr>
    </w:p>
    <w:p w:rsidR="00BA5E07" w:rsidRPr="006A50AE" w:rsidRDefault="00BA5E07"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 xml:space="preserve">When the Respondent’s technician visited the property on October 14, 2014, he found </w:t>
      </w:r>
      <w:r w:rsidR="00B733C6" w:rsidRPr="006A50AE">
        <w:rPr>
          <w:rFonts w:ascii="Times New Roman" w:hAnsi="Times New Roman"/>
        </w:rPr>
        <w:t>foreign load</w:t>
      </w:r>
      <w:r w:rsidR="00F872A5" w:rsidRPr="006A50AE">
        <w:rPr>
          <w:rFonts w:ascii="Times New Roman" w:hAnsi="Times New Roman"/>
        </w:rPr>
        <w:t xml:space="preserve"> (Tr. 52</w:t>
      </w:r>
      <w:r w:rsidR="00FC3D60" w:rsidRPr="006A50AE">
        <w:rPr>
          <w:rFonts w:ascii="Times New Roman" w:hAnsi="Times New Roman"/>
        </w:rPr>
        <w:t>; PECO Ex. 7</w:t>
      </w:r>
      <w:r w:rsidR="00F872A5" w:rsidRPr="006A50AE">
        <w:rPr>
          <w:rFonts w:ascii="Times New Roman" w:hAnsi="Times New Roman"/>
        </w:rPr>
        <w:t>)</w:t>
      </w:r>
      <w:r w:rsidRPr="006A50AE">
        <w:rPr>
          <w:rFonts w:ascii="Times New Roman" w:hAnsi="Times New Roman"/>
        </w:rPr>
        <w:t xml:space="preserve">.  </w:t>
      </w:r>
    </w:p>
    <w:p w:rsidR="00586535" w:rsidRPr="006A50AE" w:rsidRDefault="00586535" w:rsidP="00C61CD3">
      <w:pPr>
        <w:pStyle w:val="ListParagraph"/>
      </w:pPr>
    </w:p>
    <w:p w:rsidR="00586535" w:rsidRPr="006A50AE" w:rsidRDefault="00586535"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The Respondent’s technician found one light in a two-car garage connected to the second floor tenant’s meter (PECO Ex. 9).</w:t>
      </w:r>
    </w:p>
    <w:p w:rsidR="00586535" w:rsidRPr="006A50AE" w:rsidRDefault="00586535" w:rsidP="00C61CD3">
      <w:pPr>
        <w:pStyle w:val="ListParagraph"/>
      </w:pPr>
    </w:p>
    <w:p w:rsidR="00586535" w:rsidRPr="006A50AE" w:rsidRDefault="00586535"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Both tenants had access to the garage and they used the garage for storage (PECO Exs. 7, 13, 14).</w:t>
      </w:r>
    </w:p>
    <w:p w:rsidR="002A2685" w:rsidRPr="006A50AE" w:rsidRDefault="002A2685" w:rsidP="00C61CD3">
      <w:pPr>
        <w:pStyle w:val="BodyText"/>
        <w:tabs>
          <w:tab w:val="left" w:pos="0"/>
        </w:tabs>
        <w:spacing w:line="360" w:lineRule="auto"/>
        <w:jc w:val="left"/>
        <w:rPr>
          <w:rFonts w:ascii="Times New Roman" w:hAnsi="Times New Roman"/>
        </w:rPr>
      </w:pPr>
    </w:p>
    <w:p w:rsidR="00586535" w:rsidRPr="006A50AE" w:rsidRDefault="00FC3D60"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The Respondent established an electric account for the Complainant for the second floor for the Frankford Avenue property on October 14, 2014 (Tr. 52, 53; PECO Ex. 8).</w:t>
      </w:r>
    </w:p>
    <w:p w:rsidR="00FC3D60" w:rsidRPr="006A50AE" w:rsidRDefault="00FC3D60" w:rsidP="00C61CD3">
      <w:pPr>
        <w:pStyle w:val="BodyText"/>
        <w:tabs>
          <w:tab w:val="left" w:pos="0"/>
        </w:tabs>
        <w:spacing w:line="360" w:lineRule="auto"/>
        <w:ind w:firstLine="1440"/>
        <w:jc w:val="left"/>
        <w:rPr>
          <w:rFonts w:ascii="Times New Roman" w:hAnsi="Times New Roman"/>
        </w:rPr>
      </w:pPr>
    </w:p>
    <w:p w:rsidR="00510627" w:rsidRPr="006A50AE" w:rsidRDefault="00FC3D60"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 xml:space="preserve">On October 14, 2014, the Respondent transferred Ms. McNamee’s $477.13 balance to the Complainant’s new account (Tr. 52; PECO Exs. 2, </w:t>
      </w:r>
      <w:r w:rsidR="00586535" w:rsidRPr="006A50AE">
        <w:rPr>
          <w:rFonts w:ascii="Times New Roman" w:hAnsi="Times New Roman"/>
        </w:rPr>
        <w:t>8</w:t>
      </w:r>
      <w:r w:rsidRPr="006A50AE">
        <w:rPr>
          <w:rFonts w:ascii="Times New Roman" w:hAnsi="Times New Roman"/>
        </w:rPr>
        <w:t xml:space="preserve">). </w:t>
      </w:r>
    </w:p>
    <w:p w:rsidR="00586535" w:rsidRPr="006A50AE" w:rsidRDefault="00586535" w:rsidP="00C61CD3">
      <w:pPr>
        <w:pStyle w:val="ListParagraph"/>
      </w:pPr>
    </w:p>
    <w:p w:rsidR="00FC3D60" w:rsidRPr="006A50AE" w:rsidRDefault="00586535"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 xml:space="preserve">The Respondent sent the Complainant </w:t>
      </w:r>
      <w:r w:rsidR="00AC1B66" w:rsidRPr="006A50AE">
        <w:rPr>
          <w:rFonts w:ascii="Times New Roman" w:hAnsi="Times New Roman"/>
        </w:rPr>
        <w:t xml:space="preserve">correspondence </w:t>
      </w:r>
      <w:r w:rsidRPr="006A50AE">
        <w:rPr>
          <w:rFonts w:ascii="Times New Roman" w:hAnsi="Times New Roman"/>
        </w:rPr>
        <w:t>dated October 20, 2014</w:t>
      </w:r>
      <w:r w:rsidR="00AC1B66" w:rsidRPr="006A50AE">
        <w:rPr>
          <w:rFonts w:ascii="Times New Roman" w:hAnsi="Times New Roman"/>
        </w:rPr>
        <w:t xml:space="preserve">, advising the Complainant of the </w:t>
      </w:r>
      <w:r w:rsidR="00B733C6" w:rsidRPr="006A50AE">
        <w:rPr>
          <w:rFonts w:ascii="Times New Roman" w:hAnsi="Times New Roman"/>
        </w:rPr>
        <w:t>foreign load</w:t>
      </w:r>
      <w:r w:rsidR="00AC1B66" w:rsidRPr="006A50AE">
        <w:rPr>
          <w:rFonts w:ascii="Times New Roman" w:hAnsi="Times New Roman"/>
        </w:rPr>
        <w:t xml:space="preserve"> (</w:t>
      </w:r>
      <w:r w:rsidRPr="006A50AE">
        <w:rPr>
          <w:rFonts w:ascii="Times New Roman" w:hAnsi="Times New Roman"/>
        </w:rPr>
        <w:t>PECO Ex</w:t>
      </w:r>
      <w:r w:rsidR="00AC1B66" w:rsidRPr="006A50AE">
        <w:rPr>
          <w:rFonts w:ascii="Times New Roman" w:hAnsi="Times New Roman"/>
        </w:rPr>
        <w:t>.</w:t>
      </w:r>
      <w:r w:rsidRPr="006A50AE">
        <w:rPr>
          <w:rFonts w:ascii="Times New Roman" w:hAnsi="Times New Roman"/>
        </w:rPr>
        <w:t xml:space="preserve"> 9</w:t>
      </w:r>
      <w:r w:rsidR="00AC1B66" w:rsidRPr="006A50AE">
        <w:rPr>
          <w:rFonts w:ascii="Times New Roman" w:hAnsi="Times New Roman"/>
        </w:rPr>
        <w:t>).</w:t>
      </w:r>
    </w:p>
    <w:p w:rsidR="00510627" w:rsidRPr="006A50AE" w:rsidRDefault="00510627" w:rsidP="00C61CD3">
      <w:pPr>
        <w:pStyle w:val="BodyText"/>
        <w:tabs>
          <w:tab w:val="left" w:pos="0"/>
        </w:tabs>
        <w:spacing w:line="360" w:lineRule="auto"/>
        <w:ind w:firstLine="1440"/>
        <w:jc w:val="left"/>
        <w:rPr>
          <w:rFonts w:ascii="Times New Roman" w:hAnsi="Times New Roman"/>
        </w:rPr>
      </w:pPr>
    </w:p>
    <w:p w:rsidR="00FC3D60" w:rsidRPr="006A50AE" w:rsidRDefault="00FC3D60"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 xml:space="preserve">The Respondent sent </w:t>
      </w:r>
      <w:r w:rsidR="007B6BDA" w:rsidRPr="006A50AE">
        <w:rPr>
          <w:rFonts w:ascii="Times New Roman" w:hAnsi="Times New Roman"/>
        </w:rPr>
        <w:t xml:space="preserve">Ms. McNamee, the second floor </w:t>
      </w:r>
      <w:r w:rsidRPr="006A50AE">
        <w:rPr>
          <w:rFonts w:ascii="Times New Roman" w:hAnsi="Times New Roman"/>
        </w:rPr>
        <w:t>tenant</w:t>
      </w:r>
      <w:r w:rsidR="007B6BDA" w:rsidRPr="006A50AE">
        <w:rPr>
          <w:rFonts w:ascii="Times New Roman" w:hAnsi="Times New Roman"/>
        </w:rPr>
        <w:t>,</w:t>
      </w:r>
      <w:r w:rsidRPr="006A50AE">
        <w:rPr>
          <w:rFonts w:ascii="Times New Roman" w:hAnsi="Times New Roman"/>
        </w:rPr>
        <w:t xml:space="preserve"> a utility report, dated October 28, 2014, advising </w:t>
      </w:r>
      <w:r w:rsidR="007B6BDA" w:rsidRPr="006A50AE">
        <w:rPr>
          <w:rFonts w:ascii="Times New Roman" w:hAnsi="Times New Roman"/>
        </w:rPr>
        <w:t xml:space="preserve">her </w:t>
      </w:r>
      <w:r w:rsidRPr="006A50AE">
        <w:rPr>
          <w:rFonts w:ascii="Times New Roman" w:hAnsi="Times New Roman"/>
        </w:rPr>
        <w:t xml:space="preserve">that </w:t>
      </w:r>
      <w:r w:rsidR="00B733C6" w:rsidRPr="006A50AE">
        <w:rPr>
          <w:rFonts w:ascii="Times New Roman" w:hAnsi="Times New Roman"/>
        </w:rPr>
        <w:t>foreign load</w:t>
      </w:r>
      <w:r w:rsidRPr="006A50AE">
        <w:rPr>
          <w:rFonts w:ascii="Times New Roman" w:hAnsi="Times New Roman"/>
        </w:rPr>
        <w:t xml:space="preserve"> had been found</w:t>
      </w:r>
      <w:r w:rsidR="007B6BDA" w:rsidRPr="006A50AE">
        <w:rPr>
          <w:rFonts w:ascii="Times New Roman" w:hAnsi="Times New Roman"/>
        </w:rPr>
        <w:t xml:space="preserve"> (</w:t>
      </w:r>
      <w:r w:rsidRPr="006A50AE">
        <w:rPr>
          <w:rFonts w:ascii="Times New Roman" w:hAnsi="Times New Roman"/>
        </w:rPr>
        <w:t>PECO Ex. 10</w:t>
      </w:r>
      <w:r w:rsidR="007B6BDA" w:rsidRPr="006A50AE">
        <w:rPr>
          <w:rFonts w:ascii="Times New Roman" w:hAnsi="Times New Roman"/>
        </w:rPr>
        <w:t>).</w:t>
      </w:r>
    </w:p>
    <w:p w:rsidR="00510627" w:rsidRPr="006A50AE" w:rsidRDefault="00510627" w:rsidP="00C61CD3">
      <w:pPr>
        <w:pStyle w:val="BodyText"/>
        <w:tabs>
          <w:tab w:val="left" w:pos="0"/>
        </w:tabs>
        <w:spacing w:line="360" w:lineRule="auto"/>
        <w:ind w:firstLine="1440"/>
        <w:jc w:val="left"/>
        <w:rPr>
          <w:rFonts w:ascii="Times New Roman" w:hAnsi="Times New Roman"/>
        </w:rPr>
      </w:pPr>
    </w:p>
    <w:p w:rsidR="00BA5E07" w:rsidRPr="006A50AE" w:rsidRDefault="00BA5E07"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On December 19, 2014, the Complainant filed an informal complaint</w:t>
      </w:r>
      <w:r w:rsidR="00AC1B66" w:rsidRPr="006A50AE">
        <w:rPr>
          <w:rFonts w:ascii="Times New Roman" w:hAnsi="Times New Roman"/>
        </w:rPr>
        <w:t xml:space="preserve"> with the Commission</w:t>
      </w:r>
      <w:r w:rsidR="00987ACE" w:rsidRPr="006A50AE">
        <w:rPr>
          <w:rFonts w:ascii="Times New Roman" w:hAnsi="Times New Roman"/>
        </w:rPr>
        <w:t>, BCS # 003313627,</w:t>
      </w:r>
      <w:r w:rsidRPr="006A50AE">
        <w:rPr>
          <w:rFonts w:ascii="Times New Roman" w:hAnsi="Times New Roman"/>
        </w:rPr>
        <w:t xml:space="preserve"> disputing the transfers</w:t>
      </w:r>
      <w:r w:rsidR="00DE4AF1" w:rsidRPr="006A50AE">
        <w:rPr>
          <w:rFonts w:ascii="Times New Roman" w:hAnsi="Times New Roman"/>
        </w:rPr>
        <w:t xml:space="preserve"> (Tr. 54; PECO Ex. 12)</w:t>
      </w:r>
      <w:r w:rsidRPr="006A50AE">
        <w:rPr>
          <w:rFonts w:ascii="Times New Roman" w:hAnsi="Times New Roman"/>
        </w:rPr>
        <w:t xml:space="preserve">.  </w:t>
      </w:r>
    </w:p>
    <w:p w:rsidR="00BA5E07" w:rsidRPr="006A50AE" w:rsidRDefault="00BA5E07" w:rsidP="00C61CD3">
      <w:pPr>
        <w:pStyle w:val="BodyText"/>
        <w:tabs>
          <w:tab w:val="left" w:pos="0"/>
        </w:tabs>
        <w:spacing w:line="360" w:lineRule="auto"/>
        <w:ind w:firstLine="1440"/>
        <w:jc w:val="left"/>
        <w:rPr>
          <w:rFonts w:ascii="Times New Roman" w:hAnsi="Times New Roman"/>
        </w:rPr>
      </w:pPr>
    </w:p>
    <w:p w:rsidR="00BA5E07" w:rsidRPr="006A50AE" w:rsidRDefault="00AC1B66"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lastRenderedPageBreak/>
        <w:t xml:space="preserve">After </w:t>
      </w:r>
      <w:r w:rsidR="00BA5E07" w:rsidRPr="006A50AE">
        <w:rPr>
          <w:rFonts w:ascii="Times New Roman" w:hAnsi="Times New Roman"/>
        </w:rPr>
        <w:t xml:space="preserve">the Complainant advised the Respondent that the </w:t>
      </w:r>
      <w:r w:rsidR="00B733C6" w:rsidRPr="006A50AE">
        <w:rPr>
          <w:rFonts w:ascii="Times New Roman" w:hAnsi="Times New Roman"/>
        </w:rPr>
        <w:t>foreign load</w:t>
      </w:r>
      <w:r w:rsidR="00BA5E07" w:rsidRPr="006A50AE">
        <w:rPr>
          <w:rFonts w:ascii="Times New Roman" w:hAnsi="Times New Roman"/>
        </w:rPr>
        <w:t xml:space="preserve"> had been corrected</w:t>
      </w:r>
      <w:r w:rsidRPr="006A50AE">
        <w:rPr>
          <w:rFonts w:ascii="Times New Roman" w:hAnsi="Times New Roman"/>
        </w:rPr>
        <w:t>, o</w:t>
      </w:r>
      <w:r w:rsidR="00BA5E07" w:rsidRPr="006A50AE">
        <w:rPr>
          <w:rFonts w:ascii="Times New Roman" w:hAnsi="Times New Roman"/>
        </w:rPr>
        <w:t>n January 8, 2015, the Respondent</w:t>
      </w:r>
      <w:r w:rsidR="00DE4AF1" w:rsidRPr="006A50AE">
        <w:rPr>
          <w:rFonts w:ascii="Times New Roman" w:hAnsi="Times New Roman"/>
        </w:rPr>
        <w:t>’</w:t>
      </w:r>
      <w:r w:rsidR="00BA5E07" w:rsidRPr="006A50AE">
        <w:rPr>
          <w:rFonts w:ascii="Times New Roman" w:hAnsi="Times New Roman"/>
        </w:rPr>
        <w:t xml:space="preserve">s technician verified that the </w:t>
      </w:r>
      <w:r w:rsidR="00B733C6" w:rsidRPr="006A50AE">
        <w:rPr>
          <w:rFonts w:ascii="Times New Roman" w:hAnsi="Times New Roman"/>
        </w:rPr>
        <w:t>foreign load</w:t>
      </w:r>
      <w:r w:rsidR="00BA5E07" w:rsidRPr="006A50AE">
        <w:rPr>
          <w:rFonts w:ascii="Times New Roman" w:hAnsi="Times New Roman"/>
        </w:rPr>
        <w:t xml:space="preserve"> had been corrected</w:t>
      </w:r>
      <w:r w:rsidR="00F872A5" w:rsidRPr="006A50AE">
        <w:rPr>
          <w:rFonts w:ascii="Times New Roman" w:hAnsi="Times New Roman"/>
        </w:rPr>
        <w:t xml:space="preserve"> (Tr. 51</w:t>
      </w:r>
      <w:r w:rsidR="00FC3D60" w:rsidRPr="006A50AE">
        <w:rPr>
          <w:rFonts w:ascii="Times New Roman" w:hAnsi="Times New Roman"/>
        </w:rPr>
        <w:t>; PECO Ex. 11</w:t>
      </w:r>
      <w:r w:rsidR="00F872A5" w:rsidRPr="006A50AE">
        <w:rPr>
          <w:rFonts w:ascii="Times New Roman" w:hAnsi="Times New Roman"/>
        </w:rPr>
        <w:t>)</w:t>
      </w:r>
      <w:r w:rsidR="00BA5E07" w:rsidRPr="006A50AE">
        <w:rPr>
          <w:rFonts w:ascii="Times New Roman" w:hAnsi="Times New Roman"/>
        </w:rPr>
        <w:t xml:space="preserve">.  </w:t>
      </w:r>
    </w:p>
    <w:p w:rsidR="002A2685" w:rsidRPr="006A50AE" w:rsidRDefault="002A2685" w:rsidP="00C61CD3">
      <w:pPr>
        <w:pStyle w:val="BodyText"/>
        <w:tabs>
          <w:tab w:val="left" w:pos="0"/>
        </w:tabs>
        <w:spacing w:line="360" w:lineRule="auto"/>
        <w:jc w:val="left"/>
        <w:rPr>
          <w:rFonts w:ascii="Times New Roman" w:hAnsi="Times New Roman"/>
        </w:rPr>
      </w:pPr>
    </w:p>
    <w:p w:rsidR="00BA5E07" w:rsidRPr="006A50AE" w:rsidRDefault="00BA5E07"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 xml:space="preserve">The Respondent closed the </w:t>
      </w:r>
      <w:r w:rsidR="00AC1B66" w:rsidRPr="006A50AE">
        <w:rPr>
          <w:rFonts w:ascii="Times New Roman" w:hAnsi="Times New Roman"/>
        </w:rPr>
        <w:t xml:space="preserve">Complainant’s </w:t>
      </w:r>
      <w:r w:rsidRPr="006A50AE">
        <w:rPr>
          <w:rFonts w:ascii="Times New Roman" w:hAnsi="Times New Roman"/>
        </w:rPr>
        <w:t xml:space="preserve">accounts </w:t>
      </w:r>
      <w:r w:rsidR="00AC1B66" w:rsidRPr="006A50AE">
        <w:rPr>
          <w:rFonts w:ascii="Times New Roman" w:hAnsi="Times New Roman"/>
        </w:rPr>
        <w:t xml:space="preserve">for the Frankford Avenue property </w:t>
      </w:r>
      <w:r w:rsidRPr="006A50AE">
        <w:rPr>
          <w:rFonts w:ascii="Times New Roman" w:hAnsi="Times New Roman"/>
        </w:rPr>
        <w:t xml:space="preserve">effective January 8, 2015 and </w:t>
      </w:r>
      <w:r w:rsidR="00AC1B66" w:rsidRPr="006A50AE">
        <w:rPr>
          <w:rFonts w:ascii="Times New Roman" w:hAnsi="Times New Roman"/>
        </w:rPr>
        <w:t xml:space="preserve">returned the </w:t>
      </w:r>
      <w:r w:rsidRPr="006A50AE">
        <w:rPr>
          <w:rFonts w:ascii="Times New Roman" w:hAnsi="Times New Roman"/>
        </w:rPr>
        <w:t>service to the tenants’ names</w:t>
      </w:r>
      <w:r w:rsidR="00F872A5" w:rsidRPr="006A50AE">
        <w:rPr>
          <w:rFonts w:ascii="Times New Roman" w:hAnsi="Times New Roman"/>
        </w:rPr>
        <w:t xml:space="preserve"> (Tr. 51; PECO Ex</w:t>
      </w:r>
      <w:r w:rsidR="00FC3D60" w:rsidRPr="006A50AE">
        <w:rPr>
          <w:rFonts w:ascii="Times New Roman" w:hAnsi="Times New Roman"/>
        </w:rPr>
        <w:t>s</w:t>
      </w:r>
      <w:r w:rsidR="00F872A5" w:rsidRPr="006A50AE">
        <w:rPr>
          <w:rFonts w:ascii="Times New Roman" w:hAnsi="Times New Roman"/>
        </w:rPr>
        <w:t>. 4</w:t>
      </w:r>
      <w:r w:rsidR="00FC3D60" w:rsidRPr="006A50AE">
        <w:rPr>
          <w:rFonts w:ascii="Times New Roman" w:hAnsi="Times New Roman"/>
        </w:rPr>
        <w:t>, 8</w:t>
      </w:r>
      <w:r w:rsidR="00F872A5" w:rsidRPr="006A50AE">
        <w:rPr>
          <w:rFonts w:ascii="Times New Roman" w:hAnsi="Times New Roman"/>
        </w:rPr>
        <w:t>)</w:t>
      </w:r>
      <w:r w:rsidRPr="006A50AE">
        <w:rPr>
          <w:rFonts w:ascii="Times New Roman" w:hAnsi="Times New Roman"/>
        </w:rPr>
        <w:t xml:space="preserve">.  </w:t>
      </w:r>
    </w:p>
    <w:p w:rsidR="00F872A5" w:rsidRPr="006A50AE" w:rsidRDefault="00F872A5" w:rsidP="00C61CD3">
      <w:pPr>
        <w:pStyle w:val="ListParagraph"/>
        <w:spacing w:line="360" w:lineRule="auto"/>
        <w:ind w:left="0" w:firstLine="1440"/>
      </w:pPr>
    </w:p>
    <w:p w:rsidR="00AC1B66" w:rsidRPr="006A50AE" w:rsidRDefault="00F872A5" w:rsidP="00C61CD3">
      <w:pPr>
        <w:pStyle w:val="BodyText"/>
        <w:numPr>
          <w:ilvl w:val="0"/>
          <w:numId w:val="2"/>
        </w:numPr>
        <w:tabs>
          <w:tab w:val="left" w:pos="0"/>
        </w:tabs>
        <w:spacing w:line="360" w:lineRule="auto"/>
        <w:ind w:left="0" w:firstLine="1440"/>
        <w:jc w:val="left"/>
        <w:rPr>
          <w:rFonts w:ascii="Times New Roman" w:hAnsi="Times New Roman"/>
        </w:rPr>
      </w:pPr>
      <w:r w:rsidRPr="006A50AE">
        <w:rPr>
          <w:rFonts w:ascii="Times New Roman" w:hAnsi="Times New Roman"/>
        </w:rPr>
        <w:t xml:space="preserve">The </w:t>
      </w:r>
      <w:r w:rsidR="007B6BDA" w:rsidRPr="006A50AE">
        <w:rPr>
          <w:rFonts w:ascii="Times New Roman" w:hAnsi="Times New Roman"/>
        </w:rPr>
        <w:t xml:space="preserve">Complainant’s </w:t>
      </w:r>
      <w:r w:rsidRPr="006A50AE">
        <w:rPr>
          <w:rFonts w:ascii="Times New Roman" w:hAnsi="Times New Roman"/>
        </w:rPr>
        <w:t xml:space="preserve">final balance for the first floor account is $708.92 </w:t>
      </w:r>
    </w:p>
    <w:p w:rsidR="00F872A5" w:rsidRPr="006A50AE" w:rsidRDefault="00F872A5" w:rsidP="00C61CD3">
      <w:pPr>
        <w:pStyle w:val="BodyText"/>
        <w:tabs>
          <w:tab w:val="left" w:pos="0"/>
        </w:tabs>
        <w:spacing w:line="360" w:lineRule="auto"/>
        <w:jc w:val="left"/>
        <w:rPr>
          <w:rFonts w:ascii="Times New Roman" w:hAnsi="Times New Roman"/>
        </w:rPr>
      </w:pPr>
      <w:r w:rsidRPr="006A50AE">
        <w:rPr>
          <w:rFonts w:ascii="Times New Roman" w:hAnsi="Times New Roman"/>
        </w:rPr>
        <w:t xml:space="preserve">(Tr. 51; PECO </w:t>
      </w:r>
      <w:r w:rsidR="00AC1B66" w:rsidRPr="006A50AE">
        <w:rPr>
          <w:rFonts w:ascii="Times New Roman" w:hAnsi="Times New Roman"/>
        </w:rPr>
        <w:t>Ex</w:t>
      </w:r>
      <w:r w:rsidRPr="006A50AE">
        <w:rPr>
          <w:rFonts w:ascii="Times New Roman" w:hAnsi="Times New Roman"/>
        </w:rPr>
        <w:t>. 4).</w:t>
      </w:r>
    </w:p>
    <w:p w:rsidR="00DE4AF1" w:rsidRPr="006A50AE" w:rsidRDefault="00DE4AF1" w:rsidP="00C61CD3">
      <w:pPr>
        <w:pStyle w:val="ListParagraph"/>
        <w:spacing w:line="360" w:lineRule="auto"/>
        <w:ind w:left="0" w:firstLine="1440"/>
      </w:pPr>
    </w:p>
    <w:p w:rsidR="00DE4AF1" w:rsidRPr="006A50AE" w:rsidRDefault="00DE4AF1" w:rsidP="00C61CD3">
      <w:pPr>
        <w:numPr>
          <w:ilvl w:val="0"/>
          <w:numId w:val="2"/>
        </w:numPr>
        <w:spacing w:line="360" w:lineRule="auto"/>
        <w:ind w:left="0" w:firstLine="1440"/>
      </w:pPr>
      <w:r w:rsidRPr="006A50AE">
        <w:t xml:space="preserve">The </w:t>
      </w:r>
      <w:r w:rsidR="007B6BDA" w:rsidRPr="006A50AE">
        <w:t xml:space="preserve">Complainant’s </w:t>
      </w:r>
      <w:r w:rsidRPr="006A50AE">
        <w:t>final balance for the second floor account is $750.22 (Tr. 53; PECO Ex. 8).</w:t>
      </w:r>
    </w:p>
    <w:p w:rsidR="00DE4AF1" w:rsidRPr="006A50AE" w:rsidRDefault="00DE4AF1" w:rsidP="00C61CD3">
      <w:pPr>
        <w:pStyle w:val="BodyText"/>
        <w:tabs>
          <w:tab w:val="left" w:pos="0"/>
        </w:tabs>
        <w:spacing w:line="360" w:lineRule="auto"/>
        <w:ind w:firstLine="1440"/>
        <w:jc w:val="left"/>
        <w:rPr>
          <w:rFonts w:ascii="Times New Roman" w:hAnsi="Times New Roman"/>
        </w:rPr>
      </w:pPr>
    </w:p>
    <w:p w:rsidR="00870BD3" w:rsidRPr="006A50AE" w:rsidRDefault="00BA5E07" w:rsidP="00C61CD3">
      <w:pPr>
        <w:pStyle w:val="BodyText"/>
        <w:numPr>
          <w:ilvl w:val="0"/>
          <w:numId w:val="2"/>
        </w:numPr>
        <w:tabs>
          <w:tab w:val="left" w:pos="0"/>
        </w:tabs>
        <w:spacing w:line="360" w:lineRule="auto"/>
        <w:ind w:left="0" w:firstLine="1440"/>
        <w:jc w:val="left"/>
        <w:rPr>
          <w:rFonts w:ascii="Times New Roman" w:hAnsi="Times New Roman"/>
          <w:bCs/>
          <w:iCs/>
        </w:rPr>
      </w:pPr>
      <w:r w:rsidRPr="006A50AE">
        <w:rPr>
          <w:rFonts w:ascii="Times New Roman" w:hAnsi="Times New Roman"/>
        </w:rPr>
        <w:t xml:space="preserve">The Bureau of Consumer Services dismissed the </w:t>
      </w:r>
      <w:r w:rsidR="00987ACE" w:rsidRPr="006A50AE">
        <w:rPr>
          <w:rFonts w:ascii="Times New Roman" w:hAnsi="Times New Roman"/>
        </w:rPr>
        <w:t xml:space="preserve">informal </w:t>
      </w:r>
      <w:r w:rsidRPr="006A50AE">
        <w:rPr>
          <w:rFonts w:ascii="Times New Roman" w:hAnsi="Times New Roman"/>
        </w:rPr>
        <w:t xml:space="preserve">complaint </w:t>
      </w:r>
      <w:r w:rsidR="007B6BDA" w:rsidRPr="006A50AE">
        <w:rPr>
          <w:rFonts w:ascii="Times New Roman" w:hAnsi="Times New Roman"/>
        </w:rPr>
        <w:t xml:space="preserve">(#003313627) </w:t>
      </w:r>
      <w:r w:rsidRPr="006A50AE">
        <w:rPr>
          <w:rFonts w:ascii="Times New Roman" w:hAnsi="Times New Roman"/>
        </w:rPr>
        <w:t>on July 16, 2015</w:t>
      </w:r>
      <w:r w:rsidR="00DE4AF1" w:rsidRPr="006A50AE">
        <w:rPr>
          <w:rFonts w:ascii="Times New Roman" w:hAnsi="Times New Roman"/>
        </w:rPr>
        <w:t xml:space="preserve"> (Tr</w:t>
      </w:r>
      <w:r w:rsidRPr="006A50AE">
        <w:rPr>
          <w:rFonts w:ascii="Times New Roman" w:hAnsi="Times New Roman"/>
        </w:rPr>
        <w:t>.</w:t>
      </w:r>
      <w:r w:rsidR="00DE4AF1" w:rsidRPr="006A50AE">
        <w:rPr>
          <w:rFonts w:ascii="Times New Roman" w:hAnsi="Times New Roman"/>
        </w:rPr>
        <w:t xml:space="preserve"> 54).</w:t>
      </w:r>
      <w:r w:rsidRPr="006A50AE">
        <w:rPr>
          <w:rFonts w:ascii="Times New Roman" w:hAnsi="Times New Roman"/>
        </w:rPr>
        <w:t xml:space="preserve"> </w:t>
      </w:r>
    </w:p>
    <w:p w:rsidR="00870BD3" w:rsidRPr="006A50AE" w:rsidRDefault="00870BD3" w:rsidP="00C61CD3">
      <w:pPr>
        <w:pStyle w:val="ListParagraph"/>
        <w:rPr>
          <w:bCs/>
          <w:iCs/>
        </w:rPr>
      </w:pPr>
    </w:p>
    <w:p w:rsidR="00FF26E3" w:rsidRPr="006A50AE" w:rsidRDefault="00FF26E3" w:rsidP="00C61CD3">
      <w:pPr>
        <w:pStyle w:val="BodyText"/>
        <w:numPr>
          <w:ilvl w:val="0"/>
          <w:numId w:val="2"/>
        </w:numPr>
        <w:tabs>
          <w:tab w:val="left" w:pos="0"/>
        </w:tabs>
        <w:spacing w:line="360" w:lineRule="auto"/>
        <w:ind w:left="0" w:firstLine="1440"/>
        <w:jc w:val="left"/>
        <w:rPr>
          <w:rFonts w:ascii="Times New Roman" w:hAnsi="Times New Roman"/>
          <w:bCs/>
          <w:iCs/>
        </w:rPr>
      </w:pPr>
      <w:r w:rsidRPr="006A50AE">
        <w:rPr>
          <w:rFonts w:ascii="Times New Roman" w:hAnsi="Times New Roman"/>
          <w:bCs/>
          <w:iCs/>
        </w:rPr>
        <w:t xml:space="preserve">At the time of the hearing, </w:t>
      </w:r>
      <w:r w:rsidR="008E37D7" w:rsidRPr="006A50AE">
        <w:rPr>
          <w:rFonts w:ascii="Times New Roman" w:hAnsi="Times New Roman"/>
          <w:bCs/>
          <w:iCs/>
        </w:rPr>
        <w:t xml:space="preserve">the Complainant owed </w:t>
      </w:r>
      <w:r w:rsidR="00870BD3" w:rsidRPr="006A50AE">
        <w:rPr>
          <w:rFonts w:ascii="Times New Roman" w:hAnsi="Times New Roman"/>
          <w:bCs/>
          <w:iCs/>
        </w:rPr>
        <w:t xml:space="preserve">$1,459.14 ($708.92 + $750.22) </w:t>
      </w:r>
      <w:r w:rsidR="008E37D7" w:rsidRPr="006A50AE">
        <w:rPr>
          <w:rFonts w:ascii="Times New Roman" w:hAnsi="Times New Roman"/>
          <w:bCs/>
          <w:iCs/>
        </w:rPr>
        <w:t xml:space="preserve">for </w:t>
      </w:r>
      <w:r w:rsidR="00870BD3" w:rsidRPr="006A50AE">
        <w:rPr>
          <w:rFonts w:ascii="Times New Roman" w:hAnsi="Times New Roman"/>
          <w:bCs/>
          <w:iCs/>
        </w:rPr>
        <w:t xml:space="preserve">the two accounts </w:t>
      </w:r>
      <w:r w:rsidRPr="006A50AE">
        <w:rPr>
          <w:rFonts w:ascii="Times New Roman" w:hAnsi="Times New Roman"/>
          <w:bCs/>
          <w:iCs/>
        </w:rPr>
        <w:t>(</w:t>
      </w:r>
      <w:r w:rsidR="00870BD3" w:rsidRPr="006A50AE">
        <w:rPr>
          <w:rFonts w:ascii="Times New Roman" w:hAnsi="Times New Roman"/>
          <w:bCs/>
          <w:iCs/>
        </w:rPr>
        <w:t xml:space="preserve">Tr. 51, 53; </w:t>
      </w:r>
      <w:r w:rsidRPr="006A50AE">
        <w:rPr>
          <w:rFonts w:ascii="Times New Roman" w:hAnsi="Times New Roman"/>
          <w:bCs/>
          <w:iCs/>
        </w:rPr>
        <w:t>PECO Ex</w:t>
      </w:r>
      <w:r w:rsidR="00870BD3" w:rsidRPr="006A50AE">
        <w:rPr>
          <w:rFonts w:ascii="Times New Roman" w:hAnsi="Times New Roman"/>
          <w:bCs/>
          <w:iCs/>
        </w:rPr>
        <w:t>s</w:t>
      </w:r>
      <w:r w:rsidRPr="006A50AE">
        <w:rPr>
          <w:rFonts w:ascii="Times New Roman" w:hAnsi="Times New Roman"/>
          <w:bCs/>
          <w:iCs/>
        </w:rPr>
        <w:t xml:space="preserve">. </w:t>
      </w:r>
      <w:r w:rsidR="00870BD3" w:rsidRPr="006A50AE">
        <w:rPr>
          <w:rFonts w:ascii="Times New Roman" w:hAnsi="Times New Roman"/>
          <w:bCs/>
          <w:iCs/>
        </w:rPr>
        <w:t>4, 8</w:t>
      </w:r>
      <w:r w:rsidRPr="006A50AE">
        <w:rPr>
          <w:rFonts w:ascii="Times New Roman" w:hAnsi="Times New Roman"/>
          <w:bCs/>
          <w:iCs/>
        </w:rPr>
        <w:t xml:space="preserve">).  </w:t>
      </w:r>
    </w:p>
    <w:p w:rsidR="00FF26E3" w:rsidRPr="006A50AE" w:rsidRDefault="00FF26E3" w:rsidP="00C61CD3">
      <w:pPr>
        <w:pStyle w:val="BodyText"/>
        <w:tabs>
          <w:tab w:val="clear" w:pos="1980"/>
        </w:tabs>
        <w:spacing w:line="360" w:lineRule="auto"/>
        <w:jc w:val="left"/>
        <w:rPr>
          <w:rFonts w:ascii="Times New Roman" w:hAnsi="Times New Roman"/>
        </w:rPr>
      </w:pPr>
    </w:p>
    <w:p w:rsidR="00FF26E3" w:rsidRPr="006A50AE" w:rsidRDefault="00FF26E3" w:rsidP="00C61CD3">
      <w:pPr>
        <w:pStyle w:val="Heading1"/>
        <w:spacing w:line="360" w:lineRule="auto"/>
        <w:rPr>
          <w:rFonts w:ascii="Times New Roman" w:hAnsi="Times New Roman"/>
          <w:b w:val="0"/>
        </w:rPr>
      </w:pPr>
      <w:r w:rsidRPr="006A50AE">
        <w:rPr>
          <w:rFonts w:ascii="Times New Roman" w:hAnsi="Times New Roman"/>
          <w:b w:val="0"/>
        </w:rPr>
        <w:t>DISCUSSION</w:t>
      </w:r>
    </w:p>
    <w:p w:rsidR="00FF26E3" w:rsidRPr="006A50AE" w:rsidRDefault="00FF26E3" w:rsidP="00C61CD3"/>
    <w:p w:rsidR="00FF26E3" w:rsidRPr="006A50AE" w:rsidRDefault="00FF26E3" w:rsidP="00C61CD3">
      <w:pPr>
        <w:pStyle w:val="BodyText"/>
        <w:tabs>
          <w:tab w:val="clear" w:pos="1980"/>
        </w:tabs>
        <w:spacing w:line="360" w:lineRule="auto"/>
        <w:jc w:val="left"/>
        <w:rPr>
          <w:rFonts w:ascii="Times New Roman" w:hAnsi="Times New Roman"/>
        </w:rPr>
      </w:pPr>
      <w:r w:rsidRPr="006A50AE">
        <w:rPr>
          <w:rFonts w:ascii="Times New Roman" w:hAnsi="Times New Roman"/>
        </w:rPr>
        <w:tab/>
      </w:r>
      <w:r w:rsidRPr="006A50AE">
        <w:rPr>
          <w:rFonts w:ascii="Times New Roman" w:hAnsi="Times New Roman"/>
        </w:rPr>
        <w:tab/>
        <w:t xml:space="preserve">Pursuant to section 332(a) of the Public Utility Code, 66 Pa. C.S.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6A50AE">
        <w:rPr>
          <w:rFonts w:ascii="Times New Roman" w:hAnsi="Times New Roman"/>
          <w:i/>
          <w:iCs/>
        </w:rPr>
        <w:t>Se-Ling Hosiery v. Margulies,</w:t>
      </w:r>
      <w:r w:rsidRPr="006A50AE">
        <w:rPr>
          <w:rFonts w:ascii="Times New Roman" w:hAnsi="Times New Roman"/>
        </w:rPr>
        <w:t xml:space="preserve"> 364 Pa. 45, 70 A.2d 854 (1950).  The Complainant must show that the utility is responsible or accountable for the problem described in the complaint.  </w:t>
      </w:r>
      <w:r w:rsidRPr="006A50AE">
        <w:rPr>
          <w:rFonts w:ascii="Times New Roman" w:hAnsi="Times New Roman"/>
          <w:i/>
          <w:iCs/>
        </w:rPr>
        <w:t>Feinstein v. Philadelphia Suburban Water Company</w:t>
      </w:r>
      <w:r w:rsidRPr="006A50AE">
        <w:rPr>
          <w:rFonts w:ascii="Times New Roman" w:hAnsi="Times New Roman"/>
        </w:rPr>
        <w:t>, 50 Pa. P.U.C. 300 (1976).</w:t>
      </w:r>
    </w:p>
    <w:p w:rsidR="00FF26E3" w:rsidRPr="006A50AE" w:rsidRDefault="00FF26E3" w:rsidP="00C61CD3">
      <w:pPr>
        <w:pStyle w:val="BodyText"/>
        <w:tabs>
          <w:tab w:val="left" w:pos="720"/>
        </w:tabs>
        <w:spacing w:line="360" w:lineRule="auto"/>
        <w:jc w:val="left"/>
        <w:rPr>
          <w:rFonts w:ascii="Times New Roman" w:hAnsi="Times New Roman"/>
        </w:rPr>
      </w:pPr>
    </w:p>
    <w:p w:rsidR="00FF26E3" w:rsidRPr="006A50AE" w:rsidRDefault="00FF26E3" w:rsidP="00C61CD3">
      <w:pPr>
        <w:pStyle w:val="BodyText"/>
        <w:tabs>
          <w:tab w:val="clear" w:pos="1980"/>
          <w:tab w:val="left" w:pos="-1620"/>
        </w:tabs>
        <w:spacing w:line="360" w:lineRule="auto"/>
        <w:jc w:val="left"/>
        <w:rPr>
          <w:rFonts w:ascii="Times New Roman" w:hAnsi="Times New Roman"/>
        </w:rPr>
      </w:pPr>
      <w:r w:rsidRPr="006A50AE">
        <w:rPr>
          <w:rFonts w:ascii="Times New Roman" w:hAnsi="Times New Roman"/>
        </w:rPr>
        <w:lastRenderedPageBreak/>
        <w:tab/>
      </w:r>
      <w:r w:rsidRPr="006A50AE">
        <w:rPr>
          <w:rFonts w:ascii="Times New Roman" w:hAnsi="Times New Roman"/>
        </w:rPr>
        <w:tab/>
        <w:t xml:space="preserve">The record in this proceeding must be reviewed to determine whether the Complainant has satisfied </w:t>
      </w:r>
      <w:r w:rsidR="00534DAD" w:rsidRPr="006A50AE">
        <w:rPr>
          <w:rFonts w:ascii="Times New Roman" w:hAnsi="Times New Roman"/>
        </w:rPr>
        <w:t>his</w:t>
      </w:r>
      <w:r w:rsidRPr="006A50AE">
        <w:rPr>
          <w:rFonts w:ascii="Times New Roman" w:hAnsi="Times New Roman"/>
        </w:rPr>
        <w:t xml:space="preserve">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6A50AE">
        <w:rPr>
          <w:rFonts w:ascii="Times New Roman" w:hAnsi="Times New Roman"/>
          <w:i/>
          <w:iCs/>
        </w:rPr>
        <w:t>Morrissey v. Pa. Dept. of Highways</w:t>
      </w:r>
      <w:r w:rsidRPr="006A50AE">
        <w:rPr>
          <w:rFonts w:ascii="Times New Roman" w:hAnsi="Times New Roman"/>
        </w:rPr>
        <w:t>,</w:t>
      </w:r>
      <w:r w:rsidRPr="006A50AE">
        <w:rPr>
          <w:rFonts w:ascii="Times New Roman" w:hAnsi="Times New Roman"/>
          <w:u w:val="single"/>
        </w:rPr>
        <w:t xml:space="preserve"> </w:t>
      </w:r>
      <w:r w:rsidRPr="006A50AE">
        <w:rPr>
          <w:rFonts w:ascii="Times New Roman" w:hAnsi="Times New Roman"/>
        </w:rPr>
        <w:t>424 Pa. 87, 225 A.2d 895 (1967).</w:t>
      </w:r>
    </w:p>
    <w:p w:rsidR="00FF26E3" w:rsidRPr="006A50AE" w:rsidRDefault="00FF26E3" w:rsidP="00C61CD3">
      <w:pPr>
        <w:pStyle w:val="BodyText"/>
        <w:spacing w:line="360" w:lineRule="auto"/>
        <w:jc w:val="left"/>
        <w:rPr>
          <w:rFonts w:ascii="Times New Roman" w:hAnsi="Times New Roman"/>
        </w:rPr>
      </w:pPr>
    </w:p>
    <w:p w:rsidR="00FF26E3" w:rsidRPr="006A50AE" w:rsidRDefault="00EA3430" w:rsidP="00C61CD3">
      <w:pPr>
        <w:pStyle w:val="BodyText"/>
        <w:tabs>
          <w:tab w:val="clear" w:pos="1980"/>
          <w:tab w:val="left" w:pos="-1710"/>
          <w:tab w:val="left" w:pos="-1620"/>
        </w:tabs>
        <w:spacing w:line="360" w:lineRule="auto"/>
        <w:jc w:val="left"/>
        <w:rPr>
          <w:rFonts w:ascii="Times New Roman" w:hAnsi="Times New Roman"/>
        </w:rPr>
      </w:pPr>
      <w:r w:rsidRPr="006A50AE">
        <w:rPr>
          <w:rFonts w:ascii="Times New Roman" w:hAnsi="Times New Roman"/>
        </w:rPr>
        <w:tab/>
      </w:r>
      <w:r w:rsidRPr="006A50AE">
        <w:rPr>
          <w:rFonts w:ascii="Times New Roman" w:hAnsi="Times New Roman"/>
        </w:rPr>
        <w:tab/>
        <w:t xml:space="preserve">Furthermore, the Commission’s decision must be supported by substantial evidence.  2 Pa.C.S. § 704.  The term “substantial evidence” has been defined by various Pennsylvania courts as such relevant evidence that a reasonable mind might accept as adequate to support a conclusion.  </w:t>
      </w:r>
      <w:r w:rsidR="00FF26E3" w:rsidRPr="006A50AE">
        <w:rPr>
          <w:rFonts w:ascii="Times New Roman" w:hAnsi="Times New Roman"/>
        </w:rPr>
        <w:t xml:space="preserve">Substantial evidence is more than a mere trace of evidence or a suspicion of the existence of a fact sought to be established.  </w:t>
      </w:r>
      <w:r w:rsidR="00FF26E3" w:rsidRPr="006A50AE">
        <w:rPr>
          <w:rFonts w:ascii="Times New Roman" w:hAnsi="Times New Roman"/>
          <w:i/>
          <w:iCs/>
        </w:rPr>
        <w:t>Norfolk &amp; Western Ry. Co. v. Pa. P.U.C.</w:t>
      </w:r>
      <w:r w:rsidR="00FF26E3" w:rsidRPr="006A50AE">
        <w:rPr>
          <w:rFonts w:ascii="Times New Roman" w:hAnsi="Times New Roman"/>
        </w:rPr>
        <w:t xml:space="preserve">, 489 Pa.109, 413 A. 2d 1037 (1980); </w:t>
      </w:r>
      <w:r w:rsidR="00FF26E3" w:rsidRPr="006A50AE">
        <w:rPr>
          <w:rFonts w:ascii="Times New Roman" w:hAnsi="Times New Roman"/>
          <w:i/>
          <w:iCs/>
        </w:rPr>
        <w:t>Murphy v. Dept. of Public Welfare</w:t>
      </w:r>
      <w:r w:rsidR="00FF26E3" w:rsidRPr="006A50AE">
        <w:rPr>
          <w:rFonts w:ascii="Times New Roman" w:hAnsi="Times New Roman"/>
          <w:u w:val="single"/>
        </w:rPr>
        <w:t>,</w:t>
      </w:r>
      <w:r w:rsidR="00FF26E3" w:rsidRPr="006A50AE">
        <w:rPr>
          <w:rFonts w:ascii="Times New Roman" w:hAnsi="Times New Roman"/>
        </w:rPr>
        <w:t xml:space="preserve"> 85 Pa. Cmwlth</w:t>
      </w:r>
      <w:r w:rsidR="002429F2" w:rsidRPr="006A50AE">
        <w:rPr>
          <w:rFonts w:ascii="Times New Roman" w:hAnsi="Times New Roman"/>
        </w:rPr>
        <w:t>.</w:t>
      </w:r>
      <w:r w:rsidR="00FF26E3" w:rsidRPr="006A50AE">
        <w:rPr>
          <w:rFonts w:ascii="Times New Roman" w:hAnsi="Times New Roman"/>
        </w:rPr>
        <w:t xml:space="preserve"> 23, 480 A.2d 382 (1984).</w:t>
      </w:r>
    </w:p>
    <w:p w:rsidR="00FF26E3" w:rsidRPr="006A50AE" w:rsidRDefault="00FF26E3" w:rsidP="00C61CD3">
      <w:pPr>
        <w:pStyle w:val="BodyText"/>
        <w:tabs>
          <w:tab w:val="clear" w:pos="1980"/>
          <w:tab w:val="left" w:pos="-1710"/>
          <w:tab w:val="left" w:pos="-1620"/>
        </w:tabs>
        <w:spacing w:line="360" w:lineRule="auto"/>
        <w:jc w:val="left"/>
        <w:rPr>
          <w:rFonts w:ascii="Times New Roman" w:hAnsi="Times New Roman"/>
        </w:rPr>
      </w:pPr>
    </w:p>
    <w:p w:rsidR="000937BE" w:rsidRPr="006A50AE" w:rsidRDefault="00FF26E3" w:rsidP="00C61CD3">
      <w:pPr>
        <w:pStyle w:val="BodyText"/>
        <w:tabs>
          <w:tab w:val="clear" w:pos="1980"/>
          <w:tab w:val="left" w:pos="0"/>
        </w:tabs>
        <w:spacing w:line="360" w:lineRule="auto"/>
        <w:jc w:val="left"/>
        <w:rPr>
          <w:rFonts w:ascii="Times New Roman" w:hAnsi="Times New Roman"/>
        </w:rPr>
      </w:pPr>
      <w:r w:rsidRPr="006A50AE">
        <w:rPr>
          <w:rFonts w:ascii="Times New Roman" w:hAnsi="Times New Roman"/>
        </w:rPr>
        <w:tab/>
      </w:r>
      <w:r w:rsidRPr="006A50AE">
        <w:rPr>
          <w:rFonts w:ascii="Times New Roman" w:hAnsi="Times New Roman"/>
        </w:rPr>
        <w:tab/>
        <w:t xml:space="preserve">The Complainant objected to </w:t>
      </w:r>
      <w:r w:rsidR="00143245" w:rsidRPr="006A50AE">
        <w:rPr>
          <w:rFonts w:ascii="Times New Roman" w:hAnsi="Times New Roman"/>
        </w:rPr>
        <w:t xml:space="preserve">being responsible for </w:t>
      </w:r>
      <w:r w:rsidR="00F06C95" w:rsidRPr="006A50AE">
        <w:rPr>
          <w:rFonts w:ascii="Times New Roman" w:hAnsi="Times New Roman"/>
        </w:rPr>
        <w:t>h</w:t>
      </w:r>
      <w:r w:rsidR="00143245" w:rsidRPr="006A50AE">
        <w:rPr>
          <w:rFonts w:ascii="Times New Roman" w:hAnsi="Times New Roman"/>
        </w:rPr>
        <w:t>is</w:t>
      </w:r>
      <w:r w:rsidR="00F06C95" w:rsidRPr="006A50AE">
        <w:rPr>
          <w:rFonts w:ascii="Times New Roman" w:hAnsi="Times New Roman"/>
        </w:rPr>
        <w:t xml:space="preserve"> two tenant</w:t>
      </w:r>
      <w:r w:rsidRPr="006A50AE">
        <w:rPr>
          <w:rFonts w:ascii="Times New Roman" w:hAnsi="Times New Roman"/>
        </w:rPr>
        <w:t>s</w:t>
      </w:r>
      <w:r w:rsidR="00254DBA" w:rsidRPr="006A50AE">
        <w:rPr>
          <w:rFonts w:ascii="Times New Roman" w:hAnsi="Times New Roman"/>
        </w:rPr>
        <w:t>’</w:t>
      </w:r>
      <w:r w:rsidRPr="006A50AE">
        <w:rPr>
          <w:rFonts w:ascii="Times New Roman" w:hAnsi="Times New Roman"/>
        </w:rPr>
        <w:t xml:space="preserve"> bill</w:t>
      </w:r>
      <w:r w:rsidR="00F06C95" w:rsidRPr="006A50AE">
        <w:rPr>
          <w:rFonts w:ascii="Times New Roman" w:hAnsi="Times New Roman"/>
        </w:rPr>
        <w:t>s</w:t>
      </w:r>
      <w:r w:rsidRPr="006A50AE">
        <w:rPr>
          <w:rFonts w:ascii="Times New Roman" w:hAnsi="Times New Roman"/>
        </w:rPr>
        <w:t xml:space="preserve">.  </w:t>
      </w:r>
      <w:r w:rsidR="00143245" w:rsidRPr="006A50AE">
        <w:rPr>
          <w:rFonts w:ascii="Times New Roman" w:hAnsi="Times New Roman"/>
        </w:rPr>
        <w:t xml:space="preserve">He denied that </w:t>
      </w:r>
      <w:r w:rsidR="00B733C6" w:rsidRPr="006A50AE">
        <w:rPr>
          <w:rFonts w:ascii="Times New Roman" w:hAnsi="Times New Roman"/>
        </w:rPr>
        <w:t>foreign load</w:t>
      </w:r>
      <w:r w:rsidR="00143245" w:rsidRPr="006A50AE">
        <w:rPr>
          <w:rFonts w:ascii="Times New Roman" w:hAnsi="Times New Roman"/>
        </w:rPr>
        <w:t xml:space="preserve"> was found.  </w:t>
      </w:r>
      <w:r w:rsidR="00A178A6" w:rsidRPr="006A50AE">
        <w:rPr>
          <w:rFonts w:ascii="Times New Roman" w:hAnsi="Times New Roman"/>
        </w:rPr>
        <w:t>He testified that Teres</w:t>
      </w:r>
      <w:r w:rsidR="00570A3A" w:rsidRPr="006A50AE">
        <w:rPr>
          <w:rFonts w:ascii="Times New Roman" w:hAnsi="Times New Roman"/>
        </w:rPr>
        <w:t>a</w:t>
      </w:r>
      <w:r w:rsidR="00A178A6" w:rsidRPr="006A50AE">
        <w:rPr>
          <w:rFonts w:ascii="Times New Roman" w:hAnsi="Times New Roman"/>
        </w:rPr>
        <w:t xml:space="preserve"> McNamee, the tenant on the second floor, was responsible for the garage and had </w:t>
      </w:r>
      <w:r w:rsidR="006D28F6" w:rsidRPr="006A50AE">
        <w:rPr>
          <w:rFonts w:ascii="Times New Roman" w:hAnsi="Times New Roman"/>
        </w:rPr>
        <w:t xml:space="preserve">exclusive access to </w:t>
      </w:r>
      <w:r w:rsidR="00A178A6" w:rsidRPr="006A50AE">
        <w:rPr>
          <w:rFonts w:ascii="Times New Roman" w:hAnsi="Times New Roman"/>
        </w:rPr>
        <w:t>the garage according to the lease (Tr. 10</w:t>
      </w:r>
      <w:r w:rsidR="006D28F6" w:rsidRPr="006A50AE">
        <w:rPr>
          <w:rFonts w:ascii="Times New Roman" w:hAnsi="Times New Roman"/>
        </w:rPr>
        <w:t>, 12; PECO Ex. 2</w:t>
      </w:r>
      <w:r w:rsidR="00A178A6" w:rsidRPr="006A50AE">
        <w:rPr>
          <w:rFonts w:ascii="Times New Roman" w:hAnsi="Times New Roman"/>
        </w:rPr>
        <w:t>)</w:t>
      </w:r>
      <w:r w:rsidR="00883C46">
        <w:rPr>
          <w:rStyle w:val="FootnoteReference"/>
          <w:rFonts w:ascii="Times New Roman" w:hAnsi="Times New Roman"/>
        </w:rPr>
        <w:footnoteReference w:id="2"/>
      </w:r>
      <w:r w:rsidR="00A178A6" w:rsidRPr="006A50AE">
        <w:rPr>
          <w:rFonts w:ascii="Times New Roman" w:hAnsi="Times New Roman"/>
        </w:rPr>
        <w:t xml:space="preserve">.  </w:t>
      </w:r>
      <w:r w:rsidR="00143245" w:rsidRPr="006A50AE">
        <w:rPr>
          <w:rFonts w:ascii="Times New Roman" w:hAnsi="Times New Roman"/>
        </w:rPr>
        <w:t>He stated that the laundry facilities in the basement were separate for each tenant (C. Ex. 4).</w:t>
      </w:r>
    </w:p>
    <w:p w:rsidR="00FF26E3" w:rsidRPr="006A50AE" w:rsidRDefault="00FF26E3" w:rsidP="00C61CD3">
      <w:pPr>
        <w:spacing w:line="360" w:lineRule="auto"/>
      </w:pPr>
    </w:p>
    <w:p w:rsidR="00143245" w:rsidRPr="006A50AE" w:rsidRDefault="00143245" w:rsidP="00C61CD3">
      <w:pPr>
        <w:spacing w:line="360" w:lineRule="auto"/>
      </w:pPr>
      <w:r w:rsidRPr="006A50AE">
        <w:tab/>
      </w:r>
      <w:r w:rsidRPr="006A50AE">
        <w:tab/>
        <w:t xml:space="preserve">Thomas Lerro, </w:t>
      </w:r>
      <w:r w:rsidR="008D1111" w:rsidRPr="006A50AE">
        <w:rPr>
          <w:bCs/>
          <w:iCs/>
        </w:rPr>
        <w:t>the senior foreman for the Respondent’s high bill field investigator group</w:t>
      </w:r>
      <w:r w:rsidRPr="006A50AE">
        <w:t>, said that one of his technicians, Roberto Alicea, went to the property and found that there were outlets and two lights under the basement steps that were on the meter for the first floor tenant (Tr. 62-64; PECO Ex. 3).  Both tenants had access to the lights and outlets under the basement steps although the lights and outlets were on the first floor meter (Tr. 62, 63; PECO Ex. 3).  Mr. Lerro agreed that each tenant had a separate laundry area with a washer, dryer and a light (Tr. 63; C. Ex. 3; PECO Ex. 3).</w:t>
      </w:r>
    </w:p>
    <w:p w:rsidR="00143245" w:rsidRPr="006A50AE" w:rsidRDefault="00143245" w:rsidP="00C61CD3">
      <w:pPr>
        <w:pStyle w:val="ListParagraph"/>
        <w:spacing w:line="360" w:lineRule="auto"/>
        <w:ind w:left="0"/>
        <w:rPr>
          <w:highlight w:val="yellow"/>
        </w:rPr>
      </w:pPr>
    </w:p>
    <w:p w:rsidR="008D1111" w:rsidRPr="006A50AE" w:rsidRDefault="008D1111" w:rsidP="00C61CD3">
      <w:pPr>
        <w:pStyle w:val="ListParagraph"/>
        <w:spacing w:line="360" w:lineRule="auto"/>
        <w:ind w:left="0"/>
      </w:pPr>
      <w:r w:rsidRPr="006A50AE">
        <w:lastRenderedPageBreak/>
        <w:tab/>
      </w:r>
      <w:r w:rsidRPr="006A50AE">
        <w:tab/>
        <w:t xml:space="preserve">In addition, Mr. Alicea found one light in a two-car garage connected to the second floor tenant’s meter (PECO Ex. 9).  </w:t>
      </w:r>
      <w:r w:rsidR="00377ECE">
        <w:t>During his investigation at the property on October 14, 2014, he found that b</w:t>
      </w:r>
      <w:r w:rsidRPr="006A50AE">
        <w:t xml:space="preserve">oth tenants had access to the garage and they used the garage for storage (PECO Exs. 7, 13, 14).  Since the second floor tenant did not have sole use of the light, the Respondent found </w:t>
      </w:r>
      <w:r w:rsidR="00B733C6" w:rsidRPr="006A50AE">
        <w:t>foreign load</w:t>
      </w:r>
      <w:r w:rsidRPr="006A50AE">
        <w:t>.</w:t>
      </w:r>
    </w:p>
    <w:p w:rsidR="008D1111" w:rsidRPr="006A50AE" w:rsidRDefault="008D1111" w:rsidP="00C61CD3">
      <w:pPr>
        <w:pStyle w:val="ListParagraph"/>
        <w:spacing w:line="360" w:lineRule="auto"/>
        <w:ind w:left="0"/>
      </w:pPr>
    </w:p>
    <w:p w:rsidR="006A50AE" w:rsidRPr="006A50AE" w:rsidRDefault="008D1111" w:rsidP="00C61CD3">
      <w:pPr>
        <w:spacing w:line="360" w:lineRule="auto"/>
      </w:pPr>
      <w:r w:rsidRPr="006A50AE">
        <w:tab/>
      </w:r>
      <w:r w:rsidRPr="006A50AE">
        <w:tab/>
        <w:t xml:space="preserve">The Complainant denied that he received a letter regarding the </w:t>
      </w:r>
      <w:r w:rsidR="00B733C6" w:rsidRPr="006A50AE">
        <w:t>foreign load</w:t>
      </w:r>
      <w:r w:rsidRPr="006A50AE">
        <w:t xml:space="preserve"> </w:t>
      </w:r>
    </w:p>
    <w:p w:rsidR="008D1111" w:rsidRDefault="008D1111" w:rsidP="00C61CD3">
      <w:pPr>
        <w:spacing w:line="360" w:lineRule="auto"/>
      </w:pPr>
      <w:proofErr w:type="gramStart"/>
      <w:r w:rsidRPr="006A50AE">
        <w:t>(Tr. 12).</w:t>
      </w:r>
      <w:proofErr w:type="gramEnd"/>
      <w:r w:rsidRPr="006A50AE">
        <w:t xml:space="preserve"> </w:t>
      </w:r>
    </w:p>
    <w:p w:rsidR="00687D26" w:rsidRPr="006A50AE" w:rsidRDefault="00687D26" w:rsidP="00C61CD3">
      <w:pPr>
        <w:spacing w:line="360" w:lineRule="auto"/>
      </w:pPr>
    </w:p>
    <w:p w:rsidR="00143245" w:rsidRPr="006A50AE" w:rsidRDefault="00143245" w:rsidP="00C61CD3">
      <w:pPr>
        <w:pStyle w:val="BodyText"/>
        <w:tabs>
          <w:tab w:val="clear" w:pos="1980"/>
          <w:tab w:val="left" w:pos="0"/>
        </w:tabs>
        <w:spacing w:line="360" w:lineRule="auto"/>
        <w:jc w:val="left"/>
        <w:rPr>
          <w:rFonts w:ascii="Times New Roman" w:hAnsi="Times New Roman"/>
        </w:rPr>
      </w:pPr>
      <w:r w:rsidRPr="006A50AE">
        <w:rPr>
          <w:rFonts w:ascii="Times New Roman" w:hAnsi="Times New Roman"/>
        </w:rPr>
        <w:tab/>
      </w:r>
      <w:r w:rsidRPr="006A50AE">
        <w:rPr>
          <w:rFonts w:ascii="Times New Roman" w:hAnsi="Times New Roman"/>
        </w:rPr>
        <w:tab/>
        <w:t xml:space="preserve">The Respondent sent the Complainant correspondence, dated September 9, 2014, advising the Complainant of the </w:t>
      </w:r>
      <w:r w:rsidR="00B733C6" w:rsidRPr="006A50AE">
        <w:rPr>
          <w:rFonts w:ascii="Times New Roman" w:hAnsi="Times New Roman"/>
        </w:rPr>
        <w:t>foreign load</w:t>
      </w:r>
      <w:r w:rsidRPr="006A50AE">
        <w:rPr>
          <w:rFonts w:ascii="Times New Roman" w:hAnsi="Times New Roman"/>
        </w:rPr>
        <w:t xml:space="preserve"> (Tr. 64, 65; PECO Ex. 5).  The correspondence was sent to the Complainant at 3138 Glenview Street in Philadelphia (Tr. 64, 65; PECO Ex. 5).  The Respondent obtained the mailing information for the Complainant from the public records of the county where the property is located (Tr. 48).</w:t>
      </w:r>
    </w:p>
    <w:p w:rsidR="00143245" w:rsidRPr="006A50AE" w:rsidRDefault="00143245" w:rsidP="00C61CD3">
      <w:pPr>
        <w:spacing w:line="360" w:lineRule="auto"/>
      </w:pPr>
    </w:p>
    <w:p w:rsidR="00143245" w:rsidRPr="006A50AE" w:rsidRDefault="00143245" w:rsidP="00C61CD3">
      <w:pPr>
        <w:spacing w:line="360" w:lineRule="auto"/>
      </w:pPr>
      <w:r w:rsidRPr="006A50AE">
        <w:tab/>
      </w:r>
      <w:r w:rsidRPr="006A50AE">
        <w:tab/>
        <w:t xml:space="preserve">The Complainant acknowledged that he lived on Glenview Street but he said that he moved prior to 2014.  He did state that he was contacted by telephone about the </w:t>
      </w:r>
      <w:r w:rsidR="00B733C6" w:rsidRPr="006A50AE">
        <w:t>foreign load</w:t>
      </w:r>
      <w:r w:rsidRPr="006A50AE">
        <w:t>.</w:t>
      </w:r>
    </w:p>
    <w:p w:rsidR="00732E42" w:rsidRPr="006A50AE" w:rsidRDefault="00732E42" w:rsidP="00C61CD3">
      <w:pPr>
        <w:pStyle w:val="BodyText"/>
        <w:tabs>
          <w:tab w:val="clear" w:pos="1980"/>
        </w:tabs>
        <w:spacing w:line="360" w:lineRule="auto"/>
        <w:jc w:val="left"/>
        <w:rPr>
          <w:rFonts w:ascii="Times New Roman" w:hAnsi="Times New Roman"/>
        </w:rPr>
      </w:pPr>
    </w:p>
    <w:p w:rsidR="00FF26E3" w:rsidRPr="006A50AE" w:rsidRDefault="00FF26E3" w:rsidP="00C61CD3">
      <w:pPr>
        <w:pStyle w:val="BodyText"/>
        <w:tabs>
          <w:tab w:val="clear" w:pos="1980"/>
          <w:tab w:val="left" w:pos="0"/>
        </w:tabs>
        <w:spacing w:line="360" w:lineRule="auto"/>
        <w:jc w:val="left"/>
        <w:rPr>
          <w:rFonts w:ascii="Times New Roman" w:hAnsi="Times New Roman"/>
        </w:rPr>
      </w:pPr>
      <w:r w:rsidRPr="006A50AE">
        <w:rPr>
          <w:rFonts w:ascii="Times New Roman" w:hAnsi="Times New Roman"/>
        </w:rPr>
        <w:tab/>
      </w:r>
      <w:r w:rsidRPr="006A50AE">
        <w:rPr>
          <w:rFonts w:ascii="Times New Roman" w:hAnsi="Times New Roman"/>
        </w:rPr>
        <w:tab/>
        <w:t xml:space="preserve">To determine whether the Respondent was correct when it transferred the entire balance of </w:t>
      </w:r>
      <w:r w:rsidR="00510627" w:rsidRPr="006A50AE">
        <w:rPr>
          <w:rFonts w:ascii="Times New Roman" w:hAnsi="Times New Roman"/>
        </w:rPr>
        <w:t>the two tenant</w:t>
      </w:r>
      <w:r w:rsidRPr="006A50AE">
        <w:rPr>
          <w:rFonts w:ascii="Times New Roman" w:hAnsi="Times New Roman"/>
        </w:rPr>
        <w:t>s</w:t>
      </w:r>
      <w:r w:rsidR="0050409C" w:rsidRPr="006A50AE">
        <w:rPr>
          <w:rFonts w:ascii="Times New Roman" w:hAnsi="Times New Roman"/>
        </w:rPr>
        <w:t>’</w:t>
      </w:r>
      <w:r w:rsidRPr="006A50AE">
        <w:rPr>
          <w:rFonts w:ascii="Times New Roman" w:hAnsi="Times New Roman"/>
        </w:rPr>
        <w:t xml:space="preserve"> account</w:t>
      </w:r>
      <w:r w:rsidR="00510627" w:rsidRPr="006A50AE">
        <w:rPr>
          <w:rFonts w:ascii="Times New Roman" w:hAnsi="Times New Roman"/>
        </w:rPr>
        <w:t>s</w:t>
      </w:r>
      <w:r w:rsidRPr="006A50AE">
        <w:rPr>
          <w:rFonts w:ascii="Times New Roman" w:hAnsi="Times New Roman"/>
        </w:rPr>
        <w:t xml:space="preserve"> to the landlord, a review of Section 1529.1 of the Public Utility Code, 66 Pa.C.S. § 1529.1</w:t>
      </w:r>
      <w:r w:rsidR="005A0684" w:rsidRPr="006A50AE">
        <w:rPr>
          <w:rFonts w:ascii="Times New Roman" w:hAnsi="Times New Roman"/>
        </w:rPr>
        <w:t>,</w:t>
      </w:r>
      <w:r w:rsidRPr="006A50AE">
        <w:rPr>
          <w:rFonts w:ascii="Times New Roman" w:hAnsi="Times New Roman"/>
        </w:rPr>
        <w:t xml:space="preserve"> is necessary.  That section reads as follows:</w:t>
      </w:r>
    </w:p>
    <w:p w:rsidR="00563349" w:rsidRPr="006A50AE" w:rsidRDefault="00563349" w:rsidP="00C61CD3">
      <w:pPr>
        <w:pStyle w:val="BodyText"/>
        <w:spacing w:line="240" w:lineRule="auto"/>
        <w:ind w:left="1440" w:right="1440"/>
        <w:rPr>
          <w:rFonts w:ascii="Times New Roman" w:hAnsi="Times New Roman"/>
          <w:b/>
          <w:bCs/>
        </w:rPr>
      </w:pPr>
    </w:p>
    <w:p w:rsidR="00FF26E3" w:rsidRPr="006A50AE" w:rsidRDefault="00FF26E3" w:rsidP="00C61CD3">
      <w:pPr>
        <w:pStyle w:val="BodyText"/>
        <w:spacing w:line="240" w:lineRule="auto"/>
        <w:ind w:left="1440" w:right="1440"/>
        <w:rPr>
          <w:rFonts w:ascii="Times New Roman" w:hAnsi="Times New Roman"/>
          <w:b/>
          <w:bCs/>
        </w:rPr>
      </w:pPr>
      <w:r w:rsidRPr="006A50AE">
        <w:rPr>
          <w:rFonts w:ascii="Times New Roman" w:hAnsi="Times New Roman"/>
          <w:b/>
          <w:bCs/>
        </w:rPr>
        <w:t>§</w:t>
      </w:r>
      <w:r w:rsidR="00563349" w:rsidRPr="006A50AE">
        <w:rPr>
          <w:rFonts w:ascii="Times New Roman" w:hAnsi="Times New Roman"/>
          <w:b/>
          <w:bCs/>
        </w:rPr>
        <w:t xml:space="preserve"> </w:t>
      </w:r>
      <w:r w:rsidRPr="006A50AE">
        <w:rPr>
          <w:rFonts w:ascii="Times New Roman" w:hAnsi="Times New Roman"/>
          <w:b/>
          <w:bCs/>
        </w:rPr>
        <w:t>1529.1.  Duty of owners of rental property</w:t>
      </w:r>
    </w:p>
    <w:p w:rsidR="00FF26E3" w:rsidRPr="006A50AE" w:rsidRDefault="00FF26E3" w:rsidP="00C61CD3">
      <w:pPr>
        <w:pStyle w:val="BodyText"/>
        <w:spacing w:line="240" w:lineRule="auto"/>
        <w:ind w:left="1440" w:right="1440"/>
        <w:rPr>
          <w:rFonts w:ascii="Times New Roman" w:hAnsi="Times New Roman"/>
        </w:rPr>
      </w:pPr>
    </w:p>
    <w:p w:rsidR="00FF26E3" w:rsidRPr="006A50AE" w:rsidRDefault="00FF26E3" w:rsidP="00C61CD3">
      <w:pPr>
        <w:pStyle w:val="BodyText"/>
        <w:spacing w:line="240" w:lineRule="auto"/>
        <w:ind w:left="1440" w:right="1440"/>
        <w:jc w:val="left"/>
        <w:rPr>
          <w:rFonts w:ascii="Times New Roman" w:hAnsi="Times New Roman"/>
        </w:rPr>
      </w:pPr>
      <w:r w:rsidRPr="006A50AE">
        <w:rPr>
          <w:rFonts w:ascii="Times New Roman" w:hAnsi="Times New Roman"/>
          <w:b/>
          <w:bCs/>
        </w:rPr>
        <w:t>(a) Notice to public utility.</w:t>
      </w:r>
      <w:r w:rsidRPr="006A50AE">
        <w:rPr>
          <w:rFonts w:ascii="Times New Roman" w:hAnsi="Times New Roman"/>
        </w:rPr>
        <w:t xml:space="preserve"> - 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p>
    <w:p w:rsidR="00FF26E3" w:rsidRPr="006A50AE" w:rsidRDefault="00FF26E3" w:rsidP="00C61CD3">
      <w:pPr>
        <w:pStyle w:val="BodyText"/>
        <w:spacing w:line="240" w:lineRule="auto"/>
        <w:ind w:left="1440" w:right="1440"/>
        <w:rPr>
          <w:rFonts w:ascii="Times New Roman" w:hAnsi="Times New Roman"/>
        </w:rPr>
      </w:pPr>
    </w:p>
    <w:p w:rsidR="00FF26E3" w:rsidRPr="006A50AE" w:rsidRDefault="00FF26E3" w:rsidP="00C61CD3">
      <w:pPr>
        <w:pStyle w:val="BodyText"/>
        <w:spacing w:line="240" w:lineRule="auto"/>
        <w:ind w:left="1440" w:right="1440"/>
        <w:jc w:val="left"/>
        <w:rPr>
          <w:rFonts w:ascii="Times New Roman" w:hAnsi="Times New Roman"/>
        </w:rPr>
      </w:pPr>
      <w:r w:rsidRPr="006A50AE">
        <w:rPr>
          <w:rFonts w:ascii="Times New Roman" w:hAnsi="Times New Roman"/>
          <w:b/>
          <w:bCs/>
        </w:rPr>
        <w:t>(b) History of account.</w:t>
      </w:r>
      <w:r w:rsidRPr="006A50AE">
        <w:rPr>
          <w:rFonts w:ascii="Times New Roman" w:hAnsi="Times New Roman"/>
        </w:rPr>
        <w:t xml:space="preserve"> -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w:t>
      </w:r>
      <w:r w:rsidRPr="006A50AE">
        <w:rPr>
          <w:rFonts w:ascii="Times New Roman" w:hAnsi="Times New Roman"/>
        </w:rPr>
        <w:lastRenderedPageBreak/>
        <w:t>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9D02DC" w:rsidRPr="006A50AE" w:rsidRDefault="009D02DC" w:rsidP="00C61CD3">
      <w:pPr>
        <w:pStyle w:val="BodyText"/>
        <w:spacing w:line="240" w:lineRule="auto"/>
        <w:ind w:left="1440" w:right="1440"/>
        <w:jc w:val="left"/>
        <w:rPr>
          <w:rFonts w:ascii="Times New Roman" w:hAnsi="Times New Roman"/>
        </w:rPr>
      </w:pPr>
    </w:p>
    <w:p w:rsidR="00FF26E3" w:rsidRPr="006A50AE" w:rsidRDefault="00FF26E3" w:rsidP="00C61CD3">
      <w:pPr>
        <w:pStyle w:val="BodyText"/>
        <w:spacing w:line="240" w:lineRule="auto"/>
        <w:ind w:left="1440" w:right="1440"/>
        <w:jc w:val="left"/>
        <w:rPr>
          <w:rFonts w:ascii="Times New Roman" w:hAnsi="Times New Roman"/>
        </w:rPr>
      </w:pPr>
      <w:r w:rsidRPr="006A50AE">
        <w:rPr>
          <w:rFonts w:ascii="Times New Roman" w:hAnsi="Times New Roman"/>
          <w:b/>
          <w:bCs/>
        </w:rPr>
        <w:t>(c) Failure to give notice.</w:t>
      </w:r>
      <w:r w:rsidRPr="006A50AE">
        <w:rPr>
          <w:rFonts w:ascii="Times New Roman" w:hAnsi="Times New Roman"/>
        </w:rPr>
        <w:t xml:space="preserve"> - Any owner of a residential building or mobile home park failing to notify affected public utilities as required by this section shall nonetheless be responsible for payment of the utility services as if the required notice had been given.</w:t>
      </w:r>
    </w:p>
    <w:p w:rsidR="009D02DC" w:rsidRPr="006A50AE" w:rsidRDefault="009D02DC" w:rsidP="00687D26">
      <w:pPr>
        <w:pStyle w:val="BodyText"/>
        <w:spacing w:line="360" w:lineRule="auto"/>
        <w:ind w:left="1440" w:right="1440"/>
        <w:jc w:val="left"/>
        <w:rPr>
          <w:rFonts w:ascii="Times New Roman" w:hAnsi="Times New Roman"/>
        </w:rPr>
      </w:pPr>
    </w:p>
    <w:p w:rsidR="00BD03B3" w:rsidRPr="006A50AE" w:rsidRDefault="00732E42" w:rsidP="00C61CD3">
      <w:pPr>
        <w:pStyle w:val="BodyText"/>
        <w:tabs>
          <w:tab w:val="clear" w:pos="1980"/>
        </w:tabs>
        <w:spacing w:line="360" w:lineRule="auto"/>
        <w:jc w:val="left"/>
        <w:rPr>
          <w:rFonts w:ascii="Times New Roman" w:hAnsi="Times New Roman"/>
        </w:rPr>
      </w:pPr>
      <w:r w:rsidRPr="006A50AE">
        <w:rPr>
          <w:rFonts w:ascii="Times New Roman" w:hAnsi="Times New Roman"/>
        </w:rPr>
        <w:tab/>
      </w:r>
      <w:r w:rsidRPr="006A50AE">
        <w:rPr>
          <w:rFonts w:ascii="Times New Roman" w:hAnsi="Times New Roman"/>
        </w:rPr>
        <w:tab/>
      </w:r>
      <w:r w:rsidR="00BD03B3" w:rsidRPr="006A50AE">
        <w:rPr>
          <w:rFonts w:ascii="Times New Roman" w:hAnsi="Times New Roman"/>
        </w:rPr>
        <w:t xml:space="preserve">In most cases of foreign load, </w:t>
      </w:r>
      <w:r w:rsidRPr="006A50AE">
        <w:rPr>
          <w:rFonts w:ascii="Times New Roman" w:hAnsi="Times New Roman"/>
        </w:rPr>
        <w:t xml:space="preserve">another </w:t>
      </w:r>
      <w:r w:rsidR="00BD03B3" w:rsidRPr="006A50AE">
        <w:rPr>
          <w:rFonts w:ascii="Times New Roman" w:hAnsi="Times New Roman"/>
        </w:rPr>
        <w:t>person</w:t>
      </w:r>
      <w:r w:rsidRPr="006A50AE">
        <w:rPr>
          <w:rFonts w:ascii="Times New Roman" w:hAnsi="Times New Roman"/>
        </w:rPr>
        <w:t xml:space="preserve">’s service is attached to the tenant’s meter or the service to a common area is attached to the tenant’s meter.  In this </w:t>
      </w:r>
      <w:r w:rsidR="00510627" w:rsidRPr="006A50AE">
        <w:rPr>
          <w:rFonts w:ascii="Times New Roman" w:hAnsi="Times New Roman"/>
        </w:rPr>
        <w:t>case,</w:t>
      </w:r>
      <w:r w:rsidRPr="006A50AE">
        <w:rPr>
          <w:rFonts w:ascii="Times New Roman" w:hAnsi="Times New Roman"/>
        </w:rPr>
        <w:t xml:space="preserve"> </w:t>
      </w:r>
      <w:r w:rsidR="00B733C6" w:rsidRPr="006A50AE">
        <w:rPr>
          <w:rFonts w:ascii="Times New Roman" w:hAnsi="Times New Roman"/>
        </w:rPr>
        <w:t xml:space="preserve">both </w:t>
      </w:r>
      <w:r w:rsidRPr="006A50AE">
        <w:rPr>
          <w:rFonts w:ascii="Times New Roman" w:hAnsi="Times New Roman"/>
        </w:rPr>
        <w:t>tenant</w:t>
      </w:r>
      <w:r w:rsidR="00B733C6" w:rsidRPr="006A50AE">
        <w:rPr>
          <w:rFonts w:ascii="Times New Roman" w:hAnsi="Times New Roman"/>
        </w:rPr>
        <w:t>s had access to the basement and the garage.  The outlets and the lights under the basement steps were on the first floor tenant’s meter.  The light in the gar</w:t>
      </w:r>
      <w:r w:rsidRPr="006A50AE">
        <w:rPr>
          <w:rFonts w:ascii="Times New Roman" w:hAnsi="Times New Roman"/>
        </w:rPr>
        <w:t>a</w:t>
      </w:r>
      <w:r w:rsidR="00B733C6" w:rsidRPr="006A50AE">
        <w:rPr>
          <w:rFonts w:ascii="Times New Roman" w:hAnsi="Times New Roman"/>
        </w:rPr>
        <w:t>ge wa</w:t>
      </w:r>
      <w:r w:rsidRPr="006A50AE">
        <w:rPr>
          <w:rFonts w:ascii="Times New Roman" w:hAnsi="Times New Roman"/>
        </w:rPr>
        <w:t>s</w:t>
      </w:r>
      <w:r w:rsidR="00B733C6" w:rsidRPr="006A50AE">
        <w:rPr>
          <w:rFonts w:ascii="Times New Roman" w:hAnsi="Times New Roman"/>
        </w:rPr>
        <w:t xml:space="preserve"> on the second floor tenant’s meter</w:t>
      </w:r>
      <w:r w:rsidRPr="006A50AE">
        <w:rPr>
          <w:rFonts w:ascii="Times New Roman" w:hAnsi="Times New Roman"/>
        </w:rPr>
        <w:t xml:space="preserve">.  </w:t>
      </w:r>
      <w:r w:rsidR="00BD03B3" w:rsidRPr="006A50AE">
        <w:rPr>
          <w:rFonts w:ascii="Times New Roman" w:hAnsi="Times New Roman"/>
        </w:rPr>
        <w:t xml:space="preserve">Since </w:t>
      </w:r>
      <w:r w:rsidR="00B733C6" w:rsidRPr="006A50AE">
        <w:rPr>
          <w:rFonts w:ascii="Times New Roman" w:hAnsi="Times New Roman"/>
        </w:rPr>
        <w:t>bo</w:t>
      </w:r>
      <w:r w:rsidR="00BD03B3" w:rsidRPr="006A50AE">
        <w:rPr>
          <w:rFonts w:ascii="Times New Roman" w:hAnsi="Times New Roman"/>
        </w:rPr>
        <w:t>th</w:t>
      </w:r>
      <w:r w:rsidR="00B733C6" w:rsidRPr="006A50AE">
        <w:rPr>
          <w:rFonts w:ascii="Times New Roman" w:hAnsi="Times New Roman"/>
        </w:rPr>
        <w:t xml:space="preserve"> tenants</w:t>
      </w:r>
      <w:r w:rsidR="00BD03B3" w:rsidRPr="006A50AE">
        <w:rPr>
          <w:rFonts w:ascii="Times New Roman" w:hAnsi="Times New Roman"/>
        </w:rPr>
        <w:t xml:space="preserve"> received a benefit from the light</w:t>
      </w:r>
      <w:r w:rsidR="00B733C6" w:rsidRPr="006A50AE">
        <w:rPr>
          <w:rFonts w:ascii="Times New Roman" w:hAnsi="Times New Roman"/>
        </w:rPr>
        <w:t>s and the outlets, it was foreign load.</w:t>
      </w:r>
    </w:p>
    <w:p w:rsidR="00510627" w:rsidRPr="006A50AE" w:rsidRDefault="00510627" w:rsidP="00C61CD3">
      <w:pPr>
        <w:pStyle w:val="BodyText"/>
        <w:tabs>
          <w:tab w:val="clear" w:pos="1980"/>
        </w:tabs>
        <w:spacing w:line="360" w:lineRule="auto"/>
        <w:jc w:val="left"/>
        <w:rPr>
          <w:rFonts w:ascii="Times New Roman" w:hAnsi="Times New Roman"/>
        </w:rPr>
      </w:pPr>
    </w:p>
    <w:p w:rsidR="008E7D7C" w:rsidRPr="006A50AE" w:rsidRDefault="00732E42" w:rsidP="00C61CD3">
      <w:pPr>
        <w:spacing w:line="360" w:lineRule="auto"/>
      </w:pPr>
      <w:r w:rsidRPr="006A50AE">
        <w:tab/>
      </w:r>
      <w:r w:rsidRPr="006A50AE">
        <w:tab/>
        <w:t xml:space="preserve">In </w:t>
      </w:r>
      <w:r w:rsidRPr="006A50AE">
        <w:rPr>
          <w:i/>
        </w:rPr>
        <w:t>Ace Check Cashing Inc. v. Philadelphia Gas Works</w:t>
      </w:r>
      <w:r w:rsidRPr="006A50AE">
        <w:t>, Docket No. C-2008-2056428 (</w:t>
      </w:r>
      <w:r w:rsidR="00D468F8" w:rsidRPr="006A50AE">
        <w:t>Opinion and Order</w:t>
      </w:r>
      <w:r w:rsidRPr="006A50AE">
        <w:t xml:space="preserve"> entered May 21, 2010), the Commission determined that the landlord/owner is financially responsible for a tenant’s entire account once the foreign load is verified on the tenant’s service, including any arrearages.  Pursuant to that case, the tenant does not have to be joined as </w:t>
      </w:r>
      <w:r w:rsidR="00254DBA" w:rsidRPr="006A50AE">
        <w:t xml:space="preserve">an </w:t>
      </w:r>
      <w:r w:rsidRPr="006A50AE">
        <w:t xml:space="preserve">indispensable party.  In addition, the landlord is responsible for all past usage instead of being responsible for the portion of the bill related to the foreign load.  </w:t>
      </w:r>
      <w:r w:rsidR="008E7D7C" w:rsidRPr="006A50AE">
        <w:t xml:space="preserve">See also </w:t>
      </w:r>
      <w:r w:rsidR="008E7D7C" w:rsidRPr="006A50AE">
        <w:rPr>
          <w:i/>
          <w:iCs/>
        </w:rPr>
        <w:t>Elizabeth Santos v. Metropolitan Edison Company,</w:t>
      </w:r>
      <w:r w:rsidR="008E7D7C" w:rsidRPr="006A50AE">
        <w:t xml:space="preserve"> Docket No. C-00967757, (</w:t>
      </w:r>
      <w:r w:rsidR="00510627" w:rsidRPr="006A50AE">
        <w:t xml:space="preserve">Opinion and </w:t>
      </w:r>
      <w:r w:rsidR="008E7D7C" w:rsidRPr="006A50AE">
        <w:t>Order entered August 7, 1997);</w:t>
      </w:r>
      <w:r w:rsidR="00FF26E3" w:rsidRPr="006A50AE">
        <w:t xml:space="preserve"> </w:t>
      </w:r>
      <w:r w:rsidR="008E7D7C" w:rsidRPr="006A50AE">
        <w:rPr>
          <w:i/>
        </w:rPr>
        <w:t>Franchowiak v. PPL Electric Utilities Corporation</w:t>
      </w:r>
      <w:r w:rsidR="008E7D7C" w:rsidRPr="006A50AE">
        <w:t>, C-20054687 (</w:t>
      </w:r>
      <w:r w:rsidR="00510627" w:rsidRPr="006A50AE">
        <w:t xml:space="preserve">Opinion and </w:t>
      </w:r>
      <w:r w:rsidR="008E7D7C" w:rsidRPr="006A50AE">
        <w:t xml:space="preserve">Order entered July 3, 2006), </w:t>
      </w:r>
      <w:r w:rsidR="008E7D7C" w:rsidRPr="006A50AE">
        <w:rPr>
          <w:i/>
        </w:rPr>
        <w:t>Del Vecchio v. PPL Electric Utilities Corporation</w:t>
      </w:r>
      <w:r w:rsidR="008E7D7C" w:rsidRPr="006A50AE">
        <w:t>, Z-01464793 (</w:t>
      </w:r>
      <w:r w:rsidR="00510627" w:rsidRPr="006A50AE">
        <w:t xml:space="preserve">Opinion and </w:t>
      </w:r>
      <w:r w:rsidR="008E7D7C" w:rsidRPr="006A50AE">
        <w:t>Order entered September 13, 2006).</w:t>
      </w:r>
    </w:p>
    <w:p w:rsidR="00563349" w:rsidRPr="006A50AE" w:rsidRDefault="00563349" w:rsidP="00C61CD3">
      <w:pPr>
        <w:spacing w:line="360" w:lineRule="auto"/>
      </w:pPr>
    </w:p>
    <w:p w:rsidR="00FF26E3" w:rsidRPr="006A50AE" w:rsidRDefault="00FF26E3" w:rsidP="00C61CD3">
      <w:pPr>
        <w:pStyle w:val="BodyText"/>
        <w:tabs>
          <w:tab w:val="clear" w:pos="1980"/>
          <w:tab w:val="left" w:pos="0"/>
        </w:tabs>
        <w:spacing w:line="360" w:lineRule="auto"/>
        <w:jc w:val="left"/>
        <w:rPr>
          <w:rFonts w:ascii="Times New Roman" w:hAnsi="Times New Roman"/>
        </w:rPr>
      </w:pPr>
      <w:r w:rsidRPr="006A50AE">
        <w:rPr>
          <w:rFonts w:ascii="Times New Roman" w:hAnsi="Times New Roman"/>
        </w:rPr>
        <w:tab/>
      </w:r>
      <w:r w:rsidRPr="006A50AE">
        <w:rPr>
          <w:rFonts w:ascii="Times New Roman" w:hAnsi="Times New Roman"/>
        </w:rPr>
        <w:tab/>
      </w:r>
      <w:r w:rsidR="008E7D7C" w:rsidRPr="006A50AE">
        <w:rPr>
          <w:rFonts w:ascii="Times New Roman" w:hAnsi="Times New Roman"/>
        </w:rPr>
        <w:t xml:space="preserve">To </w:t>
      </w:r>
      <w:r w:rsidRPr="006A50AE">
        <w:rPr>
          <w:rFonts w:ascii="Times New Roman" w:hAnsi="Times New Roman"/>
        </w:rPr>
        <w:t xml:space="preserve">comply with the law and Commission decisions, the Respondent transferred the balance from </w:t>
      </w:r>
      <w:r w:rsidR="00510627" w:rsidRPr="006A50AE">
        <w:rPr>
          <w:rFonts w:ascii="Times New Roman" w:hAnsi="Times New Roman"/>
        </w:rPr>
        <w:t>the two tenant</w:t>
      </w:r>
      <w:r w:rsidR="009038E3" w:rsidRPr="006A50AE">
        <w:rPr>
          <w:rFonts w:ascii="Times New Roman" w:hAnsi="Times New Roman"/>
        </w:rPr>
        <w:t>s</w:t>
      </w:r>
      <w:r w:rsidRPr="006A50AE">
        <w:rPr>
          <w:rFonts w:ascii="Times New Roman" w:hAnsi="Times New Roman"/>
        </w:rPr>
        <w:t>’ account</w:t>
      </w:r>
      <w:r w:rsidR="00510627" w:rsidRPr="006A50AE">
        <w:rPr>
          <w:rFonts w:ascii="Times New Roman" w:hAnsi="Times New Roman"/>
        </w:rPr>
        <w:t>s</w:t>
      </w:r>
      <w:r w:rsidRPr="006A50AE">
        <w:rPr>
          <w:rFonts w:ascii="Times New Roman" w:hAnsi="Times New Roman"/>
        </w:rPr>
        <w:t xml:space="preserve"> to the landlord’s account.  The Complainant has not provided evidence to show that the Respondent’s actions we</w:t>
      </w:r>
      <w:r w:rsidR="00C13F77">
        <w:rPr>
          <w:rFonts w:ascii="Times New Roman" w:hAnsi="Times New Roman"/>
        </w:rPr>
        <w:t>re not in accordance with S</w:t>
      </w:r>
      <w:r w:rsidRPr="006A50AE">
        <w:rPr>
          <w:rFonts w:ascii="Times New Roman" w:hAnsi="Times New Roman"/>
        </w:rPr>
        <w:t xml:space="preserve">ection </w:t>
      </w:r>
      <w:r w:rsidRPr="006A50AE">
        <w:rPr>
          <w:rFonts w:ascii="Times New Roman" w:hAnsi="Times New Roman"/>
        </w:rPr>
        <w:lastRenderedPageBreak/>
        <w:t>1529.1 of the Public Utility Code.  The Respondent’s actions were in accordance with the law.  Therefore, the Complainant/</w:t>
      </w:r>
      <w:r w:rsidR="004C4079" w:rsidRPr="006A50AE">
        <w:rPr>
          <w:rFonts w:ascii="Times New Roman" w:hAnsi="Times New Roman"/>
        </w:rPr>
        <w:t>l</w:t>
      </w:r>
      <w:r w:rsidRPr="006A50AE">
        <w:rPr>
          <w:rFonts w:ascii="Times New Roman" w:hAnsi="Times New Roman"/>
        </w:rPr>
        <w:t>andlord is responsible for paying for the electric service.</w:t>
      </w:r>
    </w:p>
    <w:p w:rsidR="00FF26E3" w:rsidRPr="006A50AE" w:rsidRDefault="00FF26E3" w:rsidP="00C61CD3">
      <w:pPr>
        <w:pStyle w:val="BodyText"/>
        <w:spacing w:line="360" w:lineRule="auto"/>
        <w:jc w:val="left"/>
        <w:rPr>
          <w:rFonts w:ascii="Times New Roman" w:hAnsi="Times New Roman"/>
        </w:rPr>
      </w:pPr>
    </w:p>
    <w:p w:rsidR="00FF26E3" w:rsidRPr="006A50AE" w:rsidRDefault="00FF26E3" w:rsidP="00C61CD3">
      <w:pPr>
        <w:pStyle w:val="BodyText"/>
        <w:tabs>
          <w:tab w:val="clear" w:pos="1980"/>
        </w:tabs>
        <w:spacing w:line="360" w:lineRule="auto"/>
        <w:jc w:val="left"/>
        <w:rPr>
          <w:rFonts w:ascii="Times New Roman" w:hAnsi="Times New Roman"/>
        </w:rPr>
      </w:pPr>
      <w:r w:rsidRPr="006A50AE">
        <w:rPr>
          <w:rFonts w:ascii="Times New Roman" w:hAnsi="Times New Roman"/>
        </w:rPr>
        <w:tab/>
      </w:r>
      <w:r w:rsidRPr="006A50AE">
        <w:rPr>
          <w:rFonts w:ascii="Times New Roman" w:hAnsi="Times New Roman"/>
        </w:rPr>
        <w:tab/>
        <w:t xml:space="preserve">The Complainant failed to prove by a preponderance of the evidence that foreign load did not exist or that the </w:t>
      </w:r>
      <w:r w:rsidR="009A6797">
        <w:rPr>
          <w:rFonts w:ascii="Times New Roman" w:hAnsi="Times New Roman"/>
        </w:rPr>
        <w:t>Respondent incorrectly applied S</w:t>
      </w:r>
      <w:r w:rsidRPr="006A50AE">
        <w:rPr>
          <w:rFonts w:ascii="Times New Roman" w:hAnsi="Times New Roman"/>
        </w:rPr>
        <w:t xml:space="preserve">ection 1529.1 and the </w:t>
      </w:r>
      <w:r w:rsidRPr="006A50AE">
        <w:rPr>
          <w:rFonts w:ascii="Times New Roman" w:hAnsi="Times New Roman"/>
          <w:i/>
          <w:iCs/>
        </w:rPr>
        <w:t>Santos v. Metropolitan Edison</w:t>
      </w:r>
      <w:r w:rsidRPr="006A50AE">
        <w:rPr>
          <w:rFonts w:ascii="Times New Roman" w:hAnsi="Times New Roman"/>
        </w:rPr>
        <w:t xml:space="preserve"> </w:t>
      </w:r>
      <w:r w:rsidR="00E06118" w:rsidRPr="006A50AE">
        <w:rPr>
          <w:rFonts w:ascii="Times New Roman" w:hAnsi="Times New Roman"/>
        </w:rPr>
        <w:t>and</w:t>
      </w:r>
      <w:r w:rsidRPr="006A50AE">
        <w:rPr>
          <w:rFonts w:ascii="Times New Roman" w:hAnsi="Times New Roman"/>
        </w:rPr>
        <w:t xml:space="preserve"> </w:t>
      </w:r>
      <w:r w:rsidRPr="006A50AE">
        <w:rPr>
          <w:rFonts w:ascii="Times New Roman" w:hAnsi="Times New Roman"/>
          <w:i/>
          <w:iCs/>
        </w:rPr>
        <w:t xml:space="preserve">Ace Check Cashing </w:t>
      </w:r>
      <w:r w:rsidRPr="006A50AE">
        <w:rPr>
          <w:rFonts w:ascii="Times New Roman" w:hAnsi="Times New Roman"/>
        </w:rPr>
        <w:t>decisions.  Thus, the Complainant is responsible for paying the outstanding balance of $</w:t>
      </w:r>
      <w:r w:rsidR="004C4079" w:rsidRPr="006A50AE">
        <w:rPr>
          <w:rFonts w:ascii="Times New Roman" w:hAnsi="Times New Roman"/>
        </w:rPr>
        <w:t>1,45</w:t>
      </w:r>
      <w:r w:rsidR="008E37D7" w:rsidRPr="006A50AE">
        <w:rPr>
          <w:rFonts w:ascii="Times New Roman" w:hAnsi="Times New Roman"/>
        </w:rPr>
        <w:t>9</w:t>
      </w:r>
      <w:r w:rsidRPr="006A50AE">
        <w:rPr>
          <w:rFonts w:ascii="Times New Roman" w:hAnsi="Times New Roman"/>
        </w:rPr>
        <w:t>.</w:t>
      </w:r>
      <w:r w:rsidR="004C4079" w:rsidRPr="006A50AE">
        <w:rPr>
          <w:rFonts w:ascii="Times New Roman" w:hAnsi="Times New Roman"/>
        </w:rPr>
        <w:t>14</w:t>
      </w:r>
      <w:r w:rsidRPr="006A50AE">
        <w:rPr>
          <w:rFonts w:ascii="Times New Roman" w:hAnsi="Times New Roman"/>
        </w:rPr>
        <w:t xml:space="preserve"> within sixty days of the Commission’s final order in this matter. </w:t>
      </w:r>
    </w:p>
    <w:p w:rsidR="008E7D7C" w:rsidRPr="006A50AE" w:rsidRDefault="008E7D7C" w:rsidP="00C61CD3">
      <w:pPr>
        <w:spacing w:line="360" w:lineRule="auto"/>
      </w:pPr>
      <w:bookmarkStart w:id="0" w:name="_GoBack"/>
      <w:bookmarkEnd w:id="0"/>
    </w:p>
    <w:p w:rsidR="00FF26E3" w:rsidRPr="006A50AE" w:rsidRDefault="00FF26E3" w:rsidP="00C61CD3">
      <w:pPr>
        <w:spacing w:line="360" w:lineRule="auto"/>
      </w:pPr>
      <w:r w:rsidRPr="006A50AE">
        <w:tab/>
      </w:r>
      <w:r w:rsidRPr="006A50AE">
        <w:tab/>
        <w:t>Accordingly, the complaint is dismissed.</w:t>
      </w:r>
    </w:p>
    <w:p w:rsidR="00FF26E3" w:rsidRPr="006A50AE" w:rsidRDefault="00FF26E3" w:rsidP="00C61CD3">
      <w:pPr>
        <w:spacing w:line="360" w:lineRule="auto"/>
      </w:pPr>
    </w:p>
    <w:p w:rsidR="00FF26E3" w:rsidRPr="006A50AE" w:rsidRDefault="00FF26E3" w:rsidP="00C61CD3">
      <w:pPr>
        <w:pStyle w:val="Heading1"/>
        <w:spacing w:line="360" w:lineRule="auto"/>
        <w:rPr>
          <w:rFonts w:ascii="Times New Roman" w:hAnsi="Times New Roman"/>
          <w:b w:val="0"/>
        </w:rPr>
      </w:pPr>
      <w:r w:rsidRPr="006A50AE">
        <w:rPr>
          <w:rFonts w:ascii="Times New Roman" w:hAnsi="Times New Roman"/>
          <w:b w:val="0"/>
        </w:rPr>
        <w:t>CONCLUSIONS OF LAW</w:t>
      </w:r>
    </w:p>
    <w:p w:rsidR="00FF26E3" w:rsidRPr="006A50AE" w:rsidRDefault="00FF26E3" w:rsidP="00377115">
      <w:pPr>
        <w:spacing w:line="360" w:lineRule="auto"/>
      </w:pPr>
    </w:p>
    <w:p w:rsidR="00FF26E3" w:rsidRPr="006A50AE" w:rsidRDefault="00FF26E3" w:rsidP="00C61CD3">
      <w:pPr>
        <w:pStyle w:val="Heading1"/>
        <w:spacing w:line="360" w:lineRule="auto"/>
        <w:ind w:firstLine="1440"/>
        <w:jc w:val="left"/>
        <w:rPr>
          <w:rFonts w:ascii="Times New Roman" w:hAnsi="Times New Roman"/>
        </w:rPr>
      </w:pPr>
      <w:r w:rsidRPr="006A50AE">
        <w:rPr>
          <w:rFonts w:ascii="Times New Roman" w:hAnsi="Times New Roman"/>
          <w:b w:val="0"/>
          <w:u w:val="none"/>
        </w:rPr>
        <w:t>1.</w:t>
      </w:r>
      <w:r w:rsidRPr="006A50AE">
        <w:rPr>
          <w:rFonts w:ascii="Times New Roman" w:hAnsi="Times New Roman"/>
          <w:b w:val="0"/>
          <w:u w:val="none"/>
        </w:rPr>
        <w:tab/>
        <w:t>The Commission has jurisdiction over the parties and subject matter in this proceeding.  66 Pa.C.S. § 701.</w:t>
      </w:r>
    </w:p>
    <w:p w:rsidR="00FF26E3" w:rsidRPr="006A50AE" w:rsidRDefault="00FF26E3" w:rsidP="00C61CD3">
      <w:pPr>
        <w:pStyle w:val="BodyText"/>
        <w:tabs>
          <w:tab w:val="clear" w:pos="1980"/>
        </w:tabs>
        <w:spacing w:line="360" w:lineRule="auto"/>
        <w:jc w:val="left"/>
        <w:rPr>
          <w:rFonts w:ascii="Times New Roman" w:hAnsi="Times New Roman"/>
        </w:rPr>
      </w:pPr>
    </w:p>
    <w:p w:rsidR="00FF26E3" w:rsidRPr="006A50AE" w:rsidRDefault="00FF26E3" w:rsidP="00C61CD3">
      <w:pPr>
        <w:pStyle w:val="BodyText"/>
        <w:tabs>
          <w:tab w:val="clear" w:pos="1980"/>
        </w:tabs>
        <w:spacing w:line="360" w:lineRule="auto"/>
        <w:jc w:val="left"/>
        <w:rPr>
          <w:rFonts w:ascii="Times New Roman" w:hAnsi="Times New Roman"/>
        </w:rPr>
      </w:pPr>
      <w:r w:rsidRPr="006A50AE">
        <w:rPr>
          <w:rFonts w:ascii="Times New Roman" w:hAnsi="Times New Roman"/>
        </w:rPr>
        <w:tab/>
      </w:r>
      <w:r w:rsidRPr="006A50AE">
        <w:rPr>
          <w:rFonts w:ascii="Times New Roman" w:hAnsi="Times New Roman"/>
        </w:rPr>
        <w:tab/>
        <w:t>2.</w:t>
      </w:r>
      <w:r w:rsidRPr="006A50AE">
        <w:rPr>
          <w:rFonts w:ascii="Times New Roman" w:hAnsi="Times New Roman"/>
        </w:rPr>
        <w:tab/>
        <w:t>That the Complainant has the burden of proof in this matter pursuant to 66 Pa.C.S. § 332(a).</w:t>
      </w:r>
    </w:p>
    <w:p w:rsidR="00FF26E3" w:rsidRPr="006A50AE" w:rsidRDefault="00FF26E3" w:rsidP="00C61CD3">
      <w:pPr>
        <w:pStyle w:val="BodyText"/>
        <w:tabs>
          <w:tab w:val="clear" w:pos="1980"/>
        </w:tabs>
        <w:spacing w:line="360" w:lineRule="auto"/>
        <w:jc w:val="left"/>
        <w:rPr>
          <w:rFonts w:ascii="Times New Roman" w:hAnsi="Times New Roman"/>
        </w:rPr>
      </w:pPr>
    </w:p>
    <w:p w:rsidR="00FF26E3" w:rsidRPr="006A50AE" w:rsidRDefault="00FF26E3" w:rsidP="00C61CD3">
      <w:pPr>
        <w:pStyle w:val="BodyText"/>
        <w:tabs>
          <w:tab w:val="clear" w:pos="1980"/>
          <w:tab w:val="left" w:pos="720"/>
          <w:tab w:val="left" w:pos="1440"/>
        </w:tabs>
        <w:spacing w:line="360" w:lineRule="auto"/>
        <w:jc w:val="left"/>
        <w:rPr>
          <w:rFonts w:ascii="Times New Roman" w:hAnsi="Times New Roman"/>
        </w:rPr>
      </w:pPr>
      <w:r w:rsidRPr="006A50AE">
        <w:rPr>
          <w:rFonts w:ascii="Times New Roman" w:hAnsi="Times New Roman"/>
        </w:rPr>
        <w:tab/>
      </w:r>
      <w:r w:rsidRPr="006A50AE">
        <w:rPr>
          <w:rFonts w:ascii="Times New Roman" w:hAnsi="Times New Roman"/>
        </w:rPr>
        <w:tab/>
        <w:t>3.</w:t>
      </w:r>
      <w:r w:rsidRPr="006A50AE">
        <w:rPr>
          <w:rFonts w:ascii="Times New Roman" w:hAnsi="Times New Roman"/>
        </w:rPr>
        <w:tab/>
        <w:t>Section 1529.1 of the Public Utility Code (Code), 66 Pa.C.S. § 1529.1, requires that electric bills for leased residential premises which are not individually metered be placed in the name of the property</w:t>
      </w:r>
      <w:r w:rsidR="00105381" w:rsidRPr="006A50AE">
        <w:rPr>
          <w:rFonts w:ascii="Times New Roman" w:hAnsi="Times New Roman"/>
        </w:rPr>
        <w:t xml:space="preserve"> owner</w:t>
      </w:r>
      <w:r w:rsidRPr="006A50AE">
        <w:rPr>
          <w:rFonts w:ascii="Times New Roman" w:hAnsi="Times New Roman"/>
        </w:rPr>
        <w:t xml:space="preserve">. </w:t>
      </w:r>
      <w:r w:rsidRPr="006A50AE">
        <w:rPr>
          <w:rFonts w:ascii="Times New Roman" w:hAnsi="Times New Roman"/>
          <w:i/>
          <w:iCs/>
        </w:rPr>
        <w:t>Franchowiak v. PPL Electric Utilities Corporation</w:t>
      </w:r>
      <w:r w:rsidRPr="006A50AE">
        <w:rPr>
          <w:rFonts w:ascii="Times New Roman" w:hAnsi="Times New Roman"/>
        </w:rPr>
        <w:t>, C</w:t>
      </w:r>
      <w:r w:rsidRPr="006A50AE">
        <w:rPr>
          <w:rFonts w:ascii="Times New Roman" w:hAnsi="Times New Roman"/>
        </w:rPr>
        <w:noBreakHyphen/>
        <w:t>20054687 (</w:t>
      </w:r>
      <w:r w:rsidR="00D468F8" w:rsidRPr="006A50AE">
        <w:rPr>
          <w:rFonts w:ascii="Times New Roman" w:hAnsi="Times New Roman"/>
        </w:rPr>
        <w:t>Opinion and Order</w:t>
      </w:r>
      <w:r w:rsidRPr="006A50AE">
        <w:rPr>
          <w:rFonts w:ascii="Times New Roman" w:hAnsi="Times New Roman"/>
        </w:rPr>
        <w:t xml:space="preserve"> entered July 3, 2006), </w:t>
      </w:r>
      <w:r w:rsidRPr="006A50AE">
        <w:rPr>
          <w:rFonts w:ascii="Times New Roman" w:hAnsi="Times New Roman"/>
          <w:i/>
          <w:iCs/>
        </w:rPr>
        <w:t>Del Vecchio v. PPL Electric Utilities Corporation,</w:t>
      </w:r>
      <w:r w:rsidRPr="006A50AE">
        <w:rPr>
          <w:rFonts w:ascii="Times New Roman" w:hAnsi="Times New Roman"/>
        </w:rPr>
        <w:t xml:space="preserve"> Z</w:t>
      </w:r>
      <w:r w:rsidRPr="006A50AE">
        <w:rPr>
          <w:rFonts w:ascii="Times New Roman" w:hAnsi="Times New Roman"/>
        </w:rPr>
        <w:noBreakHyphen/>
        <w:t>01464793 (</w:t>
      </w:r>
      <w:r w:rsidR="00D468F8" w:rsidRPr="006A50AE">
        <w:rPr>
          <w:rFonts w:ascii="Times New Roman" w:hAnsi="Times New Roman"/>
        </w:rPr>
        <w:t>Opinion and Order</w:t>
      </w:r>
      <w:r w:rsidRPr="006A50AE">
        <w:rPr>
          <w:rFonts w:ascii="Times New Roman" w:hAnsi="Times New Roman"/>
        </w:rPr>
        <w:t xml:space="preserve"> entered September 13, 2006), and </w:t>
      </w:r>
      <w:r w:rsidRPr="006A50AE">
        <w:rPr>
          <w:rFonts w:ascii="Times New Roman" w:hAnsi="Times New Roman"/>
          <w:i/>
          <w:iCs/>
        </w:rPr>
        <w:t>Elizabeth Santos v. Metropolitan Edison Company,</w:t>
      </w:r>
      <w:r w:rsidRPr="006A50AE">
        <w:rPr>
          <w:rFonts w:ascii="Times New Roman" w:hAnsi="Times New Roman"/>
        </w:rPr>
        <w:t xml:space="preserve"> Docket No. C-00967757</w:t>
      </w:r>
      <w:r w:rsidR="00812DA9" w:rsidRPr="006A50AE">
        <w:rPr>
          <w:rFonts w:ascii="Times New Roman" w:hAnsi="Times New Roman"/>
        </w:rPr>
        <w:t xml:space="preserve"> (</w:t>
      </w:r>
      <w:r w:rsidR="00D468F8" w:rsidRPr="006A50AE">
        <w:rPr>
          <w:rFonts w:ascii="Times New Roman" w:hAnsi="Times New Roman"/>
        </w:rPr>
        <w:t>Opinion and Order</w:t>
      </w:r>
      <w:r w:rsidRPr="006A50AE">
        <w:rPr>
          <w:rFonts w:ascii="Times New Roman" w:hAnsi="Times New Roman"/>
        </w:rPr>
        <w:t xml:space="preserve"> entered August 7, 1997</w:t>
      </w:r>
      <w:r w:rsidR="00812DA9" w:rsidRPr="006A50AE">
        <w:rPr>
          <w:rFonts w:ascii="Times New Roman" w:hAnsi="Times New Roman"/>
        </w:rPr>
        <w:t>)</w:t>
      </w:r>
      <w:r w:rsidRPr="006A50AE">
        <w:rPr>
          <w:rFonts w:ascii="Times New Roman" w:hAnsi="Times New Roman"/>
        </w:rPr>
        <w:t>.</w:t>
      </w:r>
    </w:p>
    <w:p w:rsidR="00FF26E3" w:rsidRPr="006A50AE" w:rsidRDefault="00FF26E3" w:rsidP="00C61CD3">
      <w:pPr>
        <w:pStyle w:val="Footer"/>
        <w:tabs>
          <w:tab w:val="clear" w:pos="4320"/>
          <w:tab w:val="clear" w:pos="8640"/>
        </w:tabs>
        <w:spacing w:line="360" w:lineRule="auto"/>
      </w:pPr>
    </w:p>
    <w:p w:rsidR="00FF26E3" w:rsidRPr="006A50AE" w:rsidRDefault="00FF26E3" w:rsidP="00C61CD3">
      <w:pPr>
        <w:spacing w:line="360" w:lineRule="auto"/>
      </w:pPr>
      <w:r w:rsidRPr="006A50AE">
        <w:tab/>
      </w:r>
      <w:r w:rsidRPr="006A50AE">
        <w:tab/>
        <w:t>4.</w:t>
      </w:r>
      <w:r w:rsidRPr="006A50AE">
        <w:tab/>
        <w:t xml:space="preserve">When </w:t>
      </w:r>
      <w:r w:rsidR="00B733C6" w:rsidRPr="006A50AE">
        <w:t>foreign load</w:t>
      </w:r>
      <w:r w:rsidRPr="006A50AE">
        <w:t xml:space="preserve"> exists the premises cannot be considered individually metered for purposes of Section 1529.1 of the Code.  </w:t>
      </w:r>
      <w:r w:rsidRPr="006A50AE">
        <w:rPr>
          <w:i/>
          <w:iCs/>
        </w:rPr>
        <w:t>James David Harman v. PPL Electric Utilities Corporation,</w:t>
      </w:r>
      <w:r w:rsidRPr="006A50AE">
        <w:t xml:space="preserve"> Docket No. C-20031793, </w:t>
      </w:r>
      <w:r w:rsidR="00553692" w:rsidRPr="006A50AE">
        <w:t>(</w:t>
      </w:r>
      <w:r w:rsidRPr="006A50AE">
        <w:t xml:space="preserve">Initial Decision adopted by the Commission in </w:t>
      </w:r>
      <w:r w:rsidRPr="006A50AE">
        <w:lastRenderedPageBreak/>
        <w:t>its</w:t>
      </w:r>
      <w:r w:rsidR="00D468F8" w:rsidRPr="006A50AE">
        <w:t xml:space="preserve"> Final </w:t>
      </w:r>
      <w:r w:rsidRPr="006A50AE">
        <w:t>Order entered September 8, 2004</w:t>
      </w:r>
      <w:r w:rsidR="00553692" w:rsidRPr="006A50AE">
        <w:t>)</w:t>
      </w:r>
      <w:r w:rsidRPr="006A50AE">
        <w:t xml:space="preserve">; </w:t>
      </w:r>
      <w:r w:rsidRPr="006A50AE">
        <w:rPr>
          <w:i/>
          <w:iCs/>
        </w:rPr>
        <w:t xml:space="preserve">Elizabeth Santos v. Metropolitan Edison Company, </w:t>
      </w:r>
      <w:r w:rsidRPr="006A50AE">
        <w:t xml:space="preserve">Docket No. C-00967757, </w:t>
      </w:r>
      <w:r w:rsidR="00553692" w:rsidRPr="006A50AE">
        <w:t>(</w:t>
      </w:r>
      <w:r w:rsidR="00D468F8" w:rsidRPr="006A50AE">
        <w:t>Opinion and Order</w:t>
      </w:r>
      <w:r w:rsidRPr="006A50AE">
        <w:t xml:space="preserve"> entered August 7, 1997</w:t>
      </w:r>
      <w:r w:rsidR="00553692" w:rsidRPr="006A50AE">
        <w:t>)</w:t>
      </w:r>
      <w:r w:rsidRPr="006A50AE">
        <w:t>.</w:t>
      </w:r>
    </w:p>
    <w:p w:rsidR="00740F21" w:rsidRPr="006A50AE" w:rsidRDefault="00740F21" w:rsidP="00C61CD3">
      <w:pPr>
        <w:spacing w:line="360" w:lineRule="auto"/>
      </w:pPr>
    </w:p>
    <w:p w:rsidR="00BF551A" w:rsidRDefault="00FF26E3" w:rsidP="00C61CD3">
      <w:pPr>
        <w:spacing w:line="360" w:lineRule="auto"/>
      </w:pPr>
      <w:r w:rsidRPr="006A50AE">
        <w:tab/>
      </w:r>
      <w:r w:rsidRPr="006A50AE">
        <w:tab/>
        <w:t>5.</w:t>
      </w:r>
      <w:r w:rsidRPr="006A50AE">
        <w:tab/>
        <w:t xml:space="preserve">A prima facie case of </w:t>
      </w:r>
      <w:r w:rsidR="00B733C6" w:rsidRPr="006A50AE">
        <w:t>foreign load</w:t>
      </w:r>
      <w:r w:rsidRPr="006A50AE">
        <w:t xml:space="preserve">, which is not rebutted, requires that the account be placed in the name of the property owner, and that unpaid bills be collected only from the owner.  </w:t>
      </w:r>
      <w:r w:rsidRPr="006A50AE">
        <w:rPr>
          <w:i/>
          <w:iCs/>
        </w:rPr>
        <w:t>Elizabeth Santos v. Metropolitan Edison Company,</w:t>
      </w:r>
      <w:r w:rsidRPr="006A50AE">
        <w:t xml:space="preserve"> Docket No. C-00967757, </w:t>
      </w:r>
      <w:r w:rsidR="00B24C35" w:rsidRPr="006A50AE">
        <w:t>(</w:t>
      </w:r>
      <w:r w:rsidR="00D468F8" w:rsidRPr="006A50AE">
        <w:t>Opinion and Order</w:t>
      </w:r>
      <w:r w:rsidRPr="006A50AE">
        <w:t xml:space="preserve"> entered August 7, 1997</w:t>
      </w:r>
      <w:r w:rsidR="00B24C35" w:rsidRPr="006A50AE">
        <w:t>)</w:t>
      </w:r>
      <w:r w:rsidRPr="006A50AE">
        <w:t xml:space="preserve">; </w:t>
      </w:r>
      <w:r w:rsidRPr="006A50AE">
        <w:rPr>
          <w:i/>
          <w:iCs/>
        </w:rPr>
        <w:t>Calvin White v. PECO Energy Company,</w:t>
      </w:r>
      <w:r w:rsidRPr="006A50AE">
        <w:t xml:space="preserve"> </w:t>
      </w:r>
    </w:p>
    <w:p w:rsidR="00FF26E3" w:rsidRPr="006A50AE" w:rsidRDefault="00FF26E3" w:rsidP="00C61CD3">
      <w:pPr>
        <w:spacing w:line="360" w:lineRule="auto"/>
      </w:pPr>
      <w:r w:rsidRPr="006A50AE">
        <w:t xml:space="preserve">F-01734865 (Initial Decision dated April 18, 2006 adopted by the Commission in its </w:t>
      </w:r>
      <w:r w:rsidR="00D468F8" w:rsidRPr="006A50AE">
        <w:t>Final Order</w:t>
      </w:r>
      <w:r w:rsidRPr="006A50AE">
        <w:t xml:space="preserve"> entered July 26, 2006)</w:t>
      </w:r>
      <w:r w:rsidR="008F4CF2" w:rsidRPr="006A50AE">
        <w:t xml:space="preserve">; </w:t>
      </w:r>
      <w:r w:rsidR="008F4CF2" w:rsidRPr="006A50AE">
        <w:rPr>
          <w:i/>
        </w:rPr>
        <w:t>Ace Check Cashing Inc. v. Philadelphia Gas Works</w:t>
      </w:r>
      <w:r w:rsidR="008F4CF2" w:rsidRPr="006A50AE">
        <w:t>, Docket No. C-2008-2056428 (</w:t>
      </w:r>
      <w:r w:rsidR="00D468F8" w:rsidRPr="006A50AE">
        <w:t>Opinion and Order</w:t>
      </w:r>
      <w:r w:rsidR="008F4CF2" w:rsidRPr="006A50AE">
        <w:t xml:space="preserve"> entered May 21, 2010).</w:t>
      </w:r>
    </w:p>
    <w:p w:rsidR="009038E3" w:rsidRPr="006A50AE" w:rsidRDefault="009038E3" w:rsidP="00C61CD3">
      <w:pPr>
        <w:spacing w:line="360" w:lineRule="auto"/>
      </w:pPr>
    </w:p>
    <w:p w:rsidR="00FF26E3" w:rsidRPr="006A50AE" w:rsidRDefault="00FF26E3" w:rsidP="00C61CD3">
      <w:pPr>
        <w:pStyle w:val="Heading3"/>
        <w:rPr>
          <w:b w:val="0"/>
        </w:rPr>
      </w:pPr>
      <w:r w:rsidRPr="006A50AE">
        <w:rPr>
          <w:b w:val="0"/>
        </w:rPr>
        <w:t>ORDER</w:t>
      </w:r>
    </w:p>
    <w:p w:rsidR="00FF26E3" w:rsidRDefault="00FF26E3" w:rsidP="00C61CD3">
      <w:pPr>
        <w:spacing w:line="360" w:lineRule="auto"/>
      </w:pPr>
    </w:p>
    <w:p w:rsidR="00CD6CC4" w:rsidRPr="006A50AE" w:rsidRDefault="00CD6CC4" w:rsidP="00C61CD3">
      <w:pPr>
        <w:spacing w:line="360" w:lineRule="auto"/>
      </w:pPr>
    </w:p>
    <w:p w:rsidR="00FF26E3" w:rsidRPr="006A50AE" w:rsidRDefault="00FF26E3" w:rsidP="00C61CD3">
      <w:pPr>
        <w:spacing w:line="360" w:lineRule="auto"/>
      </w:pPr>
      <w:r w:rsidRPr="006A50AE">
        <w:tab/>
      </w:r>
      <w:r w:rsidRPr="006A50AE">
        <w:tab/>
        <w:t>THEREFORE,</w:t>
      </w:r>
    </w:p>
    <w:p w:rsidR="00FF26E3" w:rsidRPr="006A50AE" w:rsidRDefault="00FF26E3" w:rsidP="00C61CD3">
      <w:pPr>
        <w:spacing w:line="360" w:lineRule="auto"/>
      </w:pPr>
    </w:p>
    <w:p w:rsidR="00FF26E3" w:rsidRPr="006A50AE" w:rsidRDefault="00FF26E3" w:rsidP="00C61CD3">
      <w:pPr>
        <w:spacing w:line="360" w:lineRule="auto"/>
      </w:pPr>
      <w:r w:rsidRPr="006A50AE">
        <w:tab/>
      </w:r>
      <w:r w:rsidRPr="006A50AE">
        <w:tab/>
        <w:t>IT IS ORDERED:</w:t>
      </w:r>
    </w:p>
    <w:p w:rsidR="00FF26E3" w:rsidRPr="006A50AE" w:rsidRDefault="00FF26E3" w:rsidP="00C61CD3">
      <w:pPr>
        <w:spacing w:line="360" w:lineRule="auto"/>
      </w:pPr>
    </w:p>
    <w:p w:rsidR="00FF26E3" w:rsidRPr="006A50AE" w:rsidRDefault="00FF26E3" w:rsidP="00C61CD3">
      <w:pPr>
        <w:spacing w:line="360" w:lineRule="auto"/>
      </w:pPr>
      <w:r w:rsidRPr="006A50AE">
        <w:tab/>
      </w:r>
      <w:r w:rsidRPr="006A50AE">
        <w:tab/>
        <w:t>1.</w:t>
      </w:r>
      <w:r w:rsidRPr="006A50AE">
        <w:tab/>
        <w:t xml:space="preserve">That the complaint filed by </w:t>
      </w:r>
      <w:r w:rsidR="00BA5E07" w:rsidRPr="006A50AE">
        <w:t>Aslam Malik</w:t>
      </w:r>
      <w:r w:rsidRPr="006A50AE">
        <w:t xml:space="preserve"> against the PECO Energy Company at Docket </w:t>
      </w:r>
      <w:r w:rsidR="004C4079" w:rsidRPr="006A50AE">
        <w:t xml:space="preserve">No. C-2015-2500594 </w:t>
      </w:r>
      <w:r w:rsidRPr="006A50AE">
        <w:t>is dismissed.</w:t>
      </w:r>
    </w:p>
    <w:p w:rsidR="00FF26E3" w:rsidRPr="006A50AE" w:rsidRDefault="00FF26E3" w:rsidP="00C61CD3">
      <w:pPr>
        <w:pStyle w:val="BodyText3"/>
      </w:pPr>
    </w:p>
    <w:p w:rsidR="00FF26E3" w:rsidRPr="006A50AE" w:rsidRDefault="00FF26E3" w:rsidP="00C61CD3">
      <w:pPr>
        <w:spacing w:line="360" w:lineRule="auto"/>
        <w:rPr>
          <w:bCs/>
        </w:rPr>
      </w:pPr>
      <w:r w:rsidRPr="006A50AE">
        <w:rPr>
          <w:bCs/>
        </w:rPr>
        <w:tab/>
      </w:r>
      <w:r w:rsidRPr="006A50AE">
        <w:rPr>
          <w:bCs/>
        </w:rPr>
        <w:tab/>
        <w:t>2.</w:t>
      </w:r>
      <w:r w:rsidRPr="006A50AE">
        <w:rPr>
          <w:bCs/>
        </w:rPr>
        <w:tab/>
        <w:t xml:space="preserve">That the Complainant is responsible for paying the Respondent the outstanding balance of </w:t>
      </w:r>
      <w:r w:rsidR="004C4079" w:rsidRPr="006A50AE">
        <w:t xml:space="preserve">$1,459.14 </w:t>
      </w:r>
      <w:r w:rsidRPr="006A50AE">
        <w:rPr>
          <w:bCs/>
        </w:rPr>
        <w:t>within sixty days of the Commission’s final order in this matter.</w:t>
      </w:r>
    </w:p>
    <w:p w:rsidR="00FF26E3" w:rsidRPr="006A50AE" w:rsidRDefault="00FF26E3" w:rsidP="00C61CD3">
      <w:pPr>
        <w:pStyle w:val="BodyText3"/>
      </w:pPr>
    </w:p>
    <w:p w:rsidR="00FF26E3" w:rsidRPr="006A50AE" w:rsidRDefault="00FF26E3" w:rsidP="00C61CD3">
      <w:pPr>
        <w:pStyle w:val="BodyText3"/>
      </w:pPr>
      <w:r w:rsidRPr="006A50AE">
        <w:tab/>
      </w:r>
      <w:r w:rsidRPr="006A50AE">
        <w:tab/>
      </w:r>
      <w:r w:rsidR="00BC4F5A" w:rsidRPr="006A50AE">
        <w:t>3</w:t>
      </w:r>
      <w:r w:rsidRPr="006A50AE">
        <w:t>.</w:t>
      </w:r>
      <w:r w:rsidRPr="006A50AE">
        <w:tab/>
        <w:t>That the record in this case is marked closed.</w:t>
      </w:r>
    </w:p>
    <w:p w:rsidR="009D02DC" w:rsidRPr="006A50AE" w:rsidRDefault="009D02DC" w:rsidP="00C61CD3"/>
    <w:p w:rsidR="008E7D7C" w:rsidRDefault="008E7D7C" w:rsidP="00C61CD3"/>
    <w:p w:rsidR="007C11DF" w:rsidRDefault="007C11DF" w:rsidP="007C11DF">
      <w:pPr>
        <w:tabs>
          <w:tab w:val="num" w:pos="2160"/>
          <w:tab w:val="left" w:pos="5048"/>
        </w:tabs>
      </w:pPr>
      <w:r>
        <w:t xml:space="preserve">Dated: </w:t>
      </w:r>
      <w:r>
        <w:rPr>
          <w:u w:val="single"/>
        </w:rPr>
        <w:t>March 17, 2016</w:t>
      </w:r>
      <w:r>
        <w:tab/>
      </w:r>
      <w:r>
        <w:rPr>
          <w:u w:val="single"/>
        </w:rPr>
        <w:tab/>
      </w:r>
      <w:r>
        <w:rPr>
          <w:u w:val="single"/>
        </w:rPr>
        <w:tab/>
        <w:t>/s/</w:t>
      </w:r>
      <w:r>
        <w:rPr>
          <w:u w:val="single"/>
        </w:rPr>
        <w:tab/>
      </w:r>
      <w:r>
        <w:rPr>
          <w:u w:val="single"/>
        </w:rPr>
        <w:tab/>
      </w:r>
      <w:r>
        <w:rPr>
          <w:u w:val="single"/>
        </w:rPr>
        <w:tab/>
      </w:r>
      <w:r>
        <w:rPr>
          <w:u w:val="single"/>
        </w:rPr>
        <w:tab/>
      </w:r>
    </w:p>
    <w:p w:rsidR="007C11DF" w:rsidRDefault="007C11DF" w:rsidP="007C11DF">
      <w:pPr>
        <w:tabs>
          <w:tab w:val="num" w:pos="2160"/>
          <w:tab w:val="left" w:pos="2880"/>
          <w:tab w:val="left" w:pos="3600"/>
          <w:tab w:val="left" w:pos="4320"/>
          <w:tab w:val="left" w:pos="5040"/>
          <w:tab w:val="left" w:pos="5760"/>
          <w:tab w:val="left" w:pos="6480"/>
          <w:tab w:val="left" w:pos="8302"/>
        </w:tabs>
      </w:pPr>
      <w:r>
        <w:tab/>
      </w:r>
      <w:r>
        <w:tab/>
      </w:r>
      <w:r>
        <w:tab/>
      </w:r>
      <w:r>
        <w:tab/>
      </w:r>
      <w:r>
        <w:tab/>
        <w:t>Cynthia Williams Fordham</w:t>
      </w:r>
      <w:r>
        <w:tab/>
      </w:r>
    </w:p>
    <w:p w:rsidR="007C11DF" w:rsidRDefault="007C11DF" w:rsidP="007C11DF">
      <w:pPr>
        <w:tabs>
          <w:tab w:val="num" w:pos="2160"/>
        </w:tabs>
      </w:pPr>
      <w:r>
        <w:tab/>
      </w:r>
      <w:r>
        <w:tab/>
      </w:r>
      <w:r>
        <w:tab/>
      </w:r>
      <w:r>
        <w:tab/>
      </w:r>
      <w:r>
        <w:tab/>
        <w:t>Administrative Law Judge</w:t>
      </w:r>
    </w:p>
    <w:p w:rsidR="007C11DF" w:rsidRPr="006A50AE" w:rsidRDefault="007C11DF" w:rsidP="00C61CD3"/>
    <w:sectPr w:rsidR="007C11DF" w:rsidRPr="006A50AE" w:rsidSect="00671B0E">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111" w:rsidRDefault="00255111">
      <w:r>
        <w:separator/>
      </w:r>
    </w:p>
  </w:endnote>
  <w:endnote w:type="continuationSeparator" w:id="0">
    <w:p w:rsidR="00255111" w:rsidRDefault="0025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6E3" w:rsidRDefault="00FF26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FF26E3" w:rsidRDefault="00FF2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6E3" w:rsidRPr="00671B0E" w:rsidRDefault="00FF26E3">
    <w:pPr>
      <w:pStyle w:val="Footer"/>
      <w:framePr w:wrap="around" w:vAnchor="text" w:hAnchor="margin" w:xAlign="center" w:y="1"/>
      <w:rPr>
        <w:rStyle w:val="PageNumber"/>
        <w:sz w:val="20"/>
        <w:szCs w:val="20"/>
      </w:rPr>
    </w:pPr>
    <w:r w:rsidRPr="00671B0E">
      <w:rPr>
        <w:rStyle w:val="PageNumber"/>
        <w:sz w:val="20"/>
        <w:szCs w:val="20"/>
      </w:rPr>
      <w:fldChar w:fldCharType="begin"/>
    </w:r>
    <w:r w:rsidRPr="00671B0E">
      <w:rPr>
        <w:rStyle w:val="PageNumber"/>
        <w:sz w:val="20"/>
        <w:szCs w:val="20"/>
      </w:rPr>
      <w:instrText xml:space="preserve">PAGE  </w:instrText>
    </w:r>
    <w:r w:rsidRPr="00671B0E">
      <w:rPr>
        <w:rStyle w:val="PageNumber"/>
        <w:sz w:val="20"/>
        <w:szCs w:val="20"/>
      </w:rPr>
      <w:fldChar w:fldCharType="separate"/>
    </w:r>
    <w:r w:rsidR="00377115">
      <w:rPr>
        <w:rStyle w:val="PageNumber"/>
        <w:noProof/>
        <w:sz w:val="20"/>
        <w:szCs w:val="20"/>
      </w:rPr>
      <w:t>11</w:t>
    </w:r>
    <w:r w:rsidRPr="00671B0E">
      <w:rPr>
        <w:rStyle w:val="PageNumber"/>
        <w:sz w:val="20"/>
        <w:szCs w:val="20"/>
      </w:rPr>
      <w:fldChar w:fldCharType="end"/>
    </w:r>
  </w:p>
  <w:p w:rsidR="00FF26E3" w:rsidRDefault="00FF2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111" w:rsidRDefault="00255111">
      <w:r>
        <w:separator/>
      </w:r>
    </w:p>
  </w:footnote>
  <w:footnote w:type="continuationSeparator" w:id="0">
    <w:p w:rsidR="00255111" w:rsidRDefault="00255111">
      <w:r>
        <w:continuationSeparator/>
      </w:r>
    </w:p>
  </w:footnote>
  <w:footnote w:id="1">
    <w:p w:rsidR="00056BF9" w:rsidRDefault="00056BF9">
      <w:pPr>
        <w:pStyle w:val="FootnoteText"/>
      </w:pPr>
      <w:r>
        <w:rPr>
          <w:rStyle w:val="FootnoteReference"/>
        </w:rPr>
        <w:footnoteRef/>
      </w:r>
      <w:r>
        <w:t xml:space="preserve"> All of the exhibits were admitted into evidence without objection.</w:t>
      </w:r>
    </w:p>
  </w:footnote>
  <w:footnote w:id="2">
    <w:p w:rsidR="00883C46" w:rsidRDefault="00883C46">
      <w:pPr>
        <w:pStyle w:val="FootnoteText"/>
      </w:pPr>
      <w:r>
        <w:rPr>
          <w:rStyle w:val="FootnoteReference"/>
        </w:rPr>
        <w:footnoteRef/>
      </w:r>
      <w:r>
        <w:t xml:space="preserve"> </w:t>
      </w:r>
      <w:r>
        <w:tab/>
        <w:t xml:space="preserve">Ms. McNamee signed the lease on March 30, 2009, with the previous landlord.  The addendum regarding the garage was not signed by Ms. </w:t>
      </w:r>
      <w:proofErr w:type="gramStart"/>
      <w:r>
        <w:t>McNamee,</w:t>
      </w:r>
      <w:proofErr w:type="gramEnd"/>
      <w:r>
        <w:t xml:space="preserve"> it was signed by William Coleman on May 5, 2008.  There is no evidence in the record about Mr. Coleman’s identity.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B92"/>
    <w:multiLevelType w:val="hybridMultilevel"/>
    <w:tmpl w:val="920C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FC"/>
    <w:rsid w:val="00000687"/>
    <w:rsid w:val="000043BD"/>
    <w:rsid w:val="0001222A"/>
    <w:rsid w:val="000163BC"/>
    <w:rsid w:val="00030F22"/>
    <w:rsid w:val="00036A78"/>
    <w:rsid w:val="0004569F"/>
    <w:rsid w:val="00056BF9"/>
    <w:rsid w:val="00056E50"/>
    <w:rsid w:val="00084E43"/>
    <w:rsid w:val="00086450"/>
    <w:rsid w:val="0008715F"/>
    <w:rsid w:val="000937BE"/>
    <w:rsid w:val="000B1E05"/>
    <w:rsid w:val="000D199F"/>
    <w:rsid w:val="000D2125"/>
    <w:rsid w:val="000D6DC3"/>
    <w:rsid w:val="000E554D"/>
    <w:rsid w:val="000E74BD"/>
    <w:rsid w:val="000F2DA7"/>
    <w:rsid w:val="000F5AA2"/>
    <w:rsid w:val="00105381"/>
    <w:rsid w:val="001163D8"/>
    <w:rsid w:val="00121884"/>
    <w:rsid w:val="00133115"/>
    <w:rsid w:val="00141D45"/>
    <w:rsid w:val="00143245"/>
    <w:rsid w:val="00144F26"/>
    <w:rsid w:val="001468F6"/>
    <w:rsid w:val="00180752"/>
    <w:rsid w:val="001868D7"/>
    <w:rsid w:val="001B2290"/>
    <w:rsid w:val="001B35EA"/>
    <w:rsid w:val="001C0CC6"/>
    <w:rsid w:val="001C4C9D"/>
    <w:rsid w:val="001D0119"/>
    <w:rsid w:val="001E00C0"/>
    <w:rsid w:val="00200CB8"/>
    <w:rsid w:val="00211B20"/>
    <w:rsid w:val="00235428"/>
    <w:rsid w:val="00237791"/>
    <w:rsid w:val="002429F2"/>
    <w:rsid w:val="00242A07"/>
    <w:rsid w:val="00245EAD"/>
    <w:rsid w:val="00254DBA"/>
    <w:rsid w:val="00255111"/>
    <w:rsid w:val="00267CE0"/>
    <w:rsid w:val="0027661C"/>
    <w:rsid w:val="002A0E90"/>
    <w:rsid w:val="002A2685"/>
    <w:rsid w:val="002A5645"/>
    <w:rsid w:val="002C098E"/>
    <w:rsid w:val="002C2930"/>
    <w:rsid w:val="002D1A02"/>
    <w:rsid w:val="002D1B3F"/>
    <w:rsid w:val="002F069B"/>
    <w:rsid w:val="002F63C5"/>
    <w:rsid w:val="00302C51"/>
    <w:rsid w:val="003061CA"/>
    <w:rsid w:val="0031368E"/>
    <w:rsid w:val="00330D3A"/>
    <w:rsid w:val="00342D48"/>
    <w:rsid w:val="0034530D"/>
    <w:rsid w:val="00354FA2"/>
    <w:rsid w:val="00377115"/>
    <w:rsid w:val="00377ECE"/>
    <w:rsid w:val="003B7AF9"/>
    <w:rsid w:val="003C6953"/>
    <w:rsid w:val="00414B87"/>
    <w:rsid w:val="00430F8F"/>
    <w:rsid w:val="00433383"/>
    <w:rsid w:val="00447564"/>
    <w:rsid w:val="00456C93"/>
    <w:rsid w:val="004633A2"/>
    <w:rsid w:val="004B24D4"/>
    <w:rsid w:val="004B4C5B"/>
    <w:rsid w:val="004C00D9"/>
    <w:rsid w:val="004C4079"/>
    <w:rsid w:val="004C4BCF"/>
    <w:rsid w:val="004E1024"/>
    <w:rsid w:val="00501E0E"/>
    <w:rsid w:val="0050409C"/>
    <w:rsid w:val="00506F72"/>
    <w:rsid w:val="00510627"/>
    <w:rsid w:val="00526B3F"/>
    <w:rsid w:val="00534DAD"/>
    <w:rsid w:val="005453D2"/>
    <w:rsid w:val="00553692"/>
    <w:rsid w:val="00556252"/>
    <w:rsid w:val="00563349"/>
    <w:rsid w:val="00570A3A"/>
    <w:rsid w:val="005710F1"/>
    <w:rsid w:val="00574454"/>
    <w:rsid w:val="00586535"/>
    <w:rsid w:val="00587D74"/>
    <w:rsid w:val="005A037B"/>
    <w:rsid w:val="005A0684"/>
    <w:rsid w:val="005C6979"/>
    <w:rsid w:val="005E3731"/>
    <w:rsid w:val="005F7B65"/>
    <w:rsid w:val="00642DD6"/>
    <w:rsid w:val="00671B0E"/>
    <w:rsid w:val="00675E7A"/>
    <w:rsid w:val="00683EE7"/>
    <w:rsid w:val="006862B0"/>
    <w:rsid w:val="00687D26"/>
    <w:rsid w:val="00690ED0"/>
    <w:rsid w:val="00697967"/>
    <w:rsid w:val="006A063B"/>
    <w:rsid w:val="006A50AE"/>
    <w:rsid w:val="006A565D"/>
    <w:rsid w:val="006A6AFC"/>
    <w:rsid w:val="006A7BB6"/>
    <w:rsid w:val="006C03BC"/>
    <w:rsid w:val="006C6001"/>
    <w:rsid w:val="006D28F6"/>
    <w:rsid w:val="006F0DE0"/>
    <w:rsid w:val="00705B69"/>
    <w:rsid w:val="00732E42"/>
    <w:rsid w:val="00733F6F"/>
    <w:rsid w:val="00735862"/>
    <w:rsid w:val="00737710"/>
    <w:rsid w:val="00740F21"/>
    <w:rsid w:val="00745814"/>
    <w:rsid w:val="007801A3"/>
    <w:rsid w:val="00796BFD"/>
    <w:rsid w:val="007A4980"/>
    <w:rsid w:val="007A7633"/>
    <w:rsid w:val="007B4A7F"/>
    <w:rsid w:val="007B6BDA"/>
    <w:rsid w:val="007C11DF"/>
    <w:rsid w:val="007C5BFB"/>
    <w:rsid w:val="007C783B"/>
    <w:rsid w:val="007E23F4"/>
    <w:rsid w:val="007F5025"/>
    <w:rsid w:val="0080607E"/>
    <w:rsid w:val="00812DA9"/>
    <w:rsid w:val="00813540"/>
    <w:rsid w:val="008211C2"/>
    <w:rsid w:val="00835069"/>
    <w:rsid w:val="00840016"/>
    <w:rsid w:val="008425EB"/>
    <w:rsid w:val="0085246B"/>
    <w:rsid w:val="00854687"/>
    <w:rsid w:val="00861555"/>
    <w:rsid w:val="008658AB"/>
    <w:rsid w:val="00870BD3"/>
    <w:rsid w:val="0087354E"/>
    <w:rsid w:val="00883C46"/>
    <w:rsid w:val="00892FBD"/>
    <w:rsid w:val="0089793E"/>
    <w:rsid w:val="008A3F3B"/>
    <w:rsid w:val="008B3944"/>
    <w:rsid w:val="008C1CE9"/>
    <w:rsid w:val="008D1111"/>
    <w:rsid w:val="008E3676"/>
    <w:rsid w:val="008E37D7"/>
    <w:rsid w:val="008E6899"/>
    <w:rsid w:val="008E7D7C"/>
    <w:rsid w:val="008F4CF2"/>
    <w:rsid w:val="009038E3"/>
    <w:rsid w:val="00921EEA"/>
    <w:rsid w:val="00925AD1"/>
    <w:rsid w:val="009301C2"/>
    <w:rsid w:val="00941439"/>
    <w:rsid w:val="009615A2"/>
    <w:rsid w:val="00971DEE"/>
    <w:rsid w:val="00973DDC"/>
    <w:rsid w:val="00987ACE"/>
    <w:rsid w:val="009A6797"/>
    <w:rsid w:val="009B589D"/>
    <w:rsid w:val="009C27DF"/>
    <w:rsid w:val="009D02DC"/>
    <w:rsid w:val="009E3152"/>
    <w:rsid w:val="009F558B"/>
    <w:rsid w:val="00A11EAA"/>
    <w:rsid w:val="00A178A6"/>
    <w:rsid w:val="00A179D1"/>
    <w:rsid w:val="00A241FC"/>
    <w:rsid w:val="00A306FA"/>
    <w:rsid w:val="00A33B90"/>
    <w:rsid w:val="00A341A7"/>
    <w:rsid w:val="00A35A05"/>
    <w:rsid w:val="00A419C5"/>
    <w:rsid w:val="00A448E7"/>
    <w:rsid w:val="00A70101"/>
    <w:rsid w:val="00A732D3"/>
    <w:rsid w:val="00A738AD"/>
    <w:rsid w:val="00A85E8B"/>
    <w:rsid w:val="00A91328"/>
    <w:rsid w:val="00AB4F8A"/>
    <w:rsid w:val="00AC1B66"/>
    <w:rsid w:val="00AD6AD7"/>
    <w:rsid w:val="00AF3517"/>
    <w:rsid w:val="00B17531"/>
    <w:rsid w:val="00B176CF"/>
    <w:rsid w:val="00B24C35"/>
    <w:rsid w:val="00B54C49"/>
    <w:rsid w:val="00B670EF"/>
    <w:rsid w:val="00B71EB6"/>
    <w:rsid w:val="00B733C6"/>
    <w:rsid w:val="00B93E26"/>
    <w:rsid w:val="00B94ABE"/>
    <w:rsid w:val="00BA4745"/>
    <w:rsid w:val="00BA5E07"/>
    <w:rsid w:val="00BC1856"/>
    <w:rsid w:val="00BC4F5A"/>
    <w:rsid w:val="00BD03B3"/>
    <w:rsid w:val="00BD0D9F"/>
    <w:rsid w:val="00BD2E06"/>
    <w:rsid w:val="00BF551A"/>
    <w:rsid w:val="00C13F77"/>
    <w:rsid w:val="00C16CB5"/>
    <w:rsid w:val="00C21D91"/>
    <w:rsid w:val="00C347D5"/>
    <w:rsid w:val="00C41843"/>
    <w:rsid w:val="00C45FE5"/>
    <w:rsid w:val="00C55A2F"/>
    <w:rsid w:val="00C56639"/>
    <w:rsid w:val="00C61BB6"/>
    <w:rsid w:val="00C61CD3"/>
    <w:rsid w:val="00C87349"/>
    <w:rsid w:val="00CB6C7B"/>
    <w:rsid w:val="00CB7114"/>
    <w:rsid w:val="00CD6CC4"/>
    <w:rsid w:val="00CF315A"/>
    <w:rsid w:val="00D045DC"/>
    <w:rsid w:val="00D062D3"/>
    <w:rsid w:val="00D177AF"/>
    <w:rsid w:val="00D21CF8"/>
    <w:rsid w:val="00D31E46"/>
    <w:rsid w:val="00D468F8"/>
    <w:rsid w:val="00D97BE8"/>
    <w:rsid w:val="00DA41FB"/>
    <w:rsid w:val="00DA4C5B"/>
    <w:rsid w:val="00DA59CB"/>
    <w:rsid w:val="00DC15AC"/>
    <w:rsid w:val="00DC6673"/>
    <w:rsid w:val="00DD6B50"/>
    <w:rsid w:val="00DD7CB3"/>
    <w:rsid w:val="00DE4AF1"/>
    <w:rsid w:val="00DF134D"/>
    <w:rsid w:val="00DF686E"/>
    <w:rsid w:val="00DF7C05"/>
    <w:rsid w:val="00E03168"/>
    <w:rsid w:val="00E06118"/>
    <w:rsid w:val="00E10489"/>
    <w:rsid w:val="00E155D5"/>
    <w:rsid w:val="00E250F2"/>
    <w:rsid w:val="00E424AD"/>
    <w:rsid w:val="00E44004"/>
    <w:rsid w:val="00E504C1"/>
    <w:rsid w:val="00E61478"/>
    <w:rsid w:val="00E6646C"/>
    <w:rsid w:val="00E70B83"/>
    <w:rsid w:val="00E92E84"/>
    <w:rsid w:val="00EA2AAB"/>
    <w:rsid w:val="00EA3430"/>
    <w:rsid w:val="00EA560F"/>
    <w:rsid w:val="00EB3AFE"/>
    <w:rsid w:val="00ED41AF"/>
    <w:rsid w:val="00EE25BE"/>
    <w:rsid w:val="00F005B6"/>
    <w:rsid w:val="00F06C95"/>
    <w:rsid w:val="00F06E50"/>
    <w:rsid w:val="00F07242"/>
    <w:rsid w:val="00F264F9"/>
    <w:rsid w:val="00F40C00"/>
    <w:rsid w:val="00F411F5"/>
    <w:rsid w:val="00F56D5C"/>
    <w:rsid w:val="00F6195D"/>
    <w:rsid w:val="00F61EFA"/>
    <w:rsid w:val="00F7339C"/>
    <w:rsid w:val="00F872A5"/>
    <w:rsid w:val="00F94E7F"/>
    <w:rsid w:val="00FB2532"/>
    <w:rsid w:val="00FC3D60"/>
    <w:rsid w:val="00FD4F35"/>
    <w:rsid w:val="00FE0613"/>
    <w:rsid w:val="00FE6B11"/>
    <w:rsid w:val="00FF26E3"/>
    <w:rsid w:val="00FF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link w:val="BodyTextChar"/>
    <w:semiHidden/>
    <w:pPr>
      <w:tabs>
        <w:tab w:val="left" w:pos="1980"/>
      </w:tabs>
      <w:spacing w:line="480" w:lineRule="auto"/>
      <w:jc w:val="both"/>
    </w:pPr>
    <w:rPr>
      <w:rFonts w:ascii="Courier" w:hAnsi="Courier"/>
    </w:rPr>
  </w:style>
  <w:style w:type="paragraph" w:styleId="BodyText2">
    <w:name w:val="Body Text 2"/>
    <w:basedOn w:val="Normal"/>
    <w:semiHidden/>
    <w:pPr>
      <w:spacing w:line="360" w:lineRule="auto"/>
      <w:jc w:val="both"/>
    </w:pPr>
  </w:style>
  <w:style w:type="paragraph" w:styleId="BodyText3">
    <w:name w:val="Body Text 3"/>
    <w:basedOn w:val="Normal"/>
    <w:semiHidden/>
    <w:pPr>
      <w:spacing w:line="360" w:lineRule="auto"/>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FE6B11"/>
    <w:rPr>
      <w:rFonts w:ascii="Tahoma" w:hAnsi="Tahoma" w:cs="Tahoma"/>
      <w:sz w:val="16"/>
      <w:szCs w:val="16"/>
    </w:rPr>
  </w:style>
  <w:style w:type="character" w:customStyle="1" w:styleId="BalloonTextChar">
    <w:name w:val="Balloon Text Char"/>
    <w:link w:val="BalloonText"/>
    <w:uiPriority w:val="99"/>
    <w:semiHidden/>
    <w:rsid w:val="00FE6B11"/>
    <w:rPr>
      <w:rFonts w:ascii="Tahoma" w:hAnsi="Tahoma" w:cs="Tahoma"/>
      <w:sz w:val="16"/>
      <w:szCs w:val="16"/>
    </w:rPr>
  </w:style>
  <w:style w:type="character" w:customStyle="1" w:styleId="BodyTextChar">
    <w:name w:val="Body Text Char"/>
    <w:link w:val="BodyText"/>
    <w:semiHidden/>
    <w:rsid w:val="00B176CF"/>
    <w:rPr>
      <w:rFonts w:ascii="Courier" w:hAnsi="Courier"/>
      <w:sz w:val="24"/>
      <w:szCs w:val="24"/>
    </w:rPr>
  </w:style>
  <w:style w:type="character" w:customStyle="1" w:styleId="FootnoteTextChar">
    <w:name w:val="Footnote Text Char"/>
    <w:link w:val="FootnoteText"/>
    <w:semiHidden/>
    <w:rsid w:val="00BA5E07"/>
    <w:rPr>
      <w:szCs w:val="24"/>
    </w:rPr>
  </w:style>
  <w:style w:type="paragraph" w:styleId="ListParagraph">
    <w:name w:val="List Paragraph"/>
    <w:basedOn w:val="Normal"/>
    <w:uiPriority w:val="34"/>
    <w:qFormat/>
    <w:rsid w:val="00ED41AF"/>
    <w:pPr>
      <w:ind w:left="720"/>
    </w:pPr>
  </w:style>
  <w:style w:type="paragraph" w:styleId="Header">
    <w:name w:val="header"/>
    <w:basedOn w:val="Normal"/>
    <w:link w:val="HeaderChar"/>
    <w:uiPriority w:val="99"/>
    <w:unhideWhenUsed/>
    <w:rsid w:val="00671B0E"/>
    <w:pPr>
      <w:tabs>
        <w:tab w:val="center" w:pos="4680"/>
        <w:tab w:val="right" w:pos="9360"/>
      </w:tabs>
    </w:pPr>
  </w:style>
  <w:style w:type="character" w:customStyle="1" w:styleId="HeaderChar">
    <w:name w:val="Header Char"/>
    <w:basedOn w:val="DefaultParagraphFont"/>
    <w:link w:val="Header"/>
    <w:uiPriority w:val="99"/>
    <w:rsid w:val="00671B0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link w:val="BodyTextChar"/>
    <w:semiHidden/>
    <w:pPr>
      <w:tabs>
        <w:tab w:val="left" w:pos="1980"/>
      </w:tabs>
      <w:spacing w:line="480" w:lineRule="auto"/>
      <w:jc w:val="both"/>
    </w:pPr>
    <w:rPr>
      <w:rFonts w:ascii="Courier" w:hAnsi="Courier"/>
    </w:rPr>
  </w:style>
  <w:style w:type="paragraph" w:styleId="BodyText2">
    <w:name w:val="Body Text 2"/>
    <w:basedOn w:val="Normal"/>
    <w:semiHidden/>
    <w:pPr>
      <w:spacing w:line="360" w:lineRule="auto"/>
      <w:jc w:val="both"/>
    </w:pPr>
  </w:style>
  <w:style w:type="paragraph" w:styleId="BodyText3">
    <w:name w:val="Body Text 3"/>
    <w:basedOn w:val="Normal"/>
    <w:semiHidden/>
    <w:pPr>
      <w:spacing w:line="360" w:lineRule="auto"/>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FE6B11"/>
    <w:rPr>
      <w:rFonts w:ascii="Tahoma" w:hAnsi="Tahoma" w:cs="Tahoma"/>
      <w:sz w:val="16"/>
      <w:szCs w:val="16"/>
    </w:rPr>
  </w:style>
  <w:style w:type="character" w:customStyle="1" w:styleId="BalloonTextChar">
    <w:name w:val="Balloon Text Char"/>
    <w:link w:val="BalloonText"/>
    <w:uiPriority w:val="99"/>
    <w:semiHidden/>
    <w:rsid w:val="00FE6B11"/>
    <w:rPr>
      <w:rFonts w:ascii="Tahoma" w:hAnsi="Tahoma" w:cs="Tahoma"/>
      <w:sz w:val="16"/>
      <w:szCs w:val="16"/>
    </w:rPr>
  </w:style>
  <w:style w:type="character" w:customStyle="1" w:styleId="BodyTextChar">
    <w:name w:val="Body Text Char"/>
    <w:link w:val="BodyText"/>
    <w:semiHidden/>
    <w:rsid w:val="00B176CF"/>
    <w:rPr>
      <w:rFonts w:ascii="Courier" w:hAnsi="Courier"/>
      <w:sz w:val="24"/>
      <w:szCs w:val="24"/>
    </w:rPr>
  </w:style>
  <w:style w:type="character" w:customStyle="1" w:styleId="FootnoteTextChar">
    <w:name w:val="Footnote Text Char"/>
    <w:link w:val="FootnoteText"/>
    <w:semiHidden/>
    <w:rsid w:val="00BA5E07"/>
    <w:rPr>
      <w:szCs w:val="24"/>
    </w:rPr>
  </w:style>
  <w:style w:type="paragraph" w:styleId="ListParagraph">
    <w:name w:val="List Paragraph"/>
    <w:basedOn w:val="Normal"/>
    <w:uiPriority w:val="34"/>
    <w:qFormat/>
    <w:rsid w:val="00ED41AF"/>
    <w:pPr>
      <w:ind w:left="720"/>
    </w:pPr>
  </w:style>
  <w:style w:type="paragraph" w:styleId="Header">
    <w:name w:val="header"/>
    <w:basedOn w:val="Normal"/>
    <w:link w:val="HeaderChar"/>
    <w:uiPriority w:val="99"/>
    <w:unhideWhenUsed/>
    <w:rsid w:val="00671B0E"/>
    <w:pPr>
      <w:tabs>
        <w:tab w:val="center" w:pos="4680"/>
        <w:tab w:val="right" w:pos="9360"/>
      </w:tabs>
    </w:pPr>
  </w:style>
  <w:style w:type="character" w:customStyle="1" w:styleId="HeaderChar">
    <w:name w:val="Header Char"/>
    <w:basedOn w:val="DefaultParagraphFont"/>
    <w:link w:val="Header"/>
    <w:uiPriority w:val="99"/>
    <w:rsid w:val="00671B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183">
      <w:bodyDiv w:val="1"/>
      <w:marLeft w:val="0"/>
      <w:marRight w:val="0"/>
      <w:marTop w:val="0"/>
      <w:marBottom w:val="0"/>
      <w:divBdr>
        <w:top w:val="none" w:sz="0" w:space="0" w:color="auto"/>
        <w:left w:val="none" w:sz="0" w:space="0" w:color="auto"/>
        <w:bottom w:val="none" w:sz="0" w:space="0" w:color="auto"/>
        <w:right w:val="none" w:sz="0" w:space="0" w:color="auto"/>
      </w:divBdr>
    </w:div>
    <w:div w:id="35282259">
      <w:bodyDiv w:val="1"/>
      <w:marLeft w:val="0"/>
      <w:marRight w:val="0"/>
      <w:marTop w:val="0"/>
      <w:marBottom w:val="0"/>
      <w:divBdr>
        <w:top w:val="none" w:sz="0" w:space="0" w:color="auto"/>
        <w:left w:val="none" w:sz="0" w:space="0" w:color="auto"/>
        <w:bottom w:val="none" w:sz="0" w:space="0" w:color="auto"/>
        <w:right w:val="none" w:sz="0" w:space="0" w:color="auto"/>
      </w:divBdr>
    </w:div>
    <w:div w:id="117265774">
      <w:bodyDiv w:val="1"/>
      <w:marLeft w:val="0"/>
      <w:marRight w:val="0"/>
      <w:marTop w:val="0"/>
      <w:marBottom w:val="0"/>
      <w:divBdr>
        <w:top w:val="none" w:sz="0" w:space="0" w:color="auto"/>
        <w:left w:val="none" w:sz="0" w:space="0" w:color="auto"/>
        <w:bottom w:val="none" w:sz="0" w:space="0" w:color="auto"/>
        <w:right w:val="none" w:sz="0" w:space="0" w:color="auto"/>
      </w:divBdr>
    </w:div>
    <w:div w:id="314653118">
      <w:bodyDiv w:val="1"/>
      <w:marLeft w:val="0"/>
      <w:marRight w:val="0"/>
      <w:marTop w:val="0"/>
      <w:marBottom w:val="0"/>
      <w:divBdr>
        <w:top w:val="none" w:sz="0" w:space="0" w:color="auto"/>
        <w:left w:val="none" w:sz="0" w:space="0" w:color="auto"/>
        <w:bottom w:val="none" w:sz="0" w:space="0" w:color="auto"/>
        <w:right w:val="none" w:sz="0" w:space="0" w:color="auto"/>
      </w:divBdr>
    </w:div>
    <w:div w:id="397365476">
      <w:bodyDiv w:val="1"/>
      <w:marLeft w:val="0"/>
      <w:marRight w:val="0"/>
      <w:marTop w:val="0"/>
      <w:marBottom w:val="0"/>
      <w:divBdr>
        <w:top w:val="none" w:sz="0" w:space="0" w:color="auto"/>
        <w:left w:val="none" w:sz="0" w:space="0" w:color="auto"/>
        <w:bottom w:val="none" w:sz="0" w:space="0" w:color="auto"/>
        <w:right w:val="none" w:sz="0" w:space="0" w:color="auto"/>
      </w:divBdr>
    </w:div>
    <w:div w:id="507017460">
      <w:bodyDiv w:val="1"/>
      <w:marLeft w:val="0"/>
      <w:marRight w:val="0"/>
      <w:marTop w:val="0"/>
      <w:marBottom w:val="0"/>
      <w:divBdr>
        <w:top w:val="none" w:sz="0" w:space="0" w:color="auto"/>
        <w:left w:val="none" w:sz="0" w:space="0" w:color="auto"/>
        <w:bottom w:val="none" w:sz="0" w:space="0" w:color="auto"/>
        <w:right w:val="none" w:sz="0" w:space="0" w:color="auto"/>
      </w:divBdr>
    </w:div>
    <w:div w:id="543256020">
      <w:bodyDiv w:val="1"/>
      <w:marLeft w:val="0"/>
      <w:marRight w:val="0"/>
      <w:marTop w:val="0"/>
      <w:marBottom w:val="0"/>
      <w:divBdr>
        <w:top w:val="none" w:sz="0" w:space="0" w:color="auto"/>
        <w:left w:val="none" w:sz="0" w:space="0" w:color="auto"/>
        <w:bottom w:val="none" w:sz="0" w:space="0" w:color="auto"/>
        <w:right w:val="none" w:sz="0" w:space="0" w:color="auto"/>
      </w:divBdr>
    </w:div>
    <w:div w:id="570501481">
      <w:bodyDiv w:val="1"/>
      <w:marLeft w:val="0"/>
      <w:marRight w:val="0"/>
      <w:marTop w:val="0"/>
      <w:marBottom w:val="0"/>
      <w:divBdr>
        <w:top w:val="none" w:sz="0" w:space="0" w:color="auto"/>
        <w:left w:val="none" w:sz="0" w:space="0" w:color="auto"/>
        <w:bottom w:val="none" w:sz="0" w:space="0" w:color="auto"/>
        <w:right w:val="none" w:sz="0" w:space="0" w:color="auto"/>
      </w:divBdr>
    </w:div>
    <w:div w:id="613681189">
      <w:bodyDiv w:val="1"/>
      <w:marLeft w:val="0"/>
      <w:marRight w:val="0"/>
      <w:marTop w:val="0"/>
      <w:marBottom w:val="0"/>
      <w:divBdr>
        <w:top w:val="none" w:sz="0" w:space="0" w:color="auto"/>
        <w:left w:val="none" w:sz="0" w:space="0" w:color="auto"/>
        <w:bottom w:val="none" w:sz="0" w:space="0" w:color="auto"/>
        <w:right w:val="none" w:sz="0" w:space="0" w:color="auto"/>
      </w:divBdr>
    </w:div>
    <w:div w:id="645012560">
      <w:bodyDiv w:val="1"/>
      <w:marLeft w:val="0"/>
      <w:marRight w:val="0"/>
      <w:marTop w:val="0"/>
      <w:marBottom w:val="0"/>
      <w:divBdr>
        <w:top w:val="none" w:sz="0" w:space="0" w:color="auto"/>
        <w:left w:val="none" w:sz="0" w:space="0" w:color="auto"/>
        <w:bottom w:val="none" w:sz="0" w:space="0" w:color="auto"/>
        <w:right w:val="none" w:sz="0" w:space="0" w:color="auto"/>
      </w:divBdr>
    </w:div>
    <w:div w:id="700058599">
      <w:bodyDiv w:val="1"/>
      <w:marLeft w:val="0"/>
      <w:marRight w:val="0"/>
      <w:marTop w:val="0"/>
      <w:marBottom w:val="0"/>
      <w:divBdr>
        <w:top w:val="none" w:sz="0" w:space="0" w:color="auto"/>
        <w:left w:val="none" w:sz="0" w:space="0" w:color="auto"/>
        <w:bottom w:val="none" w:sz="0" w:space="0" w:color="auto"/>
        <w:right w:val="none" w:sz="0" w:space="0" w:color="auto"/>
      </w:divBdr>
    </w:div>
    <w:div w:id="706103534">
      <w:bodyDiv w:val="1"/>
      <w:marLeft w:val="0"/>
      <w:marRight w:val="0"/>
      <w:marTop w:val="0"/>
      <w:marBottom w:val="0"/>
      <w:divBdr>
        <w:top w:val="none" w:sz="0" w:space="0" w:color="auto"/>
        <w:left w:val="none" w:sz="0" w:space="0" w:color="auto"/>
        <w:bottom w:val="none" w:sz="0" w:space="0" w:color="auto"/>
        <w:right w:val="none" w:sz="0" w:space="0" w:color="auto"/>
      </w:divBdr>
    </w:div>
    <w:div w:id="723986004">
      <w:bodyDiv w:val="1"/>
      <w:marLeft w:val="0"/>
      <w:marRight w:val="0"/>
      <w:marTop w:val="0"/>
      <w:marBottom w:val="0"/>
      <w:divBdr>
        <w:top w:val="none" w:sz="0" w:space="0" w:color="auto"/>
        <w:left w:val="none" w:sz="0" w:space="0" w:color="auto"/>
        <w:bottom w:val="none" w:sz="0" w:space="0" w:color="auto"/>
        <w:right w:val="none" w:sz="0" w:space="0" w:color="auto"/>
      </w:divBdr>
    </w:div>
    <w:div w:id="733090032">
      <w:bodyDiv w:val="1"/>
      <w:marLeft w:val="0"/>
      <w:marRight w:val="0"/>
      <w:marTop w:val="0"/>
      <w:marBottom w:val="0"/>
      <w:divBdr>
        <w:top w:val="none" w:sz="0" w:space="0" w:color="auto"/>
        <w:left w:val="none" w:sz="0" w:space="0" w:color="auto"/>
        <w:bottom w:val="none" w:sz="0" w:space="0" w:color="auto"/>
        <w:right w:val="none" w:sz="0" w:space="0" w:color="auto"/>
      </w:divBdr>
    </w:div>
    <w:div w:id="746151002">
      <w:bodyDiv w:val="1"/>
      <w:marLeft w:val="0"/>
      <w:marRight w:val="0"/>
      <w:marTop w:val="0"/>
      <w:marBottom w:val="0"/>
      <w:divBdr>
        <w:top w:val="none" w:sz="0" w:space="0" w:color="auto"/>
        <w:left w:val="none" w:sz="0" w:space="0" w:color="auto"/>
        <w:bottom w:val="none" w:sz="0" w:space="0" w:color="auto"/>
        <w:right w:val="none" w:sz="0" w:space="0" w:color="auto"/>
      </w:divBdr>
    </w:div>
    <w:div w:id="751586922">
      <w:bodyDiv w:val="1"/>
      <w:marLeft w:val="0"/>
      <w:marRight w:val="0"/>
      <w:marTop w:val="0"/>
      <w:marBottom w:val="0"/>
      <w:divBdr>
        <w:top w:val="none" w:sz="0" w:space="0" w:color="auto"/>
        <w:left w:val="none" w:sz="0" w:space="0" w:color="auto"/>
        <w:bottom w:val="none" w:sz="0" w:space="0" w:color="auto"/>
        <w:right w:val="none" w:sz="0" w:space="0" w:color="auto"/>
      </w:divBdr>
    </w:div>
    <w:div w:id="771630563">
      <w:bodyDiv w:val="1"/>
      <w:marLeft w:val="0"/>
      <w:marRight w:val="0"/>
      <w:marTop w:val="0"/>
      <w:marBottom w:val="0"/>
      <w:divBdr>
        <w:top w:val="none" w:sz="0" w:space="0" w:color="auto"/>
        <w:left w:val="none" w:sz="0" w:space="0" w:color="auto"/>
        <w:bottom w:val="none" w:sz="0" w:space="0" w:color="auto"/>
        <w:right w:val="none" w:sz="0" w:space="0" w:color="auto"/>
      </w:divBdr>
    </w:div>
    <w:div w:id="802775534">
      <w:bodyDiv w:val="1"/>
      <w:marLeft w:val="0"/>
      <w:marRight w:val="0"/>
      <w:marTop w:val="0"/>
      <w:marBottom w:val="0"/>
      <w:divBdr>
        <w:top w:val="none" w:sz="0" w:space="0" w:color="auto"/>
        <w:left w:val="none" w:sz="0" w:space="0" w:color="auto"/>
        <w:bottom w:val="none" w:sz="0" w:space="0" w:color="auto"/>
        <w:right w:val="none" w:sz="0" w:space="0" w:color="auto"/>
      </w:divBdr>
    </w:div>
    <w:div w:id="812143494">
      <w:bodyDiv w:val="1"/>
      <w:marLeft w:val="0"/>
      <w:marRight w:val="0"/>
      <w:marTop w:val="0"/>
      <w:marBottom w:val="0"/>
      <w:divBdr>
        <w:top w:val="none" w:sz="0" w:space="0" w:color="auto"/>
        <w:left w:val="none" w:sz="0" w:space="0" w:color="auto"/>
        <w:bottom w:val="none" w:sz="0" w:space="0" w:color="auto"/>
        <w:right w:val="none" w:sz="0" w:space="0" w:color="auto"/>
      </w:divBdr>
    </w:div>
    <w:div w:id="1012610513">
      <w:bodyDiv w:val="1"/>
      <w:marLeft w:val="0"/>
      <w:marRight w:val="0"/>
      <w:marTop w:val="0"/>
      <w:marBottom w:val="0"/>
      <w:divBdr>
        <w:top w:val="none" w:sz="0" w:space="0" w:color="auto"/>
        <w:left w:val="none" w:sz="0" w:space="0" w:color="auto"/>
        <w:bottom w:val="none" w:sz="0" w:space="0" w:color="auto"/>
        <w:right w:val="none" w:sz="0" w:space="0" w:color="auto"/>
      </w:divBdr>
    </w:div>
    <w:div w:id="1034311500">
      <w:bodyDiv w:val="1"/>
      <w:marLeft w:val="0"/>
      <w:marRight w:val="0"/>
      <w:marTop w:val="0"/>
      <w:marBottom w:val="0"/>
      <w:divBdr>
        <w:top w:val="none" w:sz="0" w:space="0" w:color="auto"/>
        <w:left w:val="none" w:sz="0" w:space="0" w:color="auto"/>
        <w:bottom w:val="none" w:sz="0" w:space="0" w:color="auto"/>
        <w:right w:val="none" w:sz="0" w:space="0" w:color="auto"/>
      </w:divBdr>
    </w:div>
    <w:div w:id="1066221821">
      <w:bodyDiv w:val="1"/>
      <w:marLeft w:val="0"/>
      <w:marRight w:val="0"/>
      <w:marTop w:val="0"/>
      <w:marBottom w:val="0"/>
      <w:divBdr>
        <w:top w:val="none" w:sz="0" w:space="0" w:color="auto"/>
        <w:left w:val="none" w:sz="0" w:space="0" w:color="auto"/>
        <w:bottom w:val="none" w:sz="0" w:space="0" w:color="auto"/>
        <w:right w:val="none" w:sz="0" w:space="0" w:color="auto"/>
      </w:divBdr>
    </w:div>
    <w:div w:id="1079987336">
      <w:bodyDiv w:val="1"/>
      <w:marLeft w:val="0"/>
      <w:marRight w:val="0"/>
      <w:marTop w:val="0"/>
      <w:marBottom w:val="0"/>
      <w:divBdr>
        <w:top w:val="none" w:sz="0" w:space="0" w:color="auto"/>
        <w:left w:val="none" w:sz="0" w:space="0" w:color="auto"/>
        <w:bottom w:val="none" w:sz="0" w:space="0" w:color="auto"/>
        <w:right w:val="none" w:sz="0" w:space="0" w:color="auto"/>
      </w:divBdr>
    </w:div>
    <w:div w:id="1166551912">
      <w:bodyDiv w:val="1"/>
      <w:marLeft w:val="0"/>
      <w:marRight w:val="0"/>
      <w:marTop w:val="0"/>
      <w:marBottom w:val="0"/>
      <w:divBdr>
        <w:top w:val="none" w:sz="0" w:space="0" w:color="auto"/>
        <w:left w:val="none" w:sz="0" w:space="0" w:color="auto"/>
        <w:bottom w:val="none" w:sz="0" w:space="0" w:color="auto"/>
        <w:right w:val="none" w:sz="0" w:space="0" w:color="auto"/>
      </w:divBdr>
    </w:div>
    <w:div w:id="1293975108">
      <w:bodyDiv w:val="1"/>
      <w:marLeft w:val="0"/>
      <w:marRight w:val="0"/>
      <w:marTop w:val="0"/>
      <w:marBottom w:val="0"/>
      <w:divBdr>
        <w:top w:val="none" w:sz="0" w:space="0" w:color="auto"/>
        <w:left w:val="none" w:sz="0" w:space="0" w:color="auto"/>
        <w:bottom w:val="none" w:sz="0" w:space="0" w:color="auto"/>
        <w:right w:val="none" w:sz="0" w:space="0" w:color="auto"/>
      </w:divBdr>
    </w:div>
    <w:div w:id="1358389079">
      <w:bodyDiv w:val="1"/>
      <w:marLeft w:val="0"/>
      <w:marRight w:val="0"/>
      <w:marTop w:val="0"/>
      <w:marBottom w:val="0"/>
      <w:divBdr>
        <w:top w:val="none" w:sz="0" w:space="0" w:color="auto"/>
        <w:left w:val="none" w:sz="0" w:space="0" w:color="auto"/>
        <w:bottom w:val="none" w:sz="0" w:space="0" w:color="auto"/>
        <w:right w:val="none" w:sz="0" w:space="0" w:color="auto"/>
      </w:divBdr>
    </w:div>
    <w:div w:id="1370765453">
      <w:bodyDiv w:val="1"/>
      <w:marLeft w:val="0"/>
      <w:marRight w:val="0"/>
      <w:marTop w:val="0"/>
      <w:marBottom w:val="0"/>
      <w:divBdr>
        <w:top w:val="none" w:sz="0" w:space="0" w:color="auto"/>
        <w:left w:val="none" w:sz="0" w:space="0" w:color="auto"/>
        <w:bottom w:val="none" w:sz="0" w:space="0" w:color="auto"/>
        <w:right w:val="none" w:sz="0" w:space="0" w:color="auto"/>
      </w:divBdr>
    </w:div>
    <w:div w:id="1430856291">
      <w:bodyDiv w:val="1"/>
      <w:marLeft w:val="0"/>
      <w:marRight w:val="0"/>
      <w:marTop w:val="0"/>
      <w:marBottom w:val="0"/>
      <w:divBdr>
        <w:top w:val="none" w:sz="0" w:space="0" w:color="auto"/>
        <w:left w:val="none" w:sz="0" w:space="0" w:color="auto"/>
        <w:bottom w:val="none" w:sz="0" w:space="0" w:color="auto"/>
        <w:right w:val="none" w:sz="0" w:space="0" w:color="auto"/>
      </w:divBdr>
    </w:div>
    <w:div w:id="1461418557">
      <w:bodyDiv w:val="1"/>
      <w:marLeft w:val="0"/>
      <w:marRight w:val="0"/>
      <w:marTop w:val="0"/>
      <w:marBottom w:val="0"/>
      <w:divBdr>
        <w:top w:val="none" w:sz="0" w:space="0" w:color="auto"/>
        <w:left w:val="none" w:sz="0" w:space="0" w:color="auto"/>
        <w:bottom w:val="none" w:sz="0" w:space="0" w:color="auto"/>
        <w:right w:val="none" w:sz="0" w:space="0" w:color="auto"/>
      </w:divBdr>
    </w:div>
    <w:div w:id="1493524415">
      <w:bodyDiv w:val="1"/>
      <w:marLeft w:val="0"/>
      <w:marRight w:val="0"/>
      <w:marTop w:val="0"/>
      <w:marBottom w:val="0"/>
      <w:divBdr>
        <w:top w:val="none" w:sz="0" w:space="0" w:color="auto"/>
        <w:left w:val="none" w:sz="0" w:space="0" w:color="auto"/>
        <w:bottom w:val="none" w:sz="0" w:space="0" w:color="auto"/>
        <w:right w:val="none" w:sz="0" w:space="0" w:color="auto"/>
      </w:divBdr>
    </w:div>
    <w:div w:id="1494757970">
      <w:bodyDiv w:val="1"/>
      <w:marLeft w:val="0"/>
      <w:marRight w:val="0"/>
      <w:marTop w:val="0"/>
      <w:marBottom w:val="0"/>
      <w:divBdr>
        <w:top w:val="none" w:sz="0" w:space="0" w:color="auto"/>
        <w:left w:val="none" w:sz="0" w:space="0" w:color="auto"/>
        <w:bottom w:val="none" w:sz="0" w:space="0" w:color="auto"/>
        <w:right w:val="none" w:sz="0" w:space="0" w:color="auto"/>
      </w:divBdr>
    </w:div>
    <w:div w:id="1523200727">
      <w:bodyDiv w:val="1"/>
      <w:marLeft w:val="0"/>
      <w:marRight w:val="0"/>
      <w:marTop w:val="0"/>
      <w:marBottom w:val="0"/>
      <w:divBdr>
        <w:top w:val="none" w:sz="0" w:space="0" w:color="auto"/>
        <w:left w:val="none" w:sz="0" w:space="0" w:color="auto"/>
        <w:bottom w:val="none" w:sz="0" w:space="0" w:color="auto"/>
        <w:right w:val="none" w:sz="0" w:space="0" w:color="auto"/>
      </w:divBdr>
    </w:div>
    <w:div w:id="1581257846">
      <w:bodyDiv w:val="1"/>
      <w:marLeft w:val="0"/>
      <w:marRight w:val="0"/>
      <w:marTop w:val="0"/>
      <w:marBottom w:val="0"/>
      <w:divBdr>
        <w:top w:val="none" w:sz="0" w:space="0" w:color="auto"/>
        <w:left w:val="none" w:sz="0" w:space="0" w:color="auto"/>
        <w:bottom w:val="none" w:sz="0" w:space="0" w:color="auto"/>
        <w:right w:val="none" w:sz="0" w:space="0" w:color="auto"/>
      </w:divBdr>
    </w:div>
    <w:div w:id="1595630737">
      <w:bodyDiv w:val="1"/>
      <w:marLeft w:val="0"/>
      <w:marRight w:val="0"/>
      <w:marTop w:val="0"/>
      <w:marBottom w:val="0"/>
      <w:divBdr>
        <w:top w:val="none" w:sz="0" w:space="0" w:color="auto"/>
        <w:left w:val="none" w:sz="0" w:space="0" w:color="auto"/>
        <w:bottom w:val="none" w:sz="0" w:space="0" w:color="auto"/>
        <w:right w:val="none" w:sz="0" w:space="0" w:color="auto"/>
      </w:divBdr>
    </w:div>
    <w:div w:id="1626691687">
      <w:bodyDiv w:val="1"/>
      <w:marLeft w:val="0"/>
      <w:marRight w:val="0"/>
      <w:marTop w:val="0"/>
      <w:marBottom w:val="0"/>
      <w:divBdr>
        <w:top w:val="none" w:sz="0" w:space="0" w:color="auto"/>
        <w:left w:val="none" w:sz="0" w:space="0" w:color="auto"/>
        <w:bottom w:val="none" w:sz="0" w:space="0" w:color="auto"/>
        <w:right w:val="none" w:sz="0" w:space="0" w:color="auto"/>
      </w:divBdr>
    </w:div>
    <w:div w:id="1626934485">
      <w:bodyDiv w:val="1"/>
      <w:marLeft w:val="0"/>
      <w:marRight w:val="0"/>
      <w:marTop w:val="0"/>
      <w:marBottom w:val="0"/>
      <w:divBdr>
        <w:top w:val="none" w:sz="0" w:space="0" w:color="auto"/>
        <w:left w:val="none" w:sz="0" w:space="0" w:color="auto"/>
        <w:bottom w:val="none" w:sz="0" w:space="0" w:color="auto"/>
        <w:right w:val="none" w:sz="0" w:space="0" w:color="auto"/>
      </w:divBdr>
    </w:div>
    <w:div w:id="1649819742">
      <w:bodyDiv w:val="1"/>
      <w:marLeft w:val="0"/>
      <w:marRight w:val="0"/>
      <w:marTop w:val="0"/>
      <w:marBottom w:val="0"/>
      <w:divBdr>
        <w:top w:val="none" w:sz="0" w:space="0" w:color="auto"/>
        <w:left w:val="none" w:sz="0" w:space="0" w:color="auto"/>
        <w:bottom w:val="none" w:sz="0" w:space="0" w:color="auto"/>
        <w:right w:val="none" w:sz="0" w:space="0" w:color="auto"/>
      </w:divBdr>
    </w:div>
    <w:div w:id="1829207497">
      <w:bodyDiv w:val="1"/>
      <w:marLeft w:val="0"/>
      <w:marRight w:val="0"/>
      <w:marTop w:val="0"/>
      <w:marBottom w:val="0"/>
      <w:divBdr>
        <w:top w:val="none" w:sz="0" w:space="0" w:color="auto"/>
        <w:left w:val="none" w:sz="0" w:space="0" w:color="auto"/>
        <w:bottom w:val="none" w:sz="0" w:space="0" w:color="auto"/>
        <w:right w:val="none" w:sz="0" w:space="0" w:color="auto"/>
      </w:divBdr>
    </w:div>
    <w:div w:id="1915119984">
      <w:bodyDiv w:val="1"/>
      <w:marLeft w:val="0"/>
      <w:marRight w:val="0"/>
      <w:marTop w:val="0"/>
      <w:marBottom w:val="0"/>
      <w:divBdr>
        <w:top w:val="none" w:sz="0" w:space="0" w:color="auto"/>
        <w:left w:val="none" w:sz="0" w:space="0" w:color="auto"/>
        <w:bottom w:val="none" w:sz="0" w:space="0" w:color="auto"/>
        <w:right w:val="none" w:sz="0" w:space="0" w:color="auto"/>
      </w:divBdr>
    </w:div>
    <w:div w:id="1972010715">
      <w:bodyDiv w:val="1"/>
      <w:marLeft w:val="0"/>
      <w:marRight w:val="0"/>
      <w:marTop w:val="0"/>
      <w:marBottom w:val="0"/>
      <w:divBdr>
        <w:top w:val="none" w:sz="0" w:space="0" w:color="auto"/>
        <w:left w:val="none" w:sz="0" w:space="0" w:color="auto"/>
        <w:bottom w:val="none" w:sz="0" w:space="0" w:color="auto"/>
        <w:right w:val="none" w:sz="0" w:space="0" w:color="auto"/>
      </w:divBdr>
    </w:div>
    <w:div w:id="197991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1EB43-31BE-4EF8-8614-09864251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3050</Words>
  <Characters>17387</Characters>
  <Application>Microsoft Office Word</Application>
  <DocSecurity>0</DocSecurity>
  <Lines>144</Lines>
  <Paragraphs>40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BEFORE THE</vt:lpstr>
      <vt:lpstr>INITIAL DECISION</vt:lpstr>
      <vt:lpstr>    Before</vt:lpstr>
      <vt:lpstr>HISTORY OF THE PROCEEDING</vt:lpstr>
      <vt:lpstr>FINDINGS OF FACT</vt:lpstr>
      <vt:lpstr>DISCUSSION</vt:lpstr>
      <vt:lpstr>CONCLUSIONS OF LAW</vt:lpstr>
      <vt:lpstr>1.	The Commission has jurisdiction over the parties and subject matter in this p</vt:lpstr>
      <vt:lpstr>        ORDER</vt:lpstr>
    </vt:vector>
  </TitlesOfParts>
  <Company>PA PUC</Company>
  <LinksUpToDate>false</LinksUpToDate>
  <CharactersWithSpaces>20397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2</cp:revision>
  <cp:lastPrinted>2016-03-22T14:58:00Z</cp:lastPrinted>
  <dcterms:created xsi:type="dcterms:W3CDTF">2016-03-31T17:51:00Z</dcterms:created>
  <dcterms:modified xsi:type="dcterms:W3CDTF">2016-03-31T17:51:00Z</dcterms:modified>
</cp:coreProperties>
</file>