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3D8" w:rsidRPr="00D026FD" w:rsidRDefault="00A613D8" w:rsidP="00F364E7">
      <w:pPr>
        <w:pStyle w:val="c2"/>
        <w:tabs>
          <w:tab w:val="left" w:pos="4490"/>
        </w:tabs>
        <w:rPr>
          <w:b/>
        </w:rPr>
      </w:pPr>
      <w:r w:rsidRPr="00D026FD">
        <w:rPr>
          <w:b/>
        </w:rPr>
        <w:t>BEFORE THE</w:t>
      </w:r>
    </w:p>
    <w:p w:rsidR="00A613D8" w:rsidRPr="00D026FD" w:rsidRDefault="00A613D8" w:rsidP="00F364E7">
      <w:pPr>
        <w:pStyle w:val="c2"/>
        <w:tabs>
          <w:tab w:val="left" w:pos="4490"/>
        </w:tabs>
        <w:rPr>
          <w:b/>
        </w:rPr>
      </w:pPr>
      <w:r w:rsidRPr="00D026FD">
        <w:rPr>
          <w:b/>
        </w:rPr>
        <w:t>PENNSYLVANIA PUBLIC UTILITY COMMISSION</w:t>
      </w:r>
    </w:p>
    <w:p w:rsidR="00A613D8" w:rsidRDefault="00A613D8" w:rsidP="00F364E7">
      <w:pPr>
        <w:tabs>
          <w:tab w:val="left" w:pos="4490"/>
        </w:tabs>
      </w:pPr>
    </w:p>
    <w:p w:rsidR="00D026FD" w:rsidRPr="00D026FD" w:rsidRDefault="00D026FD" w:rsidP="00F364E7">
      <w:pPr>
        <w:tabs>
          <w:tab w:val="left" w:pos="4490"/>
        </w:tabs>
      </w:pPr>
    </w:p>
    <w:p w:rsidR="00A613D8" w:rsidRPr="00D026FD" w:rsidRDefault="00A613D8" w:rsidP="00F364E7">
      <w:pPr>
        <w:tabs>
          <w:tab w:val="left" w:pos="4490"/>
        </w:tabs>
      </w:pPr>
    </w:p>
    <w:p w:rsidR="00A613D8" w:rsidRPr="00D026FD" w:rsidRDefault="00C33AB9" w:rsidP="00F364E7">
      <w:pPr>
        <w:pStyle w:val="p3"/>
      </w:pPr>
      <w:r>
        <w:t>Janice Wideman de Hoff</w:t>
      </w:r>
      <w:r w:rsidR="00AE10FC">
        <w:tab/>
      </w:r>
      <w:r w:rsidR="008567D7" w:rsidRPr="00D026FD">
        <w:t xml:space="preserve"> </w:t>
      </w:r>
      <w:r w:rsidR="003A6A09" w:rsidRPr="00D026FD">
        <w:tab/>
      </w:r>
      <w:r w:rsidR="003A6A09" w:rsidRPr="00D026FD">
        <w:tab/>
      </w:r>
      <w:r w:rsidR="00D026FD">
        <w:tab/>
      </w:r>
      <w:r w:rsidR="003A6A09" w:rsidRPr="00D026FD">
        <w:t>:</w:t>
      </w:r>
    </w:p>
    <w:p w:rsidR="008567D7" w:rsidRPr="00D026FD" w:rsidRDefault="008567D7" w:rsidP="00F364E7">
      <w:pPr>
        <w:pStyle w:val="p3"/>
      </w:pPr>
      <w:r w:rsidRPr="00D026FD">
        <w:tab/>
      </w:r>
      <w:r w:rsidRPr="00D026FD">
        <w:tab/>
      </w:r>
      <w:r w:rsidRPr="00D026FD">
        <w:tab/>
      </w:r>
      <w:r w:rsidRPr="00D026FD">
        <w:tab/>
      </w:r>
      <w:r w:rsidRPr="00D026FD">
        <w:tab/>
      </w:r>
      <w:r w:rsidRPr="00D026FD">
        <w:tab/>
      </w:r>
      <w:r w:rsidRPr="00D026FD">
        <w:tab/>
      </w:r>
      <w:r w:rsidR="00D026FD">
        <w:tab/>
      </w:r>
      <w:r w:rsidRPr="00D026FD">
        <w:t>:</w:t>
      </w:r>
      <w:r w:rsidRPr="00D026FD">
        <w:tab/>
      </w:r>
      <w:r w:rsidRPr="00D026FD">
        <w:tab/>
      </w:r>
      <w:r w:rsidR="00C050B3">
        <w:t>F</w:t>
      </w:r>
      <w:r w:rsidRPr="00D026FD">
        <w:t>-201</w:t>
      </w:r>
      <w:r w:rsidR="00C050B3">
        <w:t>5</w:t>
      </w:r>
      <w:r w:rsidRPr="00D026FD">
        <w:t>-2</w:t>
      </w:r>
      <w:r w:rsidR="00FF3BCA">
        <w:t>4</w:t>
      </w:r>
      <w:r w:rsidR="00C050B3">
        <w:t>73981</w:t>
      </w:r>
    </w:p>
    <w:p w:rsidR="003A6A09" w:rsidRPr="00D026FD" w:rsidRDefault="003A6A09" w:rsidP="00F364E7">
      <w:pPr>
        <w:pStyle w:val="p3"/>
      </w:pPr>
      <w:r w:rsidRPr="00D026FD">
        <w:tab/>
      </w:r>
      <w:r w:rsidRPr="00D026FD">
        <w:tab/>
        <w:t>v.</w:t>
      </w:r>
      <w:r w:rsidRPr="00D026FD">
        <w:tab/>
      </w:r>
      <w:r w:rsidRPr="00D026FD">
        <w:tab/>
      </w:r>
      <w:r w:rsidRPr="00D026FD">
        <w:tab/>
      </w:r>
      <w:r w:rsidRPr="00D026FD">
        <w:tab/>
      </w:r>
      <w:r w:rsidRPr="00D026FD">
        <w:tab/>
      </w:r>
      <w:r w:rsidR="00D026FD">
        <w:tab/>
        <w:t>:</w:t>
      </w:r>
    </w:p>
    <w:p w:rsidR="003A6A09" w:rsidRPr="00D026FD" w:rsidRDefault="003A6A09" w:rsidP="00F364E7">
      <w:pPr>
        <w:pStyle w:val="p3"/>
      </w:pPr>
      <w:r w:rsidRPr="00D026FD">
        <w:tab/>
      </w:r>
      <w:r w:rsidRPr="00D026FD">
        <w:tab/>
      </w:r>
      <w:r w:rsidRPr="00D026FD">
        <w:tab/>
      </w:r>
      <w:r w:rsidRPr="00D026FD">
        <w:tab/>
      </w:r>
      <w:r w:rsidRPr="00D026FD">
        <w:tab/>
      </w:r>
      <w:r w:rsidRPr="00D026FD">
        <w:tab/>
      </w:r>
      <w:r w:rsidRPr="00D026FD">
        <w:tab/>
      </w:r>
      <w:r w:rsidR="00D026FD">
        <w:tab/>
      </w:r>
      <w:r w:rsidRPr="00D026FD">
        <w:t>:</w:t>
      </w:r>
    </w:p>
    <w:p w:rsidR="003A6A09" w:rsidRPr="00D026FD" w:rsidRDefault="00C050B3" w:rsidP="00F364E7">
      <w:pPr>
        <w:pStyle w:val="p3"/>
      </w:pPr>
      <w:r>
        <w:t>PPL Electric Utilities Corporation</w:t>
      </w:r>
      <w:r w:rsidR="003A6A09" w:rsidRPr="00D026FD">
        <w:tab/>
      </w:r>
      <w:r w:rsidR="003A6A09" w:rsidRPr="00D026FD">
        <w:tab/>
      </w:r>
      <w:r w:rsidR="00D026FD">
        <w:tab/>
      </w:r>
      <w:r w:rsidR="003A6A09" w:rsidRPr="00D026FD">
        <w:t>:</w:t>
      </w:r>
    </w:p>
    <w:p w:rsidR="009805C9" w:rsidRDefault="009805C9" w:rsidP="00F364E7">
      <w:pPr>
        <w:tabs>
          <w:tab w:val="left" w:pos="204"/>
        </w:tabs>
        <w:jc w:val="both"/>
      </w:pPr>
    </w:p>
    <w:p w:rsidR="00D026FD" w:rsidRPr="00D026FD" w:rsidRDefault="00D026FD" w:rsidP="00F364E7">
      <w:pPr>
        <w:tabs>
          <w:tab w:val="left" w:pos="204"/>
        </w:tabs>
        <w:jc w:val="both"/>
      </w:pPr>
    </w:p>
    <w:p w:rsidR="00A613D8" w:rsidRPr="00D026FD" w:rsidRDefault="00A613D8" w:rsidP="00F364E7">
      <w:pPr>
        <w:tabs>
          <w:tab w:val="left" w:pos="204"/>
        </w:tabs>
        <w:jc w:val="both"/>
      </w:pPr>
    </w:p>
    <w:p w:rsidR="00AE10FC" w:rsidRDefault="00A613D8" w:rsidP="00F364E7">
      <w:pPr>
        <w:pStyle w:val="c2"/>
        <w:tabs>
          <w:tab w:val="left" w:pos="204"/>
        </w:tabs>
        <w:rPr>
          <w:b/>
          <w:u w:val="single"/>
        </w:rPr>
      </w:pPr>
      <w:r w:rsidRPr="00D026FD">
        <w:rPr>
          <w:b/>
          <w:u w:val="single"/>
        </w:rPr>
        <w:t>INITIAL DECISION</w:t>
      </w:r>
    </w:p>
    <w:p w:rsidR="00A613D8" w:rsidRPr="00D026FD" w:rsidRDefault="00A613D8" w:rsidP="00F364E7">
      <w:pPr>
        <w:tabs>
          <w:tab w:val="left" w:pos="204"/>
        </w:tabs>
        <w:jc w:val="both"/>
      </w:pPr>
    </w:p>
    <w:p w:rsidR="009805C9" w:rsidRPr="00D026FD" w:rsidRDefault="009805C9" w:rsidP="00F364E7">
      <w:pPr>
        <w:tabs>
          <w:tab w:val="left" w:pos="204"/>
        </w:tabs>
        <w:jc w:val="both"/>
      </w:pPr>
    </w:p>
    <w:p w:rsidR="00A613D8" w:rsidRPr="00D026FD" w:rsidRDefault="00A613D8" w:rsidP="00F364E7">
      <w:pPr>
        <w:pStyle w:val="c2"/>
        <w:tabs>
          <w:tab w:val="left" w:pos="204"/>
        </w:tabs>
      </w:pPr>
      <w:r w:rsidRPr="00D026FD">
        <w:t>Before</w:t>
      </w:r>
    </w:p>
    <w:p w:rsidR="00A613D8" w:rsidRPr="00D026FD" w:rsidRDefault="00AE10FC" w:rsidP="00F364E7">
      <w:pPr>
        <w:pStyle w:val="c2"/>
        <w:tabs>
          <w:tab w:val="left" w:pos="204"/>
        </w:tabs>
      </w:pPr>
      <w:r>
        <w:t>Conrad A. Johnson</w:t>
      </w:r>
    </w:p>
    <w:p w:rsidR="00A613D8" w:rsidRPr="00D026FD" w:rsidRDefault="00A613D8" w:rsidP="00141B98">
      <w:pPr>
        <w:pStyle w:val="c2"/>
        <w:tabs>
          <w:tab w:val="left" w:pos="204"/>
        </w:tabs>
      </w:pPr>
      <w:r w:rsidRPr="00D026FD">
        <w:t>Administrative Law Judge</w:t>
      </w:r>
    </w:p>
    <w:p w:rsidR="0059218A" w:rsidRDefault="0059218A" w:rsidP="00141B98">
      <w:pPr>
        <w:tabs>
          <w:tab w:val="left" w:pos="204"/>
        </w:tabs>
      </w:pPr>
    </w:p>
    <w:p w:rsidR="00141B98" w:rsidRDefault="00141B98" w:rsidP="00141B98">
      <w:pPr>
        <w:tabs>
          <w:tab w:val="left" w:pos="204"/>
        </w:tabs>
      </w:pPr>
    </w:p>
    <w:p w:rsidR="00A613D8" w:rsidRDefault="0059218A" w:rsidP="00141B98">
      <w:pPr>
        <w:tabs>
          <w:tab w:val="left" w:pos="204"/>
        </w:tabs>
      </w:pPr>
      <w:r>
        <w:tab/>
      </w:r>
      <w:r>
        <w:tab/>
      </w:r>
      <w:r>
        <w:tab/>
        <w:t xml:space="preserve">This decision grants Complainant’s Petition for Leave to Withdraw Complaint. </w:t>
      </w:r>
    </w:p>
    <w:p w:rsidR="00141B98" w:rsidRDefault="00141B98" w:rsidP="00141B98">
      <w:pPr>
        <w:tabs>
          <w:tab w:val="left" w:pos="204"/>
        </w:tabs>
      </w:pPr>
    </w:p>
    <w:p w:rsidR="0059218A" w:rsidRDefault="0059218A" w:rsidP="00141B98">
      <w:pPr>
        <w:tabs>
          <w:tab w:val="left" w:pos="204"/>
        </w:tabs>
        <w:jc w:val="both"/>
      </w:pPr>
    </w:p>
    <w:p w:rsidR="00A613D8" w:rsidRPr="00D026FD" w:rsidRDefault="00A613D8" w:rsidP="00141B98">
      <w:pPr>
        <w:pStyle w:val="c2"/>
        <w:tabs>
          <w:tab w:val="left" w:pos="204"/>
        </w:tabs>
      </w:pPr>
      <w:r w:rsidRPr="00D026FD">
        <w:rPr>
          <w:u w:val="single"/>
        </w:rPr>
        <w:t>HISTORY OF THE PROCEEDING</w:t>
      </w:r>
    </w:p>
    <w:p w:rsidR="00D026FD" w:rsidRPr="00D026FD" w:rsidRDefault="00D026FD" w:rsidP="00141B98">
      <w:pPr>
        <w:tabs>
          <w:tab w:val="left" w:pos="204"/>
        </w:tabs>
        <w:spacing w:line="360" w:lineRule="auto"/>
        <w:jc w:val="both"/>
      </w:pPr>
    </w:p>
    <w:p w:rsidR="007F225A" w:rsidRDefault="00A613D8" w:rsidP="002641E0">
      <w:pPr>
        <w:spacing w:line="360" w:lineRule="auto"/>
        <w:ind w:firstLine="1440"/>
      </w:pPr>
      <w:r w:rsidRPr="00D026FD">
        <w:t>On</w:t>
      </w:r>
      <w:r w:rsidR="00731311" w:rsidRPr="00D026FD">
        <w:t xml:space="preserve"> </w:t>
      </w:r>
      <w:r w:rsidR="00C050B3">
        <w:t>March 17</w:t>
      </w:r>
      <w:r w:rsidR="00AB115E">
        <w:t xml:space="preserve">, </w:t>
      </w:r>
      <w:r w:rsidR="008567D7" w:rsidRPr="00D026FD">
        <w:t>201</w:t>
      </w:r>
      <w:r w:rsidR="00C050B3">
        <w:t>5</w:t>
      </w:r>
      <w:r w:rsidR="003A6A09" w:rsidRPr="00D026FD">
        <w:t xml:space="preserve">, </w:t>
      </w:r>
      <w:r w:rsidR="00AB115E">
        <w:t xml:space="preserve">Complainant </w:t>
      </w:r>
      <w:r w:rsidR="00C050B3">
        <w:t xml:space="preserve">Janice Wideman de Hoff </w:t>
      </w:r>
      <w:r w:rsidR="00AB115E">
        <w:t>(</w:t>
      </w:r>
      <w:r w:rsidR="00C050B3">
        <w:t xml:space="preserve">Complainant or </w:t>
      </w:r>
      <w:r w:rsidR="00AB115E">
        <w:t>M</w:t>
      </w:r>
      <w:r w:rsidR="00C050B3">
        <w:t>s</w:t>
      </w:r>
      <w:r w:rsidR="00AB115E">
        <w:t>.</w:t>
      </w:r>
      <w:r w:rsidR="00141B98">
        <w:t> </w:t>
      </w:r>
      <w:r w:rsidR="006F59EC">
        <w:t>d</w:t>
      </w:r>
      <w:r w:rsidR="00C050B3">
        <w:t xml:space="preserve">e </w:t>
      </w:r>
      <w:r w:rsidR="00141B98">
        <w:t>Hoff)</w:t>
      </w:r>
      <w:r w:rsidR="00731311" w:rsidRPr="00D026FD">
        <w:t xml:space="preserve"> filed a </w:t>
      </w:r>
      <w:r w:rsidR="00DF0986">
        <w:t>C</w:t>
      </w:r>
      <w:r w:rsidR="00731311" w:rsidRPr="00D026FD">
        <w:t xml:space="preserve">omplaint </w:t>
      </w:r>
      <w:r w:rsidR="008567D7" w:rsidRPr="00D026FD">
        <w:t xml:space="preserve">with the Pennsylvania Public Utility Commission (Commission) </w:t>
      </w:r>
      <w:r w:rsidR="00731311" w:rsidRPr="00D026FD">
        <w:t xml:space="preserve">against </w:t>
      </w:r>
      <w:r w:rsidR="00C050B3">
        <w:t>PPL Electric Utilities Corp</w:t>
      </w:r>
      <w:r w:rsidR="00AB115E">
        <w:t>oration</w:t>
      </w:r>
      <w:r w:rsidR="009B329C">
        <w:t xml:space="preserve"> (Respondent or </w:t>
      </w:r>
      <w:r w:rsidR="00C050B3">
        <w:t>PPL</w:t>
      </w:r>
      <w:r w:rsidR="009B329C">
        <w:t>)</w:t>
      </w:r>
      <w:r w:rsidR="00AB115E">
        <w:t>.</w:t>
      </w:r>
      <w:r w:rsidR="007630A7">
        <w:rPr>
          <w:rStyle w:val="FootnoteReference"/>
        </w:rPr>
        <w:footnoteReference w:id="1"/>
      </w:r>
      <w:r w:rsidR="00AB115E">
        <w:t xml:space="preserve">  </w:t>
      </w:r>
      <w:r w:rsidR="00DF0986">
        <w:t>C</w:t>
      </w:r>
      <w:r w:rsidR="00731311" w:rsidRPr="00D026FD">
        <w:t>omplai</w:t>
      </w:r>
      <w:r w:rsidR="00DF0986">
        <w:t>nant</w:t>
      </w:r>
      <w:r w:rsidR="00731311" w:rsidRPr="00D026FD">
        <w:t xml:space="preserve"> allege</w:t>
      </w:r>
      <w:r w:rsidR="00877B25" w:rsidRPr="00D026FD">
        <w:t>s</w:t>
      </w:r>
      <w:r w:rsidR="007F225A">
        <w:t>, in part,</w:t>
      </w:r>
      <w:r w:rsidR="00731311" w:rsidRPr="00D026FD">
        <w:t xml:space="preserve"> </w:t>
      </w:r>
      <w:r w:rsidR="002641E0">
        <w:t>that there are incorrect charges on her bill and PPL failed to re</w:t>
      </w:r>
      <w:r w:rsidR="00404751">
        <w:t xml:space="preserve">imburse </w:t>
      </w:r>
      <w:r w:rsidR="002641E0">
        <w:t xml:space="preserve">her $418.75 in charges </w:t>
      </w:r>
      <w:r w:rsidR="00404751">
        <w:t>resulting from</w:t>
      </w:r>
      <w:r w:rsidR="002641E0">
        <w:t xml:space="preserve"> a foreign load at the service address.  As relief, Complainant request</w:t>
      </w:r>
      <w:r w:rsidR="00DF0986">
        <w:t>s</w:t>
      </w:r>
      <w:r w:rsidR="002641E0">
        <w:t xml:space="preserve"> that the Commission </w:t>
      </w:r>
      <w:r w:rsidR="00404751">
        <w:t xml:space="preserve">order Respondent to reimburse her $418.75 and </w:t>
      </w:r>
      <w:r w:rsidR="002641E0">
        <w:t xml:space="preserve">fine Respondent “for violations of both the letter and spirit of lawful commerce.” </w:t>
      </w:r>
    </w:p>
    <w:p w:rsidR="007F225A" w:rsidRDefault="007F225A" w:rsidP="00302B23">
      <w:pPr>
        <w:spacing w:line="360" w:lineRule="auto"/>
        <w:ind w:left="1440" w:right="1080"/>
      </w:pPr>
    </w:p>
    <w:p w:rsidR="0059218A" w:rsidRDefault="00302B23" w:rsidP="00F364E7">
      <w:pPr>
        <w:spacing w:line="360" w:lineRule="auto"/>
      </w:pPr>
      <w:r>
        <w:tab/>
      </w:r>
      <w:r>
        <w:tab/>
      </w:r>
      <w:r w:rsidR="009B329C">
        <w:t>On A</w:t>
      </w:r>
      <w:r w:rsidR="00404751">
        <w:t>pril 16, 2015, PPL filed an Answer admitting that on March 28, 2013</w:t>
      </w:r>
      <w:r w:rsidR="00DF0986">
        <w:t>,</w:t>
      </w:r>
      <w:r w:rsidR="00404751">
        <w:t xml:space="preserve"> Complainant contacted PPL about a possible foreign load at the service address.  According to PPL, upon discovering a foreign load, the account for the service address was placed in the name of the landlord.  Respondent denied that it improperly issued billings to Complainant or failed to </w:t>
      </w:r>
      <w:r w:rsidR="00404751">
        <w:lastRenderedPageBreak/>
        <w:t xml:space="preserve">comply with the Commission’s regulations. </w:t>
      </w:r>
      <w:r w:rsidR="007630A7">
        <w:t xml:space="preserve"> </w:t>
      </w:r>
      <w:r w:rsidR="00404751">
        <w:t xml:space="preserve">On </w:t>
      </w:r>
      <w:r w:rsidR="00B006D3">
        <w:t>April</w:t>
      </w:r>
      <w:r w:rsidR="006A4535">
        <w:t xml:space="preserve"> 17, 2015, Respondent filed an A</w:t>
      </w:r>
      <w:r w:rsidR="00B006D3">
        <w:t xml:space="preserve">mended </w:t>
      </w:r>
      <w:r w:rsidR="006A4535">
        <w:t>A</w:t>
      </w:r>
      <w:r w:rsidR="00B006D3">
        <w:t>nswer</w:t>
      </w:r>
      <w:r w:rsidR="002F4C4C">
        <w:t xml:space="preserve"> to </w:t>
      </w:r>
      <w:r w:rsidR="00B006D3">
        <w:t xml:space="preserve">amend Complainant’s initial contact date </w:t>
      </w:r>
      <w:r w:rsidR="002F4C4C">
        <w:t xml:space="preserve">from </w:t>
      </w:r>
      <w:r w:rsidR="00DF0986">
        <w:t>March 28, 2013 to</w:t>
      </w:r>
      <w:r w:rsidR="00B006D3">
        <w:t xml:space="preserve"> </w:t>
      </w:r>
      <w:r w:rsidR="00B006D3" w:rsidRPr="00DF0986">
        <w:t>March 28, 2014</w:t>
      </w:r>
      <w:r w:rsidR="00B006D3">
        <w:t>.</w:t>
      </w:r>
    </w:p>
    <w:p w:rsidR="00404751" w:rsidRDefault="00B006D3" w:rsidP="00F364E7">
      <w:pPr>
        <w:spacing w:line="360" w:lineRule="auto"/>
      </w:pPr>
      <w:r>
        <w:t xml:space="preserve"> </w:t>
      </w:r>
    </w:p>
    <w:p w:rsidR="00260EC3" w:rsidRDefault="00636F1C" w:rsidP="009805C9">
      <w:pPr>
        <w:spacing w:line="360" w:lineRule="auto"/>
        <w:ind w:firstLine="1440"/>
      </w:pPr>
      <w:r w:rsidRPr="00D026FD">
        <w:t xml:space="preserve">By notice dated </w:t>
      </w:r>
      <w:r w:rsidR="00DF0986">
        <w:t>June 8</w:t>
      </w:r>
      <w:r w:rsidRPr="00D026FD">
        <w:t>, 201</w:t>
      </w:r>
      <w:r w:rsidR="00DF0986">
        <w:t>5</w:t>
      </w:r>
      <w:r w:rsidRPr="00D026FD">
        <w:t xml:space="preserve">, the Commission </w:t>
      </w:r>
      <w:r w:rsidR="007630A7">
        <w:t>inform</w:t>
      </w:r>
      <w:r w:rsidRPr="00D026FD">
        <w:t xml:space="preserve">ed the parties that </w:t>
      </w:r>
      <w:r w:rsidR="008D66C4">
        <w:t xml:space="preserve">the proceeding was assigned to me for </w:t>
      </w:r>
      <w:r w:rsidR="00771174">
        <w:t xml:space="preserve">a </w:t>
      </w:r>
      <w:r w:rsidR="008D66C4">
        <w:t>telephon</w:t>
      </w:r>
      <w:r w:rsidR="00DF0986">
        <w:t>ic</w:t>
      </w:r>
      <w:r w:rsidR="008D66C4">
        <w:t xml:space="preserve"> hearing on </w:t>
      </w:r>
      <w:r w:rsidR="00DF0986">
        <w:t>July 30, 2015</w:t>
      </w:r>
      <w:r w:rsidR="008D66C4">
        <w:t xml:space="preserve"> at </w:t>
      </w:r>
      <w:r w:rsidR="00DF0986">
        <w:t>10</w:t>
      </w:r>
      <w:r w:rsidR="008D66C4">
        <w:t xml:space="preserve">:00 a.m.  On </w:t>
      </w:r>
      <w:r w:rsidR="00DF0986">
        <w:t>Jun</w:t>
      </w:r>
      <w:r w:rsidR="007F68CD">
        <w:t>e</w:t>
      </w:r>
      <w:r w:rsidR="00141B98">
        <w:t> </w:t>
      </w:r>
      <w:r w:rsidR="00DF0986">
        <w:t>9,</w:t>
      </w:r>
      <w:r w:rsidR="008D66C4">
        <w:t xml:space="preserve"> 201</w:t>
      </w:r>
      <w:r w:rsidR="00DF0986">
        <w:t>5</w:t>
      </w:r>
      <w:r w:rsidR="008D66C4">
        <w:t xml:space="preserve">, I issued a Prehearing Order reminding the </w:t>
      </w:r>
      <w:r w:rsidR="006A4535">
        <w:t>P</w:t>
      </w:r>
      <w:r w:rsidR="008D66C4">
        <w:t xml:space="preserve">arties of the time, date and manner of the hearing and the applicable procedural rules.  On </w:t>
      </w:r>
      <w:r w:rsidR="00DF0986">
        <w:t>July 23, 2015</w:t>
      </w:r>
      <w:r w:rsidR="008D66C4">
        <w:t xml:space="preserve">, </w:t>
      </w:r>
      <w:r w:rsidR="00DF0986">
        <w:t xml:space="preserve">Respondent filed a </w:t>
      </w:r>
      <w:r w:rsidR="00DF0986" w:rsidRPr="007F68CD">
        <w:t>Certificate</w:t>
      </w:r>
      <w:r w:rsidR="00DF0986">
        <w:t xml:space="preserve"> </w:t>
      </w:r>
      <w:r w:rsidR="00260EC3">
        <w:t>of Satisfaction, asserting that all legal and factual issues in this proceeding</w:t>
      </w:r>
      <w:r w:rsidR="006A4535">
        <w:t xml:space="preserve"> had been resolved and requesting</w:t>
      </w:r>
      <w:r w:rsidR="00260EC3">
        <w:t xml:space="preserve"> that the docket be terminated.  As a result, the July 30, 2015 telephonic hearing was cancelled.</w:t>
      </w:r>
    </w:p>
    <w:p w:rsidR="00260EC3" w:rsidRDefault="00260EC3" w:rsidP="009805C9">
      <w:pPr>
        <w:spacing w:line="360" w:lineRule="auto"/>
        <w:ind w:firstLine="1440"/>
      </w:pPr>
    </w:p>
    <w:p w:rsidR="002F4C4C" w:rsidRDefault="00260EC3" w:rsidP="009805C9">
      <w:pPr>
        <w:spacing w:line="360" w:lineRule="auto"/>
        <w:ind w:firstLine="1440"/>
      </w:pPr>
      <w:r>
        <w:t xml:space="preserve">By facsimile </w:t>
      </w:r>
      <w:r w:rsidR="002F4C4C">
        <w:t>sent to me on</w:t>
      </w:r>
      <w:r>
        <w:t xml:space="preserve"> July 27, 2015, Complainant </w:t>
      </w:r>
      <w:r w:rsidR="002F4C4C">
        <w:t xml:space="preserve">asserted, </w:t>
      </w:r>
      <w:r>
        <w:t>“‘I do not agree “</w:t>
      </w:r>
      <w:r w:rsidR="002F4C4C">
        <w:t>that PPL Electric will apply</w:t>
      </w:r>
      <w:r>
        <w:t xml:space="preserve"> </w:t>
      </w:r>
      <w:r w:rsidR="002F4C4C">
        <w:t xml:space="preserve">a credit to Complainant’s account in the amount of $418.75.’”  Complainant further asserted, “All legal and factual issues in this proceeding have not been resolved. </w:t>
      </w:r>
      <w:r w:rsidR="007630A7">
        <w:t xml:space="preserve"> </w:t>
      </w:r>
      <w:r w:rsidR="002F4C4C">
        <w:t xml:space="preserve">I ask that the docket in this matter remain open.” </w:t>
      </w:r>
    </w:p>
    <w:p w:rsidR="002F4C4C" w:rsidRDefault="002F4C4C" w:rsidP="009805C9">
      <w:pPr>
        <w:spacing w:line="360" w:lineRule="auto"/>
        <w:ind w:firstLine="1440"/>
      </w:pPr>
    </w:p>
    <w:p w:rsidR="00260EC3" w:rsidRDefault="002F4C4C" w:rsidP="009805C9">
      <w:pPr>
        <w:spacing w:line="360" w:lineRule="auto"/>
        <w:ind w:firstLine="1440"/>
      </w:pPr>
      <w:r>
        <w:t>I treated Complainant’s July 27, 2015 facsimile as an objection to the Certificate of Satisfaction and forward</w:t>
      </w:r>
      <w:r w:rsidR="007F68CD">
        <w:t>ed</w:t>
      </w:r>
      <w:r>
        <w:t xml:space="preserve"> the facsimile to the Commission’s Secretary’s Bureau (Secretary) for docketing.  Afterwards a notice was issued to the Parties informing them </w:t>
      </w:r>
      <w:r w:rsidR="007F68CD">
        <w:t xml:space="preserve">that </w:t>
      </w:r>
      <w:r w:rsidR="00BA4F19">
        <w:t>a</w:t>
      </w:r>
      <w:r>
        <w:t xml:space="preserve"> telephonic he</w:t>
      </w:r>
      <w:r w:rsidR="00BA4F19">
        <w:t>a</w:t>
      </w:r>
      <w:r>
        <w:t xml:space="preserve">ring </w:t>
      </w:r>
      <w:r w:rsidR="00BA4F19">
        <w:t>in this proceeding was scheduled for September 16, 2015 at 10:00 a.m.</w:t>
      </w:r>
      <w:r w:rsidR="00260EC3">
        <w:t xml:space="preserve">  </w:t>
      </w:r>
    </w:p>
    <w:p w:rsidR="00260EC3" w:rsidRDefault="00260EC3" w:rsidP="009805C9">
      <w:pPr>
        <w:spacing w:line="360" w:lineRule="auto"/>
        <w:ind w:firstLine="1440"/>
      </w:pPr>
    </w:p>
    <w:p w:rsidR="00127964" w:rsidRDefault="00BA4F19" w:rsidP="009805C9">
      <w:pPr>
        <w:spacing w:line="360" w:lineRule="auto"/>
        <w:ind w:firstLine="1440"/>
      </w:pPr>
      <w:r>
        <w:t xml:space="preserve">By letter dated September 14, 2015, counsel for PPL, Kimberly G. Krupa, Esquire, requested a continuance of the September 16, 2015 hearing because her witness was unavailable </w:t>
      </w:r>
      <w:r w:rsidR="006F59EC">
        <w:t xml:space="preserve">for </w:t>
      </w:r>
      <w:r>
        <w:t xml:space="preserve">medical </w:t>
      </w:r>
      <w:r w:rsidR="006F59EC">
        <w:t>reasons</w:t>
      </w:r>
      <w:r>
        <w:t xml:space="preserve">. </w:t>
      </w:r>
      <w:r w:rsidR="006F59EC">
        <w:t xml:space="preserve"> Attorney Krupa represented that Ms. </w:t>
      </w:r>
      <w:r w:rsidR="00215F92">
        <w:t>d</w:t>
      </w:r>
      <w:r w:rsidR="006F59EC">
        <w:t>e Hoff</w:t>
      </w:r>
      <w:r w:rsidR="00215F92">
        <w:t xml:space="preserve"> did not object to the continuance request.  Therefore, I issued an interim order granting the continuance request and encouraged the Parties to discuss settlement.</w:t>
      </w:r>
    </w:p>
    <w:p w:rsidR="00215F92" w:rsidRDefault="00215F92" w:rsidP="009805C9">
      <w:pPr>
        <w:spacing w:line="360" w:lineRule="auto"/>
        <w:ind w:firstLine="1440"/>
      </w:pPr>
    </w:p>
    <w:p w:rsidR="00215F92" w:rsidRDefault="00215F92" w:rsidP="009805C9">
      <w:pPr>
        <w:spacing w:line="360" w:lineRule="auto"/>
        <w:ind w:firstLine="1440"/>
      </w:pPr>
      <w:r>
        <w:t xml:space="preserve">On October 27, 2015, a notice was issued to the </w:t>
      </w:r>
      <w:r w:rsidR="007630A7">
        <w:t>P</w:t>
      </w:r>
      <w:r>
        <w:t>arties informing them that the initial telephonic hearing in this proceed</w:t>
      </w:r>
      <w:r w:rsidR="003428C4">
        <w:t>ing</w:t>
      </w:r>
      <w:r>
        <w:t xml:space="preserve"> would be conducted by me on November 30, 2015 at 10:00 a.m.</w:t>
      </w:r>
    </w:p>
    <w:p w:rsidR="00215F92" w:rsidRDefault="00215F92" w:rsidP="009805C9">
      <w:pPr>
        <w:spacing w:line="360" w:lineRule="auto"/>
        <w:ind w:firstLine="1440"/>
      </w:pPr>
    </w:p>
    <w:p w:rsidR="00215F92" w:rsidRDefault="00215F92" w:rsidP="00215F92">
      <w:pPr>
        <w:spacing w:line="360" w:lineRule="auto"/>
        <w:ind w:firstLine="1440"/>
      </w:pPr>
      <w:r>
        <w:lastRenderedPageBreak/>
        <w:t xml:space="preserve">On November 25, 2015, Respondent filed a second </w:t>
      </w:r>
      <w:r w:rsidRPr="00324EF1">
        <w:t>Certificate</w:t>
      </w:r>
      <w:r>
        <w:t xml:space="preserve"> of Satisfaction, </w:t>
      </w:r>
      <w:r w:rsidR="00324EF1">
        <w:t xml:space="preserve">again </w:t>
      </w:r>
      <w:r>
        <w:t>asserting that all legal and factual issues in this proceeding</w:t>
      </w:r>
      <w:r w:rsidR="006A4535">
        <w:t xml:space="preserve"> had been resolved and requesting</w:t>
      </w:r>
      <w:r>
        <w:t xml:space="preserve"> that the docket be terminated.  As a result, the </w:t>
      </w:r>
      <w:r w:rsidR="00324EF1">
        <w:t>November</w:t>
      </w:r>
      <w:r>
        <w:t xml:space="preserve"> 30, 2015 telephonic hearing was cancelled.</w:t>
      </w:r>
    </w:p>
    <w:p w:rsidR="00215F92" w:rsidRDefault="00215F92" w:rsidP="009805C9">
      <w:pPr>
        <w:spacing w:line="360" w:lineRule="auto"/>
        <w:ind w:firstLine="1440"/>
      </w:pPr>
    </w:p>
    <w:p w:rsidR="008E6DDC" w:rsidRDefault="00BB30B7" w:rsidP="009805C9">
      <w:pPr>
        <w:spacing w:line="360" w:lineRule="auto"/>
        <w:ind w:firstLine="1440"/>
      </w:pPr>
      <w:r>
        <w:t>On December 3, 2015, Ms. de Hoff filed with the Secretary her “Objection to PPL’s Second Certificate of Satisfaction</w:t>
      </w:r>
      <w:r w:rsidR="008E6DDC">
        <w:t xml:space="preserve"> (Objection)</w:t>
      </w:r>
      <w:r>
        <w:t xml:space="preserve">.”  </w:t>
      </w:r>
      <w:r w:rsidR="00A261F8">
        <w:t>Ms. de Hoff attached to her Objection a</w:t>
      </w:r>
      <w:r>
        <w:t xml:space="preserve"> copy of </w:t>
      </w:r>
      <w:r w:rsidR="00A261F8">
        <w:t xml:space="preserve">PPL’s Convenience Check No. 1513, in the name of </w:t>
      </w:r>
      <w:r w:rsidR="001F0630">
        <w:t>pay</w:t>
      </w:r>
      <w:r w:rsidR="00A261F8">
        <w:t>er</w:t>
      </w:r>
      <w:r w:rsidR="001F0630">
        <w:t xml:space="preserve">, Ronald L. Hoffman </w:t>
      </w:r>
      <w:r>
        <w:t>PPL</w:t>
      </w:r>
      <w:r w:rsidR="00A261F8">
        <w:t xml:space="preserve"> Electric Utilities Corp, signed </w:t>
      </w:r>
      <w:r w:rsidR="00D870AF">
        <w:t xml:space="preserve">by </w:t>
      </w:r>
      <w:r w:rsidR="008E6DDC">
        <w:t xml:space="preserve">Ronald L. Hoffman and </w:t>
      </w:r>
      <w:r>
        <w:t>payable to Ms. de Hoff in the amount of $418.75</w:t>
      </w:r>
      <w:r w:rsidR="008E6DDC">
        <w:t xml:space="preserve">, with the word “VOID” </w:t>
      </w:r>
      <w:r w:rsidR="00D870AF">
        <w:t>hand</w:t>
      </w:r>
      <w:r w:rsidR="008E6DDC">
        <w:t>written across the check.</w:t>
      </w:r>
    </w:p>
    <w:p w:rsidR="008E6DDC" w:rsidRDefault="008E6DDC" w:rsidP="009805C9">
      <w:pPr>
        <w:spacing w:line="360" w:lineRule="auto"/>
        <w:ind w:firstLine="1440"/>
      </w:pPr>
    </w:p>
    <w:p w:rsidR="008E6DDC" w:rsidRDefault="008E6DDC" w:rsidP="009805C9">
      <w:pPr>
        <w:spacing w:line="360" w:lineRule="auto"/>
        <w:ind w:firstLine="1440"/>
      </w:pPr>
      <w:r>
        <w:t>As a result of Complainant’s Objection, on December 18, 2015, a notice was issued to the Parties informing them that the initial telephonic hearing in this proceeding was scheduled before me for February 10, 2016 at 10:00 a.m.</w:t>
      </w:r>
    </w:p>
    <w:p w:rsidR="008E6DDC" w:rsidRDefault="008E6DDC" w:rsidP="009805C9">
      <w:pPr>
        <w:spacing w:line="360" w:lineRule="auto"/>
        <w:ind w:firstLine="1440"/>
      </w:pPr>
    </w:p>
    <w:p w:rsidR="00215F92" w:rsidRDefault="008E6DDC" w:rsidP="009805C9">
      <w:pPr>
        <w:spacing w:line="360" w:lineRule="auto"/>
        <w:ind w:firstLine="1440"/>
      </w:pPr>
      <w:r>
        <w:t xml:space="preserve">On January 25, 2016, Complainant filed with the </w:t>
      </w:r>
      <w:r w:rsidR="001F0630">
        <w:t>Secretary</w:t>
      </w:r>
      <w:r>
        <w:t xml:space="preserve"> her “Proposal to Resolve Legal and Factual Issues” setting forth the conditions under which her </w:t>
      </w:r>
      <w:r w:rsidR="007630A7">
        <w:t>C</w:t>
      </w:r>
      <w:r>
        <w:t xml:space="preserve">omplaint could be resolved.  She further maintained, “I will not accept a check drawn from the PPL </w:t>
      </w:r>
      <w:r w:rsidR="001F0630">
        <w:t>El</w:t>
      </w:r>
      <w:r>
        <w:t>ectric Utilities Cor</w:t>
      </w:r>
      <w:r w:rsidR="001F0630">
        <w:t>p</w:t>
      </w:r>
      <w:r>
        <w:t xml:space="preserve">. </w:t>
      </w:r>
      <w:r w:rsidR="001F0630">
        <w:t>a</w:t>
      </w:r>
      <w:r>
        <w:t>ccount of Ronald L. Hoff</w:t>
      </w:r>
      <w:r w:rsidR="001F0630">
        <w:t>man</w:t>
      </w:r>
      <w:r>
        <w:t>.</w:t>
      </w:r>
      <w:r w:rsidR="001F0630">
        <w:t>”</w:t>
      </w:r>
      <w:r>
        <w:t xml:space="preserve">  </w:t>
      </w:r>
      <w:r w:rsidR="001F0630">
        <w:t>However,</w:t>
      </w:r>
      <w:r>
        <w:t xml:space="preserve"> </w:t>
      </w:r>
      <w:r w:rsidR="001F0630">
        <w:t>Ms. de Hoff asserted she could accept a check payable to her on PPL Corporation’s account</w:t>
      </w:r>
      <w:r w:rsidR="00A261F8">
        <w:t>.</w:t>
      </w:r>
    </w:p>
    <w:p w:rsidR="00A261F8" w:rsidRDefault="00A261F8" w:rsidP="009805C9">
      <w:pPr>
        <w:spacing w:line="360" w:lineRule="auto"/>
        <w:ind w:firstLine="1440"/>
      </w:pPr>
    </w:p>
    <w:p w:rsidR="00060C76" w:rsidRDefault="00060C76" w:rsidP="009805C9">
      <w:pPr>
        <w:spacing w:line="360" w:lineRule="auto"/>
        <w:ind w:firstLine="1440"/>
      </w:pPr>
      <w:r>
        <w:t xml:space="preserve">On February 2, 2016, Ms. de Hoff sent a </w:t>
      </w:r>
      <w:r w:rsidR="00406315">
        <w:t>“</w:t>
      </w:r>
      <w:r>
        <w:t>Withdrawal of 3/17/15 Formal Complaint</w:t>
      </w:r>
      <w:r w:rsidR="00406315">
        <w:t>”</w:t>
      </w:r>
      <w:r>
        <w:t xml:space="preserve"> (Withdrawal) to the Secretary and copied counsel for PPL.  In her Withdrawal, Ms.</w:t>
      </w:r>
      <w:r w:rsidR="00FA4874">
        <w:t> </w:t>
      </w:r>
      <w:r>
        <w:t xml:space="preserve">de Hoff </w:t>
      </w:r>
      <w:r w:rsidR="00406315">
        <w:t xml:space="preserve">stated, “I am withdrawing my 3/17/15 Formal Complaint to the Pennsylvania Public Utility </w:t>
      </w:r>
      <w:r w:rsidR="00FA4874">
        <w:t>Commission</w:t>
      </w:r>
      <w:r w:rsidR="00406315">
        <w:t xml:space="preserve"> on today’s date.”  Ms. de Hoff further </w:t>
      </w:r>
      <w:r>
        <w:t xml:space="preserve">asserted, “I would need a lawyer to continue, and the issues raised by my complaint may belong </w:t>
      </w:r>
      <w:r w:rsidR="00D870AF">
        <w:t>in</w:t>
      </w:r>
      <w:r>
        <w:t xml:space="preserve"> another court or legal venue.”  I received a copy of the Withdrawal on February 4, 2016.  PPL did not file a response to the Withdrawal.  The Withdrawal was made public when it was docketed by the Secretary on February 11, 2016.</w:t>
      </w:r>
    </w:p>
    <w:p w:rsidR="00060C76" w:rsidRDefault="00060C76" w:rsidP="009805C9">
      <w:pPr>
        <w:spacing w:line="360" w:lineRule="auto"/>
        <w:ind w:firstLine="1440"/>
      </w:pPr>
    </w:p>
    <w:p w:rsidR="00AD4A95" w:rsidRDefault="00AD4A95" w:rsidP="009805C9">
      <w:pPr>
        <w:spacing w:line="360" w:lineRule="auto"/>
        <w:ind w:firstLine="1440"/>
      </w:pPr>
      <w:r>
        <w:t xml:space="preserve">The telephonic hearing convened as scheduled on February 10, 2016, at </w:t>
      </w:r>
      <w:r>
        <w:lastRenderedPageBreak/>
        <w:t>10:00</w:t>
      </w:r>
      <w:r w:rsidR="00FA4874">
        <w:t> </w:t>
      </w:r>
      <w:r>
        <w:t xml:space="preserve">a.m.  However, neither Complainant nor Respondent was present when the hearing convened.  The hearing was briefly recessed at 10:11 a.m. to provide additional time for the Parties to appear. </w:t>
      </w:r>
      <w:r w:rsidR="002C6C06">
        <w:t xml:space="preserve"> </w:t>
      </w:r>
      <w:r>
        <w:t>The hearing reconvened at 10:23 a.m.</w:t>
      </w:r>
      <w:r w:rsidR="00406315">
        <w:t>;</w:t>
      </w:r>
      <w:r>
        <w:t xml:space="preserve"> however, neither Complainant nor Respondent was present.  Accordingly, the hearing proceed</w:t>
      </w:r>
      <w:r w:rsidR="00FA4874">
        <w:t>ed</w:t>
      </w:r>
      <w:r>
        <w:t xml:space="preserve"> in their absences.</w:t>
      </w:r>
    </w:p>
    <w:p w:rsidR="00B338F5" w:rsidRDefault="00B338F5" w:rsidP="009805C9">
      <w:pPr>
        <w:spacing w:line="360" w:lineRule="auto"/>
        <w:ind w:firstLine="1440"/>
      </w:pPr>
    </w:p>
    <w:p w:rsidR="008D66C4" w:rsidRDefault="00B338F5" w:rsidP="009805C9">
      <w:pPr>
        <w:spacing w:line="360" w:lineRule="auto"/>
        <w:ind w:firstLine="1440"/>
      </w:pPr>
      <w:r>
        <w:t>I noted on the record that the Commission’s regulations at Chapter 52 of the Pennsylvania Code</w:t>
      </w:r>
      <w:r w:rsidR="002C6C06">
        <w:t>,</w:t>
      </w:r>
      <w:r>
        <w:t xml:space="preserve"> Section 5.94(a) permit a party to withdraw a pleading in a contested proceeding. </w:t>
      </w:r>
      <w:r w:rsidR="002C6C06">
        <w:t xml:space="preserve"> </w:t>
      </w:r>
      <w:r>
        <w:t>52 Pa.Code § 5.94(a).  Therefore, I treat</w:t>
      </w:r>
      <w:r w:rsidR="002C6C06">
        <w:t>ed</w:t>
      </w:r>
      <w:r>
        <w:t xml:space="preserve"> Ms. de Hoff’s Withdrawal as a Petition </w:t>
      </w:r>
      <w:r w:rsidR="002C6C06">
        <w:t xml:space="preserve">for Leave to </w:t>
      </w:r>
      <w:r>
        <w:t>Withdraw Complaint.  I further noted on the record that under Section</w:t>
      </w:r>
      <w:r w:rsidR="00AD4A95">
        <w:t xml:space="preserve"> </w:t>
      </w:r>
      <w:r>
        <w:t xml:space="preserve">5.94(a) a party may object to the Petition within 10 days of service.  To date, no objection has been filed to the Petition. </w:t>
      </w:r>
      <w:r w:rsidR="00AD4A95">
        <w:t xml:space="preserve"> </w:t>
      </w:r>
    </w:p>
    <w:p w:rsidR="00B542CB" w:rsidRDefault="00B542CB" w:rsidP="009805C9">
      <w:pPr>
        <w:spacing w:line="360" w:lineRule="auto"/>
        <w:ind w:firstLine="1440"/>
      </w:pPr>
    </w:p>
    <w:p w:rsidR="00B542CB" w:rsidRDefault="00B542CB" w:rsidP="009805C9">
      <w:pPr>
        <w:spacing w:line="360" w:lineRule="auto"/>
        <w:ind w:firstLine="1440"/>
      </w:pPr>
      <w:r>
        <w:t>The telephonic hearing generated a 10-page transcript, which was filed with the Commission on March 1, 2016, and received by me on March 3, 2016.  The record was closed by interim order entered on March 4, 2016.</w:t>
      </w:r>
    </w:p>
    <w:p w:rsidR="00B338F5" w:rsidRDefault="00B338F5" w:rsidP="009805C9">
      <w:pPr>
        <w:spacing w:line="360" w:lineRule="auto"/>
        <w:ind w:firstLine="1440"/>
      </w:pPr>
    </w:p>
    <w:p w:rsidR="00A613D8" w:rsidRPr="00D026FD" w:rsidRDefault="00CF4C26" w:rsidP="009805C9">
      <w:pPr>
        <w:pStyle w:val="p6"/>
        <w:tabs>
          <w:tab w:val="clear" w:pos="204"/>
        </w:tabs>
        <w:spacing w:line="360" w:lineRule="auto"/>
      </w:pPr>
      <w:r w:rsidRPr="00D026FD">
        <w:t xml:space="preserve">  </w:t>
      </w:r>
      <w:r w:rsidR="00786FE9" w:rsidRPr="00D026FD">
        <w:tab/>
      </w:r>
      <w:r w:rsidR="00786FE9" w:rsidRPr="00D026FD">
        <w:tab/>
      </w:r>
      <w:r w:rsidR="00A613D8" w:rsidRPr="00D026FD">
        <w:t>For the reasons se</w:t>
      </w:r>
      <w:r w:rsidR="00786FE9" w:rsidRPr="00D026FD">
        <w:t xml:space="preserve">t forth below, I will grant </w:t>
      </w:r>
      <w:r w:rsidR="00C26BED">
        <w:t>M</w:t>
      </w:r>
      <w:r w:rsidR="00B542CB">
        <w:t>s</w:t>
      </w:r>
      <w:r w:rsidR="00C26BED">
        <w:t xml:space="preserve">. </w:t>
      </w:r>
      <w:r w:rsidR="00B542CB">
        <w:t xml:space="preserve">de Hoff’s Petition </w:t>
      </w:r>
      <w:r w:rsidR="0059218A">
        <w:t>for Leave t</w:t>
      </w:r>
      <w:r w:rsidR="00B542CB">
        <w:t>o Withdraw Complaint.</w:t>
      </w:r>
    </w:p>
    <w:p w:rsidR="00A613D8" w:rsidRPr="00D026FD" w:rsidRDefault="00A613D8" w:rsidP="009805C9">
      <w:pPr>
        <w:tabs>
          <w:tab w:val="left" w:pos="204"/>
        </w:tabs>
        <w:spacing w:line="360" w:lineRule="auto"/>
      </w:pPr>
    </w:p>
    <w:p w:rsidR="00A613D8" w:rsidRPr="00D026FD" w:rsidRDefault="00A613D8" w:rsidP="009805C9">
      <w:pPr>
        <w:pStyle w:val="c2"/>
        <w:tabs>
          <w:tab w:val="left" w:pos="204"/>
        </w:tabs>
        <w:spacing w:line="360" w:lineRule="auto"/>
      </w:pPr>
      <w:r w:rsidRPr="00D026FD">
        <w:rPr>
          <w:u w:val="single"/>
        </w:rPr>
        <w:t>FINDINGS OF FACT</w:t>
      </w:r>
    </w:p>
    <w:p w:rsidR="00A613D8" w:rsidRPr="00D026FD" w:rsidRDefault="00A613D8" w:rsidP="009805C9">
      <w:pPr>
        <w:tabs>
          <w:tab w:val="left" w:pos="204"/>
        </w:tabs>
        <w:spacing w:line="360" w:lineRule="auto"/>
      </w:pPr>
    </w:p>
    <w:p w:rsidR="008B4783" w:rsidRPr="00D026FD" w:rsidRDefault="00A613D8" w:rsidP="009805C9">
      <w:pPr>
        <w:tabs>
          <w:tab w:val="left" w:pos="2160"/>
        </w:tabs>
        <w:spacing w:line="360" w:lineRule="auto"/>
        <w:ind w:firstLine="1440"/>
      </w:pPr>
      <w:r w:rsidRPr="00D026FD">
        <w:t>1.</w:t>
      </w:r>
      <w:r w:rsidRPr="00D026FD">
        <w:tab/>
      </w:r>
      <w:r w:rsidR="00C26BED">
        <w:t xml:space="preserve">Complainant </w:t>
      </w:r>
      <w:r w:rsidR="00903F4E">
        <w:t xml:space="preserve">Janice Wideman de Hoff is a ratepayer of Respondent. </w:t>
      </w:r>
    </w:p>
    <w:p w:rsidR="00A613D8" w:rsidRPr="00D026FD" w:rsidRDefault="00A613D8" w:rsidP="009805C9">
      <w:pPr>
        <w:tabs>
          <w:tab w:val="left" w:pos="1496"/>
          <w:tab w:val="left" w:pos="2239"/>
        </w:tabs>
        <w:spacing w:line="360" w:lineRule="auto"/>
        <w:ind w:firstLine="1440"/>
      </w:pPr>
    </w:p>
    <w:p w:rsidR="00720CC7" w:rsidRDefault="00DD3BEF" w:rsidP="00DD3BEF">
      <w:pPr>
        <w:spacing w:line="360" w:lineRule="auto"/>
      </w:pPr>
      <w:r>
        <w:tab/>
      </w:r>
      <w:r>
        <w:tab/>
      </w:r>
      <w:r w:rsidR="006F4A2A" w:rsidRPr="00D026FD">
        <w:t>2.</w:t>
      </w:r>
      <w:r w:rsidR="00A613D8" w:rsidRPr="00D026FD">
        <w:tab/>
      </w:r>
      <w:r w:rsidR="00720CC7">
        <w:t>Respondent PPL Electric Utilities Corporation is a jurisdictional public utility providing electric service to Pennsylvania customers.</w:t>
      </w:r>
    </w:p>
    <w:p w:rsidR="00720CC7" w:rsidRDefault="00720CC7" w:rsidP="00DD3BEF">
      <w:pPr>
        <w:spacing w:line="360" w:lineRule="auto"/>
      </w:pPr>
    </w:p>
    <w:p w:rsidR="00DB1E9A" w:rsidRDefault="00DB1E9A" w:rsidP="00DD3BEF">
      <w:pPr>
        <w:spacing w:line="360" w:lineRule="auto"/>
      </w:pPr>
      <w:r>
        <w:tab/>
      </w:r>
      <w:r>
        <w:tab/>
        <w:t>3.</w:t>
      </w:r>
      <w:r>
        <w:tab/>
        <w:t>On March 17, 2015, Complainant filed a Complaint against Respondent.</w:t>
      </w:r>
    </w:p>
    <w:p w:rsidR="00DB1E9A" w:rsidRDefault="00DB1E9A" w:rsidP="00DD3BEF">
      <w:pPr>
        <w:spacing w:line="360" w:lineRule="auto"/>
      </w:pPr>
    </w:p>
    <w:p w:rsidR="00DB1E9A" w:rsidRDefault="00DB1E9A" w:rsidP="00DD3BEF">
      <w:pPr>
        <w:spacing w:line="360" w:lineRule="auto"/>
      </w:pPr>
      <w:r>
        <w:tab/>
      </w:r>
      <w:r>
        <w:tab/>
        <w:t>4.</w:t>
      </w:r>
      <w:r>
        <w:tab/>
        <w:t>On April 16, 2015, Respondent filed an Answer to the Complaint and amended its Answer on April 17, 2015.</w:t>
      </w:r>
    </w:p>
    <w:p w:rsidR="00DB1E9A" w:rsidRDefault="00DB1E9A" w:rsidP="00DD3BEF">
      <w:pPr>
        <w:spacing w:line="360" w:lineRule="auto"/>
      </w:pPr>
    </w:p>
    <w:p w:rsidR="00F65527" w:rsidRDefault="008F6470" w:rsidP="009805C9">
      <w:pPr>
        <w:pStyle w:val="p10"/>
        <w:tabs>
          <w:tab w:val="clear" w:pos="1496"/>
          <w:tab w:val="clear" w:pos="2239"/>
          <w:tab w:val="left" w:pos="2160"/>
        </w:tabs>
        <w:spacing w:line="360" w:lineRule="auto"/>
        <w:ind w:firstLine="1440"/>
      </w:pPr>
      <w:r>
        <w:lastRenderedPageBreak/>
        <w:t xml:space="preserve"> 5</w:t>
      </w:r>
      <w:r w:rsidR="00F270FB" w:rsidRPr="00D026FD">
        <w:t>.</w:t>
      </w:r>
      <w:r w:rsidR="00F270FB" w:rsidRPr="00D026FD">
        <w:tab/>
        <w:t xml:space="preserve">On </w:t>
      </w:r>
      <w:r w:rsidR="00DB1E9A">
        <w:t xml:space="preserve">February 2, 2016, Complainant filed a </w:t>
      </w:r>
      <w:r w:rsidR="00406315">
        <w:t>“</w:t>
      </w:r>
      <w:r w:rsidR="00F65527">
        <w:t>Withdrawal of 3/17/15 Formal Complaint</w:t>
      </w:r>
      <w:r w:rsidR="00406315">
        <w:t>”</w:t>
      </w:r>
      <w:r w:rsidR="00000B82">
        <w:t xml:space="preserve"> (Withdrawal)</w:t>
      </w:r>
      <w:r w:rsidR="00F65527">
        <w:t xml:space="preserve">, </w:t>
      </w:r>
      <w:r w:rsidR="00000B82">
        <w:t>stating</w:t>
      </w:r>
      <w:r w:rsidR="00DB1E9A">
        <w:t xml:space="preserve"> </w:t>
      </w:r>
      <w:r w:rsidR="00F65527">
        <w:t xml:space="preserve">she was withdrawing her </w:t>
      </w:r>
      <w:r w:rsidR="00000B82">
        <w:t xml:space="preserve">Complaint with the Commission </w:t>
      </w:r>
      <w:r w:rsidR="00406315">
        <w:t>as of February 2, 2016.</w:t>
      </w:r>
      <w:r w:rsidR="00000B82">
        <w:t xml:space="preserve"> </w:t>
      </w:r>
    </w:p>
    <w:p w:rsidR="00000B82" w:rsidRDefault="00000B82" w:rsidP="009805C9">
      <w:pPr>
        <w:pStyle w:val="p10"/>
        <w:tabs>
          <w:tab w:val="clear" w:pos="1496"/>
          <w:tab w:val="clear" w:pos="2239"/>
          <w:tab w:val="left" w:pos="2160"/>
        </w:tabs>
        <w:spacing w:line="360" w:lineRule="auto"/>
        <w:ind w:firstLine="1440"/>
      </w:pPr>
    </w:p>
    <w:p w:rsidR="00DB1E9A" w:rsidRDefault="008F6470" w:rsidP="009805C9">
      <w:pPr>
        <w:pStyle w:val="p10"/>
        <w:tabs>
          <w:tab w:val="clear" w:pos="1496"/>
          <w:tab w:val="clear" w:pos="2239"/>
          <w:tab w:val="left" w:pos="2160"/>
        </w:tabs>
        <w:spacing w:line="360" w:lineRule="auto"/>
        <w:ind w:firstLine="1440"/>
      </w:pPr>
      <w:r>
        <w:t>6</w:t>
      </w:r>
      <w:r w:rsidR="00000B82">
        <w:t>.</w:t>
      </w:r>
      <w:r w:rsidR="00000B82">
        <w:tab/>
        <w:t xml:space="preserve">In her Withdrawal, Complainant stated, “I would </w:t>
      </w:r>
      <w:r w:rsidR="00DB1E9A">
        <w:t xml:space="preserve">need a lawyer to continue, and the issues raised </w:t>
      </w:r>
      <w:r w:rsidR="00406315">
        <w:t>by my</w:t>
      </w:r>
      <w:r w:rsidR="00DB1E9A">
        <w:t xml:space="preserve"> complaint may belong in another court or legal venue.</w:t>
      </w:r>
      <w:r w:rsidR="00000B82">
        <w:t>”</w:t>
      </w:r>
    </w:p>
    <w:p w:rsidR="00DB1E9A" w:rsidRDefault="00DB1E9A" w:rsidP="009805C9">
      <w:pPr>
        <w:pStyle w:val="p10"/>
        <w:tabs>
          <w:tab w:val="clear" w:pos="1496"/>
          <w:tab w:val="clear" w:pos="2239"/>
          <w:tab w:val="left" w:pos="2160"/>
        </w:tabs>
        <w:spacing w:line="360" w:lineRule="auto"/>
        <w:ind w:firstLine="1440"/>
      </w:pPr>
    </w:p>
    <w:p w:rsidR="00DB1E9A" w:rsidRDefault="008F6470" w:rsidP="009805C9">
      <w:pPr>
        <w:pStyle w:val="p10"/>
        <w:tabs>
          <w:tab w:val="clear" w:pos="1496"/>
          <w:tab w:val="clear" w:pos="2239"/>
          <w:tab w:val="left" w:pos="2160"/>
        </w:tabs>
        <w:spacing w:line="360" w:lineRule="auto"/>
        <w:ind w:firstLine="1440"/>
      </w:pPr>
      <w:r>
        <w:t>7</w:t>
      </w:r>
      <w:r w:rsidR="00DB1E9A">
        <w:t>.</w:t>
      </w:r>
      <w:r w:rsidR="00DB1E9A">
        <w:tab/>
        <w:t xml:space="preserve">Respondent did not file a response to Complainant’s </w:t>
      </w:r>
      <w:r w:rsidR="00000B82">
        <w:t>Withdrawal.</w:t>
      </w:r>
      <w:r w:rsidR="00DB1E9A">
        <w:t xml:space="preserve"> </w:t>
      </w:r>
    </w:p>
    <w:p w:rsidR="00127964" w:rsidRDefault="00127964" w:rsidP="00B050CF">
      <w:pPr>
        <w:tabs>
          <w:tab w:val="left" w:pos="2160"/>
        </w:tabs>
        <w:spacing w:line="360" w:lineRule="auto"/>
        <w:ind w:firstLine="1440"/>
      </w:pPr>
    </w:p>
    <w:p w:rsidR="00E5097C" w:rsidRPr="00E5097C" w:rsidRDefault="00E5097C" w:rsidP="00E5097C">
      <w:pPr>
        <w:spacing w:line="360" w:lineRule="auto"/>
      </w:pPr>
      <w:r>
        <w:tab/>
      </w:r>
      <w:r>
        <w:tab/>
      </w:r>
      <w:r w:rsidR="008F6470">
        <w:t>8</w:t>
      </w:r>
      <w:r w:rsidR="00AF7DD5">
        <w:t>.</w:t>
      </w:r>
      <w:r w:rsidR="00AF7DD5">
        <w:tab/>
        <w:t xml:space="preserve"> By Telep</w:t>
      </w:r>
      <w:r w:rsidR="002C6C06">
        <w:t>h</w:t>
      </w:r>
      <w:r w:rsidR="00AF7DD5">
        <w:t>one Hearing Notice</w:t>
      </w:r>
      <w:r w:rsidR="002C6C06">
        <w:t xml:space="preserve"> </w:t>
      </w:r>
      <w:r w:rsidRPr="00E5097C">
        <w:t xml:space="preserve">dated </w:t>
      </w:r>
      <w:r>
        <w:t>December 18, 2015</w:t>
      </w:r>
      <w:r w:rsidRPr="00E5097C">
        <w:t xml:space="preserve">, the Commission scheduled this matter for a telephonic hearing on Wednesday, </w:t>
      </w:r>
      <w:r>
        <w:t>February 10,</w:t>
      </w:r>
      <w:r w:rsidRPr="00E5097C">
        <w:t xml:space="preserve"> </w:t>
      </w:r>
      <w:r>
        <w:t xml:space="preserve">2016 </w:t>
      </w:r>
      <w:r w:rsidRPr="00E5097C">
        <w:t>at 10:00 a.m.</w:t>
      </w:r>
    </w:p>
    <w:p w:rsidR="00E5097C" w:rsidRPr="00E5097C" w:rsidRDefault="00E5097C" w:rsidP="00E5097C">
      <w:pPr>
        <w:widowControl/>
        <w:adjustRightInd/>
        <w:spacing w:line="360" w:lineRule="auto"/>
      </w:pPr>
    </w:p>
    <w:p w:rsidR="00E5097C" w:rsidRPr="00E5097C" w:rsidRDefault="00E5097C" w:rsidP="00E5097C">
      <w:pPr>
        <w:widowControl/>
        <w:adjustRightInd/>
        <w:spacing w:line="360" w:lineRule="auto"/>
      </w:pPr>
      <w:r w:rsidRPr="00E5097C">
        <w:tab/>
      </w:r>
      <w:r w:rsidRPr="00E5097C">
        <w:tab/>
      </w:r>
      <w:r w:rsidR="008F6470">
        <w:t>9</w:t>
      </w:r>
      <w:r w:rsidRPr="00E5097C">
        <w:t>.</w:t>
      </w:r>
      <w:r w:rsidRPr="00E5097C">
        <w:tab/>
        <w:t xml:space="preserve">The Commission sent </w:t>
      </w:r>
      <w:r w:rsidR="00406315">
        <w:t xml:space="preserve">the </w:t>
      </w:r>
      <w:r>
        <w:t xml:space="preserve">Telephone </w:t>
      </w:r>
      <w:r w:rsidRPr="00E5097C">
        <w:t xml:space="preserve">Hearing Notice to Complainant </w:t>
      </w:r>
      <w:r>
        <w:t xml:space="preserve">and Respondent </w:t>
      </w:r>
      <w:r w:rsidRPr="00E5097C">
        <w:t>by regular first-class mail to the address</w:t>
      </w:r>
      <w:r>
        <w:t>es</w:t>
      </w:r>
      <w:r w:rsidRPr="00E5097C">
        <w:t xml:space="preserve"> stated on the</w:t>
      </w:r>
      <w:r w:rsidR="00406315">
        <w:t>ir</w:t>
      </w:r>
      <w:r w:rsidRPr="00E5097C">
        <w:t xml:space="preserve"> Complaint</w:t>
      </w:r>
      <w:r>
        <w:t xml:space="preserve"> and </w:t>
      </w:r>
      <w:r w:rsidR="00795659">
        <w:t xml:space="preserve">Amended </w:t>
      </w:r>
      <w:r>
        <w:t>Answer, respectively</w:t>
      </w:r>
      <w:r w:rsidRPr="00E5097C">
        <w:t>.</w:t>
      </w:r>
    </w:p>
    <w:p w:rsidR="00E5097C" w:rsidRPr="00E5097C" w:rsidRDefault="00E5097C" w:rsidP="00E5097C">
      <w:pPr>
        <w:widowControl/>
        <w:adjustRightInd/>
        <w:spacing w:line="360" w:lineRule="auto"/>
      </w:pPr>
    </w:p>
    <w:p w:rsidR="00E5097C" w:rsidRPr="00E5097C" w:rsidRDefault="00E5097C" w:rsidP="00E5097C">
      <w:pPr>
        <w:widowControl/>
        <w:adjustRightInd/>
        <w:spacing w:line="360" w:lineRule="auto"/>
      </w:pPr>
      <w:r w:rsidRPr="00E5097C">
        <w:tab/>
      </w:r>
      <w:r w:rsidRPr="00E5097C">
        <w:tab/>
      </w:r>
      <w:r w:rsidR="008F6470">
        <w:t>10</w:t>
      </w:r>
      <w:r w:rsidRPr="00E5097C">
        <w:t>.</w:t>
      </w:r>
      <w:r w:rsidRPr="00E5097C">
        <w:tab/>
        <w:t xml:space="preserve">The Commission’s </w:t>
      </w:r>
      <w:r>
        <w:t xml:space="preserve">Telephone Hearing Notice </w:t>
      </w:r>
      <w:r w:rsidRPr="00E5097C">
        <w:t xml:space="preserve">was not returned to the Commission by the U.S. Postal Service as undeliverable to </w:t>
      </w:r>
      <w:r w:rsidR="00F65527">
        <w:t xml:space="preserve">either </w:t>
      </w:r>
      <w:r w:rsidRPr="00E5097C">
        <w:t>Complainant</w:t>
      </w:r>
      <w:r w:rsidR="00F65527">
        <w:t xml:space="preserve"> or Respondent</w:t>
      </w:r>
      <w:r w:rsidRPr="00E5097C">
        <w:t>.</w:t>
      </w:r>
    </w:p>
    <w:p w:rsidR="00E5097C" w:rsidRPr="00E5097C" w:rsidRDefault="00E5097C" w:rsidP="00E5097C">
      <w:pPr>
        <w:widowControl/>
        <w:adjustRightInd/>
        <w:spacing w:line="360" w:lineRule="auto"/>
      </w:pPr>
    </w:p>
    <w:p w:rsidR="00AF7DD5" w:rsidRDefault="00E5097C" w:rsidP="00F65527">
      <w:pPr>
        <w:widowControl/>
        <w:adjustRightInd/>
        <w:spacing w:line="360" w:lineRule="auto"/>
      </w:pPr>
      <w:r w:rsidRPr="00E5097C">
        <w:tab/>
      </w:r>
      <w:r w:rsidRPr="00E5097C">
        <w:tab/>
      </w:r>
      <w:r w:rsidR="008F6470">
        <w:t>11</w:t>
      </w:r>
      <w:r w:rsidRPr="00E5097C">
        <w:t>.</w:t>
      </w:r>
      <w:r w:rsidRPr="00E5097C">
        <w:tab/>
      </w:r>
      <w:r w:rsidR="00F65527">
        <w:t xml:space="preserve">Neither the Complainant nor Respondent participated in the hearing conducted on February 10, 2016. </w:t>
      </w:r>
    </w:p>
    <w:p w:rsidR="00F65527" w:rsidRDefault="00F65527" w:rsidP="00F65527">
      <w:pPr>
        <w:widowControl/>
        <w:adjustRightInd/>
        <w:spacing w:line="360" w:lineRule="auto"/>
      </w:pPr>
    </w:p>
    <w:p w:rsidR="00B050CF" w:rsidRDefault="00B050CF" w:rsidP="00B050CF">
      <w:pPr>
        <w:spacing w:line="360" w:lineRule="auto"/>
        <w:jc w:val="center"/>
      </w:pPr>
      <w:r w:rsidRPr="00F65527">
        <w:rPr>
          <w:u w:val="single"/>
        </w:rPr>
        <w:t>DISCUSSION</w:t>
      </w:r>
    </w:p>
    <w:p w:rsidR="00B050CF" w:rsidRDefault="00B050CF" w:rsidP="00406315">
      <w:pPr>
        <w:spacing w:line="360" w:lineRule="auto"/>
      </w:pPr>
    </w:p>
    <w:p w:rsidR="00406315" w:rsidRDefault="00406315" w:rsidP="00406315">
      <w:pPr>
        <w:spacing w:line="360" w:lineRule="auto"/>
      </w:pPr>
      <w:r w:rsidRPr="00406315">
        <w:rPr>
          <w:u w:val="single"/>
        </w:rPr>
        <w:t>Legal Standards</w:t>
      </w:r>
    </w:p>
    <w:p w:rsidR="00406315" w:rsidRPr="00406315" w:rsidRDefault="00406315" w:rsidP="00406315">
      <w:pPr>
        <w:spacing w:line="360" w:lineRule="auto"/>
      </w:pPr>
    </w:p>
    <w:p w:rsidR="00B050CF" w:rsidRDefault="00B050CF" w:rsidP="00B050CF">
      <w:pPr>
        <w:spacing w:line="360" w:lineRule="auto"/>
      </w:pPr>
      <w:r>
        <w:tab/>
      </w:r>
      <w:r>
        <w:tab/>
        <w:t xml:space="preserve">Section 5.94 of the </w:t>
      </w:r>
      <w:r w:rsidRPr="00AC5340">
        <w:t>Commission</w:t>
      </w:r>
      <w:r>
        <w:t>’s</w:t>
      </w:r>
      <w:r w:rsidRPr="00AC5340">
        <w:t xml:space="preserve"> regulations</w:t>
      </w:r>
      <w:r>
        <w:t xml:space="preserve">, </w:t>
      </w:r>
      <w:r w:rsidRPr="00AC5340">
        <w:t>52 Pa.Code §</w:t>
      </w:r>
      <w:r w:rsidR="00771174">
        <w:t xml:space="preserve"> </w:t>
      </w:r>
      <w:r w:rsidRPr="00AC5340">
        <w:t>5.94</w:t>
      </w:r>
      <w:r>
        <w:t xml:space="preserve">, in relevant part, </w:t>
      </w:r>
      <w:r w:rsidRPr="00AC5340">
        <w:t>provide</w:t>
      </w:r>
      <w:r>
        <w:t>s</w:t>
      </w:r>
      <w:r w:rsidR="0006114B">
        <w:t xml:space="preserve"> as follows</w:t>
      </w:r>
      <w:r>
        <w:t>:</w:t>
      </w:r>
    </w:p>
    <w:p w:rsidR="00B050CF" w:rsidRDefault="00B050CF" w:rsidP="00B050CF">
      <w:pPr>
        <w:spacing w:line="360" w:lineRule="auto"/>
      </w:pPr>
    </w:p>
    <w:p w:rsidR="00B050CF" w:rsidRDefault="00B050CF" w:rsidP="00B050CF">
      <w:pPr>
        <w:ind w:left="1440" w:right="1080"/>
      </w:pPr>
      <w:r>
        <w:tab/>
        <w:t xml:space="preserve">(a) … a party desiring to withdraw a pleading in a contested proceeding may file a petition for leave to withdraw the appropriate document with the Commission and serve it upon the other parties.  </w:t>
      </w:r>
      <w:r>
        <w:lastRenderedPageBreak/>
        <w:t xml:space="preserve">The petition must set forth the reasons for the withdrawal.  A party may object to the petition within </w:t>
      </w:r>
      <w:r w:rsidR="00795659">
        <w:t>1</w:t>
      </w:r>
      <w:r>
        <w:t xml:space="preserve">0 days of service.  After considering the petition, an objection thereto and the public interest, the presiding officer or the Commission will determine whether the withdrawal will be permitted. </w:t>
      </w:r>
    </w:p>
    <w:p w:rsidR="00B050CF" w:rsidRDefault="00B050CF" w:rsidP="00B050CF">
      <w:pPr>
        <w:spacing w:line="360" w:lineRule="auto"/>
        <w:ind w:left="1440" w:right="1080"/>
      </w:pPr>
    </w:p>
    <w:p w:rsidR="0006114B" w:rsidRDefault="00B050CF" w:rsidP="00B050CF">
      <w:pPr>
        <w:tabs>
          <w:tab w:val="left" w:pos="-720"/>
        </w:tabs>
        <w:suppressAutoHyphens/>
        <w:spacing w:line="360" w:lineRule="auto"/>
        <w:rPr>
          <w:spacing w:val="-3"/>
        </w:rPr>
      </w:pPr>
      <w:r>
        <w:rPr>
          <w:spacing w:val="-3"/>
        </w:rPr>
        <w:tab/>
      </w:r>
      <w:r w:rsidRPr="007021B7">
        <w:rPr>
          <w:spacing w:val="-3"/>
        </w:rPr>
        <w:tab/>
        <w:t xml:space="preserve">Although </w:t>
      </w:r>
      <w:r>
        <w:rPr>
          <w:spacing w:val="-3"/>
        </w:rPr>
        <w:t xml:space="preserve">Mr. </w:t>
      </w:r>
      <w:r w:rsidR="00000B82">
        <w:rPr>
          <w:spacing w:val="-3"/>
        </w:rPr>
        <w:t>de Hoff’s Withdrawal</w:t>
      </w:r>
      <w:r w:rsidRPr="007021B7">
        <w:rPr>
          <w:spacing w:val="-3"/>
        </w:rPr>
        <w:t xml:space="preserve"> does not conform to the requirements of a formal </w:t>
      </w:r>
      <w:r>
        <w:rPr>
          <w:spacing w:val="-3"/>
        </w:rPr>
        <w:t xml:space="preserve">petition </w:t>
      </w:r>
      <w:r w:rsidR="00000B82">
        <w:rPr>
          <w:spacing w:val="-3"/>
        </w:rPr>
        <w:t xml:space="preserve">for leave </w:t>
      </w:r>
      <w:r>
        <w:rPr>
          <w:spacing w:val="-3"/>
        </w:rPr>
        <w:t xml:space="preserve">to withdraw </w:t>
      </w:r>
      <w:r w:rsidR="00000B82">
        <w:rPr>
          <w:spacing w:val="-3"/>
        </w:rPr>
        <w:t xml:space="preserve">a pleading </w:t>
      </w:r>
      <w:r>
        <w:rPr>
          <w:spacing w:val="-3"/>
        </w:rPr>
        <w:t xml:space="preserve">under </w:t>
      </w:r>
      <w:r w:rsidRPr="007021B7">
        <w:rPr>
          <w:spacing w:val="-3"/>
        </w:rPr>
        <w:t xml:space="preserve">Section </w:t>
      </w:r>
      <w:r>
        <w:rPr>
          <w:spacing w:val="-3"/>
        </w:rPr>
        <w:t>5.94(a)</w:t>
      </w:r>
      <w:r w:rsidRPr="007021B7">
        <w:rPr>
          <w:spacing w:val="-3"/>
        </w:rPr>
        <w:t xml:space="preserve"> of the Commission’s regulations, waiver of this requirement is permitted.  Under Section 1.2, 52 Pa.Code §</w:t>
      </w:r>
      <w:r w:rsidR="00D04475">
        <w:rPr>
          <w:spacing w:val="-3"/>
        </w:rPr>
        <w:t xml:space="preserve"> </w:t>
      </w:r>
      <w:r w:rsidRPr="007021B7">
        <w:rPr>
          <w:spacing w:val="-3"/>
        </w:rPr>
        <w:t xml:space="preserve">1.2, a presiding officer at any stage of an action or proceeding may waive a requirement of a rule when necessary or appropriate, if waiver does not adversely affect a substantive right of a party.  Such are the circumstances in this case.  Therefore, </w:t>
      </w:r>
      <w:r w:rsidR="004E454E">
        <w:rPr>
          <w:spacing w:val="-3"/>
        </w:rPr>
        <w:t xml:space="preserve">Complainant’s </w:t>
      </w:r>
      <w:r w:rsidR="00000B82">
        <w:rPr>
          <w:spacing w:val="-3"/>
        </w:rPr>
        <w:t xml:space="preserve">Withdrawal </w:t>
      </w:r>
      <w:r w:rsidRPr="007021B7">
        <w:rPr>
          <w:spacing w:val="-3"/>
        </w:rPr>
        <w:t xml:space="preserve">for purposes of this </w:t>
      </w:r>
      <w:r>
        <w:rPr>
          <w:spacing w:val="-3"/>
        </w:rPr>
        <w:t>decision is</w:t>
      </w:r>
      <w:r w:rsidRPr="007021B7">
        <w:rPr>
          <w:spacing w:val="-3"/>
        </w:rPr>
        <w:t xml:space="preserve"> treated as </w:t>
      </w:r>
      <w:r w:rsidR="00795659">
        <w:rPr>
          <w:spacing w:val="-3"/>
        </w:rPr>
        <w:t xml:space="preserve">a </w:t>
      </w:r>
      <w:r>
        <w:rPr>
          <w:spacing w:val="-3"/>
        </w:rPr>
        <w:t xml:space="preserve">petition </w:t>
      </w:r>
      <w:r w:rsidR="00000B82">
        <w:rPr>
          <w:spacing w:val="-3"/>
        </w:rPr>
        <w:t xml:space="preserve">for leave </w:t>
      </w:r>
      <w:r>
        <w:rPr>
          <w:spacing w:val="-3"/>
        </w:rPr>
        <w:t xml:space="preserve">to withdraw a pleading </w:t>
      </w:r>
      <w:r w:rsidR="00393AF3">
        <w:rPr>
          <w:spacing w:val="-3"/>
        </w:rPr>
        <w:t>(Petition)</w:t>
      </w:r>
      <w:r w:rsidR="00795659">
        <w:rPr>
          <w:spacing w:val="-3"/>
        </w:rPr>
        <w:t>,</w:t>
      </w:r>
      <w:r w:rsidR="00393AF3">
        <w:rPr>
          <w:spacing w:val="-3"/>
        </w:rPr>
        <w:t xml:space="preserve"> </w:t>
      </w:r>
      <w:r>
        <w:rPr>
          <w:spacing w:val="-3"/>
        </w:rPr>
        <w:t>and the procedural defects will be disregarded</w:t>
      </w:r>
      <w:r w:rsidRPr="007021B7">
        <w:rPr>
          <w:spacing w:val="-3"/>
        </w:rPr>
        <w:t>.</w:t>
      </w:r>
    </w:p>
    <w:p w:rsidR="0006114B" w:rsidRDefault="0006114B" w:rsidP="00B050CF">
      <w:pPr>
        <w:tabs>
          <w:tab w:val="left" w:pos="-720"/>
        </w:tabs>
        <w:suppressAutoHyphens/>
        <w:spacing w:line="360" w:lineRule="auto"/>
        <w:rPr>
          <w:spacing w:val="-3"/>
        </w:rPr>
      </w:pPr>
    </w:p>
    <w:p w:rsidR="00B050CF" w:rsidRPr="0006114B" w:rsidRDefault="0006114B" w:rsidP="00B050CF">
      <w:pPr>
        <w:tabs>
          <w:tab w:val="left" w:pos="-720"/>
        </w:tabs>
        <w:suppressAutoHyphens/>
        <w:spacing w:line="360" w:lineRule="auto"/>
        <w:rPr>
          <w:spacing w:val="-3"/>
          <w:u w:val="single"/>
        </w:rPr>
      </w:pPr>
      <w:r w:rsidRPr="0006114B">
        <w:rPr>
          <w:spacing w:val="-3"/>
          <w:u w:val="single"/>
        </w:rPr>
        <w:t>Analysis</w:t>
      </w:r>
      <w:r w:rsidR="00B050CF" w:rsidRPr="0006114B">
        <w:rPr>
          <w:spacing w:val="-3"/>
        </w:rPr>
        <w:t xml:space="preserve">  </w:t>
      </w:r>
    </w:p>
    <w:p w:rsidR="00B050CF" w:rsidRDefault="00B050CF" w:rsidP="00B050CF">
      <w:pPr>
        <w:spacing w:line="360" w:lineRule="auto"/>
      </w:pPr>
    </w:p>
    <w:p w:rsidR="00B050CF" w:rsidRDefault="00B050CF" w:rsidP="00B050CF">
      <w:pPr>
        <w:spacing w:line="360" w:lineRule="auto"/>
      </w:pPr>
      <w:r>
        <w:tab/>
      </w:r>
      <w:r>
        <w:tab/>
        <w:t>The filing of M</w:t>
      </w:r>
      <w:r w:rsidR="00393AF3">
        <w:t>s</w:t>
      </w:r>
      <w:r>
        <w:t xml:space="preserve">. </w:t>
      </w:r>
      <w:r w:rsidR="00000B82">
        <w:t xml:space="preserve">de Hoff’s </w:t>
      </w:r>
      <w:r w:rsidR="0006114B">
        <w:t>C</w:t>
      </w:r>
      <w:r>
        <w:t xml:space="preserve">omplaint and </w:t>
      </w:r>
      <w:r w:rsidR="009A3798">
        <w:t>PPL</w:t>
      </w:r>
      <w:r>
        <w:t xml:space="preserve">’s </w:t>
      </w:r>
      <w:r w:rsidR="0006114B">
        <w:t>A</w:t>
      </w:r>
      <w:r w:rsidR="009A3798">
        <w:t xml:space="preserve">mended </w:t>
      </w:r>
      <w:r w:rsidR="0006114B">
        <w:t>A</w:t>
      </w:r>
      <w:r>
        <w:t xml:space="preserve">nswer thereto constitutes a contested </w:t>
      </w:r>
      <w:r w:rsidR="00393AF3">
        <w:t xml:space="preserve">or adversarial </w:t>
      </w:r>
      <w:r>
        <w:t>proceeding.</w:t>
      </w:r>
      <w:r w:rsidR="00393AF3" w:rsidRPr="00393AF3">
        <w:rPr>
          <w:rFonts w:cs="CG Times"/>
          <w:vertAlign w:val="superscript"/>
        </w:rPr>
        <w:t xml:space="preserve"> </w:t>
      </w:r>
      <w:r w:rsidR="00393AF3" w:rsidRPr="00393AF3">
        <w:rPr>
          <w:rFonts w:cs="CG Times"/>
          <w:vertAlign w:val="superscript"/>
        </w:rPr>
        <w:footnoteReference w:id="2"/>
      </w:r>
      <w:r w:rsidR="00393AF3" w:rsidRPr="00393AF3">
        <w:rPr>
          <w:rFonts w:cs="CG Times"/>
        </w:rPr>
        <w:t xml:space="preserve"> </w:t>
      </w:r>
      <w:r>
        <w:t xml:space="preserve"> Therefore the </w:t>
      </w:r>
      <w:r w:rsidR="00393AF3">
        <w:t>P</w:t>
      </w:r>
      <w:r>
        <w:t>etition must be considered under the provisions of Section 5.94</w:t>
      </w:r>
      <w:r w:rsidR="0006114B">
        <w:t>, cited above</w:t>
      </w:r>
      <w:r>
        <w:t xml:space="preserve">.  In </w:t>
      </w:r>
      <w:r w:rsidR="00393AF3">
        <w:t>her</w:t>
      </w:r>
      <w:r>
        <w:t xml:space="preserve"> </w:t>
      </w:r>
      <w:r w:rsidR="00393AF3">
        <w:t>P</w:t>
      </w:r>
      <w:r>
        <w:t>etition</w:t>
      </w:r>
      <w:r w:rsidR="00393AF3">
        <w:t>,</w:t>
      </w:r>
      <w:r>
        <w:t xml:space="preserve"> M</w:t>
      </w:r>
      <w:r w:rsidR="00393AF3">
        <w:t>s</w:t>
      </w:r>
      <w:r>
        <w:t xml:space="preserve">. </w:t>
      </w:r>
      <w:r w:rsidR="00393AF3">
        <w:t xml:space="preserve">de Hoff </w:t>
      </w:r>
      <w:r>
        <w:t xml:space="preserve">stated </w:t>
      </w:r>
      <w:r w:rsidR="00393AF3">
        <w:t>s</w:t>
      </w:r>
      <w:r>
        <w:t xml:space="preserve">he </w:t>
      </w:r>
      <w:r w:rsidR="00393AF3">
        <w:t xml:space="preserve">was withdrawing her complaint as of February 2, 2016.  She further asserted she may need a lawyer to continue </w:t>
      </w:r>
      <w:r w:rsidR="0006114B">
        <w:t>and</w:t>
      </w:r>
      <w:r w:rsidR="00393AF3">
        <w:t xml:space="preserve"> her </w:t>
      </w:r>
      <w:r w:rsidR="0006114B">
        <w:t>C</w:t>
      </w:r>
      <w:r w:rsidR="00393AF3">
        <w:t xml:space="preserve">omplaint may belong in another court or legal venue.  Ms. de Hoff did not participate in the telephone hearing convened in this proceeding on February 10, 2016 to give any further explanation as to the reason(s) for withdrawing her Complaint.  PPL did not file a response to the Petition. </w:t>
      </w:r>
      <w:r w:rsidR="0006114B">
        <w:t xml:space="preserve"> </w:t>
      </w:r>
      <w:r w:rsidR="00393AF3">
        <w:t>PPL also did not participat</w:t>
      </w:r>
      <w:r w:rsidR="00575703">
        <w:t xml:space="preserve">e in the telephone hearing conducted </w:t>
      </w:r>
      <w:r w:rsidR="0006114B">
        <w:t>i</w:t>
      </w:r>
      <w:r w:rsidR="00575703">
        <w:t xml:space="preserve">n </w:t>
      </w:r>
      <w:r w:rsidR="0006114B">
        <w:t>this proceeding</w:t>
      </w:r>
      <w:r w:rsidR="00575703">
        <w:t>.</w:t>
      </w:r>
      <w:r w:rsidR="00393AF3">
        <w:t xml:space="preserve"> </w:t>
      </w:r>
    </w:p>
    <w:p w:rsidR="00575703" w:rsidRDefault="00575703" w:rsidP="00B050CF">
      <w:pPr>
        <w:spacing w:line="360" w:lineRule="auto"/>
      </w:pPr>
    </w:p>
    <w:p w:rsidR="00127964" w:rsidRPr="00863BF7" w:rsidRDefault="00575703" w:rsidP="00B050CF">
      <w:pPr>
        <w:spacing w:line="360" w:lineRule="auto"/>
        <w:ind w:firstLine="1440"/>
      </w:pPr>
      <w:r>
        <w:t>Considering the above, t</w:t>
      </w:r>
      <w:r w:rsidR="00B050CF" w:rsidRPr="00863BF7">
        <w:t xml:space="preserve">he Commission has no interest in mandating that </w:t>
      </w:r>
      <w:r w:rsidR="00B050CF">
        <w:t>M</w:t>
      </w:r>
      <w:r>
        <w:t>s</w:t>
      </w:r>
      <w:r w:rsidR="00B050CF">
        <w:t>.</w:t>
      </w:r>
      <w:r w:rsidR="00486FEB">
        <w:t> </w:t>
      </w:r>
      <w:r w:rsidR="0078199F">
        <w:t>d</w:t>
      </w:r>
      <w:r>
        <w:t>e</w:t>
      </w:r>
      <w:r w:rsidR="0078199F">
        <w:t> </w:t>
      </w:r>
      <w:r>
        <w:t>Hoff</w:t>
      </w:r>
      <w:r w:rsidR="00B050CF">
        <w:t xml:space="preserve"> continue litigation when </w:t>
      </w:r>
      <w:r>
        <w:t>s</w:t>
      </w:r>
      <w:r w:rsidR="00B050CF">
        <w:t xml:space="preserve">he has </w:t>
      </w:r>
      <w:r w:rsidR="0006114B">
        <w:t>indicate</w:t>
      </w:r>
      <w:r w:rsidR="00B050CF">
        <w:t xml:space="preserve">d </w:t>
      </w:r>
      <w:r w:rsidR="0006114B">
        <w:t>s</w:t>
      </w:r>
      <w:r w:rsidR="00B050CF">
        <w:t xml:space="preserve">he </w:t>
      </w:r>
      <w:r w:rsidR="00B11719">
        <w:t xml:space="preserve">has no interest in </w:t>
      </w:r>
      <w:r w:rsidR="0006114B">
        <w:t>prosecuting her Complaint</w:t>
      </w:r>
      <w:r w:rsidR="00B11719">
        <w:t>.</w:t>
      </w:r>
      <w:r w:rsidR="00B050CF">
        <w:t xml:space="preserve">  In </w:t>
      </w:r>
      <w:r w:rsidR="00771174">
        <w:t xml:space="preserve">the </w:t>
      </w:r>
      <w:r w:rsidR="00B050CF">
        <w:t>instant case, M</w:t>
      </w:r>
      <w:r>
        <w:t>s</w:t>
      </w:r>
      <w:r w:rsidR="00B050CF">
        <w:t xml:space="preserve">. </w:t>
      </w:r>
      <w:r>
        <w:t>de Hoff</w:t>
      </w:r>
      <w:r w:rsidR="00B050CF">
        <w:t xml:space="preserve"> has effectively abandoned h</w:t>
      </w:r>
      <w:r>
        <w:t>er</w:t>
      </w:r>
      <w:r w:rsidR="00B050CF">
        <w:t xml:space="preserve"> </w:t>
      </w:r>
      <w:r>
        <w:t>C</w:t>
      </w:r>
      <w:r w:rsidR="00B050CF">
        <w:t>omplaint.</w:t>
      </w:r>
    </w:p>
    <w:p w:rsidR="00B050CF" w:rsidRPr="00863BF7" w:rsidRDefault="00B050CF" w:rsidP="00B050CF">
      <w:pPr>
        <w:spacing w:line="360" w:lineRule="auto"/>
        <w:ind w:firstLine="1440"/>
      </w:pPr>
      <w:r>
        <w:lastRenderedPageBreak/>
        <w:t>Accordingly, g</w:t>
      </w:r>
      <w:r w:rsidRPr="00863BF7">
        <w:t xml:space="preserve">ranting </w:t>
      </w:r>
      <w:r w:rsidR="00575703">
        <w:t>Complainant</w:t>
      </w:r>
      <w:r>
        <w:t xml:space="preserve">’s </w:t>
      </w:r>
      <w:r w:rsidRPr="00863BF7">
        <w:t xml:space="preserve">request </w:t>
      </w:r>
      <w:r w:rsidR="00575703">
        <w:t xml:space="preserve">for leave </w:t>
      </w:r>
      <w:r w:rsidRPr="00863BF7">
        <w:t xml:space="preserve">to withdraw </w:t>
      </w:r>
      <w:r>
        <w:t>h</w:t>
      </w:r>
      <w:r w:rsidR="00575703">
        <w:t>er</w:t>
      </w:r>
      <w:r>
        <w:t xml:space="preserve"> </w:t>
      </w:r>
      <w:r w:rsidR="00575703">
        <w:t>C</w:t>
      </w:r>
      <w:r>
        <w:t>omplaint w</w:t>
      </w:r>
      <w:r w:rsidRPr="00863BF7">
        <w:t xml:space="preserve">ill terminate the litigation, </w:t>
      </w:r>
      <w:r>
        <w:t xml:space="preserve">and thereby save the parties and the Commission </w:t>
      </w:r>
      <w:r w:rsidRPr="00863BF7">
        <w:t xml:space="preserve">the </w:t>
      </w:r>
      <w:r w:rsidR="00D0164E">
        <w:t xml:space="preserve">time and money </w:t>
      </w:r>
      <w:r>
        <w:t xml:space="preserve">in </w:t>
      </w:r>
      <w:r w:rsidR="00D0164E">
        <w:t xml:space="preserve">continuing </w:t>
      </w:r>
      <w:r>
        <w:t>litigat</w:t>
      </w:r>
      <w:r w:rsidR="00D0164E">
        <w:t xml:space="preserve">ion costs, </w:t>
      </w:r>
      <w:r>
        <w:t xml:space="preserve">without impacting the public interest. </w:t>
      </w:r>
    </w:p>
    <w:p w:rsidR="00B050CF" w:rsidRPr="00863BF7" w:rsidRDefault="00B050CF" w:rsidP="00B050CF">
      <w:pPr>
        <w:tabs>
          <w:tab w:val="left" w:pos="1496"/>
        </w:tabs>
        <w:spacing w:line="360" w:lineRule="auto"/>
      </w:pPr>
    </w:p>
    <w:p w:rsidR="00B050CF" w:rsidRPr="00D7713D" w:rsidRDefault="00B050CF" w:rsidP="00B050CF">
      <w:pPr>
        <w:tabs>
          <w:tab w:val="left" w:pos="1496"/>
        </w:tabs>
        <w:spacing w:line="360" w:lineRule="auto"/>
        <w:jc w:val="center"/>
        <w:outlineLvl w:val="0"/>
      </w:pPr>
      <w:r w:rsidRPr="00D7713D">
        <w:rPr>
          <w:u w:val="single"/>
        </w:rPr>
        <w:t>CONCLUSIONS OF LAW</w:t>
      </w:r>
    </w:p>
    <w:p w:rsidR="00B050CF" w:rsidRPr="00D7713D" w:rsidRDefault="00B050CF" w:rsidP="00B050CF">
      <w:pPr>
        <w:tabs>
          <w:tab w:val="left" w:pos="1496"/>
        </w:tabs>
        <w:spacing w:line="360" w:lineRule="auto"/>
      </w:pPr>
    </w:p>
    <w:p w:rsidR="00B050CF" w:rsidRPr="00D7713D" w:rsidRDefault="00B050CF" w:rsidP="00B050CF">
      <w:pPr>
        <w:tabs>
          <w:tab w:val="left" w:pos="1496"/>
          <w:tab w:val="left" w:pos="2239"/>
        </w:tabs>
        <w:spacing w:line="360" w:lineRule="auto"/>
        <w:ind w:firstLine="1496"/>
      </w:pPr>
      <w:r w:rsidRPr="00D7713D">
        <w:t>1.</w:t>
      </w:r>
      <w:r w:rsidRPr="00D7713D">
        <w:tab/>
        <w:t xml:space="preserve">The Commission has jurisdiction over the subject matter and the </w:t>
      </w:r>
      <w:r w:rsidR="00795659">
        <w:t>P</w:t>
      </w:r>
      <w:r w:rsidRPr="00D7713D">
        <w:t>arties to this proceeding.</w:t>
      </w:r>
      <w:r w:rsidR="00FF3BCA">
        <w:t xml:space="preserve">  66 Pa.C.S. § 701.</w:t>
      </w:r>
    </w:p>
    <w:p w:rsidR="00B050CF" w:rsidRPr="00D7713D" w:rsidRDefault="00B050CF" w:rsidP="00B050CF">
      <w:pPr>
        <w:tabs>
          <w:tab w:val="left" w:pos="1496"/>
          <w:tab w:val="left" w:pos="2239"/>
        </w:tabs>
        <w:spacing w:line="360" w:lineRule="auto"/>
        <w:ind w:firstLine="1496"/>
      </w:pPr>
    </w:p>
    <w:p w:rsidR="00B050CF" w:rsidRDefault="00B050CF" w:rsidP="00B050CF">
      <w:pPr>
        <w:tabs>
          <w:tab w:val="left" w:pos="1496"/>
          <w:tab w:val="left" w:pos="2239"/>
        </w:tabs>
        <w:spacing w:line="360" w:lineRule="auto"/>
        <w:ind w:firstLine="1496"/>
      </w:pPr>
      <w:r w:rsidRPr="00D7713D">
        <w:t>2.</w:t>
      </w:r>
      <w:r w:rsidRPr="00D7713D">
        <w:tab/>
      </w:r>
      <w:r>
        <w:t xml:space="preserve">Section </w:t>
      </w:r>
      <w:r w:rsidRPr="007021B7">
        <w:rPr>
          <w:spacing w:val="-3"/>
        </w:rPr>
        <w:t>1.2</w:t>
      </w:r>
      <w:r>
        <w:rPr>
          <w:spacing w:val="-3"/>
        </w:rPr>
        <w:t xml:space="preserve"> of the Commission’s </w:t>
      </w:r>
      <w:r w:rsidR="00771174">
        <w:rPr>
          <w:spacing w:val="-3"/>
        </w:rPr>
        <w:t>R</w:t>
      </w:r>
      <w:r>
        <w:rPr>
          <w:spacing w:val="-3"/>
        </w:rPr>
        <w:t xml:space="preserve">ules of </w:t>
      </w:r>
      <w:r w:rsidR="00771174">
        <w:rPr>
          <w:spacing w:val="-3"/>
        </w:rPr>
        <w:t>Practice and P</w:t>
      </w:r>
      <w:r>
        <w:rPr>
          <w:spacing w:val="-3"/>
        </w:rPr>
        <w:t>rocedure</w:t>
      </w:r>
      <w:r w:rsidRPr="007021B7">
        <w:rPr>
          <w:spacing w:val="-3"/>
        </w:rPr>
        <w:t>, 52 Pa.Code §</w:t>
      </w:r>
      <w:r w:rsidR="00CB1C88">
        <w:rPr>
          <w:spacing w:val="-3"/>
        </w:rPr>
        <w:t xml:space="preserve"> </w:t>
      </w:r>
      <w:r w:rsidRPr="007021B7">
        <w:rPr>
          <w:spacing w:val="-3"/>
        </w:rPr>
        <w:t xml:space="preserve">1.2, </w:t>
      </w:r>
      <w:r>
        <w:rPr>
          <w:spacing w:val="-3"/>
        </w:rPr>
        <w:t xml:space="preserve">provides that </w:t>
      </w:r>
      <w:r w:rsidRPr="007021B7">
        <w:rPr>
          <w:spacing w:val="-3"/>
        </w:rPr>
        <w:t>a presiding officer at any stage of an action or proceeding may waive a requirement of a rule when necessary or appropriate, if waiver does not adversely affect a substantive right of a party</w:t>
      </w:r>
      <w:r>
        <w:rPr>
          <w:spacing w:val="-3"/>
        </w:rPr>
        <w:t>.</w:t>
      </w:r>
    </w:p>
    <w:p w:rsidR="00B050CF" w:rsidRDefault="00B050CF" w:rsidP="00B050CF">
      <w:pPr>
        <w:tabs>
          <w:tab w:val="left" w:pos="1496"/>
          <w:tab w:val="left" w:pos="2239"/>
        </w:tabs>
        <w:spacing w:line="360" w:lineRule="auto"/>
        <w:ind w:firstLine="1496"/>
      </w:pPr>
    </w:p>
    <w:p w:rsidR="00B050CF" w:rsidRPr="00D7713D" w:rsidRDefault="00B050CF" w:rsidP="0078199F">
      <w:pPr>
        <w:tabs>
          <w:tab w:val="left" w:pos="1496"/>
          <w:tab w:val="left" w:pos="2239"/>
        </w:tabs>
        <w:spacing w:line="360" w:lineRule="auto"/>
        <w:ind w:firstLine="1496"/>
      </w:pPr>
      <w:r>
        <w:t>3.</w:t>
      </w:r>
      <w:r>
        <w:tab/>
        <w:t>Section 5</w:t>
      </w:r>
      <w:r w:rsidR="00771174">
        <w:t>.94</w:t>
      </w:r>
      <w:r>
        <w:t xml:space="preserve"> of the Commission’s </w:t>
      </w:r>
      <w:r w:rsidRPr="004F46F1">
        <w:t>Rules of Practice and Procedure</w:t>
      </w:r>
      <w:r>
        <w:t xml:space="preserve">, </w:t>
      </w:r>
      <w:r w:rsidRPr="00D7713D">
        <w:t>52 Pa.Code §</w:t>
      </w:r>
      <w:r w:rsidR="00CB1C88">
        <w:t xml:space="preserve"> </w:t>
      </w:r>
      <w:r w:rsidRPr="00D7713D">
        <w:t>5.94</w:t>
      </w:r>
      <w:r>
        <w:t>,</w:t>
      </w:r>
      <w:r w:rsidRPr="00D7713D">
        <w:t xml:space="preserve"> permit</w:t>
      </w:r>
      <w:r>
        <w:t>s</w:t>
      </w:r>
      <w:r w:rsidRPr="00D7713D">
        <w:t xml:space="preserve"> </w:t>
      </w:r>
      <w:r>
        <w:t xml:space="preserve">a party </w:t>
      </w:r>
      <w:r w:rsidRPr="00D7713D">
        <w:t>to withdraw</w:t>
      </w:r>
      <w:r>
        <w:t xml:space="preserve"> a pleading</w:t>
      </w:r>
      <w:r w:rsidRPr="00D7713D">
        <w:t xml:space="preserve"> in a contested proceeding by permission</w:t>
      </w:r>
      <w:r>
        <w:t xml:space="preserve"> </w:t>
      </w:r>
      <w:r w:rsidRPr="00D7713D">
        <w:t>of the presiding officer or Commission.</w:t>
      </w:r>
    </w:p>
    <w:p w:rsidR="00B050CF" w:rsidRPr="00D7713D" w:rsidRDefault="00B050CF" w:rsidP="00B050CF">
      <w:pPr>
        <w:tabs>
          <w:tab w:val="left" w:pos="1496"/>
          <w:tab w:val="left" w:pos="2239"/>
        </w:tabs>
        <w:spacing w:line="360" w:lineRule="auto"/>
      </w:pPr>
    </w:p>
    <w:p w:rsidR="00B050CF" w:rsidRPr="00D7713D" w:rsidRDefault="00B050CF" w:rsidP="00D0164E">
      <w:pPr>
        <w:tabs>
          <w:tab w:val="left" w:pos="1496"/>
          <w:tab w:val="left" w:pos="2239"/>
        </w:tabs>
        <w:spacing w:line="360" w:lineRule="auto"/>
        <w:ind w:firstLine="1496"/>
      </w:pPr>
      <w:r>
        <w:t>4</w:t>
      </w:r>
      <w:r w:rsidRPr="00D7713D">
        <w:t>.</w:t>
      </w:r>
      <w:r w:rsidRPr="00D7713D">
        <w:tab/>
        <w:t xml:space="preserve">In determining whether to permit withdrawal of </w:t>
      </w:r>
      <w:r w:rsidR="00795659">
        <w:t>a</w:t>
      </w:r>
      <w:r w:rsidRPr="00D7713D">
        <w:t xml:space="preserve"> pleading, the presiding officer or Commission must consider the petition, any objections thereto and the public interest.</w:t>
      </w:r>
      <w:r w:rsidR="00795659">
        <w:t xml:space="preserve">  52 Pa.Code </w:t>
      </w:r>
      <w:r w:rsidR="00795659">
        <w:t>§</w:t>
      </w:r>
      <w:r w:rsidR="00795659">
        <w:t xml:space="preserve"> 5.94(a).</w:t>
      </w:r>
    </w:p>
    <w:p w:rsidR="00B050CF" w:rsidRDefault="00B050CF" w:rsidP="00B050CF">
      <w:pPr>
        <w:tabs>
          <w:tab w:val="left" w:pos="1496"/>
          <w:tab w:val="left" w:pos="2239"/>
        </w:tabs>
        <w:spacing w:line="360" w:lineRule="auto"/>
        <w:jc w:val="center"/>
        <w:outlineLvl w:val="0"/>
        <w:rPr>
          <w:u w:val="single"/>
        </w:rPr>
      </w:pPr>
    </w:p>
    <w:p w:rsidR="00B050CF" w:rsidRPr="00D7713D" w:rsidRDefault="00B050CF" w:rsidP="00B050CF">
      <w:pPr>
        <w:tabs>
          <w:tab w:val="left" w:pos="1496"/>
          <w:tab w:val="left" w:pos="2239"/>
        </w:tabs>
        <w:spacing w:line="360" w:lineRule="auto"/>
        <w:jc w:val="center"/>
        <w:outlineLvl w:val="0"/>
      </w:pPr>
      <w:bookmarkStart w:id="0" w:name="_GoBack"/>
      <w:bookmarkEnd w:id="0"/>
      <w:r w:rsidRPr="00D7713D">
        <w:rPr>
          <w:u w:val="single"/>
        </w:rPr>
        <w:t>ORDER</w:t>
      </w:r>
    </w:p>
    <w:p w:rsidR="00B050CF" w:rsidRDefault="00B050CF" w:rsidP="00B050CF">
      <w:pPr>
        <w:tabs>
          <w:tab w:val="left" w:pos="1496"/>
          <w:tab w:val="left" w:pos="2239"/>
        </w:tabs>
        <w:spacing w:line="360" w:lineRule="auto"/>
      </w:pPr>
    </w:p>
    <w:p w:rsidR="00A919C8" w:rsidRDefault="00A919C8" w:rsidP="00B050CF">
      <w:pPr>
        <w:tabs>
          <w:tab w:val="left" w:pos="1496"/>
          <w:tab w:val="left" w:pos="2239"/>
        </w:tabs>
        <w:spacing w:line="360" w:lineRule="auto"/>
      </w:pPr>
    </w:p>
    <w:p w:rsidR="00B050CF" w:rsidRPr="00863BF7" w:rsidRDefault="00B050CF" w:rsidP="00B050CF">
      <w:pPr>
        <w:tabs>
          <w:tab w:val="left" w:pos="1496"/>
        </w:tabs>
        <w:spacing w:line="360" w:lineRule="auto"/>
        <w:ind w:firstLine="1496"/>
      </w:pPr>
      <w:r w:rsidRPr="00863BF7">
        <w:t>THEREFORE,</w:t>
      </w:r>
    </w:p>
    <w:p w:rsidR="00B050CF" w:rsidRPr="00863BF7" w:rsidRDefault="00B050CF" w:rsidP="00B050CF">
      <w:pPr>
        <w:tabs>
          <w:tab w:val="left" w:pos="1496"/>
        </w:tabs>
        <w:spacing w:line="360" w:lineRule="auto"/>
      </w:pPr>
    </w:p>
    <w:p w:rsidR="00B050CF" w:rsidRPr="00863BF7" w:rsidRDefault="00B050CF" w:rsidP="00B050CF">
      <w:pPr>
        <w:tabs>
          <w:tab w:val="left" w:pos="1496"/>
        </w:tabs>
        <w:spacing w:line="360" w:lineRule="auto"/>
        <w:ind w:firstLine="1496"/>
      </w:pPr>
      <w:r w:rsidRPr="00863BF7">
        <w:t>IT IS ORDERED:</w:t>
      </w:r>
    </w:p>
    <w:p w:rsidR="00B050CF" w:rsidRPr="00863BF7" w:rsidRDefault="00B050CF" w:rsidP="00B050CF">
      <w:pPr>
        <w:tabs>
          <w:tab w:val="left" w:pos="1496"/>
        </w:tabs>
        <w:spacing w:line="360" w:lineRule="auto"/>
      </w:pPr>
    </w:p>
    <w:p w:rsidR="00B050CF" w:rsidRPr="00863BF7" w:rsidRDefault="00B050CF" w:rsidP="00B050CF">
      <w:pPr>
        <w:tabs>
          <w:tab w:val="left" w:pos="2160"/>
        </w:tabs>
        <w:spacing w:line="360" w:lineRule="auto"/>
        <w:ind w:firstLine="1440"/>
      </w:pPr>
      <w:r w:rsidRPr="00863BF7">
        <w:t>1.</w:t>
      </w:r>
      <w:r w:rsidRPr="00863BF7">
        <w:tab/>
        <w:t xml:space="preserve">That </w:t>
      </w:r>
      <w:r>
        <w:t xml:space="preserve">Complainant </w:t>
      </w:r>
      <w:r w:rsidR="00575703">
        <w:t>Janice Wideman de Hoff</w:t>
      </w:r>
      <w:r>
        <w:t xml:space="preserve">’s Petition </w:t>
      </w:r>
      <w:r w:rsidR="00575703">
        <w:t xml:space="preserve">for Leave </w:t>
      </w:r>
      <w:r>
        <w:t xml:space="preserve">to Withdraw Complaint filed </w:t>
      </w:r>
      <w:r w:rsidR="00D0164E">
        <w:t xml:space="preserve">in the matter of Janice Wideman de Hoff v. </w:t>
      </w:r>
      <w:r w:rsidR="00575703">
        <w:t xml:space="preserve">PPL Electric Utilities </w:t>
      </w:r>
      <w:r w:rsidR="00575703">
        <w:lastRenderedPageBreak/>
        <w:t>Corporation</w:t>
      </w:r>
      <w:r w:rsidR="00B11719">
        <w:t xml:space="preserve"> </w:t>
      </w:r>
      <w:r>
        <w:t xml:space="preserve">at Docket No. </w:t>
      </w:r>
      <w:r w:rsidR="00575703">
        <w:t>F</w:t>
      </w:r>
      <w:r>
        <w:t>-201</w:t>
      </w:r>
      <w:r w:rsidR="00575703">
        <w:t>5</w:t>
      </w:r>
      <w:r>
        <w:t>-2</w:t>
      </w:r>
      <w:r w:rsidR="00B11719">
        <w:t>4</w:t>
      </w:r>
      <w:r w:rsidR="00575703">
        <w:t>73981</w:t>
      </w:r>
      <w:r>
        <w:t xml:space="preserve"> is grant</w:t>
      </w:r>
      <w:r w:rsidRPr="00863BF7">
        <w:t>ed.</w:t>
      </w:r>
    </w:p>
    <w:p w:rsidR="00B050CF" w:rsidRPr="00863BF7" w:rsidRDefault="00B050CF" w:rsidP="00B050CF">
      <w:pPr>
        <w:tabs>
          <w:tab w:val="left" w:pos="204"/>
          <w:tab w:val="left" w:pos="2160"/>
        </w:tabs>
        <w:spacing w:line="360" w:lineRule="auto"/>
        <w:ind w:firstLine="1440"/>
      </w:pPr>
    </w:p>
    <w:p w:rsidR="00B050CF" w:rsidRPr="00863BF7" w:rsidRDefault="00B050CF" w:rsidP="00B050CF">
      <w:pPr>
        <w:tabs>
          <w:tab w:val="left" w:pos="2160"/>
        </w:tabs>
        <w:spacing w:line="360" w:lineRule="auto"/>
        <w:ind w:firstLine="1440"/>
      </w:pPr>
      <w:r w:rsidRPr="00863BF7">
        <w:t>2.</w:t>
      </w:r>
      <w:r w:rsidRPr="00863BF7">
        <w:tab/>
        <w:t xml:space="preserve">That the </w:t>
      </w:r>
      <w:r>
        <w:t xml:space="preserve">Complaint of </w:t>
      </w:r>
      <w:r w:rsidR="00575703">
        <w:t xml:space="preserve">Janice Wideman de Hoff </w:t>
      </w:r>
      <w:r w:rsidR="00D0164E">
        <w:t xml:space="preserve">filed against </w:t>
      </w:r>
      <w:r w:rsidR="00575703">
        <w:t xml:space="preserve">PPL electric Utilities Corporation at </w:t>
      </w:r>
      <w:r>
        <w:t xml:space="preserve">Docket No. </w:t>
      </w:r>
      <w:r w:rsidR="00575703">
        <w:t>F</w:t>
      </w:r>
      <w:r>
        <w:t>-201</w:t>
      </w:r>
      <w:r w:rsidR="00575703">
        <w:t>5</w:t>
      </w:r>
      <w:r>
        <w:t>-2</w:t>
      </w:r>
      <w:r w:rsidR="00B11719">
        <w:t>4</w:t>
      </w:r>
      <w:r w:rsidR="00575703">
        <w:t>73981</w:t>
      </w:r>
      <w:r w:rsidR="00B11719">
        <w:t xml:space="preserve"> </w:t>
      </w:r>
      <w:r w:rsidRPr="00863BF7">
        <w:t xml:space="preserve">is </w:t>
      </w:r>
      <w:r>
        <w:t xml:space="preserve">hereby </w:t>
      </w:r>
      <w:r w:rsidRPr="00863BF7">
        <w:t>withdrawn.</w:t>
      </w:r>
    </w:p>
    <w:p w:rsidR="00B050CF" w:rsidRPr="00863BF7" w:rsidRDefault="00B050CF" w:rsidP="00B050CF">
      <w:pPr>
        <w:tabs>
          <w:tab w:val="left" w:pos="2160"/>
        </w:tabs>
        <w:spacing w:line="360" w:lineRule="auto"/>
        <w:ind w:firstLine="1440"/>
      </w:pPr>
    </w:p>
    <w:p w:rsidR="00B050CF" w:rsidRPr="00863BF7" w:rsidRDefault="00B050CF" w:rsidP="00B050CF">
      <w:pPr>
        <w:tabs>
          <w:tab w:val="left" w:pos="2160"/>
        </w:tabs>
        <w:spacing w:line="360" w:lineRule="auto"/>
        <w:ind w:firstLine="1440"/>
      </w:pPr>
      <w:r w:rsidRPr="00863BF7">
        <w:t>3.</w:t>
      </w:r>
      <w:r w:rsidRPr="00863BF7">
        <w:tab/>
        <w:t xml:space="preserve">That the </w:t>
      </w:r>
      <w:r>
        <w:t xml:space="preserve">Secretary’s Bureau shall mark </w:t>
      </w:r>
      <w:r w:rsidRPr="00863BF7">
        <w:t xml:space="preserve">Docket No. </w:t>
      </w:r>
      <w:r w:rsidR="00575703">
        <w:t>F</w:t>
      </w:r>
      <w:r w:rsidR="00B11719">
        <w:t>-201</w:t>
      </w:r>
      <w:r w:rsidR="00575703">
        <w:t>5</w:t>
      </w:r>
      <w:r w:rsidR="00B11719">
        <w:t>-24</w:t>
      </w:r>
      <w:r w:rsidR="00575703">
        <w:t>73981</w:t>
      </w:r>
      <w:r>
        <w:t xml:space="preserve"> </w:t>
      </w:r>
      <w:r w:rsidRPr="00863BF7">
        <w:t>closed.</w:t>
      </w:r>
    </w:p>
    <w:p w:rsidR="00B050CF" w:rsidRPr="00FA335B" w:rsidRDefault="00B050CF" w:rsidP="00B050CF">
      <w:pPr>
        <w:keepLines/>
        <w:spacing w:line="360" w:lineRule="auto"/>
        <w:ind w:firstLine="1440"/>
        <w:rPr>
          <w:snapToGrid w:val="0"/>
        </w:rPr>
      </w:pPr>
    </w:p>
    <w:p w:rsidR="00B050CF" w:rsidRPr="00FA335B" w:rsidRDefault="00B050CF" w:rsidP="00B050CF">
      <w:pPr>
        <w:keepLines/>
        <w:spacing w:line="360" w:lineRule="auto"/>
        <w:ind w:firstLine="1440"/>
        <w:rPr>
          <w:snapToGrid w:val="0"/>
        </w:rPr>
      </w:pPr>
    </w:p>
    <w:p w:rsidR="00B050CF" w:rsidRPr="00FA335B" w:rsidRDefault="00B050CF" w:rsidP="00B050CF">
      <w:pPr>
        <w:keepLines/>
        <w:jc w:val="both"/>
        <w:rPr>
          <w:snapToGrid w:val="0"/>
          <w:u w:val="single"/>
        </w:rPr>
      </w:pPr>
      <w:r w:rsidRPr="00FA335B">
        <w:rPr>
          <w:snapToGrid w:val="0"/>
        </w:rPr>
        <w:t xml:space="preserve">Date:  </w:t>
      </w:r>
      <w:r w:rsidR="00575703" w:rsidRPr="00575703">
        <w:rPr>
          <w:snapToGrid w:val="0"/>
          <w:u w:val="single"/>
        </w:rPr>
        <w:t>March 9</w:t>
      </w:r>
      <w:r w:rsidR="00B11719" w:rsidRPr="006E72CB">
        <w:rPr>
          <w:snapToGrid w:val="0"/>
          <w:u w:val="single"/>
        </w:rPr>
        <w:t>,</w:t>
      </w:r>
      <w:r w:rsidRPr="00FA335B">
        <w:rPr>
          <w:snapToGrid w:val="0"/>
          <w:u w:val="single"/>
        </w:rPr>
        <w:t xml:space="preserve"> 201</w:t>
      </w:r>
      <w:r w:rsidR="00575703">
        <w:rPr>
          <w:snapToGrid w:val="0"/>
          <w:u w:val="single"/>
        </w:rPr>
        <w:t>6</w:t>
      </w:r>
      <w:r w:rsidRPr="00FA335B">
        <w:rPr>
          <w:snapToGrid w:val="0"/>
        </w:rPr>
        <w:tab/>
      </w:r>
      <w:r w:rsidRPr="00FA335B">
        <w:rPr>
          <w:snapToGrid w:val="0"/>
        </w:rPr>
        <w:tab/>
      </w:r>
      <w:r w:rsidRPr="00FA335B">
        <w:rPr>
          <w:snapToGrid w:val="0"/>
        </w:rPr>
        <w:tab/>
      </w:r>
      <w:r w:rsidRPr="00FA335B">
        <w:rPr>
          <w:snapToGrid w:val="0"/>
        </w:rPr>
        <w:tab/>
      </w:r>
      <w:r w:rsidR="00A919C8">
        <w:rPr>
          <w:snapToGrid w:val="0"/>
        </w:rPr>
        <w:tab/>
      </w:r>
      <w:r w:rsidRPr="00FA335B">
        <w:rPr>
          <w:snapToGrid w:val="0"/>
          <w:u w:val="single"/>
        </w:rPr>
        <w:t xml:space="preserve">                        </w:t>
      </w:r>
      <w:r>
        <w:rPr>
          <w:snapToGrid w:val="0"/>
          <w:u w:val="single"/>
        </w:rPr>
        <w:t xml:space="preserve">  </w:t>
      </w:r>
      <w:r w:rsidRPr="00FA335B">
        <w:rPr>
          <w:snapToGrid w:val="0"/>
          <w:u w:val="single"/>
        </w:rPr>
        <w:t xml:space="preserve"> /s/</w:t>
      </w:r>
      <w:r w:rsidRPr="00FA335B">
        <w:rPr>
          <w:snapToGrid w:val="0"/>
          <w:u w:val="single"/>
        </w:rPr>
        <w:tab/>
      </w:r>
      <w:r w:rsidRPr="00FA335B">
        <w:rPr>
          <w:snapToGrid w:val="0"/>
          <w:u w:val="single"/>
        </w:rPr>
        <w:tab/>
      </w:r>
      <w:r w:rsidRPr="00FA335B">
        <w:rPr>
          <w:snapToGrid w:val="0"/>
          <w:u w:val="single"/>
        </w:rPr>
        <w:tab/>
        <w:t xml:space="preserve">                                 </w:t>
      </w:r>
    </w:p>
    <w:p w:rsidR="00B050CF" w:rsidRPr="00FA335B" w:rsidRDefault="00B050CF" w:rsidP="00B050CF">
      <w:pPr>
        <w:keepLines/>
        <w:jc w:val="both"/>
        <w:rPr>
          <w:snapToGrid w:val="0"/>
        </w:rPr>
      </w:pPr>
      <w:r w:rsidRPr="00FA335B">
        <w:rPr>
          <w:snapToGrid w:val="0"/>
        </w:rPr>
        <w:tab/>
      </w:r>
      <w:r w:rsidRPr="00FA335B">
        <w:rPr>
          <w:snapToGrid w:val="0"/>
        </w:rPr>
        <w:tab/>
      </w:r>
      <w:r w:rsidRPr="00FA335B">
        <w:rPr>
          <w:snapToGrid w:val="0"/>
        </w:rPr>
        <w:tab/>
      </w:r>
      <w:r w:rsidRPr="00FA335B">
        <w:rPr>
          <w:snapToGrid w:val="0"/>
        </w:rPr>
        <w:tab/>
      </w:r>
      <w:r w:rsidRPr="00FA335B">
        <w:rPr>
          <w:snapToGrid w:val="0"/>
        </w:rPr>
        <w:tab/>
      </w:r>
      <w:r w:rsidRPr="00FA335B">
        <w:rPr>
          <w:snapToGrid w:val="0"/>
        </w:rPr>
        <w:tab/>
      </w:r>
      <w:r w:rsidRPr="00FA335B">
        <w:rPr>
          <w:snapToGrid w:val="0"/>
        </w:rPr>
        <w:tab/>
        <w:t>Conrad A. Johnson</w:t>
      </w:r>
    </w:p>
    <w:p w:rsidR="00B050CF" w:rsidRPr="00FA335B" w:rsidRDefault="00B050CF" w:rsidP="00B050CF">
      <w:pPr>
        <w:keepLines/>
        <w:jc w:val="both"/>
        <w:rPr>
          <w:snapToGrid w:val="0"/>
        </w:rPr>
      </w:pPr>
      <w:r w:rsidRPr="00FA335B">
        <w:rPr>
          <w:snapToGrid w:val="0"/>
        </w:rPr>
        <w:tab/>
      </w:r>
      <w:r w:rsidRPr="00FA335B">
        <w:rPr>
          <w:snapToGrid w:val="0"/>
        </w:rPr>
        <w:tab/>
      </w:r>
      <w:r w:rsidRPr="00FA335B">
        <w:rPr>
          <w:snapToGrid w:val="0"/>
        </w:rPr>
        <w:tab/>
      </w:r>
      <w:r w:rsidRPr="00FA335B">
        <w:rPr>
          <w:snapToGrid w:val="0"/>
        </w:rPr>
        <w:tab/>
      </w:r>
      <w:r w:rsidRPr="00FA335B">
        <w:rPr>
          <w:snapToGrid w:val="0"/>
        </w:rPr>
        <w:tab/>
      </w:r>
      <w:r w:rsidRPr="00FA335B">
        <w:rPr>
          <w:snapToGrid w:val="0"/>
        </w:rPr>
        <w:tab/>
      </w:r>
      <w:r w:rsidRPr="00FA335B">
        <w:rPr>
          <w:snapToGrid w:val="0"/>
        </w:rPr>
        <w:tab/>
        <w:t>Administrative Law Judge</w:t>
      </w:r>
    </w:p>
    <w:p w:rsidR="004973A1" w:rsidRPr="00D026FD" w:rsidRDefault="004973A1" w:rsidP="009805C9">
      <w:pPr>
        <w:pStyle w:val="p10"/>
        <w:tabs>
          <w:tab w:val="clear" w:pos="1496"/>
          <w:tab w:val="clear" w:pos="2239"/>
          <w:tab w:val="left" w:pos="2160"/>
        </w:tabs>
        <w:spacing w:line="360" w:lineRule="auto"/>
        <w:ind w:firstLine="1440"/>
        <w:rPr>
          <w:b/>
          <w:bCs/>
        </w:rPr>
      </w:pPr>
    </w:p>
    <w:p w:rsidR="00A613D8" w:rsidRPr="00D026FD" w:rsidRDefault="00A613D8" w:rsidP="009805C9">
      <w:pPr>
        <w:tabs>
          <w:tab w:val="left" w:pos="1496"/>
          <w:tab w:val="left" w:pos="2239"/>
        </w:tabs>
        <w:spacing w:line="360" w:lineRule="auto"/>
        <w:rPr>
          <w:b/>
          <w:bCs/>
        </w:rPr>
      </w:pPr>
    </w:p>
    <w:sectPr w:rsidR="00A613D8" w:rsidRPr="00D026FD" w:rsidSect="00D026FD">
      <w:footerReference w:type="even" r:id="rId8"/>
      <w:footerReference w:type="default" r:id="rId9"/>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CAF" w:rsidRDefault="00C85CAF">
      <w:r>
        <w:separator/>
      </w:r>
    </w:p>
  </w:endnote>
  <w:endnote w:type="continuationSeparator" w:id="0">
    <w:p w:rsidR="00C85CAF" w:rsidRDefault="00C8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2A3" w:rsidRDefault="00C532A3" w:rsidP="00A34E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32A3" w:rsidRDefault="00C532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90321"/>
      <w:docPartObj>
        <w:docPartGallery w:val="Page Numbers (Bottom of Page)"/>
        <w:docPartUnique/>
      </w:docPartObj>
    </w:sdtPr>
    <w:sdtEndPr>
      <w:rPr>
        <w:noProof/>
      </w:rPr>
    </w:sdtEndPr>
    <w:sdtContent>
      <w:p w:rsidR="004E454E" w:rsidRDefault="004E454E">
        <w:pPr>
          <w:pStyle w:val="Footer"/>
          <w:jc w:val="center"/>
        </w:pPr>
        <w:r w:rsidRPr="0078199F">
          <w:rPr>
            <w:sz w:val="20"/>
            <w:szCs w:val="20"/>
          </w:rPr>
          <w:fldChar w:fldCharType="begin"/>
        </w:r>
        <w:r w:rsidRPr="0078199F">
          <w:rPr>
            <w:sz w:val="20"/>
            <w:szCs w:val="20"/>
          </w:rPr>
          <w:instrText xml:space="preserve"> PAGE   \* MERGEFORMAT </w:instrText>
        </w:r>
        <w:r w:rsidRPr="0078199F">
          <w:rPr>
            <w:sz w:val="20"/>
            <w:szCs w:val="20"/>
          </w:rPr>
          <w:fldChar w:fldCharType="separate"/>
        </w:r>
        <w:r w:rsidR="00EE1C15">
          <w:rPr>
            <w:noProof/>
            <w:sz w:val="20"/>
            <w:szCs w:val="20"/>
          </w:rPr>
          <w:t>7</w:t>
        </w:r>
        <w:r w:rsidRPr="0078199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CAF" w:rsidRDefault="00C85CAF">
      <w:r>
        <w:separator/>
      </w:r>
    </w:p>
  </w:footnote>
  <w:footnote w:type="continuationSeparator" w:id="0">
    <w:p w:rsidR="00C85CAF" w:rsidRDefault="00C85CAF">
      <w:r>
        <w:continuationSeparator/>
      </w:r>
    </w:p>
  </w:footnote>
  <w:footnote w:id="1">
    <w:p w:rsidR="007630A7" w:rsidRDefault="007630A7">
      <w:pPr>
        <w:pStyle w:val="FootnoteText"/>
      </w:pPr>
      <w:r>
        <w:rPr>
          <w:rStyle w:val="FootnoteReference"/>
        </w:rPr>
        <w:footnoteRef/>
      </w:r>
      <w:r>
        <w:t xml:space="preserve">  </w:t>
      </w:r>
      <w:r w:rsidR="00141B98">
        <w:tab/>
      </w:r>
      <w:r>
        <w:t xml:space="preserve">Complainant seeks review of the Commission’s Bureau of Consumer Services’ (BCS) January 29, 2015 decision closing her informal complaint at BCS No. 3245803.  </w:t>
      </w:r>
    </w:p>
  </w:footnote>
  <w:footnote w:id="2">
    <w:p w:rsidR="00393AF3" w:rsidRPr="00B95032" w:rsidRDefault="00393AF3" w:rsidP="00393AF3">
      <w:pPr>
        <w:pStyle w:val="FootnoteText"/>
        <w:rPr>
          <w:sz w:val="26"/>
          <w:szCs w:val="26"/>
        </w:rPr>
      </w:pPr>
      <w:r w:rsidRPr="00B95032">
        <w:rPr>
          <w:rStyle w:val="FootnoteReference"/>
          <w:sz w:val="26"/>
          <w:szCs w:val="26"/>
        </w:rPr>
        <w:footnoteRef/>
      </w:r>
      <w:r w:rsidRPr="00B95032">
        <w:rPr>
          <w:sz w:val="26"/>
          <w:szCs w:val="26"/>
        </w:rPr>
        <w:t xml:space="preserve"> </w:t>
      </w:r>
      <w:r w:rsidRPr="00B95032">
        <w:rPr>
          <w:sz w:val="26"/>
          <w:szCs w:val="26"/>
        </w:rPr>
        <w:tab/>
      </w:r>
      <w:r w:rsidRPr="00B34F24">
        <w:t>An adversarial proceeding is defined as, “[a] proceeding initiated by a person in order to seek authority, approvals, tariff changes, enforcement, fines, remedies or other relief from the Commission which is contested by one or more other persons and which will be decided on the basis of a formal record.”  52 Pa.Code § 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B7"/>
    <w:rsid w:val="00000B82"/>
    <w:rsid w:val="000115D3"/>
    <w:rsid w:val="00012589"/>
    <w:rsid w:val="00060C76"/>
    <w:rsid w:val="0006114B"/>
    <w:rsid w:val="000731C9"/>
    <w:rsid w:val="0007395E"/>
    <w:rsid w:val="00077DAE"/>
    <w:rsid w:val="00126C68"/>
    <w:rsid w:val="00127964"/>
    <w:rsid w:val="001328F9"/>
    <w:rsid w:val="00141B98"/>
    <w:rsid w:val="00153F65"/>
    <w:rsid w:val="0017175C"/>
    <w:rsid w:val="001D15E7"/>
    <w:rsid w:val="001F0630"/>
    <w:rsid w:val="00205E8D"/>
    <w:rsid w:val="00215F92"/>
    <w:rsid w:val="00260EC3"/>
    <w:rsid w:val="002641E0"/>
    <w:rsid w:val="002B5A4A"/>
    <w:rsid w:val="002C6C06"/>
    <w:rsid w:val="002D2106"/>
    <w:rsid w:val="002E3844"/>
    <w:rsid w:val="002E65F3"/>
    <w:rsid w:val="002F4C4C"/>
    <w:rsid w:val="00302B23"/>
    <w:rsid w:val="00310F8D"/>
    <w:rsid w:val="00316E86"/>
    <w:rsid w:val="00324EF1"/>
    <w:rsid w:val="003428C4"/>
    <w:rsid w:val="003824B7"/>
    <w:rsid w:val="00393AF3"/>
    <w:rsid w:val="003A6A09"/>
    <w:rsid w:val="003D12AF"/>
    <w:rsid w:val="003F52AD"/>
    <w:rsid w:val="00404751"/>
    <w:rsid w:val="00406315"/>
    <w:rsid w:val="00426ACF"/>
    <w:rsid w:val="00460527"/>
    <w:rsid w:val="00471971"/>
    <w:rsid w:val="0047719B"/>
    <w:rsid w:val="00486FEB"/>
    <w:rsid w:val="004973A1"/>
    <w:rsid w:val="004A2DBB"/>
    <w:rsid w:val="004B0253"/>
    <w:rsid w:val="004E454E"/>
    <w:rsid w:val="004F44D5"/>
    <w:rsid w:val="0057569C"/>
    <w:rsid w:val="00575703"/>
    <w:rsid w:val="0059218A"/>
    <w:rsid w:val="005A45EE"/>
    <w:rsid w:val="005C1257"/>
    <w:rsid w:val="005D17ED"/>
    <w:rsid w:val="005E0BA1"/>
    <w:rsid w:val="006000FD"/>
    <w:rsid w:val="006026A5"/>
    <w:rsid w:val="006046B4"/>
    <w:rsid w:val="00626BF9"/>
    <w:rsid w:val="0063268F"/>
    <w:rsid w:val="0063373C"/>
    <w:rsid w:val="00636F1C"/>
    <w:rsid w:val="00691D60"/>
    <w:rsid w:val="006A4535"/>
    <w:rsid w:val="006A65A3"/>
    <w:rsid w:val="006C5E12"/>
    <w:rsid w:val="006E72CB"/>
    <w:rsid w:val="006F4A2A"/>
    <w:rsid w:val="006F59EC"/>
    <w:rsid w:val="0071189F"/>
    <w:rsid w:val="00714600"/>
    <w:rsid w:val="00716611"/>
    <w:rsid w:val="00720CC7"/>
    <w:rsid w:val="00731311"/>
    <w:rsid w:val="007630A7"/>
    <w:rsid w:val="00771174"/>
    <w:rsid w:val="00781534"/>
    <w:rsid w:val="0078199F"/>
    <w:rsid w:val="00786FE9"/>
    <w:rsid w:val="00795659"/>
    <w:rsid w:val="007D6DC7"/>
    <w:rsid w:val="007E34E6"/>
    <w:rsid w:val="007F08FA"/>
    <w:rsid w:val="007F225A"/>
    <w:rsid w:val="007F68CD"/>
    <w:rsid w:val="008028A9"/>
    <w:rsid w:val="0083209F"/>
    <w:rsid w:val="00834DC6"/>
    <w:rsid w:val="008567D7"/>
    <w:rsid w:val="00877B25"/>
    <w:rsid w:val="008B1F64"/>
    <w:rsid w:val="008B4783"/>
    <w:rsid w:val="008D1FA3"/>
    <w:rsid w:val="008D66C4"/>
    <w:rsid w:val="008E6DDC"/>
    <w:rsid w:val="008F6470"/>
    <w:rsid w:val="00903F4E"/>
    <w:rsid w:val="009068D7"/>
    <w:rsid w:val="00915AB0"/>
    <w:rsid w:val="009452CF"/>
    <w:rsid w:val="009805C9"/>
    <w:rsid w:val="009939F4"/>
    <w:rsid w:val="00993DC1"/>
    <w:rsid w:val="009A3798"/>
    <w:rsid w:val="009B329C"/>
    <w:rsid w:val="00A261F8"/>
    <w:rsid w:val="00A34EBD"/>
    <w:rsid w:val="00A613D8"/>
    <w:rsid w:val="00A70A55"/>
    <w:rsid w:val="00A916DD"/>
    <w:rsid w:val="00A919C8"/>
    <w:rsid w:val="00AA4D1E"/>
    <w:rsid w:val="00AB115E"/>
    <w:rsid w:val="00AD4A95"/>
    <w:rsid w:val="00AE0A12"/>
    <w:rsid w:val="00AE10FC"/>
    <w:rsid w:val="00AE4074"/>
    <w:rsid w:val="00AF2809"/>
    <w:rsid w:val="00AF6648"/>
    <w:rsid w:val="00AF7DD5"/>
    <w:rsid w:val="00B006D3"/>
    <w:rsid w:val="00B050CF"/>
    <w:rsid w:val="00B05953"/>
    <w:rsid w:val="00B11719"/>
    <w:rsid w:val="00B23421"/>
    <w:rsid w:val="00B338F5"/>
    <w:rsid w:val="00B33935"/>
    <w:rsid w:val="00B542CB"/>
    <w:rsid w:val="00B97666"/>
    <w:rsid w:val="00BA4F19"/>
    <w:rsid w:val="00BB30B7"/>
    <w:rsid w:val="00BC7182"/>
    <w:rsid w:val="00BE6A6D"/>
    <w:rsid w:val="00BF5E79"/>
    <w:rsid w:val="00C050B3"/>
    <w:rsid w:val="00C127E0"/>
    <w:rsid w:val="00C14664"/>
    <w:rsid w:val="00C26BED"/>
    <w:rsid w:val="00C33AB9"/>
    <w:rsid w:val="00C33C9A"/>
    <w:rsid w:val="00C532A3"/>
    <w:rsid w:val="00C673B1"/>
    <w:rsid w:val="00C85CAF"/>
    <w:rsid w:val="00CA3E2E"/>
    <w:rsid w:val="00CB1C88"/>
    <w:rsid w:val="00CE19C2"/>
    <w:rsid w:val="00CF0C4E"/>
    <w:rsid w:val="00CF4C26"/>
    <w:rsid w:val="00D0164E"/>
    <w:rsid w:val="00D026FD"/>
    <w:rsid w:val="00D04475"/>
    <w:rsid w:val="00D12308"/>
    <w:rsid w:val="00D34A98"/>
    <w:rsid w:val="00D866E0"/>
    <w:rsid w:val="00D870AF"/>
    <w:rsid w:val="00DA6FE7"/>
    <w:rsid w:val="00DB1E9A"/>
    <w:rsid w:val="00DD3BEF"/>
    <w:rsid w:val="00DE4AAD"/>
    <w:rsid w:val="00DF0986"/>
    <w:rsid w:val="00E04CAA"/>
    <w:rsid w:val="00E258E6"/>
    <w:rsid w:val="00E40DFD"/>
    <w:rsid w:val="00E5097C"/>
    <w:rsid w:val="00E77DDB"/>
    <w:rsid w:val="00E85991"/>
    <w:rsid w:val="00EB0872"/>
    <w:rsid w:val="00EC603D"/>
    <w:rsid w:val="00ED2A87"/>
    <w:rsid w:val="00EE1C15"/>
    <w:rsid w:val="00EE71D6"/>
    <w:rsid w:val="00F270FB"/>
    <w:rsid w:val="00F364E7"/>
    <w:rsid w:val="00F405F0"/>
    <w:rsid w:val="00F4256F"/>
    <w:rsid w:val="00F65527"/>
    <w:rsid w:val="00F67B63"/>
    <w:rsid w:val="00F72522"/>
    <w:rsid w:val="00F77055"/>
    <w:rsid w:val="00FA4874"/>
    <w:rsid w:val="00FD4F7A"/>
    <w:rsid w:val="00FF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204"/>
      </w:tabs>
      <w:jc w:val="both"/>
    </w:pPr>
  </w:style>
  <w:style w:type="paragraph" w:customStyle="1" w:styleId="p4">
    <w:name w:val="p4"/>
    <w:basedOn w:val="Normal"/>
    <w:pPr>
      <w:tabs>
        <w:tab w:val="left" w:pos="1496"/>
      </w:tabs>
      <w:ind w:firstLine="1496"/>
      <w:jc w:val="both"/>
    </w:pPr>
  </w:style>
  <w:style w:type="paragraph" w:customStyle="1" w:styleId="p5">
    <w:name w:val="p5"/>
    <w:basedOn w:val="Normal"/>
    <w:pPr>
      <w:tabs>
        <w:tab w:val="left" w:pos="204"/>
      </w:tabs>
      <w:jc w:val="both"/>
    </w:pPr>
  </w:style>
  <w:style w:type="paragraph" w:customStyle="1" w:styleId="p6">
    <w:name w:val="p6"/>
    <w:basedOn w:val="Normal"/>
    <w:pPr>
      <w:tabs>
        <w:tab w:val="left" w:pos="204"/>
      </w:tabs>
    </w:pPr>
  </w:style>
  <w:style w:type="paragraph" w:customStyle="1" w:styleId="p7">
    <w:name w:val="p7"/>
    <w:basedOn w:val="Normal"/>
    <w:pPr>
      <w:tabs>
        <w:tab w:val="left" w:pos="1496"/>
      </w:tabs>
      <w:ind w:firstLine="1496"/>
    </w:pPr>
  </w:style>
  <w:style w:type="paragraph" w:customStyle="1" w:styleId="c8">
    <w:name w:val="c8"/>
    <w:basedOn w:val="Normal"/>
    <w:pPr>
      <w:jc w:val="center"/>
    </w:pPr>
  </w:style>
  <w:style w:type="paragraph" w:customStyle="1" w:styleId="c9">
    <w:name w:val="c9"/>
    <w:basedOn w:val="Normal"/>
    <w:pPr>
      <w:jc w:val="center"/>
    </w:pPr>
  </w:style>
  <w:style w:type="paragraph" w:customStyle="1" w:styleId="p10">
    <w:name w:val="p10"/>
    <w:basedOn w:val="Normal"/>
    <w:pPr>
      <w:tabs>
        <w:tab w:val="left" w:pos="1496"/>
        <w:tab w:val="left" w:pos="2239"/>
      </w:tabs>
      <w:ind w:firstLine="1496"/>
    </w:pPr>
  </w:style>
  <w:style w:type="paragraph" w:customStyle="1" w:styleId="p11">
    <w:name w:val="p11"/>
    <w:basedOn w:val="Normal"/>
    <w:pPr>
      <w:tabs>
        <w:tab w:val="left" w:pos="1496"/>
        <w:tab w:val="left" w:pos="2239"/>
      </w:tabs>
      <w:ind w:firstLine="1496"/>
      <w:jc w:val="both"/>
    </w:pPr>
  </w:style>
  <w:style w:type="paragraph" w:customStyle="1" w:styleId="t12">
    <w:name w:val="t12"/>
    <w:basedOn w:val="Normal"/>
  </w:style>
  <w:style w:type="paragraph" w:customStyle="1" w:styleId="p13">
    <w:name w:val="p13"/>
    <w:basedOn w:val="Normal"/>
    <w:pPr>
      <w:tabs>
        <w:tab w:val="left" w:pos="5930"/>
      </w:tabs>
      <w:ind w:left="4490"/>
    </w:pPr>
  </w:style>
  <w:style w:type="paragraph" w:customStyle="1" w:styleId="t14">
    <w:name w:val="t14"/>
    <w:basedOn w:val="Normal"/>
  </w:style>
  <w:style w:type="paragraph" w:styleId="Footer">
    <w:name w:val="footer"/>
    <w:basedOn w:val="Normal"/>
    <w:link w:val="FooterChar"/>
    <w:uiPriority w:val="99"/>
    <w:rsid w:val="006000FD"/>
    <w:pPr>
      <w:tabs>
        <w:tab w:val="center" w:pos="4320"/>
        <w:tab w:val="right" w:pos="8640"/>
      </w:tabs>
    </w:pPr>
  </w:style>
  <w:style w:type="character" w:styleId="PageNumber">
    <w:name w:val="page number"/>
    <w:basedOn w:val="DefaultParagraphFont"/>
    <w:rsid w:val="006000FD"/>
  </w:style>
  <w:style w:type="paragraph" w:styleId="BalloonText">
    <w:name w:val="Balloon Text"/>
    <w:basedOn w:val="Normal"/>
    <w:semiHidden/>
    <w:rsid w:val="00B23421"/>
    <w:rPr>
      <w:rFonts w:ascii="Tahoma" w:hAnsi="Tahoma" w:cs="Tahoma"/>
      <w:sz w:val="16"/>
      <w:szCs w:val="16"/>
    </w:rPr>
  </w:style>
  <w:style w:type="paragraph" w:styleId="Header">
    <w:name w:val="header"/>
    <w:basedOn w:val="Normal"/>
    <w:rsid w:val="009805C9"/>
    <w:pPr>
      <w:tabs>
        <w:tab w:val="center" w:pos="4320"/>
        <w:tab w:val="right" w:pos="8640"/>
      </w:tabs>
    </w:pPr>
  </w:style>
  <w:style w:type="paragraph" w:customStyle="1" w:styleId="ParaTab1">
    <w:name w:val="ParaTab 1"/>
    <w:rsid w:val="00F72522"/>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link w:val="FootnoteTextChar"/>
    <w:rsid w:val="00393AF3"/>
    <w:rPr>
      <w:sz w:val="20"/>
      <w:szCs w:val="20"/>
    </w:rPr>
  </w:style>
  <w:style w:type="character" w:customStyle="1" w:styleId="FootnoteTextChar">
    <w:name w:val="Footnote Text Char"/>
    <w:basedOn w:val="DefaultParagraphFont"/>
    <w:link w:val="FootnoteText"/>
    <w:rsid w:val="00393AF3"/>
  </w:style>
  <w:style w:type="character" w:styleId="FootnoteReference">
    <w:name w:val="footnote reference"/>
    <w:basedOn w:val="DefaultParagraphFont"/>
    <w:rsid w:val="00393AF3"/>
    <w:rPr>
      <w:vertAlign w:val="superscript"/>
    </w:rPr>
  </w:style>
  <w:style w:type="character" w:customStyle="1" w:styleId="FooterChar">
    <w:name w:val="Footer Char"/>
    <w:basedOn w:val="DefaultParagraphFont"/>
    <w:link w:val="Footer"/>
    <w:uiPriority w:val="99"/>
    <w:rsid w:val="004E45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204"/>
      </w:tabs>
      <w:jc w:val="both"/>
    </w:pPr>
  </w:style>
  <w:style w:type="paragraph" w:customStyle="1" w:styleId="p4">
    <w:name w:val="p4"/>
    <w:basedOn w:val="Normal"/>
    <w:pPr>
      <w:tabs>
        <w:tab w:val="left" w:pos="1496"/>
      </w:tabs>
      <w:ind w:firstLine="1496"/>
      <w:jc w:val="both"/>
    </w:pPr>
  </w:style>
  <w:style w:type="paragraph" w:customStyle="1" w:styleId="p5">
    <w:name w:val="p5"/>
    <w:basedOn w:val="Normal"/>
    <w:pPr>
      <w:tabs>
        <w:tab w:val="left" w:pos="204"/>
      </w:tabs>
      <w:jc w:val="both"/>
    </w:pPr>
  </w:style>
  <w:style w:type="paragraph" w:customStyle="1" w:styleId="p6">
    <w:name w:val="p6"/>
    <w:basedOn w:val="Normal"/>
    <w:pPr>
      <w:tabs>
        <w:tab w:val="left" w:pos="204"/>
      </w:tabs>
    </w:pPr>
  </w:style>
  <w:style w:type="paragraph" w:customStyle="1" w:styleId="p7">
    <w:name w:val="p7"/>
    <w:basedOn w:val="Normal"/>
    <w:pPr>
      <w:tabs>
        <w:tab w:val="left" w:pos="1496"/>
      </w:tabs>
      <w:ind w:firstLine="1496"/>
    </w:pPr>
  </w:style>
  <w:style w:type="paragraph" w:customStyle="1" w:styleId="c8">
    <w:name w:val="c8"/>
    <w:basedOn w:val="Normal"/>
    <w:pPr>
      <w:jc w:val="center"/>
    </w:pPr>
  </w:style>
  <w:style w:type="paragraph" w:customStyle="1" w:styleId="c9">
    <w:name w:val="c9"/>
    <w:basedOn w:val="Normal"/>
    <w:pPr>
      <w:jc w:val="center"/>
    </w:pPr>
  </w:style>
  <w:style w:type="paragraph" w:customStyle="1" w:styleId="p10">
    <w:name w:val="p10"/>
    <w:basedOn w:val="Normal"/>
    <w:pPr>
      <w:tabs>
        <w:tab w:val="left" w:pos="1496"/>
        <w:tab w:val="left" w:pos="2239"/>
      </w:tabs>
      <w:ind w:firstLine="1496"/>
    </w:pPr>
  </w:style>
  <w:style w:type="paragraph" w:customStyle="1" w:styleId="p11">
    <w:name w:val="p11"/>
    <w:basedOn w:val="Normal"/>
    <w:pPr>
      <w:tabs>
        <w:tab w:val="left" w:pos="1496"/>
        <w:tab w:val="left" w:pos="2239"/>
      </w:tabs>
      <w:ind w:firstLine="1496"/>
      <w:jc w:val="both"/>
    </w:pPr>
  </w:style>
  <w:style w:type="paragraph" w:customStyle="1" w:styleId="t12">
    <w:name w:val="t12"/>
    <w:basedOn w:val="Normal"/>
  </w:style>
  <w:style w:type="paragraph" w:customStyle="1" w:styleId="p13">
    <w:name w:val="p13"/>
    <w:basedOn w:val="Normal"/>
    <w:pPr>
      <w:tabs>
        <w:tab w:val="left" w:pos="5930"/>
      </w:tabs>
      <w:ind w:left="4490"/>
    </w:pPr>
  </w:style>
  <w:style w:type="paragraph" w:customStyle="1" w:styleId="t14">
    <w:name w:val="t14"/>
    <w:basedOn w:val="Normal"/>
  </w:style>
  <w:style w:type="paragraph" w:styleId="Footer">
    <w:name w:val="footer"/>
    <w:basedOn w:val="Normal"/>
    <w:link w:val="FooterChar"/>
    <w:uiPriority w:val="99"/>
    <w:rsid w:val="006000FD"/>
    <w:pPr>
      <w:tabs>
        <w:tab w:val="center" w:pos="4320"/>
        <w:tab w:val="right" w:pos="8640"/>
      </w:tabs>
    </w:pPr>
  </w:style>
  <w:style w:type="character" w:styleId="PageNumber">
    <w:name w:val="page number"/>
    <w:basedOn w:val="DefaultParagraphFont"/>
    <w:rsid w:val="006000FD"/>
  </w:style>
  <w:style w:type="paragraph" w:styleId="BalloonText">
    <w:name w:val="Balloon Text"/>
    <w:basedOn w:val="Normal"/>
    <w:semiHidden/>
    <w:rsid w:val="00B23421"/>
    <w:rPr>
      <w:rFonts w:ascii="Tahoma" w:hAnsi="Tahoma" w:cs="Tahoma"/>
      <w:sz w:val="16"/>
      <w:szCs w:val="16"/>
    </w:rPr>
  </w:style>
  <w:style w:type="paragraph" w:styleId="Header">
    <w:name w:val="header"/>
    <w:basedOn w:val="Normal"/>
    <w:rsid w:val="009805C9"/>
    <w:pPr>
      <w:tabs>
        <w:tab w:val="center" w:pos="4320"/>
        <w:tab w:val="right" w:pos="8640"/>
      </w:tabs>
    </w:pPr>
  </w:style>
  <w:style w:type="paragraph" w:customStyle="1" w:styleId="ParaTab1">
    <w:name w:val="ParaTab 1"/>
    <w:rsid w:val="00F72522"/>
    <w:pPr>
      <w:tabs>
        <w:tab w:val="left" w:pos="-720"/>
      </w:tabs>
      <w:suppressAutoHyphens/>
      <w:autoSpaceDE w:val="0"/>
      <w:autoSpaceDN w:val="0"/>
      <w:ind w:firstLine="1440"/>
    </w:pPr>
    <w:rPr>
      <w:rFonts w:ascii="CG Times" w:hAnsi="CG Times" w:cs="CG Times"/>
      <w:sz w:val="24"/>
      <w:szCs w:val="24"/>
    </w:rPr>
  </w:style>
  <w:style w:type="paragraph" w:styleId="FootnoteText">
    <w:name w:val="footnote text"/>
    <w:basedOn w:val="Normal"/>
    <w:link w:val="FootnoteTextChar"/>
    <w:rsid w:val="00393AF3"/>
    <w:rPr>
      <w:sz w:val="20"/>
      <w:szCs w:val="20"/>
    </w:rPr>
  </w:style>
  <w:style w:type="character" w:customStyle="1" w:styleId="FootnoteTextChar">
    <w:name w:val="Footnote Text Char"/>
    <w:basedOn w:val="DefaultParagraphFont"/>
    <w:link w:val="FootnoteText"/>
    <w:rsid w:val="00393AF3"/>
  </w:style>
  <w:style w:type="character" w:styleId="FootnoteReference">
    <w:name w:val="footnote reference"/>
    <w:basedOn w:val="DefaultParagraphFont"/>
    <w:rsid w:val="00393AF3"/>
    <w:rPr>
      <w:vertAlign w:val="superscript"/>
    </w:rPr>
  </w:style>
  <w:style w:type="character" w:customStyle="1" w:styleId="FooterChar">
    <w:name w:val="Footer Char"/>
    <w:basedOn w:val="DefaultParagraphFont"/>
    <w:link w:val="Footer"/>
    <w:uiPriority w:val="99"/>
    <w:rsid w:val="004E45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offner\Local%20Settings\Temporary%20Internet%20Files\OLKAB\Triple%20Crown%20v%20%20PP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7729A-31D5-46D8-A055-C2018048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Triple Crown v  PPL.dot</Template>
  <TotalTime>81</TotalTime>
  <Pages>8</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shoffner</dc:creator>
  <cp:lastModifiedBy>Blanton, Leah</cp:lastModifiedBy>
  <cp:revision>14</cp:revision>
  <cp:lastPrinted>2016-03-08T21:50:00Z</cp:lastPrinted>
  <dcterms:created xsi:type="dcterms:W3CDTF">2016-03-08T17:05:00Z</dcterms:created>
  <dcterms:modified xsi:type="dcterms:W3CDTF">2016-03-09T14:34:00Z</dcterms:modified>
</cp:coreProperties>
</file>