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87B0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7, 2016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bookmarkStart w:id="0" w:name="_GoBack"/>
      <w:r w:rsidR="00687B00" w:rsidRPr="00687B00">
        <w:rPr>
          <w:rFonts w:ascii="Microsoft Sans Serif" w:hAnsi="Microsoft Sans Serif" w:cs="Microsoft Sans Serif"/>
          <w:b/>
          <w:spacing w:val="-3"/>
          <w:sz w:val="24"/>
          <w:szCs w:val="24"/>
        </w:rPr>
        <w:t>C-2016-2533030</w:t>
      </w:r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87B0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87B00">
        <w:rPr>
          <w:rFonts w:ascii="Microsoft Sans Serif" w:hAnsi="Microsoft Sans Serif" w:cs="Microsoft Sans Serif"/>
          <w:b/>
          <w:spacing w:val="-3"/>
          <w:sz w:val="24"/>
          <w:szCs w:val="24"/>
        </w:rPr>
        <w:t>Tango Bistro LLC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687B0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EGS/NGS Complaint</w:t>
      </w:r>
    </w:p>
    <w:p w:rsidR="00687B00" w:rsidRPr="00620964" w:rsidRDefault="00687B0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>Elizabeth</w:t>
      </w:r>
      <w:r w:rsidR="00CB00B3">
        <w:rPr>
          <w:rFonts w:ascii="Microsoft Sans Serif" w:hAnsi="Microsoft Sans Serif" w:cs="Microsoft Sans Serif"/>
          <w:sz w:val="24"/>
          <w:szCs w:val="24"/>
        </w:rPr>
        <w:t xml:space="preserve"> H.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 xml:space="preserve"> Barnes</w:t>
      </w:r>
      <w:r w:rsidR="00CB00B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B00B3" w:rsidRPr="00CB00B3">
        <w:rPr>
          <w:rFonts w:ascii="Microsoft Sans Serif" w:hAnsi="Microsoft Sans Serif" w:cs="Microsoft Sans Serif"/>
          <w:sz w:val="24"/>
          <w:szCs w:val="24"/>
        </w:rPr>
        <w:t>Barnes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Pr="00687B00" w:rsidRDefault="00687B00" w:rsidP="00687B00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687B0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C-2016-2533030 - TANGO BISTRO LLC v. PECO ENERGY COMPANY</w:t>
      </w:r>
      <w:r w:rsidRPr="00687B0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JOSEPH BALDINO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TANGO BISTRO LLC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39 MORRIS AVENUE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BRYN MAWR PA  19010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687B00">
        <w:rPr>
          <w:rFonts w:ascii="Microsoft Sans Serif" w:eastAsiaTheme="minorEastAsia" w:hAnsiTheme="minorHAnsi" w:cstheme="minorBidi"/>
          <w:b/>
          <w:sz w:val="24"/>
          <w:szCs w:val="22"/>
        </w:rPr>
        <w:t>610.529.9500</w:t>
      </w:r>
      <w:r w:rsidRPr="00687B00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687B00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t>SHAWANE L LEE ESQUIRE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2301 MARKET STREET S23-1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PO BOX 8699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  <w:t>PHILADELPHIA PA  19101-8699</w:t>
      </w:r>
      <w:r w:rsidRPr="00687B00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687B00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</w:p>
    <w:p w:rsidR="00687B00" w:rsidRPr="00687B00" w:rsidRDefault="00687B00" w:rsidP="00687B00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687B00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687B00" w:rsidRPr="00687B00" w:rsidRDefault="00687B00" w:rsidP="00687B00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687B00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Representing PECO Energy Company </w:t>
      </w:r>
      <w:r w:rsidRPr="00687B00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687B00" w:rsidRPr="00687B00" w:rsidRDefault="00687B00" w:rsidP="00687B00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87B00" w:rsidRDefault="00687B0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Default="00CB00B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6E74DD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6E74DD">
        <w:rPr>
          <w:rFonts w:ascii="Microsoft Sans Serif" w:hAnsi="Microsoft Sans Serif" w:cs="Microsoft Sans Serif"/>
          <w:sz w:val="18"/>
          <w:szCs w:val="18"/>
        </w:rPr>
        <w:t>:</w:t>
      </w:r>
      <w:r w:rsidRPr="006E74DD">
        <w:rPr>
          <w:rFonts w:ascii="Microsoft Sans Serif" w:hAnsi="Microsoft Sans Serif" w:cs="Microsoft Sans Serif"/>
          <w:sz w:val="18"/>
          <w:szCs w:val="18"/>
        </w:rPr>
        <w:tab/>
        <w:t>ALJ Barnes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CB00B3" w:rsidRPr="006E74DD" w:rsidRDefault="00CB00B3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E74DD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CB00B3" w:rsidRPr="006E74DD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AA" w:rsidRDefault="00EE0DAA">
      <w:r>
        <w:separator/>
      </w:r>
    </w:p>
  </w:endnote>
  <w:endnote w:type="continuationSeparator" w:id="0">
    <w:p w:rsidR="00EE0DAA" w:rsidRDefault="00EE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AA" w:rsidRDefault="00EE0DAA">
      <w:r>
        <w:separator/>
      </w:r>
    </w:p>
  </w:footnote>
  <w:footnote w:type="continuationSeparator" w:id="0">
    <w:p w:rsidR="00EE0DAA" w:rsidRDefault="00EE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87B00"/>
    <w:rsid w:val="006925F3"/>
    <w:rsid w:val="006E74DD"/>
    <w:rsid w:val="00701390"/>
    <w:rsid w:val="00802935"/>
    <w:rsid w:val="00895B8B"/>
    <w:rsid w:val="008C4005"/>
    <w:rsid w:val="009465D5"/>
    <w:rsid w:val="009471BD"/>
    <w:rsid w:val="009A0480"/>
    <w:rsid w:val="009F5F66"/>
    <w:rsid w:val="00A93BB0"/>
    <w:rsid w:val="00BE5119"/>
    <w:rsid w:val="00BF2CA5"/>
    <w:rsid w:val="00C74A51"/>
    <w:rsid w:val="00C86E53"/>
    <w:rsid w:val="00CB00B3"/>
    <w:rsid w:val="00CB4DB0"/>
    <w:rsid w:val="00CB5738"/>
    <w:rsid w:val="00D17064"/>
    <w:rsid w:val="00DC756D"/>
    <w:rsid w:val="00E52E11"/>
    <w:rsid w:val="00EE0DAA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2003-08-06T18:09:00Z</cp:lastPrinted>
  <dcterms:created xsi:type="dcterms:W3CDTF">2016-04-07T16:22:00Z</dcterms:created>
  <dcterms:modified xsi:type="dcterms:W3CDTF">2016-04-07T16:22:00Z</dcterms:modified>
</cp:coreProperties>
</file>