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51" w:rsidRPr="00B86671" w:rsidRDefault="005F1451" w:rsidP="005F1451">
      <w:pPr>
        <w:jc w:val="center"/>
        <w:rPr>
          <w:rFonts w:ascii="Times New Roman" w:hAnsi="Times New Roman" w:cs="Times New Roman"/>
          <w:b/>
          <w:sz w:val="24"/>
          <w:szCs w:val="24"/>
        </w:rPr>
      </w:pPr>
      <w:r w:rsidRPr="00B86671">
        <w:rPr>
          <w:rFonts w:ascii="Times New Roman" w:hAnsi="Times New Roman" w:cs="Times New Roman"/>
          <w:b/>
          <w:sz w:val="24"/>
          <w:szCs w:val="24"/>
        </w:rPr>
        <w:t>BEFORE THE</w:t>
      </w:r>
    </w:p>
    <w:p w:rsidR="005F1451" w:rsidRPr="00B86671" w:rsidRDefault="005F1451" w:rsidP="005F1451">
      <w:pPr>
        <w:jc w:val="center"/>
        <w:rPr>
          <w:rFonts w:ascii="Times New Roman" w:hAnsi="Times New Roman" w:cs="Times New Roman"/>
          <w:b/>
          <w:sz w:val="24"/>
          <w:szCs w:val="24"/>
        </w:rPr>
      </w:pPr>
      <w:r w:rsidRPr="00B86671">
        <w:rPr>
          <w:rFonts w:ascii="Times New Roman" w:hAnsi="Times New Roman" w:cs="Times New Roman"/>
          <w:b/>
          <w:sz w:val="24"/>
          <w:szCs w:val="24"/>
        </w:rPr>
        <w:t>PENNSYLVANIA PUBLIC UTILITY COMMISSION</w:t>
      </w:r>
    </w:p>
    <w:p w:rsidR="00EC6BD7" w:rsidRPr="00B86671" w:rsidRDefault="00EC6BD7" w:rsidP="00EC6BD7">
      <w:pPr>
        <w:ind w:left="1440"/>
        <w:rPr>
          <w:rFonts w:ascii="Times New Roman" w:hAnsi="Times New Roman" w:cs="Times New Roman"/>
          <w:sz w:val="24"/>
          <w:szCs w:val="24"/>
        </w:rPr>
      </w:pPr>
    </w:p>
    <w:p w:rsidR="00EC6BD7" w:rsidRPr="00B86671" w:rsidRDefault="00EC6BD7" w:rsidP="00EC6BD7">
      <w:pPr>
        <w:rPr>
          <w:rFonts w:ascii="Times New Roman" w:hAnsi="Times New Roman" w:cs="Times New Roman"/>
          <w:color w:val="000000" w:themeColor="text1"/>
          <w:sz w:val="24"/>
          <w:szCs w:val="24"/>
        </w:rPr>
      </w:pPr>
    </w:p>
    <w:p w:rsidR="00EC6BD7" w:rsidRPr="00B86671" w:rsidRDefault="00EC6BD7" w:rsidP="00EC6BD7">
      <w:pPr>
        <w:rPr>
          <w:rFonts w:ascii="Times New Roman" w:hAnsi="Times New Roman" w:cs="Times New Roman"/>
          <w:color w:val="000000" w:themeColor="text1"/>
          <w:sz w:val="24"/>
          <w:szCs w:val="24"/>
        </w:rPr>
      </w:pPr>
    </w:p>
    <w:p w:rsidR="001520F0" w:rsidRPr="00B86671" w:rsidRDefault="001520F0" w:rsidP="001520F0">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Alderwoods (Pennsylvania), Inc., a</w:t>
      </w:r>
      <w:r w:rsidR="008076CE" w:rsidRPr="00B86671">
        <w:rPr>
          <w:rFonts w:ascii="Times New Roman" w:eastAsia="Calibri" w:hAnsi="Times New Roman" w:cs="Times New Roman"/>
          <w:sz w:val="24"/>
          <w:szCs w:val="24"/>
        </w:rPr>
        <w:t xml:space="preserve"> wholly</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1520F0" w:rsidRPr="00B86671" w:rsidRDefault="001520F0" w:rsidP="001520F0">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owned subsidiary of Service</w:t>
      </w:r>
      <w:r w:rsidR="008076CE" w:rsidRPr="00B86671">
        <w:rPr>
          <w:rFonts w:ascii="Times New Roman" w:eastAsia="Calibri" w:hAnsi="Times New Roman" w:cs="Times New Roman"/>
          <w:sz w:val="24"/>
          <w:szCs w:val="24"/>
        </w:rPr>
        <w:t xml:space="preserve"> Corporation</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1520F0" w:rsidRPr="00B86671" w:rsidRDefault="001520F0" w:rsidP="001520F0">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International, t/a</w:t>
      </w:r>
      <w:r w:rsidR="008076CE" w:rsidRPr="00B86671">
        <w:rPr>
          <w:rFonts w:ascii="Times New Roman" w:eastAsia="Calibri" w:hAnsi="Times New Roman" w:cs="Times New Roman"/>
          <w:sz w:val="24"/>
          <w:szCs w:val="24"/>
        </w:rPr>
        <w:t xml:space="preserve"> Burton L. Hirsch Funeral Home</w:t>
      </w:r>
      <w:r w:rsidRPr="00B86671">
        <w:rPr>
          <w:rFonts w:ascii="Times New Roman" w:eastAsia="Calibri" w:hAnsi="Times New Roman" w:cs="Times New Roman"/>
          <w:sz w:val="24"/>
          <w:szCs w:val="24"/>
        </w:rPr>
        <w:tab/>
        <w:t>:</w:t>
      </w:r>
    </w:p>
    <w:p w:rsidR="00EC6BD7" w:rsidRPr="00B86671" w:rsidRDefault="00EC6BD7" w:rsidP="00EC6BD7">
      <w:pPr>
        <w:ind w:left="4320" w:firstLine="720"/>
        <w:rPr>
          <w:rFonts w:ascii="Times New Roman" w:hAnsi="Times New Roman" w:cs="Times New Roman"/>
          <w:sz w:val="24"/>
          <w:szCs w:val="24"/>
        </w:rPr>
      </w:pPr>
      <w:r w:rsidRPr="00B86671">
        <w:rPr>
          <w:rFonts w:ascii="Times New Roman" w:hAnsi="Times New Roman" w:cs="Times New Roman"/>
          <w:sz w:val="24"/>
          <w:szCs w:val="24"/>
        </w:rPr>
        <w:t>:</w:t>
      </w:r>
      <w:r w:rsidR="008076CE" w:rsidRPr="00B86671">
        <w:rPr>
          <w:rFonts w:ascii="Times New Roman" w:hAnsi="Times New Roman" w:cs="Times New Roman"/>
          <w:sz w:val="24"/>
          <w:szCs w:val="24"/>
        </w:rPr>
        <w:tab/>
      </w:r>
      <w:r w:rsidR="008076CE" w:rsidRPr="00B86671">
        <w:rPr>
          <w:rFonts w:ascii="Times New Roman" w:hAnsi="Times New Roman" w:cs="Times New Roman"/>
          <w:sz w:val="24"/>
          <w:szCs w:val="24"/>
        </w:rPr>
        <w:tab/>
      </w:r>
    </w:p>
    <w:p w:rsidR="00EC6BD7" w:rsidRPr="00B86671" w:rsidRDefault="00EC6BD7" w:rsidP="00EC6BD7">
      <w:pPr>
        <w:rPr>
          <w:rFonts w:ascii="Times New Roman" w:hAnsi="Times New Roman" w:cs="Times New Roman"/>
          <w:sz w:val="24"/>
          <w:szCs w:val="24"/>
        </w:rPr>
      </w:pPr>
      <w:r w:rsidRPr="00B86671">
        <w:rPr>
          <w:rFonts w:ascii="Times New Roman" w:hAnsi="Times New Roman" w:cs="Times New Roman"/>
          <w:sz w:val="24"/>
          <w:szCs w:val="24"/>
        </w:rPr>
        <w:tab/>
        <w:t>v.</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008076CE" w:rsidRPr="00B86671">
        <w:rPr>
          <w:rFonts w:ascii="Times New Roman" w:hAnsi="Times New Roman" w:cs="Times New Roman"/>
          <w:sz w:val="24"/>
          <w:szCs w:val="24"/>
        </w:rPr>
        <w:tab/>
      </w:r>
      <w:r w:rsidR="008076CE" w:rsidRPr="00B86671">
        <w:rPr>
          <w:rFonts w:ascii="Times New Roman" w:hAnsi="Times New Roman" w:cs="Times New Roman"/>
          <w:sz w:val="24"/>
          <w:szCs w:val="24"/>
        </w:rPr>
        <w:tab/>
      </w:r>
      <w:r w:rsidR="008076CE" w:rsidRPr="00B86671">
        <w:rPr>
          <w:rFonts w:ascii="Times New Roman" w:hAnsi="Times New Roman" w:cs="Times New Roman"/>
          <w:sz w:val="24"/>
          <w:szCs w:val="24"/>
        </w:rPr>
        <w:tab/>
      </w:r>
      <w:r w:rsidRPr="00B86671">
        <w:rPr>
          <w:rFonts w:ascii="Times New Roman" w:hAnsi="Times New Roman" w:cs="Times New Roman"/>
          <w:sz w:val="24"/>
          <w:szCs w:val="24"/>
        </w:rPr>
        <w:t>:</w:t>
      </w:r>
      <w:r w:rsidR="00D57D6A" w:rsidRPr="00B86671">
        <w:rPr>
          <w:rFonts w:ascii="Times New Roman" w:hAnsi="Times New Roman" w:cs="Times New Roman"/>
          <w:sz w:val="24"/>
          <w:szCs w:val="24"/>
        </w:rPr>
        <w:tab/>
      </w:r>
      <w:r w:rsidR="00D57D6A" w:rsidRPr="00B86671">
        <w:rPr>
          <w:rFonts w:ascii="Times New Roman" w:hAnsi="Times New Roman" w:cs="Times New Roman"/>
          <w:sz w:val="24"/>
          <w:szCs w:val="24"/>
        </w:rPr>
        <w:tab/>
        <w:t>C-2016-2522634</w:t>
      </w:r>
      <w:r w:rsidR="00D57D6A" w:rsidRPr="00B86671">
        <w:rPr>
          <w:rFonts w:ascii="Times New Roman" w:hAnsi="Times New Roman" w:cs="Times New Roman"/>
          <w:sz w:val="24"/>
          <w:szCs w:val="24"/>
        </w:rPr>
        <w:tab/>
      </w:r>
      <w:r w:rsidR="00D57D6A" w:rsidRPr="00B86671">
        <w:rPr>
          <w:rFonts w:ascii="Times New Roman" w:hAnsi="Times New Roman" w:cs="Times New Roman"/>
          <w:sz w:val="24"/>
          <w:szCs w:val="24"/>
        </w:rPr>
        <w:tab/>
      </w:r>
    </w:p>
    <w:p w:rsidR="008076CE" w:rsidRPr="00B86671" w:rsidRDefault="008076CE" w:rsidP="00EC6BD7">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EC6BD7" w:rsidRPr="00B86671" w:rsidRDefault="00F229E9" w:rsidP="00EC6BD7">
      <w:pPr>
        <w:rPr>
          <w:rFonts w:ascii="Times New Roman" w:hAnsi="Times New Roman" w:cs="Times New Roman"/>
          <w:sz w:val="24"/>
          <w:szCs w:val="24"/>
        </w:rPr>
      </w:pPr>
      <w:r w:rsidRPr="00B86671">
        <w:rPr>
          <w:rFonts w:ascii="Times New Roman" w:hAnsi="Times New Roman" w:cs="Times New Roman"/>
          <w:sz w:val="24"/>
          <w:szCs w:val="24"/>
        </w:rPr>
        <w:t>Duquesne Light Co</w:t>
      </w:r>
      <w:r w:rsidR="00EC6BD7" w:rsidRPr="00B86671">
        <w:rPr>
          <w:rFonts w:ascii="Times New Roman" w:hAnsi="Times New Roman" w:cs="Times New Roman"/>
          <w:sz w:val="24"/>
          <w:szCs w:val="24"/>
        </w:rPr>
        <w:t>mpany</w:t>
      </w:r>
      <w:r w:rsidR="00EC6BD7" w:rsidRPr="00B86671">
        <w:rPr>
          <w:rFonts w:ascii="Times New Roman" w:hAnsi="Times New Roman" w:cs="Times New Roman"/>
          <w:sz w:val="24"/>
          <w:szCs w:val="24"/>
        </w:rPr>
        <w:tab/>
      </w:r>
      <w:r w:rsidR="00EC6BD7" w:rsidRPr="00B86671">
        <w:rPr>
          <w:rFonts w:ascii="Times New Roman" w:hAnsi="Times New Roman" w:cs="Times New Roman"/>
          <w:sz w:val="24"/>
          <w:szCs w:val="24"/>
        </w:rPr>
        <w:tab/>
      </w:r>
      <w:r w:rsidR="00EC6BD7" w:rsidRPr="00B86671">
        <w:rPr>
          <w:rFonts w:ascii="Times New Roman" w:hAnsi="Times New Roman" w:cs="Times New Roman"/>
          <w:sz w:val="24"/>
          <w:szCs w:val="24"/>
        </w:rPr>
        <w:tab/>
      </w:r>
      <w:r w:rsidR="00EC6BD7" w:rsidRPr="00B86671">
        <w:rPr>
          <w:rFonts w:ascii="Times New Roman" w:hAnsi="Times New Roman" w:cs="Times New Roman"/>
          <w:sz w:val="24"/>
          <w:szCs w:val="24"/>
        </w:rPr>
        <w:tab/>
        <w:t>:</w:t>
      </w:r>
    </w:p>
    <w:p w:rsidR="00EC6BD7" w:rsidRPr="00B86671" w:rsidRDefault="00EC6BD7" w:rsidP="00EC6BD7">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EC6BD7" w:rsidRPr="00B86671" w:rsidRDefault="00EC6BD7" w:rsidP="00EC6BD7">
      <w:pPr>
        <w:tabs>
          <w:tab w:val="left" w:pos="-720"/>
        </w:tabs>
        <w:suppressAutoHyphens/>
        <w:rPr>
          <w:rFonts w:ascii="Times New Roman" w:hAnsi="Times New Roman" w:cs="Times New Roman"/>
          <w:spacing w:val="-3"/>
          <w:sz w:val="24"/>
          <w:szCs w:val="24"/>
        </w:rPr>
      </w:pPr>
    </w:p>
    <w:p w:rsidR="00EC6BD7" w:rsidRPr="00B86671" w:rsidRDefault="00EC6BD7" w:rsidP="00EC6BD7">
      <w:pPr>
        <w:jc w:val="center"/>
        <w:rPr>
          <w:rFonts w:ascii="Times New Roman" w:hAnsi="Times New Roman" w:cs="Times New Roman"/>
          <w:b/>
          <w:bCs/>
          <w:sz w:val="24"/>
          <w:szCs w:val="24"/>
          <w:u w:val="single"/>
        </w:rPr>
      </w:pPr>
    </w:p>
    <w:p w:rsidR="00EC6BD7" w:rsidRPr="00B86671" w:rsidRDefault="00EC6BD7" w:rsidP="00EC6BD7">
      <w:pPr>
        <w:jc w:val="center"/>
        <w:rPr>
          <w:rFonts w:ascii="Times New Roman" w:hAnsi="Times New Roman" w:cs="Times New Roman"/>
          <w:b/>
          <w:bCs/>
          <w:sz w:val="24"/>
          <w:szCs w:val="24"/>
        </w:rPr>
      </w:pPr>
      <w:r w:rsidRPr="00B86671">
        <w:rPr>
          <w:rFonts w:ascii="Times New Roman" w:hAnsi="Times New Roman" w:cs="Times New Roman"/>
          <w:b/>
          <w:bCs/>
          <w:sz w:val="24"/>
          <w:szCs w:val="24"/>
        </w:rPr>
        <w:t>FIRST INTERIM ORDER</w:t>
      </w:r>
    </w:p>
    <w:p w:rsidR="00BF71C5" w:rsidRPr="00B86671" w:rsidRDefault="00BF71C5" w:rsidP="00EC6BD7">
      <w:pPr>
        <w:jc w:val="center"/>
        <w:rPr>
          <w:rFonts w:ascii="Times New Roman" w:hAnsi="Times New Roman" w:cs="Times New Roman"/>
          <w:b/>
          <w:bCs/>
          <w:sz w:val="24"/>
          <w:szCs w:val="24"/>
        </w:rPr>
      </w:pPr>
      <w:r w:rsidRPr="00B86671">
        <w:rPr>
          <w:rFonts w:ascii="Times New Roman" w:hAnsi="Times New Roman" w:cs="Times New Roman"/>
          <w:b/>
          <w:bCs/>
          <w:sz w:val="24"/>
          <w:szCs w:val="24"/>
        </w:rPr>
        <w:t xml:space="preserve">SUSTAINING IN PART AND </w:t>
      </w:r>
      <w:r w:rsidR="00F229E9" w:rsidRPr="00B86671">
        <w:rPr>
          <w:rFonts w:ascii="Times New Roman" w:hAnsi="Times New Roman" w:cs="Times New Roman"/>
          <w:b/>
          <w:bCs/>
          <w:sz w:val="24"/>
          <w:szCs w:val="24"/>
        </w:rPr>
        <w:t xml:space="preserve">DENYING </w:t>
      </w:r>
      <w:r w:rsidRPr="00B86671">
        <w:rPr>
          <w:rFonts w:ascii="Times New Roman" w:hAnsi="Times New Roman" w:cs="Times New Roman"/>
          <w:b/>
          <w:bCs/>
          <w:sz w:val="24"/>
          <w:szCs w:val="24"/>
        </w:rPr>
        <w:t>IN PART</w:t>
      </w:r>
    </w:p>
    <w:p w:rsidR="00EC6BD7" w:rsidRPr="00B86671" w:rsidRDefault="00F229E9" w:rsidP="00EC6BD7">
      <w:pPr>
        <w:jc w:val="center"/>
        <w:rPr>
          <w:rFonts w:ascii="Times New Roman" w:hAnsi="Times New Roman" w:cs="Times New Roman"/>
          <w:b/>
          <w:bCs/>
          <w:sz w:val="24"/>
          <w:szCs w:val="24"/>
          <w:u w:val="single"/>
        </w:rPr>
      </w:pPr>
      <w:r w:rsidRPr="00B86671">
        <w:rPr>
          <w:rFonts w:ascii="Times New Roman" w:hAnsi="Times New Roman" w:cs="Times New Roman"/>
          <w:b/>
          <w:bCs/>
          <w:sz w:val="24"/>
          <w:szCs w:val="24"/>
          <w:u w:val="single"/>
        </w:rPr>
        <w:t>COMPLAIN</w:t>
      </w:r>
      <w:r w:rsidR="008076CE" w:rsidRPr="00B86671">
        <w:rPr>
          <w:rFonts w:ascii="Times New Roman" w:hAnsi="Times New Roman" w:cs="Times New Roman"/>
          <w:b/>
          <w:bCs/>
          <w:sz w:val="24"/>
          <w:szCs w:val="24"/>
          <w:u w:val="single"/>
        </w:rPr>
        <w:t>AN</w:t>
      </w:r>
      <w:r w:rsidRPr="00B86671">
        <w:rPr>
          <w:rFonts w:ascii="Times New Roman" w:hAnsi="Times New Roman" w:cs="Times New Roman"/>
          <w:b/>
          <w:bCs/>
          <w:sz w:val="24"/>
          <w:szCs w:val="24"/>
          <w:u w:val="single"/>
        </w:rPr>
        <w:t>T</w:t>
      </w:r>
      <w:r w:rsidR="00EC6BD7" w:rsidRPr="00B86671">
        <w:rPr>
          <w:rFonts w:ascii="Times New Roman" w:hAnsi="Times New Roman" w:cs="Times New Roman"/>
          <w:b/>
          <w:bCs/>
          <w:sz w:val="24"/>
          <w:szCs w:val="24"/>
          <w:u w:val="single"/>
        </w:rPr>
        <w:t>’S PRELIMINARY OBJECTIONS</w:t>
      </w:r>
    </w:p>
    <w:p w:rsidR="00EC6BD7" w:rsidRPr="00B86671" w:rsidRDefault="00EC6BD7" w:rsidP="00EC6BD7">
      <w:pPr>
        <w:jc w:val="center"/>
        <w:rPr>
          <w:rFonts w:ascii="Times New Roman" w:hAnsi="Times New Roman" w:cs="Times New Roman"/>
          <w:bCs/>
          <w:sz w:val="24"/>
          <w:szCs w:val="24"/>
        </w:rPr>
      </w:pPr>
    </w:p>
    <w:p w:rsidR="00EC6BD7" w:rsidRPr="00B86671" w:rsidRDefault="00EC6BD7" w:rsidP="00EC6BD7">
      <w:pPr>
        <w:jc w:val="center"/>
        <w:rPr>
          <w:rFonts w:ascii="Times New Roman" w:hAnsi="Times New Roman" w:cs="Times New Roman"/>
          <w:bCs/>
          <w:sz w:val="24"/>
          <w:szCs w:val="24"/>
        </w:rPr>
      </w:pPr>
    </w:p>
    <w:p w:rsidR="00EC6BD7" w:rsidRPr="00B86671" w:rsidRDefault="00EC6BD7" w:rsidP="00EC6BD7">
      <w:pPr>
        <w:jc w:val="center"/>
        <w:rPr>
          <w:rFonts w:ascii="Times New Roman" w:hAnsi="Times New Roman" w:cs="Times New Roman"/>
          <w:bCs/>
          <w:sz w:val="24"/>
          <w:szCs w:val="24"/>
          <w:u w:val="single"/>
        </w:rPr>
      </w:pPr>
      <w:r w:rsidRPr="00B86671">
        <w:rPr>
          <w:rFonts w:ascii="Times New Roman" w:hAnsi="Times New Roman" w:cs="Times New Roman"/>
          <w:bCs/>
          <w:sz w:val="24"/>
          <w:szCs w:val="24"/>
          <w:u w:val="single"/>
        </w:rPr>
        <w:t>PROCEDURAL BACKGROUND</w:t>
      </w:r>
    </w:p>
    <w:p w:rsidR="00EC6BD7" w:rsidRPr="00B86671" w:rsidRDefault="00EC6BD7" w:rsidP="00D57D6A">
      <w:pPr>
        <w:spacing w:line="360" w:lineRule="auto"/>
        <w:jc w:val="center"/>
        <w:rPr>
          <w:rFonts w:ascii="Times New Roman" w:hAnsi="Times New Roman" w:cs="Times New Roman"/>
          <w:bCs/>
          <w:sz w:val="24"/>
          <w:szCs w:val="24"/>
          <w:u w:val="single"/>
        </w:rPr>
      </w:pPr>
    </w:p>
    <w:p w:rsidR="006F6CE7" w:rsidRPr="00B86671" w:rsidRDefault="004B704C" w:rsidP="00D57D6A">
      <w:pPr>
        <w:adjustRightInd w:val="0"/>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00EC6BD7" w:rsidRPr="00B86671">
        <w:rPr>
          <w:rFonts w:ascii="Times New Roman" w:hAnsi="Times New Roman" w:cs="Times New Roman"/>
          <w:sz w:val="24"/>
          <w:szCs w:val="24"/>
        </w:rPr>
        <w:t xml:space="preserve">On </w:t>
      </w:r>
      <w:r w:rsidR="006F6CE7" w:rsidRPr="00B86671">
        <w:rPr>
          <w:rFonts w:ascii="Times New Roman" w:hAnsi="Times New Roman" w:cs="Times New Roman"/>
          <w:sz w:val="24"/>
          <w:szCs w:val="24"/>
        </w:rPr>
        <w:t xml:space="preserve">January 7, 2016, </w:t>
      </w:r>
      <w:r w:rsidR="006F6CE7" w:rsidRPr="00B86671">
        <w:rPr>
          <w:rFonts w:ascii="Times New Roman" w:eastAsia="Calibri" w:hAnsi="Times New Roman" w:cs="Times New Roman"/>
          <w:sz w:val="24"/>
          <w:szCs w:val="24"/>
        </w:rPr>
        <w:t>Alderwoods (Pennsylvania), Inc., a wholly owned subsidiary of Service</w:t>
      </w:r>
      <w:r w:rsidRPr="00B86671">
        <w:rPr>
          <w:rFonts w:ascii="Times New Roman" w:eastAsia="Calibri" w:hAnsi="Times New Roman" w:cs="Times New Roman"/>
          <w:sz w:val="24"/>
          <w:szCs w:val="24"/>
        </w:rPr>
        <w:t xml:space="preserve"> </w:t>
      </w:r>
      <w:r w:rsidR="006F6CE7" w:rsidRPr="00B86671">
        <w:rPr>
          <w:rFonts w:ascii="Times New Roman" w:eastAsia="Calibri" w:hAnsi="Times New Roman" w:cs="Times New Roman"/>
          <w:sz w:val="24"/>
          <w:szCs w:val="24"/>
        </w:rPr>
        <w:t>Corporation International, t/a</w:t>
      </w:r>
      <w:r w:rsidRPr="00B86671">
        <w:rPr>
          <w:rFonts w:ascii="Times New Roman" w:eastAsia="Calibri" w:hAnsi="Times New Roman" w:cs="Times New Roman"/>
          <w:sz w:val="24"/>
          <w:szCs w:val="24"/>
        </w:rPr>
        <w:t xml:space="preserve"> </w:t>
      </w:r>
      <w:r w:rsidR="006F6CE7" w:rsidRPr="00B86671">
        <w:rPr>
          <w:rFonts w:ascii="Times New Roman" w:eastAsia="Calibri" w:hAnsi="Times New Roman" w:cs="Times New Roman"/>
          <w:sz w:val="24"/>
          <w:szCs w:val="24"/>
        </w:rPr>
        <w:t>Burton L. Hirsch Funeral Home (</w:t>
      </w:r>
      <w:r w:rsidR="006F6CE7" w:rsidRPr="00B86671">
        <w:rPr>
          <w:rFonts w:ascii="Times New Roman" w:hAnsi="Times New Roman" w:cs="Times New Roman"/>
          <w:sz w:val="24"/>
          <w:szCs w:val="24"/>
        </w:rPr>
        <w:t xml:space="preserve">Complainant or Hirsch) </w:t>
      </w:r>
      <w:r w:rsidR="00EC6BD7" w:rsidRPr="00B86671">
        <w:rPr>
          <w:rFonts w:ascii="Times New Roman" w:hAnsi="Times New Roman" w:cs="Times New Roman"/>
          <w:sz w:val="24"/>
          <w:szCs w:val="24"/>
        </w:rPr>
        <w:t xml:space="preserve">filed a Formal Complaint with the Pennsylvania Public Utility Commission </w:t>
      </w:r>
      <w:r w:rsidR="008076CE" w:rsidRPr="00B86671">
        <w:rPr>
          <w:rFonts w:ascii="Times New Roman" w:hAnsi="Times New Roman" w:cs="Times New Roman"/>
          <w:sz w:val="24"/>
          <w:szCs w:val="24"/>
        </w:rPr>
        <w:t>(C</w:t>
      </w:r>
      <w:r w:rsidR="00EC6BD7" w:rsidRPr="00B86671">
        <w:rPr>
          <w:rFonts w:ascii="Times New Roman" w:hAnsi="Times New Roman" w:cs="Times New Roman"/>
          <w:sz w:val="24"/>
          <w:szCs w:val="24"/>
        </w:rPr>
        <w:t xml:space="preserve">ommission) against </w:t>
      </w:r>
      <w:r w:rsidRPr="00B86671">
        <w:rPr>
          <w:rFonts w:ascii="Times New Roman" w:hAnsi="Times New Roman" w:cs="Times New Roman"/>
          <w:sz w:val="24"/>
          <w:szCs w:val="24"/>
        </w:rPr>
        <w:t>Duquesne Light Company</w:t>
      </w:r>
      <w:r w:rsidR="008076CE" w:rsidRPr="00B86671">
        <w:rPr>
          <w:rFonts w:ascii="Times New Roman" w:hAnsi="Times New Roman" w:cs="Times New Roman"/>
          <w:sz w:val="24"/>
          <w:szCs w:val="24"/>
        </w:rPr>
        <w:t xml:space="preserve"> (Respondent or Duquesne)</w:t>
      </w:r>
      <w:r w:rsidRPr="00B86671">
        <w:rPr>
          <w:rFonts w:ascii="Times New Roman" w:hAnsi="Times New Roman" w:cs="Times New Roman"/>
          <w:sz w:val="24"/>
          <w:szCs w:val="24"/>
        </w:rPr>
        <w:t>.</w:t>
      </w:r>
      <w:r w:rsidR="00BF71C5" w:rsidRPr="00B86671">
        <w:rPr>
          <w:rFonts w:ascii="Times New Roman" w:hAnsi="Times New Roman" w:cs="Times New Roman"/>
          <w:sz w:val="24"/>
          <w:szCs w:val="24"/>
        </w:rPr>
        <w:t xml:space="preserve">  Hirsch alleges, in part, </w:t>
      </w:r>
      <w:r w:rsidR="00B27F21" w:rsidRPr="00B86671">
        <w:rPr>
          <w:rFonts w:ascii="Times New Roman" w:hAnsi="Times New Roman" w:cs="Times New Roman"/>
          <w:sz w:val="24"/>
          <w:szCs w:val="24"/>
        </w:rPr>
        <w:t>the following:</w:t>
      </w:r>
      <w:r w:rsidR="00B27F21" w:rsidRPr="00B86671">
        <w:rPr>
          <w:rStyle w:val="FootnoteReference"/>
          <w:rFonts w:ascii="Times New Roman" w:hAnsi="Times New Roman" w:cs="Times New Roman"/>
          <w:sz w:val="24"/>
          <w:szCs w:val="24"/>
        </w:rPr>
        <w:footnoteReference w:id="1"/>
      </w:r>
    </w:p>
    <w:p w:rsidR="00BF71C5" w:rsidRPr="00B86671" w:rsidRDefault="00BF71C5" w:rsidP="00D57D6A">
      <w:pPr>
        <w:adjustRightInd w:val="0"/>
        <w:rPr>
          <w:rFonts w:ascii="Times New Roman" w:hAnsi="Times New Roman" w:cs="Times New Roman"/>
          <w:sz w:val="24"/>
          <w:szCs w:val="24"/>
        </w:rPr>
      </w:pPr>
    </w:p>
    <w:p w:rsidR="00BF71C5" w:rsidRPr="00B86671" w:rsidRDefault="00BF71C5" w:rsidP="00D57D6A">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t xml:space="preserve">Complainant, a funeral home, at all relevant times conducted business at 2704 Murray Avenue, Pittsburgh, Pennsylvania 15217 (service address). </w:t>
      </w:r>
      <w:r w:rsidR="00F446C4" w:rsidRPr="00B86671">
        <w:rPr>
          <w:rFonts w:ascii="Times New Roman" w:hAnsi="Times New Roman" w:cs="Times New Roman"/>
          <w:sz w:val="24"/>
          <w:szCs w:val="24"/>
        </w:rPr>
        <w:t xml:space="preserve"> </w:t>
      </w:r>
      <w:r w:rsidRPr="00B86671">
        <w:rPr>
          <w:rFonts w:ascii="Times New Roman" w:hAnsi="Times New Roman" w:cs="Times New Roman"/>
          <w:sz w:val="24"/>
          <w:szCs w:val="24"/>
        </w:rPr>
        <w:t>Complaint ¶</w:t>
      </w:r>
      <w:r w:rsidR="00F23467" w:rsidRPr="00B86671">
        <w:rPr>
          <w:rFonts w:ascii="Times New Roman" w:hAnsi="Times New Roman" w:cs="Times New Roman"/>
          <w:sz w:val="24"/>
          <w:szCs w:val="24"/>
        </w:rPr>
        <w:t xml:space="preserve"> </w:t>
      </w:r>
      <w:r w:rsidRPr="00B86671">
        <w:rPr>
          <w:rFonts w:ascii="Times New Roman" w:hAnsi="Times New Roman" w:cs="Times New Roman"/>
          <w:sz w:val="24"/>
          <w:szCs w:val="24"/>
        </w:rPr>
        <w:t>1.</w:t>
      </w:r>
    </w:p>
    <w:p w:rsidR="00BF71C5" w:rsidRPr="00B86671" w:rsidRDefault="00BF71C5" w:rsidP="008076CE">
      <w:pPr>
        <w:adjustRightInd w:val="0"/>
        <w:ind w:left="1440" w:right="1080"/>
        <w:rPr>
          <w:rFonts w:ascii="Times New Roman" w:hAnsi="Times New Roman" w:cs="Times New Roman"/>
          <w:sz w:val="24"/>
          <w:szCs w:val="24"/>
        </w:rPr>
      </w:pPr>
    </w:p>
    <w:p w:rsidR="00BF71C5" w:rsidRPr="00B86671" w:rsidRDefault="00BF71C5" w:rsidP="008076CE">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t xml:space="preserve">Respondent, a public utility, at all relevant times provided </w:t>
      </w:r>
      <w:r w:rsidR="00B27F21" w:rsidRPr="00B86671">
        <w:rPr>
          <w:rFonts w:ascii="Times New Roman" w:hAnsi="Times New Roman" w:cs="Times New Roman"/>
          <w:sz w:val="24"/>
          <w:szCs w:val="24"/>
        </w:rPr>
        <w:t xml:space="preserve">electric services to customers, including Complainant, along Murray and Forward Avenues within the City of Pittsburgh.  </w:t>
      </w:r>
      <w:r w:rsidR="00B27F21" w:rsidRPr="00B86671">
        <w:rPr>
          <w:rFonts w:ascii="Times New Roman" w:hAnsi="Times New Roman" w:cs="Times New Roman"/>
          <w:i/>
          <w:sz w:val="24"/>
          <w:szCs w:val="24"/>
        </w:rPr>
        <w:t>Id.</w:t>
      </w:r>
      <w:r w:rsidR="00B27F21" w:rsidRPr="00B86671">
        <w:rPr>
          <w:rFonts w:ascii="Times New Roman" w:hAnsi="Times New Roman" w:cs="Times New Roman"/>
          <w:sz w:val="24"/>
          <w:szCs w:val="24"/>
        </w:rPr>
        <w:t xml:space="preserve"> ¶¶ 5,</w:t>
      </w:r>
      <w:r w:rsidR="00D57D6A" w:rsidRPr="00B86671">
        <w:rPr>
          <w:rFonts w:ascii="Times New Roman" w:hAnsi="Times New Roman" w:cs="Times New Roman"/>
          <w:sz w:val="24"/>
          <w:szCs w:val="24"/>
        </w:rPr>
        <w:t xml:space="preserve"> </w:t>
      </w:r>
      <w:r w:rsidR="00B27F21" w:rsidRPr="00B86671">
        <w:rPr>
          <w:rFonts w:ascii="Times New Roman" w:hAnsi="Times New Roman" w:cs="Times New Roman"/>
          <w:sz w:val="24"/>
          <w:szCs w:val="24"/>
        </w:rPr>
        <w:t>7.</w:t>
      </w:r>
    </w:p>
    <w:p w:rsidR="00B27F21" w:rsidRPr="00B86671" w:rsidRDefault="00B27F21" w:rsidP="008076CE">
      <w:pPr>
        <w:adjustRightInd w:val="0"/>
        <w:ind w:left="1440" w:right="1080"/>
        <w:rPr>
          <w:rFonts w:ascii="Times New Roman" w:hAnsi="Times New Roman" w:cs="Times New Roman"/>
          <w:sz w:val="24"/>
          <w:szCs w:val="24"/>
        </w:rPr>
      </w:pPr>
    </w:p>
    <w:p w:rsidR="00B27F21" w:rsidRPr="00B86671" w:rsidRDefault="00B27F21" w:rsidP="008076CE">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t xml:space="preserve">On or about January </w:t>
      </w:r>
      <w:r w:rsidR="00C1387C" w:rsidRPr="00B86671">
        <w:rPr>
          <w:rFonts w:ascii="Times New Roman" w:hAnsi="Times New Roman" w:cs="Times New Roman"/>
          <w:sz w:val="24"/>
          <w:szCs w:val="24"/>
        </w:rPr>
        <w:t xml:space="preserve">8 or </w:t>
      </w:r>
      <w:r w:rsidRPr="00B86671">
        <w:rPr>
          <w:rFonts w:ascii="Times New Roman" w:hAnsi="Times New Roman" w:cs="Times New Roman"/>
          <w:sz w:val="24"/>
          <w:szCs w:val="24"/>
        </w:rPr>
        <w:t xml:space="preserve">9, 2009, a motor vehicle collided with Respondent’s utility pole thereby causing the loss of electric power to customers, including the </w:t>
      </w:r>
      <w:r w:rsidR="00C1387C" w:rsidRPr="00B86671">
        <w:rPr>
          <w:rFonts w:ascii="Times New Roman" w:hAnsi="Times New Roman" w:cs="Times New Roman"/>
          <w:sz w:val="24"/>
          <w:szCs w:val="24"/>
        </w:rPr>
        <w:t>service address</w:t>
      </w:r>
      <w:r w:rsidRPr="00B86671">
        <w:rPr>
          <w:rFonts w:ascii="Times New Roman" w:hAnsi="Times New Roman" w:cs="Times New Roman"/>
          <w:sz w:val="24"/>
          <w:szCs w:val="24"/>
        </w:rPr>
        <w:t xml:space="preserve">, on Forward and Murray Avenues. </w:t>
      </w:r>
      <w:r w:rsidR="00F446C4" w:rsidRPr="00B86671">
        <w:rPr>
          <w:rFonts w:ascii="Times New Roman" w:hAnsi="Times New Roman" w:cs="Times New Roman"/>
          <w:sz w:val="24"/>
          <w:szCs w:val="24"/>
        </w:rPr>
        <w:t xml:space="preserve"> </w:t>
      </w:r>
      <w:r w:rsidRPr="00B86671">
        <w:rPr>
          <w:rFonts w:ascii="Times New Roman" w:hAnsi="Times New Roman" w:cs="Times New Roman"/>
          <w:i/>
          <w:sz w:val="24"/>
          <w:szCs w:val="24"/>
        </w:rPr>
        <w:t>Id.</w:t>
      </w:r>
      <w:r w:rsidRPr="00B86671">
        <w:rPr>
          <w:rFonts w:ascii="Times New Roman" w:hAnsi="Times New Roman" w:cs="Times New Roman"/>
          <w:sz w:val="24"/>
          <w:szCs w:val="24"/>
        </w:rPr>
        <w:t xml:space="preserve"> ¶¶ 8,</w:t>
      </w:r>
      <w:r w:rsidR="00C1387C" w:rsidRPr="00B86671">
        <w:rPr>
          <w:rFonts w:ascii="Times New Roman" w:hAnsi="Times New Roman" w:cs="Times New Roman"/>
          <w:sz w:val="24"/>
          <w:szCs w:val="24"/>
        </w:rPr>
        <w:t xml:space="preserve"> </w:t>
      </w:r>
      <w:r w:rsidRPr="00B86671">
        <w:rPr>
          <w:rFonts w:ascii="Times New Roman" w:hAnsi="Times New Roman" w:cs="Times New Roman"/>
          <w:sz w:val="24"/>
          <w:szCs w:val="24"/>
        </w:rPr>
        <w:t>9.</w:t>
      </w:r>
    </w:p>
    <w:p w:rsidR="00C1387C" w:rsidRPr="00B86671" w:rsidRDefault="00C1387C" w:rsidP="008076CE">
      <w:pPr>
        <w:adjustRightInd w:val="0"/>
        <w:ind w:left="1440" w:right="1080"/>
        <w:rPr>
          <w:rFonts w:ascii="Times New Roman" w:hAnsi="Times New Roman" w:cs="Times New Roman"/>
          <w:sz w:val="24"/>
          <w:szCs w:val="24"/>
        </w:rPr>
      </w:pPr>
    </w:p>
    <w:p w:rsidR="00C1387C" w:rsidRPr="00B86671" w:rsidRDefault="00C1387C" w:rsidP="008076CE">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lastRenderedPageBreak/>
        <w:t xml:space="preserve">On or about January 9 or 10, 2009, Respondent </w:t>
      </w:r>
      <w:r w:rsidR="008076CE" w:rsidRPr="00B86671">
        <w:rPr>
          <w:rFonts w:ascii="Times New Roman" w:hAnsi="Times New Roman" w:cs="Times New Roman"/>
          <w:sz w:val="24"/>
          <w:szCs w:val="24"/>
        </w:rPr>
        <w:t xml:space="preserve">took </w:t>
      </w:r>
      <w:r w:rsidRPr="00B86671">
        <w:rPr>
          <w:rFonts w:ascii="Times New Roman" w:hAnsi="Times New Roman" w:cs="Times New Roman"/>
          <w:sz w:val="24"/>
          <w:szCs w:val="24"/>
        </w:rPr>
        <w:t xml:space="preserve">steps to repair its equipment and to restore electric service to customers, including the funeral home along Forward and Murray Avenues.  </w:t>
      </w:r>
      <w:r w:rsidRPr="00B86671">
        <w:rPr>
          <w:rFonts w:ascii="Times New Roman" w:hAnsi="Times New Roman" w:cs="Times New Roman"/>
          <w:i/>
          <w:sz w:val="24"/>
          <w:szCs w:val="24"/>
        </w:rPr>
        <w:t>Id.</w:t>
      </w:r>
      <w:r w:rsidRPr="00B86671">
        <w:rPr>
          <w:rFonts w:ascii="Times New Roman" w:hAnsi="Times New Roman" w:cs="Times New Roman"/>
          <w:sz w:val="24"/>
          <w:szCs w:val="24"/>
        </w:rPr>
        <w:t xml:space="preserve"> ¶ 11.</w:t>
      </w:r>
    </w:p>
    <w:p w:rsidR="00C1387C" w:rsidRPr="00B86671" w:rsidRDefault="00C1387C" w:rsidP="008076CE">
      <w:pPr>
        <w:adjustRightInd w:val="0"/>
        <w:ind w:left="1440" w:right="1080"/>
        <w:rPr>
          <w:rFonts w:ascii="Times New Roman" w:hAnsi="Times New Roman" w:cs="Times New Roman"/>
          <w:sz w:val="24"/>
          <w:szCs w:val="24"/>
        </w:rPr>
      </w:pPr>
    </w:p>
    <w:p w:rsidR="00C1387C" w:rsidRPr="00B86671" w:rsidRDefault="00C1387C" w:rsidP="008076CE">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t xml:space="preserve">At the time it restored electric service to the </w:t>
      </w:r>
      <w:r w:rsidR="00EF5817" w:rsidRPr="00B86671">
        <w:rPr>
          <w:rFonts w:ascii="Times New Roman" w:hAnsi="Times New Roman" w:cs="Times New Roman"/>
          <w:sz w:val="24"/>
          <w:szCs w:val="24"/>
        </w:rPr>
        <w:t>f</w:t>
      </w:r>
      <w:r w:rsidRPr="00B86671">
        <w:rPr>
          <w:rFonts w:ascii="Times New Roman" w:hAnsi="Times New Roman" w:cs="Times New Roman"/>
          <w:sz w:val="24"/>
          <w:szCs w:val="24"/>
        </w:rPr>
        <w:t xml:space="preserve">uneral </w:t>
      </w:r>
      <w:r w:rsidR="00EF5817" w:rsidRPr="00B86671">
        <w:rPr>
          <w:rFonts w:ascii="Times New Roman" w:hAnsi="Times New Roman" w:cs="Times New Roman"/>
          <w:sz w:val="24"/>
          <w:szCs w:val="24"/>
        </w:rPr>
        <w:t>h</w:t>
      </w:r>
      <w:r w:rsidRPr="00B86671">
        <w:rPr>
          <w:rFonts w:ascii="Times New Roman" w:hAnsi="Times New Roman" w:cs="Times New Roman"/>
          <w:sz w:val="24"/>
          <w:szCs w:val="24"/>
        </w:rPr>
        <w:t>ome, Duquesne ha</w:t>
      </w:r>
      <w:r w:rsidR="00EF5817" w:rsidRPr="00B86671">
        <w:rPr>
          <w:rFonts w:ascii="Times New Roman" w:hAnsi="Times New Roman" w:cs="Times New Roman"/>
          <w:sz w:val="24"/>
          <w:szCs w:val="24"/>
        </w:rPr>
        <w:t>d</w:t>
      </w:r>
      <w:r w:rsidRPr="00B86671">
        <w:rPr>
          <w:rFonts w:ascii="Times New Roman" w:hAnsi="Times New Roman" w:cs="Times New Roman"/>
          <w:sz w:val="24"/>
          <w:szCs w:val="24"/>
        </w:rPr>
        <w:t xml:space="preserve"> actual and/or constructive knowledge that the </w:t>
      </w:r>
      <w:r w:rsidR="00EF5817" w:rsidRPr="00B86671">
        <w:rPr>
          <w:rFonts w:ascii="Times New Roman" w:hAnsi="Times New Roman" w:cs="Times New Roman"/>
          <w:sz w:val="24"/>
          <w:szCs w:val="24"/>
        </w:rPr>
        <w:t>f</w:t>
      </w:r>
      <w:r w:rsidRPr="00B86671">
        <w:rPr>
          <w:rFonts w:ascii="Times New Roman" w:hAnsi="Times New Roman" w:cs="Times New Roman"/>
          <w:sz w:val="24"/>
          <w:szCs w:val="24"/>
        </w:rPr>
        <w:t xml:space="preserve">uneral </w:t>
      </w:r>
      <w:r w:rsidR="00EF5817" w:rsidRPr="00B86671">
        <w:rPr>
          <w:rFonts w:ascii="Times New Roman" w:hAnsi="Times New Roman" w:cs="Times New Roman"/>
          <w:sz w:val="24"/>
          <w:szCs w:val="24"/>
        </w:rPr>
        <w:t>h</w:t>
      </w:r>
      <w:r w:rsidRPr="00B86671">
        <w:rPr>
          <w:rFonts w:ascii="Times New Roman" w:hAnsi="Times New Roman" w:cs="Times New Roman"/>
          <w:sz w:val="24"/>
          <w:szCs w:val="24"/>
        </w:rPr>
        <w:t xml:space="preserve">ome’s low-voltage equipment had been compromised and was no longer able to safely handle the flow </w:t>
      </w:r>
      <w:r w:rsidR="008076CE" w:rsidRPr="00B86671">
        <w:rPr>
          <w:rFonts w:ascii="Times New Roman" w:hAnsi="Times New Roman" w:cs="Times New Roman"/>
          <w:sz w:val="24"/>
          <w:szCs w:val="24"/>
        </w:rPr>
        <w:t xml:space="preserve">of </w:t>
      </w:r>
      <w:r w:rsidRPr="00B86671">
        <w:rPr>
          <w:rFonts w:ascii="Times New Roman" w:hAnsi="Times New Roman" w:cs="Times New Roman"/>
          <w:sz w:val="24"/>
          <w:szCs w:val="24"/>
        </w:rPr>
        <w:t>electricity; however, D</w:t>
      </w:r>
      <w:r w:rsidR="00EF5817" w:rsidRPr="00B86671">
        <w:rPr>
          <w:rFonts w:ascii="Times New Roman" w:hAnsi="Times New Roman" w:cs="Times New Roman"/>
          <w:sz w:val="24"/>
          <w:szCs w:val="24"/>
        </w:rPr>
        <w:t>u</w:t>
      </w:r>
      <w:r w:rsidRPr="00B86671">
        <w:rPr>
          <w:rFonts w:ascii="Times New Roman" w:hAnsi="Times New Roman" w:cs="Times New Roman"/>
          <w:sz w:val="24"/>
          <w:szCs w:val="24"/>
        </w:rPr>
        <w:t>q</w:t>
      </w:r>
      <w:r w:rsidR="00EF5817" w:rsidRPr="00B86671">
        <w:rPr>
          <w:rFonts w:ascii="Times New Roman" w:hAnsi="Times New Roman" w:cs="Times New Roman"/>
          <w:sz w:val="24"/>
          <w:szCs w:val="24"/>
        </w:rPr>
        <w:t xml:space="preserve">uesne restored electrical service </w:t>
      </w:r>
      <w:r w:rsidR="008076CE" w:rsidRPr="00B86671">
        <w:rPr>
          <w:rFonts w:ascii="Times New Roman" w:hAnsi="Times New Roman" w:cs="Times New Roman"/>
          <w:sz w:val="24"/>
          <w:szCs w:val="24"/>
        </w:rPr>
        <w:t xml:space="preserve">to </w:t>
      </w:r>
      <w:r w:rsidR="00EF5817" w:rsidRPr="00B86671">
        <w:rPr>
          <w:rFonts w:ascii="Times New Roman" w:hAnsi="Times New Roman" w:cs="Times New Roman"/>
          <w:sz w:val="24"/>
          <w:szCs w:val="24"/>
        </w:rPr>
        <w:t>the funeral home anyway</w:t>
      </w:r>
      <w:r w:rsidR="00E64961" w:rsidRPr="00B86671">
        <w:rPr>
          <w:rFonts w:ascii="Times New Roman" w:hAnsi="Times New Roman" w:cs="Times New Roman"/>
          <w:sz w:val="24"/>
          <w:szCs w:val="24"/>
        </w:rPr>
        <w:t>, without offering or attempting to inspect Complainant’s electrical equipment.</w:t>
      </w:r>
      <w:r w:rsidR="00EF5817" w:rsidRPr="00B86671">
        <w:rPr>
          <w:rFonts w:ascii="Times New Roman" w:hAnsi="Times New Roman" w:cs="Times New Roman"/>
          <w:sz w:val="24"/>
          <w:szCs w:val="24"/>
        </w:rPr>
        <w:t xml:space="preserve">  </w:t>
      </w:r>
      <w:r w:rsidR="00EF5817" w:rsidRPr="00B86671">
        <w:rPr>
          <w:rFonts w:ascii="Times New Roman" w:hAnsi="Times New Roman" w:cs="Times New Roman"/>
          <w:i/>
          <w:sz w:val="24"/>
          <w:szCs w:val="24"/>
        </w:rPr>
        <w:t>Id.</w:t>
      </w:r>
      <w:r w:rsidR="00EF5817" w:rsidRPr="00B86671">
        <w:rPr>
          <w:rFonts w:ascii="Times New Roman" w:hAnsi="Times New Roman" w:cs="Times New Roman"/>
          <w:sz w:val="24"/>
          <w:szCs w:val="24"/>
        </w:rPr>
        <w:t xml:space="preserve"> ¶¶ 12, 13</w:t>
      </w:r>
      <w:r w:rsidR="00E64961" w:rsidRPr="00B86671">
        <w:rPr>
          <w:rFonts w:ascii="Times New Roman" w:hAnsi="Times New Roman" w:cs="Times New Roman"/>
          <w:sz w:val="24"/>
          <w:szCs w:val="24"/>
        </w:rPr>
        <w:t>, 17</w:t>
      </w:r>
      <w:r w:rsidR="00EF5817" w:rsidRPr="00B86671">
        <w:rPr>
          <w:rFonts w:ascii="Times New Roman" w:hAnsi="Times New Roman" w:cs="Times New Roman"/>
          <w:sz w:val="24"/>
          <w:szCs w:val="24"/>
        </w:rPr>
        <w:t>.</w:t>
      </w:r>
    </w:p>
    <w:p w:rsidR="00EF5817" w:rsidRPr="00B86671" w:rsidRDefault="00EF5817" w:rsidP="008076CE">
      <w:pPr>
        <w:adjustRightInd w:val="0"/>
        <w:ind w:left="1440" w:right="1080"/>
        <w:rPr>
          <w:rFonts w:ascii="Times New Roman" w:hAnsi="Times New Roman" w:cs="Times New Roman"/>
          <w:sz w:val="24"/>
          <w:szCs w:val="24"/>
        </w:rPr>
      </w:pPr>
    </w:p>
    <w:p w:rsidR="00EF5817" w:rsidRPr="00B86671" w:rsidRDefault="00EF5817" w:rsidP="008076CE">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t>Before restoring service to the funeral home, Duquesne did not warn Complainant that its electrical equipment may have been compromised, nor advise Complainant that it would not restore service</w:t>
      </w:r>
      <w:r w:rsidR="00E64961" w:rsidRPr="00B86671">
        <w:rPr>
          <w:rFonts w:ascii="Times New Roman" w:hAnsi="Times New Roman" w:cs="Times New Roman"/>
          <w:sz w:val="24"/>
          <w:szCs w:val="24"/>
        </w:rPr>
        <w:t>,</w:t>
      </w:r>
      <w:r w:rsidRPr="00B86671">
        <w:rPr>
          <w:rFonts w:ascii="Times New Roman" w:hAnsi="Times New Roman" w:cs="Times New Roman"/>
          <w:sz w:val="24"/>
          <w:szCs w:val="24"/>
        </w:rPr>
        <w:t xml:space="preserve"> until its electrical equipment</w:t>
      </w:r>
      <w:r w:rsidR="00E64961" w:rsidRPr="00B86671">
        <w:rPr>
          <w:rFonts w:ascii="Times New Roman" w:hAnsi="Times New Roman" w:cs="Times New Roman"/>
          <w:sz w:val="24"/>
          <w:szCs w:val="24"/>
        </w:rPr>
        <w:t xml:space="preserve"> was </w:t>
      </w:r>
      <w:r w:rsidRPr="00B86671">
        <w:rPr>
          <w:rFonts w:ascii="Times New Roman" w:hAnsi="Times New Roman" w:cs="Times New Roman"/>
          <w:sz w:val="24"/>
          <w:szCs w:val="24"/>
        </w:rPr>
        <w:t>inspected and certified as safe by a qualified third party</w:t>
      </w:r>
      <w:r w:rsidR="00E64961" w:rsidRPr="00B86671">
        <w:rPr>
          <w:rFonts w:ascii="Times New Roman" w:hAnsi="Times New Roman" w:cs="Times New Roman"/>
          <w:sz w:val="24"/>
          <w:szCs w:val="24"/>
        </w:rPr>
        <w:t xml:space="preserve">.  </w:t>
      </w:r>
      <w:r w:rsidR="00E64961" w:rsidRPr="00B86671">
        <w:rPr>
          <w:rFonts w:ascii="Times New Roman" w:hAnsi="Times New Roman" w:cs="Times New Roman"/>
          <w:i/>
          <w:sz w:val="24"/>
          <w:szCs w:val="24"/>
        </w:rPr>
        <w:t>Id.</w:t>
      </w:r>
      <w:r w:rsidR="00E64961" w:rsidRPr="00B86671">
        <w:rPr>
          <w:rFonts w:ascii="Times New Roman" w:hAnsi="Times New Roman" w:cs="Times New Roman"/>
          <w:sz w:val="24"/>
          <w:szCs w:val="24"/>
        </w:rPr>
        <w:t xml:space="preserve"> ¶¶ 14, 15, 16.</w:t>
      </w:r>
    </w:p>
    <w:p w:rsidR="00B1381E" w:rsidRPr="00B86671" w:rsidRDefault="00B1381E" w:rsidP="008076CE">
      <w:pPr>
        <w:adjustRightInd w:val="0"/>
        <w:ind w:left="1440" w:right="1080"/>
        <w:rPr>
          <w:rFonts w:ascii="Times New Roman" w:hAnsi="Times New Roman" w:cs="Times New Roman"/>
          <w:sz w:val="24"/>
          <w:szCs w:val="24"/>
        </w:rPr>
      </w:pPr>
    </w:p>
    <w:p w:rsidR="00F446C4" w:rsidRPr="00B86671" w:rsidRDefault="00B1381E" w:rsidP="00F446C4">
      <w:pPr>
        <w:adjustRightInd w:val="0"/>
        <w:ind w:left="1440" w:right="1080"/>
        <w:rPr>
          <w:rFonts w:ascii="Times New Roman" w:hAnsi="Times New Roman" w:cs="Times New Roman"/>
          <w:sz w:val="24"/>
          <w:szCs w:val="24"/>
        </w:rPr>
      </w:pPr>
      <w:r w:rsidRPr="00B86671">
        <w:rPr>
          <w:rFonts w:ascii="Times New Roman" w:hAnsi="Times New Roman" w:cs="Times New Roman"/>
          <w:sz w:val="24"/>
          <w:szCs w:val="24"/>
        </w:rPr>
        <w:t>When Duquesne restored electrical service to the funeral home the current heated the funeral home’s single-phase metal panel box containing the compromised electrical equipment, ignited the box’s wood backing</w:t>
      </w:r>
      <w:r w:rsidR="00F446C4" w:rsidRPr="00B86671">
        <w:rPr>
          <w:rFonts w:ascii="Times New Roman" w:hAnsi="Times New Roman" w:cs="Times New Roman"/>
          <w:sz w:val="24"/>
          <w:szCs w:val="24"/>
        </w:rPr>
        <w:t xml:space="preserve">, thereby causing the total destruction of all real and personal property at the </w:t>
      </w:r>
      <w:r w:rsidRPr="00B86671">
        <w:rPr>
          <w:rFonts w:ascii="Times New Roman" w:hAnsi="Times New Roman" w:cs="Times New Roman"/>
          <w:sz w:val="24"/>
          <w:szCs w:val="24"/>
        </w:rPr>
        <w:t>funeral home by fire.</w:t>
      </w:r>
      <w:r w:rsidR="00F446C4" w:rsidRPr="00B86671">
        <w:rPr>
          <w:rFonts w:ascii="Times New Roman" w:hAnsi="Times New Roman" w:cs="Times New Roman"/>
          <w:sz w:val="24"/>
          <w:szCs w:val="24"/>
        </w:rPr>
        <w:t xml:space="preserve">  </w:t>
      </w:r>
      <w:r w:rsidR="00F446C4" w:rsidRPr="00B86671">
        <w:rPr>
          <w:rFonts w:ascii="Times New Roman" w:hAnsi="Times New Roman" w:cs="Times New Roman"/>
          <w:i/>
          <w:sz w:val="24"/>
          <w:szCs w:val="24"/>
        </w:rPr>
        <w:t>Id.</w:t>
      </w:r>
      <w:r w:rsidR="00F446C4" w:rsidRPr="00B86671">
        <w:rPr>
          <w:rFonts w:ascii="Times New Roman" w:hAnsi="Times New Roman" w:cs="Times New Roman"/>
          <w:sz w:val="24"/>
          <w:szCs w:val="24"/>
        </w:rPr>
        <w:t xml:space="preserve"> ¶¶ 1</w:t>
      </w:r>
      <w:r w:rsidR="008F5826" w:rsidRPr="00B86671">
        <w:rPr>
          <w:rFonts w:ascii="Times New Roman" w:hAnsi="Times New Roman" w:cs="Times New Roman"/>
          <w:sz w:val="24"/>
          <w:szCs w:val="24"/>
        </w:rPr>
        <w:t>9, 20</w:t>
      </w:r>
      <w:r w:rsidR="00F446C4" w:rsidRPr="00B86671">
        <w:rPr>
          <w:rFonts w:ascii="Times New Roman" w:hAnsi="Times New Roman" w:cs="Times New Roman"/>
          <w:sz w:val="24"/>
          <w:szCs w:val="24"/>
        </w:rPr>
        <w:t>.</w:t>
      </w:r>
    </w:p>
    <w:p w:rsidR="00F446C4" w:rsidRPr="00B86671" w:rsidRDefault="00F446C4" w:rsidP="00F446C4">
      <w:pPr>
        <w:adjustRightInd w:val="0"/>
        <w:spacing w:line="360" w:lineRule="auto"/>
        <w:ind w:left="1440" w:right="1080"/>
        <w:rPr>
          <w:rFonts w:ascii="Times New Roman" w:hAnsi="Times New Roman" w:cs="Times New Roman"/>
          <w:sz w:val="24"/>
          <w:szCs w:val="24"/>
        </w:rPr>
      </w:pPr>
    </w:p>
    <w:p w:rsidR="00E64961" w:rsidRPr="00B86671" w:rsidRDefault="00F446C4" w:rsidP="00C1387C">
      <w:pPr>
        <w:adjustRightInd w:val="0"/>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 xml:space="preserve">Complainant also </w:t>
      </w:r>
      <w:r w:rsidR="008F5826" w:rsidRPr="00B86671">
        <w:rPr>
          <w:rFonts w:ascii="Times New Roman" w:hAnsi="Times New Roman" w:cs="Times New Roman"/>
          <w:sz w:val="24"/>
          <w:szCs w:val="24"/>
        </w:rPr>
        <w:t>alleges</w:t>
      </w:r>
      <w:r w:rsidRPr="00B86671">
        <w:rPr>
          <w:rFonts w:ascii="Times New Roman" w:hAnsi="Times New Roman" w:cs="Times New Roman"/>
          <w:sz w:val="24"/>
          <w:szCs w:val="24"/>
        </w:rPr>
        <w:t xml:space="preserve"> two counts of negligence in its Complaint.</w:t>
      </w:r>
      <w:r w:rsidR="00192690" w:rsidRPr="00B86671">
        <w:rPr>
          <w:rFonts w:ascii="Times New Roman" w:hAnsi="Times New Roman" w:cs="Times New Roman"/>
          <w:sz w:val="24"/>
          <w:szCs w:val="24"/>
        </w:rPr>
        <w:t xml:space="preserve">  Complainant further asserts the subject cas</w:t>
      </w:r>
      <w:r w:rsidR="008F5826" w:rsidRPr="00B86671">
        <w:rPr>
          <w:rFonts w:ascii="Times New Roman" w:hAnsi="Times New Roman" w:cs="Times New Roman"/>
          <w:sz w:val="24"/>
          <w:szCs w:val="24"/>
        </w:rPr>
        <w:t>e was originally filed in the Court of Common Pleas of Allegheny County at Civil</w:t>
      </w:r>
      <w:r w:rsidR="005C1337" w:rsidRPr="00B86671">
        <w:rPr>
          <w:rFonts w:ascii="Times New Roman" w:hAnsi="Times New Roman" w:cs="Times New Roman"/>
          <w:sz w:val="24"/>
          <w:szCs w:val="24"/>
        </w:rPr>
        <w:t xml:space="preserve"> </w:t>
      </w:r>
      <w:r w:rsidR="008F5826" w:rsidRPr="00B86671">
        <w:rPr>
          <w:rFonts w:ascii="Times New Roman" w:hAnsi="Times New Roman" w:cs="Times New Roman"/>
          <w:sz w:val="24"/>
          <w:szCs w:val="24"/>
        </w:rPr>
        <w:t xml:space="preserve">in Action No. GD-09-14720, on or about August 25, 2009. </w:t>
      </w:r>
      <w:r w:rsidR="00495B9A" w:rsidRPr="00B86671">
        <w:rPr>
          <w:rFonts w:ascii="Times New Roman" w:hAnsi="Times New Roman" w:cs="Times New Roman"/>
          <w:sz w:val="24"/>
          <w:szCs w:val="24"/>
        </w:rPr>
        <w:t xml:space="preserve"> </w:t>
      </w:r>
      <w:r w:rsidR="008F5826" w:rsidRPr="00B86671">
        <w:rPr>
          <w:rFonts w:ascii="Times New Roman" w:hAnsi="Times New Roman" w:cs="Times New Roman"/>
          <w:i/>
          <w:sz w:val="24"/>
          <w:szCs w:val="24"/>
        </w:rPr>
        <w:t>Id.</w:t>
      </w:r>
      <w:r w:rsidR="008F5826" w:rsidRPr="00B86671">
        <w:rPr>
          <w:rFonts w:ascii="Times New Roman" w:hAnsi="Times New Roman" w:cs="Times New Roman"/>
          <w:sz w:val="24"/>
          <w:szCs w:val="24"/>
        </w:rPr>
        <w:t xml:space="preserve"> ¶</w:t>
      </w:r>
      <w:r w:rsidR="001C07C8" w:rsidRPr="00B86671">
        <w:rPr>
          <w:rFonts w:ascii="Times New Roman" w:hAnsi="Times New Roman" w:cs="Times New Roman"/>
          <w:sz w:val="24"/>
          <w:szCs w:val="24"/>
        </w:rPr>
        <w:t xml:space="preserve"> </w:t>
      </w:r>
      <w:r w:rsidR="008F5826" w:rsidRPr="00B86671">
        <w:rPr>
          <w:rFonts w:ascii="Times New Roman" w:hAnsi="Times New Roman" w:cs="Times New Roman"/>
          <w:sz w:val="24"/>
          <w:szCs w:val="24"/>
        </w:rPr>
        <w:t>20.  However, on September 14, 2015, Court of Common Pleas Judge Lutty ordered the matter bifurcated and transferred to the Commission.</w:t>
      </w:r>
      <w:r w:rsidR="00D57D6A" w:rsidRPr="00B86671">
        <w:rPr>
          <w:rFonts w:ascii="Times New Roman" w:hAnsi="Times New Roman" w:cs="Times New Roman"/>
          <w:sz w:val="24"/>
          <w:szCs w:val="24"/>
        </w:rPr>
        <w:t xml:space="preserve">  </w:t>
      </w:r>
      <w:r w:rsidR="008F5826" w:rsidRPr="00B86671">
        <w:rPr>
          <w:rFonts w:ascii="Times New Roman" w:hAnsi="Times New Roman" w:cs="Times New Roman"/>
          <w:i/>
          <w:sz w:val="24"/>
          <w:szCs w:val="24"/>
        </w:rPr>
        <w:t>Id.</w:t>
      </w:r>
      <w:r w:rsidR="008F5826" w:rsidRPr="00B86671">
        <w:rPr>
          <w:rFonts w:ascii="Times New Roman" w:hAnsi="Times New Roman" w:cs="Times New Roman"/>
          <w:sz w:val="24"/>
          <w:szCs w:val="24"/>
        </w:rPr>
        <w:t xml:space="preserve"> ¶</w:t>
      </w:r>
      <w:r w:rsidR="001C07C8" w:rsidRPr="00B86671">
        <w:rPr>
          <w:rFonts w:ascii="Times New Roman" w:hAnsi="Times New Roman" w:cs="Times New Roman"/>
          <w:sz w:val="24"/>
          <w:szCs w:val="24"/>
        </w:rPr>
        <w:t xml:space="preserve"> </w:t>
      </w:r>
      <w:r w:rsidR="008F5826" w:rsidRPr="00B86671">
        <w:rPr>
          <w:rFonts w:ascii="Times New Roman" w:hAnsi="Times New Roman" w:cs="Times New Roman"/>
          <w:sz w:val="24"/>
          <w:szCs w:val="24"/>
        </w:rPr>
        <w:t>21.</w:t>
      </w:r>
    </w:p>
    <w:p w:rsidR="008F5826" w:rsidRPr="00B86671" w:rsidRDefault="008F5826" w:rsidP="00C1387C">
      <w:pPr>
        <w:adjustRightInd w:val="0"/>
        <w:spacing w:line="360" w:lineRule="auto"/>
        <w:rPr>
          <w:rFonts w:ascii="Times New Roman" w:hAnsi="Times New Roman" w:cs="Times New Roman"/>
          <w:sz w:val="24"/>
          <w:szCs w:val="24"/>
        </w:rPr>
      </w:pPr>
    </w:p>
    <w:p w:rsidR="00192690" w:rsidRPr="00B86671" w:rsidRDefault="008F5826" w:rsidP="00C1387C">
      <w:pPr>
        <w:adjustRightInd w:val="0"/>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00F446C4" w:rsidRPr="00B86671">
        <w:rPr>
          <w:rFonts w:ascii="Times New Roman" w:hAnsi="Times New Roman" w:cs="Times New Roman"/>
          <w:sz w:val="24"/>
          <w:szCs w:val="24"/>
        </w:rPr>
        <w:t xml:space="preserve">As relief, </w:t>
      </w:r>
      <w:r w:rsidR="00192690" w:rsidRPr="00B86671">
        <w:rPr>
          <w:rFonts w:ascii="Times New Roman" w:hAnsi="Times New Roman" w:cs="Times New Roman"/>
          <w:sz w:val="24"/>
          <w:szCs w:val="24"/>
        </w:rPr>
        <w:t>Complainant seeks a decision in its favor and against Respondent in an amount in excess of $1,000,000 (one million dollars), together with interest and such other relief as the Commission deems proper.</w:t>
      </w:r>
    </w:p>
    <w:p w:rsidR="00192690" w:rsidRPr="00B86671" w:rsidRDefault="00192690" w:rsidP="00C1387C">
      <w:pPr>
        <w:adjustRightInd w:val="0"/>
        <w:spacing w:line="360" w:lineRule="auto"/>
        <w:rPr>
          <w:rFonts w:ascii="Times New Roman" w:hAnsi="Times New Roman" w:cs="Times New Roman"/>
          <w:sz w:val="24"/>
          <w:szCs w:val="24"/>
        </w:rPr>
      </w:pPr>
    </w:p>
    <w:p w:rsidR="00F446C4" w:rsidRPr="00B86671" w:rsidRDefault="008F5826" w:rsidP="00C1387C">
      <w:pPr>
        <w:adjustRightInd w:val="0"/>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On January 29, 2016, Duquesne filed an</w:t>
      </w:r>
      <w:r w:rsidR="003654C0" w:rsidRPr="00B86671">
        <w:rPr>
          <w:rFonts w:ascii="Times New Roman" w:hAnsi="Times New Roman" w:cs="Times New Roman"/>
          <w:sz w:val="24"/>
          <w:szCs w:val="24"/>
        </w:rPr>
        <w:t xml:space="preserve"> Answer and New Matter to Complain</w:t>
      </w:r>
      <w:r w:rsidR="00EF5E3D">
        <w:rPr>
          <w:rFonts w:ascii="Times New Roman" w:hAnsi="Times New Roman" w:cs="Times New Roman"/>
          <w:sz w:val="24"/>
          <w:szCs w:val="24"/>
        </w:rPr>
        <w:t>an</w:t>
      </w:r>
      <w:r w:rsidR="003654C0" w:rsidRPr="00B86671">
        <w:rPr>
          <w:rFonts w:ascii="Times New Roman" w:hAnsi="Times New Roman" w:cs="Times New Roman"/>
          <w:sz w:val="24"/>
          <w:szCs w:val="24"/>
        </w:rPr>
        <w:t xml:space="preserve">t’s Complaint. </w:t>
      </w:r>
      <w:r w:rsidR="009A2960" w:rsidRPr="00B86671">
        <w:rPr>
          <w:rFonts w:ascii="Times New Roman" w:hAnsi="Times New Roman" w:cs="Times New Roman"/>
          <w:sz w:val="24"/>
          <w:szCs w:val="24"/>
        </w:rPr>
        <w:t xml:space="preserve"> </w:t>
      </w:r>
      <w:r w:rsidR="003654C0" w:rsidRPr="00B86671">
        <w:rPr>
          <w:rFonts w:ascii="Times New Roman" w:hAnsi="Times New Roman" w:cs="Times New Roman"/>
          <w:sz w:val="24"/>
          <w:szCs w:val="24"/>
        </w:rPr>
        <w:t>Duquesne’s Answer admitted in part and denied in part the allegations of the Complaint.  In New Matter, Duquesne allege</w:t>
      </w:r>
      <w:r w:rsidR="005C1337" w:rsidRPr="00B86671">
        <w:rPr>
          <w:rFonts w:ascii="Times New Roman" w:hAnsi="Times New Roman" w:cs="Times New Roman"/>
          <w:sz w:val="24"/>
          <w:szCs w:val="24"/>
        </w:rPr>
        <w:t>s</w:t>
      </w:r>
      <w:r w:rsidR="003654C0" w:rsidRPr="00B86671">
        <w:rPr>
          <w:rFonts w:ascii="Times New Roman" w:hAnsi="Times New Roman" w:cs="Times New Roman"/>
          <w:sz w:val="24"/>
          <w:szCs w:val="24"/>
        </w:rPr>
        <w:t xml:space="preserve"> that in responding to the outage </w:t>
      </w:r>
      <w:r w:rsidR="00A1764B" w:rsidRPr="00B86671">
        <w:rPr>
          <w:rFonts w:ascii="Times New Roman" w:hAnsi="Times New Roman" w:cs="Times New Roman"/>
          <w:sz w:val="24"/>
          <w:szCs w:val="24"/>
        </w:rPr>
        <w:t xml:space="preserve">at Forward and Murray Avenues </w:t>
      </w:r>
      <w:r w:rsidR="003654C0" w:rsidRPr="00B86671">
        <w:rPr>
          <w:rFonts w:ascii="Times New Roman" w:hAnsi="Times New Roman" w:cs="Times New Roman"/>
          <w:sz w:val="24"/>
          <w:szCs w:val="24"/>
        </w:rPr>
        <w:t>the night of January 9-10, 2009, it used every reasonable effort to protect the public from danger and to reduce hazards to the public due to its provision o</w:t>
      </w:r>
      <w:r w:rsidR="00A1764B" w:rsidRPr="00B86671">
        <w:rPr>
          <w:rFonts w:ascii="Times New Roman" w:hAnsi="Times New Roman" w:cs="Times New Roman"/>
          <w:sz w:val="24"/>
          <w:szCs w:val="24"/>
        </w:rPr>
        <w:t xml:space="preserve">f </w:t>
      </w:r>
      <w:r w:rsidR="00A1764B" w:rsidRPr="00B86671">
        <w:rPr>
          <w:rFonts w:ascii="Times New Roman" w:hAnsi="Times New Roman" w:cs="Times New Roman"/>
          <w:sz w:val="24"/>
          <w:szCs w:val="24"/>
        </w:rPr>
        <w:lastRenderedPageBreak/>
        <w:t>electric distribution and its associated equipment and facilities.  New Matter ¶</w:t>
      </w:r>
      <w:r w:rsidR="00F23467" w:rsidRPr="00B86671">
        <w:rPr>
          <w:rFonts w:ascii="Times New Roman" w:hAnsi="Times New Roman" w:cs="Times New Roman"/>
          <w:sz w:val="24"/>
          <w:szCs w:val="24"/>
        </w:rPr>
        <w:t xml:space="preserve"> </w:t>
      </w:r>
      <w:r w:rsidR="00A1764B" w:rsidRPr="00B86671">
        <w:rPr>
          <w:rFonts w:ascii="Times New Roman" w:hAnsi="Times New Roman" w:cs="Times New Roman"/>
          <w:sz w:val="24"/>
          <w:szCs w:val="24"/>
        </w:rPr>
        <w:t xml:space="preserve">62.  </w:t>
      </w:r>
      <w:r w:rsidR="003654C0" w:rsidRPr="00B86671">
        <w:rPr>
          <w:rFonts w:ascii="Times New Roman" w:hAnsi="Times New Roman" w:cs="Times New Roman"/>
          <w:sz w:val="24"/>
          <w:szCs w:val="24"/>
        </w:rPr>
        <w:t>As relief, Duquesne seeks a decision in its favor and against Complainant and such other relief as the Commission deems proper.</w:t>
      </w:r>
    </w:p>
    <w:p w:rsidR="00EC6BD7" w:rsidRPr="00B86671" w:rsidRDefault="00EC6BD7" w:rsidP="005F1451">
      <w:pPr>
        <w:jc w:val="center"/>
        <w:rPr>
          <w:rFonts w:ascii="Times New Roman" w:hAnsi="Times New Roman" w:cs="Times New Roman"/>
          <w:b/>
          <w:bCs/>
          <w:sz w:val="24"/>
          <w:szCs w:val="24"/>
        </w:rPr>
      </w:pPr>
    </w:p>
    <w:p w:rsidR="00262DBF" w:rsidRPr="00B86671" w:rsidRDefault="005C1337" w:rsidP="00EC6BD7">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Subsequent to its Complain</w:t>
      </w:r>
      <w:r w:rsidR="0052630B">
        <w:rPr>
          <w:rFonts w:ascii="Times New Roman" w:hAnsi="Times New Roman" w:cs="Times New Roman"/>
          <w:sz w:val="24"/>
          <w:szCs w:val="24"/>
        </w:rPr>
        <w:t>t</w:t>
      </w:r>
      <w:r w:rsidRPr="00B86671">
        <w:rPr>
          <w:rFonts w:ascii="Times New Roman" w:hAnsi="Times New Roman" w:cs="Times New Roman"/>
          <w:sz w:val="24"/>
          <w:szCs w:val="24"/>
        </w:rPr>
        <w:t xml:space="preserve"> filing, Hirsh filed Complainant’s Preliminary Objections to Jurisdiction on January 8, 2016.  </w:t>
      </w:r>
      <w:r w:rsidR="00262DBF" w:rsidRPr="00B86671">
        <w:rPr>
          <w:rFonts w:ascii="Times New Roman" w:hAnsi="Times New Roman" w:cs="Times New Roman"/>
          <w:sz w:val="24"/>
          <w:szCs w:val="24"/>
        </w:rPr>
        <w:t xml:space="preserve">Complainant’s preliminary objections </w:t>
      </w:r>
      <w:r w:rsidR="00411F9F" w:rsidRPr="00B86671">
        <w:rPr>
          <w:rFonts w:ascii="Times New Roman" w:hAnsi="Times New Roman" w:cs="Times New Roman"/>
          <w:sz w:val="24"/>
          <w:szCs w:val="24"/>
        </w:rPr>
        <w:t xml:space="preserve">(P.O.) </w:t>
      </w:r>
      <w:r w:rsidR="00262DBF" w:rsidRPr="00B86671">
        <w:rPr>
          <w:rFonts w:ascii="Times New Roman" w:hAnsi="Times New Roman" w:cs="Times New Roman"/>
          <w:sz w:val="24"/>
          <w:szCs w:val="24"/>
        </w:rPr>
        <w:t xml:space="preserve">are summarized </w:t>
      </w:r>
      <w:r w:rsidR="0009632B" w:rsidRPr="00B86671">
        <w:rPr>
          <w:rFonts w:ascii="Times New Roman" w:hAnsi="Times New Roman" w:cs="Times New Roman"/>
          <w:sz w:val="24"/>
          <w:szCs w:val="24"/>
        </w:rPr>
        <w:t>as follows:</w:t>
      </w:r>
      <w:r w:rsidR="001C07C8" w:rsidRPr="00B86671">
        <w:rPr>
          <w:rStyle w:val="FootnoteReference"/>
          <w:rFonts w:ascii="Times New Roman" w:hAnsi="Times New Roman" w:cs="Times New Roman"/>
          <w:sz w:val="24"/>
          <w:szCs w:val="24"/>
        </w:rPr>
        <w:footnoteReference w:id="2"/>
      </w:r>
    </w:p>
    <w:p w:rsidR="00262DBF" w:rsidRPr="00B86671" w:rsidRDefault="00262DBF" w:rsidP="004F3688">
      <w:pPr>
        <w:ind w:left="1440" w:right="1166"/>
        <w:rPr>
          <w:rFonts w:ascii="Times New Roman" w:hAnsi="Times New Roman" w:cs="Times New Roman"/>
          <w:sz w:val="24"/>
          <w:szCs w:val="24"/>
        </w:rPr>
      </w:pPr>
    </w:p>
    <w:p w:rsidR="00262DBF" w:rsidRPr="00B86671" w:rsidRDefault="0009632B" w:rsidP="0009632B">
      <w:pPr>
        <w:pStyle w:val="ListParagraph"/>
        <w:ind w:left="1440" w:right="1166"/>
        <w:rPr>
          <w:rFonts w:ascii="Times New Roman" w:hAnsi="Times New Roman" w:cs="Times New Roman"/>
          <w:sz w:val="24"/>
          <w:szCs w:val="24"/>
        </w:rPr>
      </w:pPr>
      <w:r w:rsidRPr="00B86671">
        <w:rPr>
          <w:rFonts w:ascii="Times New Roman" w:hAnsi="Times New Roman" w:cs="Times New Roman"/>
          <w:sz w:val="24"/>
          <w:szCs w:val="24"/>
        </w:rPr>
        <w:t>(a)</w:t>
      </w:r>
      <w:r w:rsidRPr="00B86671">
        <w:rPr>
          <w:rFonts w:ascii="Times New Roman" w:hAnsi="Times New Roman" w:cs="Times New Roman"/>
          <w:sz w:val="24"/>
          <w:szCs w:val="24"/>
        </w:rPr>
        <w:tab/>
      </w:r>
      <w:r w:rsidR="00262DBF" w:rsidRPr="00B86671">
        <w:rPr>
          <w:rFonts w:ascii="Times New Roman" w:hAnsi="Times New Roman" w:cs="Times New Roman"/>
          <w:sz w:val="24"/>
          <w:szCs w:val="24"/>
        </w:rPr>
        <w:t>The Commission cannot adjudicate claims for damages.</w:t>
      </w:r>
    </w:p>
    <w:p w:rsidR="00262DBF" w:rsidRPr="00B86671" w:rsidRDefault="00262DBF" w:rsidP="004F3688">
      <w:pPr>
        <w:ind w:left="1440" w:right="1166"/>
        <w:rPr>
          <w:rFonts w:ascii="Times New Roman" w:hAnsi="Times New Roman" w:cs="Times New Roman"/>
          <w:sz w:val="24"/>
          <w:szCs w:val="24"/>
        </w:rPr>
      </w:pPr>
    </w:p>
    <w:p w:rsidR="000C71C8" w:rsidRPr="00B86671" w:rsidRDefault="0009632B" w:rsidP="0009632B">
      <w:pPr>
        <w:pStyle w:val="ListParagraph"/>
        <w:ind w:left="1440" w:right="1166"/>
        <w:rPr>
          <w:rFonts w:ascii="Times New Roman" w:hAnsi="Times New Roman" w:cs="Times New Roman"/>
          <w:sz w:val="24"/>
          <w:szCs w:val="24"/>
        </w:rPr>
      </w:pPr>
      <w:r w:rsidRPr="00B86671">
        <w:rPr>
          <w:rFonts w:ascii="Times New Roman" w:hAnsi="Times New Roman" w:cs="Times New Roman"/>
          <w:sz w:val="24"/>
          <w:szCs w:val="24"/>
        </w:rPr>
        <w:t>(b)</w:t>
      </w:r>
      <w:r w:rsidRPr="00B86671">
        <w:rPr>
          <w:rFonts w:ascii="Times New Roman" w:hAnsi="Times New Roman" w:cs="Times New Roman"/>
          <w:sz w:val="24"/>
          <w:szCs w:val="24"/>
        </w:rPr>
        <w:tab/>
      </w:r>
      <w:r w:rsidR="00262DBF" w:rsidRPr="00B86671">
        <w:rPr>
          <w:rFonts w:ascii="Times New Roman" w:hAnsi="Times New Roman" w:cs="Times New Roman"/>
          <w:sz w:val="24"/>
          <w:szCs w:val="24"/>
        </w:rPr>
        <w:t>Duquesne is judicially estopped to assert that the Commission</w:t>
      </w:r>
      <w:r w:rsidR="004F3688" w:rsidRPr="00B86671">
        <w:rPr>
          <w:rFonts w:ascii="Times New Roman" w:hAnsi="Times New Roman" w:cs="Times New Roman"/>
          <w:sz w:val="24"/>
          <w:szCs w:val="24"/>
        </w:rPr>
        <w:t xml:space="preserve"> </w:t>
      </w:r>
      <w:r w:rsidR="004F3688" w:rsidRPr="00B86671">
        <w:rPr>
          <w:rFonts w:ascii="Times New Roman" w:hAnsi="Times New Roman" w:cs="Times New Roman"/>
          <w:sz w:val="24"/>
          <w:szCs w:val="24"/>
        </w:rPr>
        <w:tab/>
      </w:r>
      <w:r w:rsidR="00262DBF" w:rsidRPr="00B86671">
        <w:rPr>
          <w:rFonts w:ascii="Times New Roman" w:hAnsi="Times New Roman" w:cs="Times New Roman"/>
          <w:sz w:val="24"/>
          <w:szCs w:val="24"/>
        </w:rPr>
        <w:t>has jurisdiction have previously argued to the contrary.</w:t>
      </w:r>
    </w:p>
    <w:p w:rsidR="004F3688" w:rsidRPr="00B86671" w:rsidRDefault="004F3688" w:rsidP="004D7584">
      <w:pPr>
        <w:ind w:left="1440" w:right="1166"/>
        <w:rPr>
          <w:rFonts w:ascii="Times New Roman" w:hAnsi="Times New Roman" w:cs="Times New Roman"/>
          <w:sz w:val="24"/>
          <w:szCs w:val="24"/>
        </w:rPr>
      </w:pPr>
    </w:p>
    <w:p w:rsidR="004F3688" w:rsidRPr="00B86671" w:rsidRDefault="0009632B" w:rsidP="0009632B">
      <w:pPr>
        <w:pStyle w:val="ListParagraph"/>
        <w:ind w:left="1440" w:right="1166"/>
        <w:rPr>
          <w:rFonts w:ascii="Times New Roman" w:hAnsi="Times New Roman" w:cs="Times New Roman"/>
          <w:sz w:val="24"/>
          <w:szCs w:val="24"/>
        </w:rPr>
      </w:pPr>
      <w:r w:rsidRPr="00B86671">
        <w:rPr>
          <w:rFonts w:ascii="Times New Roman" w:hAnsi="Times New Roman" w:cs="Times New Roman"/>
          <w:sz w:val="24"/>
          <w:szCs w:val="24"/>
        </w:rPr>
        <w:t>(c)</w:t>
      </w:r>
      <w:r w:rsidRPr="00B86671">
        <w:rPr>
          <w:rFonts w:ascii="Times New Roman" w:hAnsi="Times New Roman" w:cs="Times New Roman"/>
          <w:sz w:val="24"/>
          <w:szCs w:val="24"/>
        </w:rPr>
        <w:tab/>
      </w:r>
      <w:r w:rsidR="004F3688" w:rsidRPr="00B86671">
        <w:rPr>
          <w:rFonts w:ascii="Times New Roman" w:hAnsi="Times New Roman" w:cs="Times New Roman"/>
          <w:sz w:val="24"/>
          <w:szCs w:val="24"/>
        </w:rPr>
        <w:t xml:space="preserve">The Supreme Court of Pennsylvania has already held that it is </w:t>
      </w:r>
      <w:r w:rsidR="004F3688" w:rsidRPr="00B86671">
        <w:rPr>
          <w:rFonts w:ascii="Times New Roman" w:hAnsi="Times New Roman" w:cs="Times New Roman"/>
          <w:sz w:val="24"/>
          <w:szCs w:val="24"/>
        </w:rPr>
        <w:tab/>
        <w:t>for a jury</w:t>
      </w:r>
      <w:r w:rsidR="004D7584" w:rsidRPr="00B86671">
        <w:rPr>
          <w:rFonts w:ascii="Times New Roman" w:hAnsi="Times New Roman" w:cs="Times New Roman"/>
          <w:sz w:val="24"/>
          <w:szCs w:val="24"/>
        </w:rPr>
        <w:t xml:space="preserve">, not the Commission, to determine what was </w:t>
      </w:r>
      <w:r w:rsidR="004D7584" w:rsidRPr="00B86671">
        <w:rPr>
          <w:rFonts w:ascii="Times New Roman" w:hAnsi="Times New Roman" w:cs="Times New Roman"/>
          <w:sz w:val="24"/>
          <w:szCs w:val="24"/>
        </w:rPr>
        <w:tab/>
        <w:t>reasonable under the circumstances.</w:t>
      </w:r>
    </w:p>
    <w:p w:rsidR="004D7584" w:rsidRPr="00B86671" w:rsidRDefault="004D7584" w:rsidP="004D7584">
      <w:pPr>
        <w:spacing w:line="360" w:lineRule="auto"/>
        <w:ind w:left="1440" w:right="1080"/>
        <w:rPr>
          <w:rFonts w:ascii="Times New Roman" w:hAnsi="Times New Roman" w:cs="Times New Roman"/>
          <w:sz w:val="24"/>
          <w:szCs w:val="24"/>
        </w:rPr>
      </w:pPr>
    </w:p>
    <w:p w:rsidR="004D7584" w:rsidRPr="00B86671" w:rsidRDefault="0009632B" w:rsidP="0052630B">
      <w:pPr>
        <w:ind w:left="2160" w:right="1080" w:hanging="720"/>
        <w:rPr>
          <w:rFonts w:ascii="Times New Roman" w:hAnsi="Times New Roman" w:cs="Times New Roman"/>
          <w:sz w:val="24"/>
          <w:szCs w:val="24"/>
        </w:rPr>
      </w:pPr>
      <w:r w:rsidRPr="00B86671">
        <w:rPr>
          <w:rFonts w:ascii="Times New Roman" w:hAnsi="Times New Roman" w:cs="Times New Roman"/>
          <w:sz w:val="24"/>
          <w:szCs w:val="24"/>
        </w:rPr>
        <w:t>(d)</w:t>
      </w:r>
      <w:r w:rsidR="004D7584" w:rsidRPr="00B86671">
        <w:rPr>
          <w:rFonts w:ascii="Times New Roman" w:hAnsi="Times New Roman" w:cs="Times New Roman"/>
          <w:sz w:val="24"/>
          <w:szCs w:val="24"/>
        </w:rPr>
        <w:tab/>
        <w:t>The regulations cited by Duquesne as justifying bifurcation are completely irrelevant, and the Commission lacks expertise</w:t>
      </w:r>
      <w:r w:rsidR="0052630B">
        <w:rPr>
          <w:rFonts w:ascii="Times New Roman" w:hAnsi="Times New Roman" w:cs="Times New Roman"/>
          <w:sz w:val="24"/>
          <w:szCs w:val="24"/>
        </w:rPr>
        <w:t xml:space="preserve"> as</w:t>
      </w:r>
      <w:r w:rsidR="004D7584" w:rsidRPr="00B86671">
        <w:rPr>
          <w:rFonts w:ascii="Times New Roman" w:hAnsi="Times New Roman" w:cs="Times New Roman"/>
          <w:sz w:val="24"/>
          <w:szCs w:val="24"/>
        </w:rPr>
        <w:t xml:space="preserve"> to overvoltage incidents.</w:t>
      </w:r>
    </w:p>
    <w:p w:rsidR="004D7584" w:rsidRPr="00B86671" w:rsidRDefault="004D7584" w:rsidP="004D7584">
      <w:pPr>
        <w:pStyle w:val="ListParagraph"/>
        <w:ind w:left="1440" w:right="1080"/>
        <w:rPr>
          <w:rFonts w:ascii="Times New Roman" w:hAnsi="Times New Roman" w:cs="Times New Roman"/>
          <w:sz w:val="24"/>
          <w:szCs w:val="24"/>
        </w:rPr>
      </w:pPr>
    </w:p>
    <w:p w:rsidR="005742FE" w:rsidRPr="00B86671" w:rsidRDefault="0009632B" w:rsidP="004D7584">
      <w:pPr>
        <w:pStyle w:val="ListParagraph"/>
        <w:ind w:left="1440"/>
        <w:rPr>
          <w:rFonts w:ascii="Times New Roman" w:hAnsi="Times New Roman" w:cs="Times New Roman"/>
          <w:sz w:val="24"/>
          <w:szCs w:val="24"/>
        </w:rPr>
      </w:pPr>
      <w:r w:rsidRPr="00B86671">
        <w:rPr>
          <w:rFonts w:ascii="Times New Roman" w:hAnsi="Times New Roman" w:cs="Times New Roman"/>
          <w:sz w:val="24"/>
          <w:szCs w:val="24"/>
        </w:rPr>
        <w:t>(e)</w:t>
      </w:r>
      <w:r w:rsidR="004D7584" w:rsidRPr="00B86671">
        <w:rPr>
          <w:rFonts w:ascii="Times New Roman" w:hAnsi="Times New Roman" w:cs="Times New Roman"/>
          <w:sz w:val="24"/>
          <w:szCs w:val="24"/>
        </w:rPr>
        <w:tab/>
        <w:t xml:space="preserve">Juries must decide questions of negligence </w:t>
      </w:r>
      <w:r w:rsidR="004D7584" w:rsidRPr="00B86671">
        <w:rPr>
          <w:rFonts w:ascii="Times New Roman" w:hAnsi="Times New Roman" w:cs="Times New Roman"/>
          <w:i/>
          <w:sz w:val="24"/>
          <w:szCs w:val="24"/>
        </w:rPr>
        <w:t>per se</w:t>
      </w:r>
      <w:r w:rsidR="004D7584" w:rsidRPr="00B86671">
        <w:rPr>
          <w:rFonts w:ascii="Times New Roman" w:hAnsi="Times New Roman" w:cs="Times New Roman"/>
          <w:sz w:val="24"/>
          <w:szCs w:val="24"/>
        </w:rPr>
        <w:t>.</w:t>
      </w:r>
    </w:p>
    <w:p w:rsidR="004D7584" w:rsidRPr="00B86671" w:rsidRDefault="004D7584" w:rsidP="004D7584">
      <w:pPr>
        <w:pStyle w:val="ListParagraph"/>
        <w:ind w:left="1440"/>
        <w:rPr>
          <w:rFonts w:ascii="Times New Roman" w:hAnsi="Times New Roman" w:cs="Times New Roman"/>
          <w:sz w:val="24"/>
          <w:szCs w:val="24"/>
        </w:rPr>
      </w:pPr>
    </w:p>
    <w:p w:rsidR="004D7584" w:rsidRPr="00B86671" w:rsidRDefault="0009632B" w:rsidP="004D7584">
      <w:pPr>
        <w:pStyle w:val="ListParagraph"/>
        <w:ind w:left="1440"/>
        <w:rPr>
          <w:rFonts w:ascii="Times New Roman" w:hAnsi="Times New Roman" w:cs="Times New Roman"/>
          <w:sz w:val="24"/>
          <w:szCs w:val="24"/>
        </w:rPr>
      </w:pPr>
      <w:r w:rsidRPr="00B86671">
        <w:rPr>
          <w:rFonts w:ascii="Times New Roman" w:hAnsi="Times New Roman" w:cs="Times New Roman"/>
          <w:sz w:val="24"/>
          <w:szCs w:val="24"/>
        </w:rPr>
        <w:t>(f)</w:t>
      </w:r>
      <w:r w:rsidR="004D7584" w:rsidRPr="00B86671">
        <w:rPr>
          <w:rFonts w:ascii="Times New Roman" w:hAnsi="Times New Roman" w:cs="Times New Roman"/>
          <w:sz w:val="24"/>
          <w:szCs w:val="24"/>
        </w:rPr>
        <w:tab/>
        <w:t>Questions of constructive knowledge must be decided by juries.</w:t>
      </w:r>
    </w:p>
    <w:p w:rsidR="004D7584" w:rsidRPr="00B86671" w:rsidRDefault="004D7584" w:rsidP="004D7584">
      <w:pPr>
        <w:pStyle w:val="ListParagraph"/>
        <w:ind w:left="1440"/>
        <w:rPr>
          <w:rFonts w:ascii="Times New Roman" w:hAnsi="Times New Roman" w:cs="Times New Roman"/>
          <w:sz w:val="24"/>
          <w:szCs w:val="24"/>
        </w:rPr>
      </w:pPr>
    </w:p>
    <w:p w:rsidR="001C07C8" w:rsidRPr="00B86671" w:rsidRDefault="0009632B" w:rsidP="001C07C8">
      <w:pPr>
        <w:pStyle w:val="ListParagraph"/>
        <w:ind w:left="1440" w:right="1080"/>
        <w:rPr>
          <w:rFonts w:ascii="Times New Roman" w:hAnsi="Times New Roman" w:cs="Times New Roman"/>
          <w:sz w:val="24"/>
          <w:szCs w:val="24"/>
        </w:rPr>
      </w:pPr>
      <w:r w:rsidRPr="00B86671">
        <w:rPr>
          <w:rFonts w:ascii="Times New Roman" w:hAnsi="Times New Roman" w:cs="Times New Roman"/>
          <w:sz w:val="24"/>
          <w:szCs w:val="24"/>
        </w:rPr>
        <w:t>(g)</w:t>
      </w:r>
      <w:r w:rsidR="004D7584" w:rsidRPr="00B86671">
        <w:rPr>
          <w:rFonts w:ascii="Times New Roman" w:hAnsi="Times New Roman" w:cs="Times New Roman"/>
          <w:sz w:val="24"/>
          <w:szCs w:val="24"/>
        </w:rPr>
        <w:tab/>
        <w:t xml:space="preserve">The Commission need not defer to a plainly erroneous decision </w:t>
      </w:r>
      <w:r w:rsidR="004D7584" w:rsidRPr="00B86671">
        <w:rPr>
          <w:rFonts w:ascii="Times New Roman" w:hAnsi="Times New Roman" w:cs="Times New Roman"/>
          <w:sz w:val="24"/>
          <w:szCs w:val="24"/>
        </w:rPr>
        <w:tab/>
        <w:t>of the Court of Common Pleas</w:t>
      </w:r>
      <w:r w:rsidR="001C07C8" w:rsidRPr="00B86671">
        <w:rPr>
          <w:rFonts w:ascii="Times New Roman" w:hAnsi="Times New Roman" w:cs="Times New Roman"/>
          <w:sz w:val="24"/>
          <w:szCs w:val="24"/>
        </w:rPr>
        <w:t>.</w:t>
      </w:r>
    </w:p>
    <w:p w:rsidR="004D7584" w:rsidRPr="00B86671" w:rsidRDefault="004D7584" w:rsidP="001C07C8">
      <w:pPr>
        <w:pStyle w:val="ListParagraph"/>
        <w:spacing w:line="360" w:lineRule="auto"/>
        <w:ind w:left="1440" w:hanging="1440"/>
        <w:rPr>
          <w:rFonts w:ascii="Times New Roman" w:hAnsi="Times New Roman" w:cs="Times New Roman"/>
          <w:sz w:val="24"/>
          <w:szCs w:val="24"/>
        </w:rPr>
      </w:pPr>
    </w:p>
    <w:p w:rsidR="0009632B" w:rsidRPr="00B86671" w:rsidRDefault="0091443E" w:rsidP="001C07C8">
      <w:pPr>
        <w:pStyle w:val="ListParagraph"/>
        <w:spacing w:line="360" w:lineRule="auto"/>
        <w:ind w:left="0"/>
        <w:rPr>
          <w:rFonts w:ascii="Times New Roman" w:hAnsi="Times New Roman" w:cs="Times New Roman"/>
          <w:sz w:val="24"/>
          <w:szCs w:val="24"/>
        </w:rPr>
      </w:pPr>
      <w:r w:rsidRPr="00B86671">
        <w:rPr>
          <w:rFonts w:ascii="Times New Roman" w:hAnsi="Times New Roman" w:cs="Times New Roman"/>
          <w:sz w:val="24"/>
          <w:szCs w:val="24"/>
        </w:rPr>
        <w:t>Hirsch</w:t>
      </w:r>
      <w:r w:rsidR="001C07C8" w:rsidRPr="00B86671">
        <w:rPr>
          <w:rFonts w:ascii="Times New Roman" w:hAnsi="Times New Roman" w:cs="Times New Roman"/>
          <w:sz w:val="24"/>
          <w:szCs w:val="24"/>
        </w:rPr>
        <w:t xml:space="preserve"> argues that the instant case is pending before the Commission over its strenuous objections in the Court of Common Pleas and against the great weight of Pennsylvania law.  P.O. ¶ 169.  In the event that the P.O. is sustained, </w:t>
      </w:r>
      <w:r w:rsidRPr="00B86671">
        <w:rPr>
          <w:rFonts w:ascii="Times New Roman" w:hAnsi="Times New Roman" w:cs="Times New Roman"/>
          <w:sz w:val="24"/>
          <w:szCs w:val="24"/>
        </w:rPr>
        <w:t>Hirsch</w:t>
      </w:r>
      <w:r w:rsidR="001C07C8" w:rsidRPr="00B86671">
        <w:rPr>
          <w:rFonts w:ascii="Times New Roman" w:hAnsi="Times New Roman" w:cs="Times New Roman"/>
          <w:sz w:val="24"/>
          <w:szCs w:val="24"/>
        </w:rPr>
        <w:t xml:space="preserve"> submits that it</w:t>
      </w:r>
      <w:r w:rsidRPr="00B86671">
        <w:rPr>
          <w:rFonts w:ascii="Times New Roman" w:hAnsi="Times New Roman" w:cs="Times New Roman"/>
          <w:sz w:val="24"/>
          <w:szCs w:val="24"/>
        </w:rPr>
        <w:t xml:space="preserve"> </w:t>
      </w:r>
      <w:r w:rsidR="001C07C8" w:rsidRPr="00B86671">
        <w:rPr>
          <w:rFonts w:ascii="Times New Roman" w:hAnsi="Times New Roman" w:cs="Times New Roman"/>
          <w:sz w:val="24"/>
          <w:szCs w:val="24"/>
        </w:rPr>
        <w:t xml:space="preserve">will </w:t>
      </w:r>
      <w:r w:rsidRPr="00B86671">
        <w:rPr>
          <w:rFonts w:ascii="Times New Roman" w:hAnsi="Times New Roman" w:cs="Times New Roman"/>
          <w:sz w:val="24"/>
          <w:szCs w:val="24"/>
        </w:rPr>
        <w:t xml:space="preserve">move </w:t>
      </w:r>
      <w:r w:rsidR="001C07C8" w:rsidRPr="00B86671">
        <w:rPr>
          <w:rFonts w:ascii="Times New Roman" w:hAnsi="Times New Roman" w:cs="Times New Roman"/>
          <w:sz w:val="24"/>
          <w:szCs w:val="24"/>
        </w:rPr>
        <w:t xml:space="preserve">the Court of Common Pleas to reinstate the matter.  </w:t>
      </w:r>
      <w:r w:rsidR="001C07C8" w:rsidRPr="00B86671">
        <w:rPr>
          <w:rFonts w:ascii="Times New Roman" w:hAnsi="Times New Roman" w:cs="Times New Roman"/>
          <w:i/>
          <w:sz w:val="24"/>
          <w:szCs w:val="24"/>
        </w:rPr>
        <w:t>Id.</w:t>
      </w:r>
      <w:r w:rsidRPr="00B86671">
        <w:rPr>
          <w:rFonts w:ascii="Times New Roman" w:hAnsi="Times New Roman" w:cs="Times New Roman"/>
          <w:sz w:val="24"/>
          <w:szCs w:val="24"/>
        </w:rPr>
        <w:t xml:space="preserve">  Accordingly, Hirsch requests that its P.O. be sustained, and that its complaint be dismissed without prejudice.</w:t>
      </w:r>
    </w:p>
    <w:p w:rsidR="0009632B" w:rsidRPr="00B86671" w:rsidRDefault="0009632B" w:rsidP="001C07C8">
      <w:pPr>
        <w:pStyle w:val="ListParagraph"/>
        <w:spacing w:line="360" w:lineRule="auto"/>
        <w:ind w:left="0"/>
        <w:rPr>
          <w:rFonts w:ascii="Times New Roman" w:hAnsi="Times New Roman" w:cs="Times New Roman"/>
          <w:sz w:val="24"/>
          <w:szCs w:val="24"/>
        </w:rPr>
      </w:pPr>
    </w:p>
    <w:p w:rsidR="0009632B" w:rsidRPr="00B86671" w:rsidRDefault="0009632B" w:rsidP="001C07C8">
      <w:pPr>
        <w:pStyle w:val="ListParagraph"/>
        <w:spacing w:line="360" w:lineRule="auto"/>
        <w:ind w:left="0"/>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On January 18, 2016, Duquesne filed an Answer in Opposition to Complainant’s Preliminary Objections to Jurisdiction.  Duquesne’s answers to the P.O. are summarized as follows:</w:t>
      </w:r>
    </w:p>
    <w:p w:rsidR="00790EF0" w:rsidRPr="00B86671" w:rsidRDefault="00790EF0" w:rsidP="00790EF0">
      <w:pPr>
        <w:pStyle w:val="ListParagraph"/>
        <w:ind w:left="1440" w:right="1080"/>
        <w:rPr>
          <w:rFonts w:ascii="Times New Roman" w:hAnsi="Times New Roman" w:cs="Times New Roman"/>
          <w:sz w:val="24"/>
          <w:szCs w:val="24"/>
        </w:rPr>
      </w:pPr>
      <w:r w:rsidRPr="00B86671">
        <w:rPr>
          <w:rFonts w:ascii="Times New Roman" w:hAnsi="Times New Roman" w:cs="Times New Roman"/>
          <w:sz w:val="24"/>
          <w:szCs w:val="24"/>
        </w:rPr>
        <w:lastRenderedPageBreak/>
        <w:t>(a)</w:t>
      </w:r>
      <w:r w:rsidRPr="00B86671">
        <w:rPr>
          <w:rFonts w:ascii="Times New Roman" w:hAnsi="Times New Roman" w:cs="Times New Roman"/>
          <w:sz w:val="24"/>
          <w:szCs w:val="24"/>
        </w:rPr>
        <w:tab/>
        <w:t xml:space="preserve">Duquesne acknowledges that the Commission cannot award </w:t>
      </w:r>
      <w:r w:rsidRPr="00B86671">
        <w:rPr>
          <w:rFonts w:ascii="Times New Roman" w:hAnsi="Times New Roman" w:cs="Times New Roman"/>
          <w:sz w:val="24"/>
          <w:szCs w:val="24"/>
        </w:rPr>
        <w:tab/>
        <w:t xml:space="preserve">damages; however, the Court of Common Pleas did not order, </w:t>
      </w:r>
      <w:r w:rsidRPr="00B86671">
        <w:rPr>
          <w:rFonts w:ascii="Times New Roman" w:hAnsi="Times New Roman" w:cs="Times New Roman"/>
          <w:sz w:val="24"/>
          <w:szCs w:val="24"/>
        </w:rPr>
        <w:tab/>
        <w:t>the Commission to adjudicate damages.</w:t>
      </w:r>
    </w:p>
    <w:p w:rsidR="00790EF0" w:rsidRPr="00B86671" w:rsidRDefault="00790EF0" w:rsidP="00790EF0">
      <w:pPr>
        <w:pStyle w:val="ListParagraph"/>
        <w:ind w:left="1440" w:right="1080"/>
        <w:rPr>
          <w:rFonts w:ascii="Times New Roman" w:hAnsi="Times New Roman" w:cs="Times New Roman"/>
          <w:sz w:val="24"/>
          <w:szCs w:val="24"/>
        </w:rPr>
      </w:pPr>
    </w:p>
    <w:p w:rsidR="00790EF0" w:rsidRPr="00B86671" w:rsidRDefault="00790EF0" w:rsidP="00790EF0">
      <w:pPr>
        <w:pStyle w:val="ListParagraph"/>
        <w:ind w:left="1440" w:right="1080"/>
        <w:rPr>
          <w:rFonts w:ascii="Times New Roman" w:hAnsi="Times New Roman" w:cs="Times New Roman"/>
          <w:sz w:val="24"/>
          <w:szCs w:val="24"/>
        </w:rPr>
      </w:pPr>
      <w:r w:rsidRPr="00B86671">
        <w:rPr>
          <w:rFonts w:ascii="Times New Roman" w:hAnsi="Times New Roman" w:cs="Times New Roman"/>
          <w:sz w:val="24"/>
          <w:szCs w:val="24"/>
        </w:rPr>
        <w:t>(b)</w:t>
      </w:r>
      <w:r w:rsidRPr="00B86671">
        <w:rPr>
          <w:rFonts w:ascii="Times New Roman" w:hAnsi="Times New Roman" w:cs="Times New Roman"/>
          <w:sz w:val="24"/>
          <w:szCs w:val="24"/>
        </w:rPr>
        <w:tab/>
        <w:t>Hirsch’s judicial estoppel argument is legally erroneous.</w:t>
      </w:r>
    </w:p>
    <w:p w:rsidR="00790EF0" w:rsidRPr="00B86671" w:rsidRDefault="00790EF0" w:rsidP="00790EF0">
      <w:pPr>
        <w:pStyle w:val="ListParagraph"/>
        <w:ind w:left="1440" w:right="1080"/>
        <w:rPr>
          <w:rFonts w:ascii="Times New Roman" w:hAnsi="Times New Roman" w:cs="Times New Roman"/>
          <w:sz w:val="24"/>
          <w:szCs w:val="24"/>
        </w:rPr>
      </w:pPr>
    </w:p>
    <w:p w:rsidR="00790EF0" w:rsidRPr="00B86671" w:rsidRDefault="00790EF0" w:rsidP="00790EF0">
      <w:pPr>
        <w:pStyle w:val="ListParagraph"/>
        <w:ind w:left="1440" w:right="1080"/>
        <w:rPr>
          <w:rFonts w:ascii="Times New Roman" w:hAnsi="Times New Roman" w:cs="Times New Roman"/>
          <w:sz w:val="24"/>
          <w:szCs w:val="24"/>
        </w:rPr>
      </w:pPr>
      <w:r w:rsidRPr="00B86671">
        <w:rPr>
          <w:rFonts w:ascii="Times New Roman" w:hAnsi="Times New Roman" w:cs="Times New Roman"/>
          <w:sz w:val="24"/>
          <w:szCs w:val="24"/>
        </w:rPr>
        <w:t>(c)</w:t>
      </w:r>
      <w:r w:rsidRPr="00B86671">
        <w:rPr>
          <w:rFonts w:ascii="Times New Roman" w:hAnsi="Times New Roman" w:cs="Times New Roman"/>
          <w:sz w:val="24"/>
          <w:szCs w:val="24"/>
        </w:rPr>
        <w:tab/>
        <w:t xml:space="preserve">The Pennsylvania Supreme Court declined to consider whether </w:t>
      </w:r>
      <w:r w:rsidRPr="00B86671">
        <w:rPr>
          <w:rFonts w:ascii="Times New Roman" w:hAnsi="Times New Roman" w:cs="Times New Roman"/>
          <w:sz w:val="24"/>
          <w:szCs w:val="24"/>
        </w:rPr>
        <w:tab/>
        <w:t>bifurcation and transfer to the Commission was appropriate.</w:t>
      </w:r>
    </w:p>
    <w:p w:rsidR="00790EF0" w:rsidRPr="00B86671" w:rsidRDefault="00790EF0" w:rsidP="00790EF0">
      <w:pPr>
        <w:pStyle w:val="ListParagraph"/>
        <w:ind w:left="1440" w:right="1080"/>
        <w:rPr>
          <w:rFonts w:ascii="Times New Roman" w:hAnsi="Times New Roman" w:cs="Times New Roman"/>
          <w:sz w:val="24"/>
          <w:szCs w:val="24"/>
        </w:rPr>
      </w:pPr>
    </w:p>
    <w:p w:rsidR="00790EF0" w:rsidRPr="00B86671" w:rsidRDefault="00790EF0" w:rsidP="00790EF0">
      <w:pPr>
        <w:pStyle w:val="ListParagraph"/>
        <w:ind w:left="1440" w:right="1080"/>
        <w:rPr>
          <w:rFonts w:ascii="Times New Roman" w:hAnsi="Times New Roman" w:cs="Times New Roman"/>
          <w:sz w:val="24"/>
          <w:szCs w:val="24"/>
        </w:rPr>
      </w:pPr>
      <w:r w:rsidRPr="00B86671">
        <w:rPr>
          <w:rFonts w:ascii="Times New Roman" w:hAnsi="Times New Roman" w:cs="Times New Roman"/>
          <w:sz w:val="24"/>
          <w:szCs w:val="24"/>
        </w:rPr>
        <w:t>(d)</w:t>
      </w:r>
      <w:r w:rsidRPr="00B86671">
        <w:rPr>
          <w:rFonts w:ascii="Times New Roman" w:hAnsi="Times New Roman" w:cs="Times New Roman"/>
          <w:sz w:val="24"/>
          <w:szCs w:val="24"/>
        </w:rPr>
        <w:tab/>
      </w:r>
      <w:r w:rsidR="00674A7E" w:rsidRPr="00B86671">
        <w:rPr>
          <w:rFonts w:ascii="Times New Roman" w:hAnsi="Times New Roman" w:cs="Times New Roman"/>
          <w:sz w:val="24"/>
          <w:szCs w:val="24"/>
        </w:rPr>
        <w:t xml:space="preserve">Service interruptions and restorations are issues within the </w:t>
      </w:r>
      <w:r w:rsidR="00F631E2" w:rsidRPr="00B86671">
        <w:rPr>
          <w:rFonts w:ascii="Times New Roman" w:hAnsi="Times New Roman" w:cs="Times New Roman"/>
          <w:sz w:val="24"/>
          <w:szCs w:val="24"/>
        </w:rPr>
        <w:tab/>
      </w:r>
      <w:r w:rsidR="00674A7E" w:rsidRPr="00B86671">
        <w:rPr>
          <w:rFonts w:ascii="Times New Roman" w:hAnsi="Times New Roman" w:cs="Times New Roman"/>
          <w:sz w:val="24"/>
          <w:szCs w:val="24"/>
        </w:rPr>
        <w:t>Commission’s exclusive jurisdiction to regulat</w:t>
      </w:r>
      <w:r w:rsidR="00F631E2" w:rsidRPr="00B86671">
        <w:rPr>
          <w:rFonts w:ascii="Times New Roman" w:hAnsi="Times New Roman" w:cs="Times New Roman"/>
          <w:sz w:val="24"/>
          <w:szCs w:val="24"/>
        </w:rPr>
        <w:t>e</w:t>
      </w:r>
      <w:r w:rsidR="00674A7E" w:rsidRPr="00B86671">
        <w:rPr>
          <w:rFonts w:ascii="Times New Roman" w:hAnsi="Times New Roman" w:cs="Times New Roman"/>
          <w:sz w:val="24"/>
          <w:szCs w:val="24"/>
        </w:rPr>
        <w:t xml:space="preserve"> the </w:t>
      </w:r>
      <w:r w:rsidR="00F631E2" w:rsidRPr="00B86671">
        <w:rPr>
          <w:rFonts w:ascii="Times New Roman" w:hAnsi="Times New Roman" w:cs="Times New Roman"/>
          <w:sz w:val="24"/>
          <w:szCs w:val="24"/>
        </w:rPr>
        <w:tab/>
      </w:r>
      <w:r w:rsidR="00674A7E" w:rsidRPr="00B86671">
        <w:rPr>
          <w:rFonts w:ascii="Times New Roman" w:hAnsi="Times New Roman" w:cs="Times New Roman"/>
          <w:sz w:val="24"/>
          <w:szCs w:val="24"/>
        </w:rPr>
        <w:t>reasonableness and safety</w:t>
      </w:r>
      <w:r w:rsidR="00F631E2" w:rsidRPr="00B86671">
        <w:rPr>
          <w:rFonts w:ascii="Times New Roman" w:hAnsi="Times New Roman" w:cs="Times New Roman"/>
          <w:sz w:val="24"/>
          <w:szCs w:val="24"/>
        </w:rPr>
        <w:t xml:space="preserve"> of electrical service.</w:t>
      </w:r>
    </w:p>
    <w:p w:rsidR="00F631E2" w:rsidRPr="00B86671" w:rsidRDefault="00F631E2" w:rsidP="00790EF0">
      <w:pPr>
        <w:pStyle w:val="ListParagraph"/>
        <w:ind w:left="1440" w:right="1080"/>
        <w:rPr>
          <w:rFonts w:ascii="Times New Roman" w:hAnsi="Times New Roman" w:cs="Times New Roman"/>
          <w:sz w:val="24"/>
          <w:szCs w:val="24"/>
        </w:rPr>
      </w:pPr>
    </w:p>
    <w:p w:rsidR="00F631E2" w:rsidRPr="00B86671" w:rsidRDefault="00F631E2" w:rsidP="00790EF0">
      <w:pPr>
        <w:pStyle w:val="ListParagraph"/>
        <w:ind w:left="1440" w:right="1080"/>
        <w:rPr>
          <w:rFonts w:ascii="Times New Roman" w:hAnsi="Times New Roman" w:cs="Times New Roman"/>
          <w:sz w:val="24"/>
          <w:szCs w:val="24"/>
        </w:rPr>
      </w:pPr>
      <w:r w:rsidRPr="00B86671">
        <w:rPr>
          <w:rFonts w:ascii="Times New Roman" w:hAnsi="Times New Roman" w:cs="Times New Roman"/>
          <w:sz w:val="24"/>
          <w:szCs w:val="24"/>
        </w:rPr>
        <w:t>(e)</w:t>
      </w:r>
      <w:r w:rsidRPr="00B86671">
        <w:rPr>
          <w:rFonts w:ascii="Times New Roman" w:hAnsi="Times New Roman" w:cs="Times New Roman"/>
          <w:sz w:val="24"/>
          <w:szCs w:val="24"/>
        </w:rPr>
        <w:tab/>
        <w:t xml:space="preserve">Complainant’s allegation of negligence </w:t>
      </w:r>
      <w:r w:rsidRPr="00B86671">
        <w:rPr>
          <w:rFonts w:ascii="Times New Roman" w:hAnsi="Times New Roman" w:cs="Times New Roman"/>
          <w:i/>
          <w:sz w:val="24"/>
          <w:szCs w:val="24"/>
        </w:rPr>
        <w:t xml:space="preserve">per se </w:t>
      </w:r>
      <w:r w:rsidRPr="00B86671">
        <w:rPr>
          <w:rFonts w:ascii="Times New Roman" w:hAnsi="Times New Roman" w:cs="Times New Roman"/>
          <w:sz w:val="24"/>
          <w:szCs w:val="24"/>
        </w:rPr>
        <w:t xml:space="preserve">does not deprive </w:t>
      </w:r>
      <w:r w:rsidRPr="00B86671">
        <w:rPr>
          <w:rFonts w:ascii="Times New Roman" w:hAnsi="Times New Roman" w:cs="Times New Roman"/>
          <w:sz w:val="24"/>
          <w:szCs w:val="24"/>
        </w:rPr>
        <w:tab/>
        <w:t>the Commission of jurisdiction.</w:t>
      </w:r>
    </w:p>
    <w:p w:rsidR="00F631E2" w:rsidRPr="00B86671" w:rsidRDefault="00F631E2" w:rsidP="00790EF0">
      <w:pPr>
        <w:pStyle w:val="ListParagraph"/>
        <w:ind w:left="1440" w:right="1080"/>
        <w:rPr>
          <w:rFonts w:ascii="Times New Roman" w:hAnsi="Times New Roman" w:cs="Times New Roman"/>
          <w:sz w:val="24"/>
          <w:szCs w:val="24"/>
        </w:rPr>
      </w:pPr>
    </w:p>
    <w:p w:rsidR="00803D94" w:rsidRPr="00B86671" w:rsidRDefault="00F631E2" w:rsidP="00AC6699">
      <w:pPr>
        <w:pStyle w:val="ListParagraph"/>
        <w:ind w:left="2160" w:right="1080" w:hanging="720"/>
        <w:rPr>
          <w:rFonts w:ascii="Times New Roman" w:hAnsi="Times New Roman" w:cs="Times New Roman"/>
          <w:sz w:val="24"/>
          <w:szCs w:val="24"/>
        </w:rPr>
      </w:pPr>
      <w:r w:rsidRPr="00B86671">
        <w:rPr>
          <w:rFonts w:ascii="Times New Roman" w:hAnsi="Times New Roman" w:cs="Times New Roman"/>
          <w:sz w:val="24"/>
          <w:szCs w:val="24"/>
        </w:rPr>
        <w:t>(f)</w:t>
      </w:r>
      <w:r w:rsidRPr="00B86671">
        <w:rPr>
          <w:rFonts w:ascii="Times New Roman" w:hAnsi="Times New Roman" w:cs="Times New Roman"/>
          <w:sz w:val="24"/>
          <w:szCs w:val="24"/>
        </w:rPr>
        <w:tab/>
      </w:r>
      <w:r w:rsidR="00AC6699">
        <w:rPr>
          <w:rFonts w:ascii="Times New Roman" w:hAnsi="Times New Roman" w:cs="Times New Roman"/>
          <w:sz w:val="24"/>
          <w:szCs w:val="24"/>
        </w:rPr>
        <w:t>Complainant</w:t>
      </w:r>
      <w:r w:rsidR="00803D94" w:rsidRPr="00B86671">
        <w:rPr>
          <w:rFonts w:ascii="Times New Roman" w:hAnsi="Times New Roman" w:cs="Times New Roman"/>
          <w:sz w:val="24"/>
          <w:szCs w:val="24"/>
        </w:rPr>
        <w:t>’s argument is essentially that the doctrine of primary jurisdiction</w:t>
      </w:r>
      <w:r w:rsidR="00803D94" w:rsidRPr="00B86671">
        <w:rPr>
          <w:rStyle w:val="FootnoteReference"/>
          <w:rFonts w:ascii="Times New Roman" w:hAnsi="Times New Roman" w:cs="Times New Roman"/>
          <w:sz w:val="24"/>
          <w:szCs w:val="24"/>
        </w:rPr>
        <w:footnoteReference w:id="3"/>
      </w:r>
      <w:r w:rsidR="00803D94" w:rsidRPr="00B86671">
        <w:rPr>
          <w:rFonts w:ascii="Times New Roman" w:hAnsi="Times New Roman" w:cs="Times New Roman"/>
          <w:sz w:val="24"/>
          <w:szCs w:val="24"/>
        </w:rPr>
        <w:t xml:space="preserve"> cannot apply in any case that involve</w:t>
      </w:r>
      <w:r w:rsidR="00AC6699">
        <w:rPr>
          <w:rFonts w:ascii="Times New Roman" w:hAnsi="Times New Roman" w:cs="Times New Roman"/>
          <w:sz w:val="24"/>
          <w:szCs w:val="24"/>
        </w:rPr>
        <w:t>s</w:t>
      </w:r>
      <w:r w:rsidR="00803D94" w:rsidRPr="00B86671">
        <w:rPr>
          <w:rFonts w:ascii="Times New Roman" w:hAnsi="Times New Roman" w:cs="Times New Roman"/>
          <w:sz w:val="24"/>
          <w:szCs w:val="24"/>
        </w:rPr>
        <w:t xml:space="preserve"> an issue that has, in other case</w:t>
      </w:r>
      <w:r w:rsidR="00AC6699">
        <w:rPr>
          <w:rFonts w:ascii="Times New Roman" w:hAnsi="Times New Roman" w:cs="Times New Roman"/>
          <w:sz w:val="24"/>
          <w:szCs w:val="24"/>
        </w:rPr>
        <w:t>s</w:t>
      </w:r>
      <w:r w:rsidR="00803D94" w:rsidRPr="00B86671">
        <w:rPr>
          <w:rFonts w:ascii="Times New Roman" w:hAnsi="Times New Roman" w:cs="Times New Roman"/>
          <w:sz w:val="24"/>
          <w:szCs w:val="24"/>
        </w:rPr>
        <w:t xml:space="preserve">, been considered a jury question. </w:t>
      </w:r>
      <w:r w:rsidR="0059313B" w:rsidRPr="00B86671">
        <w:rPr>
          <w:rFonts w:ascii="Times New Roman" w:hAnsi="Times New Roman" w:cs="Times New Roman"/>
          <w:sz w:val="24"/>
          <w:szCs w:val="24"/>
        </w:rPr>
        <w:t>However, Hirsch cites no authority for its position.</w:t>
      </w:r>
    </w:p>
    <w:p w:rsidR="00803D94" w:rsidRPr="00B86671" w:rsidRDefault="00803D94" w:rsidP="00135FF9">
      <w:pPr>
        <w:pStyle w:val="ListParagraph"/>
        <w:ind w:left="1440" w:right="1080"/>
        <w:rPr>
          <w:rFonts w:ascii="Times New Roman" w:hAnsi="Times New Roman" w:cs="Times New Roman"/>
          <w:sz w:val="24"/>
          <w:szCs w:val="24"/>
        </w:rPr>
      </w:pPr>
    </w:p>
    <w:p w:rsidR="004E5BC4" w:rsidRPr="00B86671" w:rsidRDefault="0059313B" w:rsidP="00AC6699">
      <w:pPr>
        <w:pStyle w:val="ListParagraph"/>
        <w:ind w:left="2160" w:right="720" w:hanging="720"/>
        <w:rPr>
          <w:rFonts w:ascii="Times New Roman" w:hAnsi="Times New Roman" w:cs="Times New Roman"/>
          <w:sz w:val="24"/>
          <w:szCs w:val="24"/>
        </w:rPr>
      </w:pPr>
      <w:r w:rsidRPr="00B86671">
        <w:rPr>
          <w:rFonts w:ascii="Times New Roman" w:hAnsi="Times New Roman" w:cs="Times New Roman"/>
          <w:sz w:val="24"/>
          <w:szCs w:val="24"/>
        </w:rPr>
        <w:t>(g)</w:t>
      </w:r>
      <w:r w:rsidRPr="00B86671">
        <w:rPr>
          <w:rFonts w:ascii="Times New Roman" w:hAnsi="Times New Roman" w:cs="Times New Roman"/>
          <w:sz w:val="24"/>
          <w:szCs w:val="24"/>
        </w:rPr>
        <w:tab/>
      </w:r>
      <w:r w:rsidR="00AC6699">
        <w:rPr>
          <w:rFonts w:ascii="Times New Roman" w:hAnsi="Times New Roman" w:cs="Times New Roman"/>
          <w:sz w:val="24"/>
          <w:szCs w:val="24"/>
        </w:rPr>
        <w:t xml:space="preserve">Complainant’s </w:t>
      </w:r>
      <w:r w:rsidRPr="00B86671">
        <w:rPr>
          <w:rFonts w:ascii="Times New Roman" w:hAnsi="Times New Roman" w:cs="Times New Roman"/>
          <w:sz w:val="24"/>
          <w:szCs w:val="24"/>
        </w:rPr>
        <w:t xml:space="preserve">Petition for Review </w:t>
      </w:r>
      <w:r w:rsidR="00AC6699">
        <w:rPr>
          <w:rFonts w:ascii="Times New Roman" w:hAnsi="Times New Roman" w:cs="Times New Roman"/>
          <w:sz w:val="24"/>
          <w:szCs w:val="24"/>
        </w:rPr>
        <w:t xml:space="preserve">seeking reversal of the </w:t>
      </w:r>
      <w:r w:rsidRPr="00B86671">
        <w:rPr>
          <w:rFonts w:ascii="Times New Roman" w:hAnsi="Times New Roman" w:cs="Times New Roman"/>
          <w:sz w:val="24"/>
          <w:szCs w:val="24"/>
        </w:rPr>
        <w:t xml:space="preserve">Court of Common Pleas’ decision to bifurcate and transfer the case to the Commission, </w:t>
      </w:r>
      <w:r w:rsidR="00AC6699">
        <w:rPr>
          <w:rFonts w:ascii="Times New Roman" w:hAnsi="Times New Roman" w:cs="Times New Roman"/>
          <w:sz w:val="24"/>
          <w:szCs w:val="24"/>
        </w:rPr>
        <w:t>was rejected by</w:t>
      </w:r>
      <w:r w:rsidRPr="00B86671">
        <w:rPr>
          <w:rFonts w:ascii="Times New Roman" w:hAnsi="Times New Roman" w:cs="Times New Roman"/>
          <w:sz w:val="24"/>
          <w:szCs w:val="24"/>
        </w:rPr>
        <w:t xml:space="preserve"> </w:t>
      </w:r>
      <w:r w:rsidR="00AC6699">
        <w:rPr>
          <w:rFonts w:ascii="Times New Roman" w:hAnsi="Times New Roman" w:cs="Times New Roman"/>
          <w:sz w:val="24"/>
          <w:szCs w:val="24"/>
        </w:rPr>
        <w:t xml:space="preserve">the </w:t>
      </w:r>
      <w:r w:rsidRPr="00B86671">
        <w:rPr>
          <w:rFonts w:ascii="Times New Roman" w:hAnsi="Times New Roman" w:cs="Times New Roman"/>
          <w:sz w:val="24"/>
          <w:szCs w:val="24"/>
        </w:rPr>
        <w:t>Superior Court</w:t>
      </w:r>
      <w:r w:rsidR="00AC6699">
        <w:rPr>
          <w:rFonts w:ascii="Times New Roman" w:hAnsi="Times New Roman" w:cs="Times New Roman"/>
          <w:sz w:val="24"/>
          <w:szCs w:val="24"/>
        </w:rPr>
        <w:t xml:space="preserve">.  </w:t>
      </w:r>
      <w:r w:rsidR="004E5BC4" w:rsidRPr="00B86671">
        <w:rPr>
          <w:rFonts w:ascii="Times New Roman" w:hAnsi="Times New Roman" w:cs="Times New Roman"/>
          <w:sz w:val="24"/>
          <w:szCs w:val="24"/>
        </w:rPr>
        <w:t>Answer to P.O. ¶</w:t>
      </w:r>
      <w:r w:rsidR="00DC1D99" w:rsidRPr="00B86671">
        <w:rPr>
          <w:rFonts w:ascii="Times New Roman" w:hAnsi="Times New Roman" w:cs="Times New Roman"/>
          <w:sz w:val="24"/>
          <w:szCs w:val="24"/>
        </w:rPr>
        <w:t xml:space="preserve"> </w:t>
      </w:r>
      <w:r w:rsidR="004E5BC4" w:rsidRPr="00B86671">
        <w:rPr>
          <w:rFonts w:ascii="Times New Roman" w:hAnsi="Times New Roman" w:cs="Times New Roman"/>
          <w:sz w:val="24"/>
          <w:szCs w:val="24"/>
        </w:rPr>
        <w:t>52.</w:t>
      </w:r>
    </w:p>
    <w:p w:rsidR="0059313B" w:rsidRPr="00B86671" w:rsidRDefault="0059313B" w:rsidP="00AC6699">
      <w:pPr>
        <w:pStyle w:val="ListParagraph"/>
        <w:spacing w:line="360" w:lineRule="auto"/>
        <w:ind w:left="1440" w:right="1080"/>
        <w:rPr>
          <w:rFonts w:ascii="Times New Roman" w:hAnsi="Times New Roman" w:cs="Times New Roman"/>
          <w:sz w:val="24"/>
          <w:szCs w:val="24"/>
        </w:rPr>
      </w:pPr>
    </w:p>
    <w:p w:rsidR="00DE503A" w:rsidRPr="00B86671" w:rsidRDefault="00DE503A" w:rsidP="00AC6699">
      <w:pPr>
        <w:tabs>
          <w:tab w:val="left" w:pos="1440"/>
        </w:tabs>
        <w:adjustRightInd w:val="0"/>
        <w:spacing w:line="360" w:lineRule="auto"/>
        <w:rPr>
          <w:rFonts w:ascii="Times New Roman" w:hAnsi="Times New Roman" w:cs="Times New Roman"/>
          <w:sz w:val="24"/>
          <w:szCs w:val="24"/>
        </w:rPr>
      </w:pPr>
      <w:r w:rsidRPr="00B86671">
        <w:rPr>
          <w:rFonts w:ascii="Times New Roman" w:hAnsi="Times New Roman" w:cs="Times New Roman"/>
          <w:sz w:val="24"/>
          <w:szCs w:val="24"/>
        </w:rPr>
        <w:tab/>
        <w:t>On January 19, 2016, Duquesne also filed a Motion to Strike Complainant’</w:t>
      </w:r>
      <w:r w:rsidR="0005232A" w:rsidRPr="00B86671">
        <w:rPr>
          <w:rFonts w:ascii="Times New Roman" w:hAnsi="Times New Roman" w:cs="Times New Roman"/>
          <w:sz w:val="24"/>
          <w:szCs w:val="24"/>
        </w:rPr>
        <w:t>s</w:t>
      </w:r>
      <w:r w:rsidRPr="00B86671">
        <w:rPr>
          <w:rFonts w:ascii="Times New Roman" w:hAnsi="Times New Roman" w:cs="Times New Roman"/>
          <w:sz w:val="24"/>
          <w:szCs w:val="24"/>
        </w:rPr>
        <w:t xml:space="preserve"> Preliminary Objections to Jurisdiction.  Duquesne argued </w:t>
      </w:r>
      <w:r w:rsidR="0005232A" w:rsidRPr="00B86671">
        <w:rPr>
          <w:rFonts w:ascii="Times New Roman" w:hAnsi="Times New Roman" w:cs="Times New Roman"/>
          <w:sz w:val="24"/>
          <w:szCs w:val="24"/>
        </w:rPr>
        <w:t xml:space="preserve">that </w:t>
      </w:r>
      <w:r w:rsidRPr="00B86671">
        <w:rPr>
          <w:rFonts w:ascii="Times New Roman" w:hAnsi="Times New Roman" w:cs="Times New Roman"/>
          <w:sz w:val="24"/>
          <w:szCs w:val="24"/>
        </w:rPr>
        <w:t>the P.O. should be dismissed as legally insufficient because the P.O. contradict</w:t>
      </w:r>
      <w:r w:rsidR="0005232A" w:rsidRPr="00B86671">
        <w:rPr>
          <w:rFonts w:ascii="Times New Roman" w:hAnsi="Times New Roman" w:cs="Times New Roman"/>
          <w:sz w:val="24"/>
          <w:szCs w:val="24"/>
        </w:rPr>
        <w:t>ed</w:t>
      </w:r>
      <w:r w:rsidRPr="00B86671">
        <w:rPr>
          <w:rFonts w:ascii="Times New Roman" w:hAnsi="Times New Roman" w:cs="Times New Roman"/>
          <w:sz w:val="24"/>
          <w:szCs w:val="24"/>
        </w:rPr>
        <w:t xml:space="preserve"> prior rulings of the Common Pleas Court and the Superior Court in this </w:t>
      </w:r>
      <w:r w:rsidR="0005232A" w:rsidRPr="00B86671">
        <w:rPr>
          <w:rFonts w:ascii="Times New Roman" w:hAnsi="Times New Roman" w:cs="Times New Roman"/>
          <w:sz w:val="24"/>
          <w:szCs w:val="24"/>
        </w:rPr>
        <w:t>case</w:t>
      </w:r>
      <w:r w:rsidRPr="00B86671">
        <w:rPr>
          <w:rFonts w:ascii="Times New Roman" w:hAnsi="Times New Roman" w:cs="Times New Roman"/>
          <w:sz w:val="24"/>
          <w:szCs w:val="24"/>
        </w:rPr>
        <w:t xml:space="preserve">. </w:t>
      </w:r>
      <w:r w:rsidR="0005232A" w:rsidRPr="00B86671">
        <w:rPr>
          <w:rFonts w:ascii="Times New Roman" w:hAnsi="Times New Roman" w:cs="Times New Roman"/>
          <w:sz w:val="24"/>
          <w:szCs w:val="24"/>
        </w:rPr>
        <w:t xml:space="preserve"> On January 25, 2016, Hirsch filed Complainant’s Response in Opposition to Respondent’s Motion Strike Complainant’s Preliminary Objection to Jurisdiction.</w:t>
      </w:r>
    </w:p>
    <w:p w:rsidR="00F631E2" w:rsidRPr="00B86671" w:rsidRDefault="0005232A" w:rsidP="00C350F9">
      <w:pPr>
        <w:pStyle w:val="ListParagraph"/>
        <w:spacing w:line="360" w:lineRule="auto"/>
        <w:ind w:left="0"/>
        <w:rPr>
          <w:rFonts w:ascii="Times New Roman" w:hAnsi="Times New Roman" w:cs="Times New Roman"/>
          <w:sz w:val="24"/>
          <w:szCs w:val="24"/>
        </w:rPr>
      </w:pPr>
      <w:r w:rsidRPr="00B86671">
        <w:rPr>
          <w:rFonts w:ascii="Times New Roman" w:hAnsi="Times New Roman" w:cs="Times New Roman"/>
          <w:sz w:val="24"/>
          <w:szCs w:val="24"/>
        </w:rPr>
        <w:t xml:space="preserve">Hirsh argued in its Response that Duquesne’s Motion to Strike was nothing more than a preliminary objection to a preliminary objection, which </w:t>
      </w:r>
      <w:r w:rsidR="00C350F9" w:rsidRPr="00B86671">
        <w:rPr>
          <w:rFonts w:ascii="Times New Roman" w:hAnsi="Times New Roman" w:cs="Times New Roman"/>
          <w:sz w:val="24"/>
          <w:szCs w:val="24"/>
        </w:rPr>
        <w:t>is prohibited by the Commission’s regulations.</w:t>
      </w:r>
      <w:r w:rsidR="00835A55" w:rsidRPr="00B86671">
        <w:rPr>
          <w:rFonts w:ascii="Times New Roman" w:hAnsi="Times New Roman" w:cs="Times New Roman"/>
          <w:sz w:val="24"/>
          <w:szCs w:val="24"/>
        </w:rPr>
        <w:t xml:space="preserve"> </w:t>
      </w:r>
      <w:r w:rsidR="00C350F9" w:rsidRPr="00B86671">
        <w:rPr>
          <w:rFonts w:ascii="Times New Roman" w:hAnsi="Times New Roman" w:cs="Times New Roman"/>
          <w:sz w:val="24"/>
          <w:szCs w:val="24"/>
        </w:rPr>
        <w:t xml:space="preserve"> 52 Pa.Code § 5.101(a). </w:t>
      </w:r>
      <w:r w:rsidR="00835A55" w:rsidRPr="00B86671">
        <w:rPr>
          <w:rFonts w:ascii="Times New Roman" w:hAnsi="Times New Roman" w:cs="Times New Roman"/>
          <w:sz w:val="24"/>
          <w:szCs w:val="24"/>
        </w:rPr>
        <w:t xml:space="preserve"> </w:t>
      </w:r>
      <w:r w:rsidR="00C350F9" w:rsidRPr="00B86671">
        <w:rPr>
          <w:rFonts w:ascii="Times New Roman" w:hAnsi="Times New Roman" w:cs="Times New Roman"/>
          <w:sz w:val="24"/>
          <w:szCs w:val="24"/>
        </w:rPr>
        <w:t xml:space="preserve">Thus, Hirsch maintained that the motion was a legal nullity and should be disregarded. </w:t>
      </w:r>
      <w:r w:rsidR="00F23467" w:rsidRPr="00B86671">
        <w:rPr>
          <w:rStyle w:val="FootnoteReference"/>
          <w:rFonts w:ascii="Times New Roman" w:hAnsi="Times New Roman" w:cs="Times New Roman"/>
          <w:spacing w:val="-3"/>
          <w:sz w:val="24"/>
          <w:szCs w:val="24"/>
        </w:rPr>
        <w:footnoteReference w:id="4"/>
      </w:r>
      <w:r w:rsidR="00F23467" w:rsidRPr="00B86671">
        <w:rPr>
          <w:rFonts w:ascii="Times New Roman" w:hAnsi="Times New Roman" w:cs="Times New Roman"/>
          <w:spacing w:val="-3"/>
          <w:sz w:val="24"/>
          <w:szCs w:val="24"/>
        </w:rPr>
        <w:t xml:space="preserve">  </w:t>
      </w:r>
    </w:p>
    <w:p w:rsidR="00F631E2" w:rsidRPr="00B86671" w:rsidRDefault="00F23467" w:rsidP="004E5BC4">
      <w:pPr>
        <w:pStyle w:val="ListParagraph"/>
        <w:spacing w:line="360" w:lineRule="auto"/>
        <w:ind w:left="1440" w:right="1080"/>
        <w:rPr>
          <w:rFonts w:ascii="Times New Roman" w:hAnsi="Times New Roman" w:cs="Times New Roman"/>
          <w:sz w:val="24"/>
          <w:szCs w:val="24"/>
        </w:rPr>
      </w:pPr>
      <w:r w:rsidRPr="00B86671">
        <w:rPr>
          <w:rFonts w:ascii="Times New Roman" w:hAnsi="Times New Roman" w:cs="Times New Roman"/>
          <w:sz w:val="24"/>
          <w:szCs w:val="24"/>
        </w:rPr>
        <w:lastRenderedPageBreak/>
        <w:t>On March 4, 2015, the proceeding was assigned to me.</w:t>
      </w:r>
      <w:r w:rsidR="00F631E2" w:rsidRPr="00B86671">
        <w:rPr>
          <w:rFonts w:ascii="Times New Roman" w:hAnsi="Times New Roman" w:cs="Times New Roman"/>
          <w:sz w:val="24"/>
          <w:szCs w:val="24"/>
        </w:rPr>
        <w:tab/>
      </w:r>
    </w:p>
    <w:p w:rsidR="00801EA6" w:rsidRPr="00B86671" w:rsidRDefault="004E5BC4" w:rsidP="004E5BC4">
      <w:pPr>
        <w:pStyle w:val="ListParagraph"/>
        <w:spacing w:line="360" w:lineRule="auto"/>
        <w:ind w:left="0"/>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7D77F8" w:rsidRPr="00B86671" w:rsidRDefault="007D77F8" w:rsidP="00D55850">
      <w:pPr>
        <w:tabs>
          <w:tab w:val="left" w:pos="2250"/>
        </w:tabs>
        <w:spacing w:line="360" w:lineRule="auto"/>
        <w:jc w:val="center"/>
        <w:outlineLvl w:val="0"/>
        <w:rPr>
          <w:rFonts w:ascii="Times New Roman" w:hAnsi="Times New Roman" w:cs="Times New Roman"/>
          <w:sz w:val="24"/>
          <w:szCs w:val="24"/>
          <w:u w:val="single"/>
        </w:rPr>
      </w:pPr>
      <w:r w:rsidRPr="00B86671">
        <w:rPr>
          <w:rFonts w:ascii="Times New Roman" w:hAnsi="Times New Roman" w:cs="Times New Roman"/>
          <w:sz w:val="24"/>
          <w:szCs w:val="24"/>
          <w:u w:val="single"/>
        </w:rPr>
        <w:t>DISCUSSION</w:t>
      </w:r>
    </w:p>
    <w:p w:rsidR="004B3877" w:rsidRPr="00B86671" w:rsidRDefault="004B3877" w:rsidP="009D1ACB">
      <w:pPr>
        <w:autoSpaceDE/>
        <w:autoSpaceDN/>
        <w:spacing w:line="360" w:lineRule="auto"/>
        <w:rPr>
          <w:rFonts w:ascii="Times New Roman" w:hAnsi="Times New Roman" w:cs="Times New Roman"/>
          <w:sz w:val="24"/>
          <w:szCs w:val="24"/>
        </w:rPr>
      </w:pPr>
    </w:p>
    <w:p w:rsidR="009D1ACB" w:rsidRPr="00B86671" w:rsidRDefault="009D1ACB" w:rsidP="009D1ACB">
      <w:pPr>
        <w:autoSpaceDE/>
        <w:autoSpaceDN/>
        <w:spacing w:line="360" w:lineRule="auto"/>
        <w:rPr>
          <w:rFonts w:ascii="Times New Roman" w:hAnsi="Times New Roman" w:cs="Times New Roman"/>
          <w:sz w:val="24"/>
          <w:szCs w:val="24"/>
        </w:rPr>
      </w:pPr>
      <w:r w:rsidRPr="00B86671">
        <w:rPr>
          <w:rFonts w:ascii="Times New Roman" w:hAnsi="Times New Roman" w:cs="Times New Roman"/>
          <w:sz w:val="24"/>
          <w:szCs w:val="24"/>
          <w:u w:val="single"/>
        </w:rPr>
        <w:t>Legal Principles</w:t>
      </w:r>
    </w:p>
    <w:p w:rsidR="009D1ACB" w:rsidRPr="00B86671" w:rsidRDefault="009D1ACB" w:rsidP="009D1ACB">
      <w:pPr>
        <w:autoSpaceDE/>
        <w:autoSpaceDN/>
        <w:spacing w:line="360" w:lineRule="auto"/>
        <w:rPr>
          <w:rFonts w:ascii="Times New Roman" w:hAnsi="Times New Roman" w:cs="Times New Roman"/>
          <w:sz w:val="24"/>
          <w:szCs w:val="24"/>
        </w:rPr>
      </w:pPr>
    </w:p>
    <w:p w:rsidR="004B3877" w:rsidRPr="00B86671" w:rsidRDefault="004B3877" w:rsidP="004B3877">
      <w:pPr>
        <w:spacing w:line="360" w:lineRule="auto"/>
        <w:ind w:firstLine="1440"/>
        <w:rPr>
          <w:rFonts w:ascii="Times New Roman" w:hAnsi="Times New Roman" w:cs="Times New Roman"/>
          <w:sz w:val="24"/>
          <w:szCs w:val="24"/>
        </w:rPr>
      </w:pPr>
      <w:r w:rsidRPr="00B86671">
        <w:rPr>
          <w:rFonts w:ascii="Times New Roman" w:hAnsi="Times New Roman" w:cs="Times New Roman"/>
          <w:sz w:val="24"/>
          <w:szCs w:val="24"/>
        </w:rPr>
        <w:t>The Commission’s Rules of Practice and Procedure permit parties to file preliminary objections.  The grounds for preliminary objections are limited to those set forth in 52 Pa.Code § 5.101(a) as follows:</w:t>
      </w:r>
    </w:p>
    <w:p w:rsidR="004B3877" w:rsidRPr="00B86671" w:rsidRDefault="004B3877" w:rsidP="00835A55">
      <w:pPr>
        <w:rPr>
          <w:rFonts w:ascii="Times New Roman" w:hAnsi="Times New Roman" w:cs="Times New Roman"/>
          <w:sz w:val="24"/>
          <w:szCs w:val="24"/>
        </w:rPr>
      </w:pPr>
    </w:p>
    <w:p w:rsidR="004B3877" w:rsidRPr="00B86671"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B86671">
        <w:rPr>
          <w:rFonts w:ascii="Times New Roman" w:hAnsi="Times New Roman" w:cs="Times New Roman"/>
          <w:sz w:val="24"/>
          <w:szCs w:val="24"/>
        </w:rPr>
        <w:t>Lack of Commission jurisdiction or improper service of the pleading initiating the proceeding.</w:t>
      </w:r>
    </w:p>
    <w:p w:rsidR="004B3877" w:rsidRPr="00B86671" w:rsidRDefault="004B3877" w:rsidP="005F6CEF">
      <w:pPr>
        <w:ind w:left="1440" w:right="1080"/>
        <w:rPr>
          <w:rFonts w:ascii="Times New Roman" w:hAnsi="Times New Roman" w:cs="Times New Roman"/>
          <w:sz w:val="24"/>
          <w:szCs w:val="24"/>
        </w:rPr>
      </w:pPr>
    </w:p>
    <w:p w:rsidR="004B3877" w:rsidRPr="00B86671"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B86671">
        <w:rPr>
          <w:rFonts w:ascii="Times New Roman" w:hAnsi="Times New Roman" w:cs="Times New Roman"/>
          <w:sz w:val="24"/>
          <w:szCs w:val="24"/>
        </w:rPr>
        <w:t>Failure of a pleading to conform to this chapter or the inclusion of scandalous or impertinent matter.</w:t>
      </w:r>
    </w:p>
    <w:p w:rsidR="004B3877" w:rsidRPr="00B86671" w:rsidRDefault="004B3877" w:rsidP="005F6CEF">
      <w:pPr>
        <w:ind w:left="1440" w:right="1080"/>
        <w:rPr>
          <w:rFonts w:ascii="Times New Roman" w:hAnsi="Times New Roman" w:cs="Times New Roman"/>
          <w:sz w:val="24"/>
          <w:szCs w:val="24"/>
        </w:rPr>
      </w:pPr>
    </w:p>
    <w:p w:rsidR="004B3877" w:rsidRPr="00B86671"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B86671">
        <w:rPr>
          <w:rFonts w:ascii="Times New Roman" w:hAnsi="Times New Roman" w:cs="Times New Roman"/>
          <w:sz w:val="24"/>
          <w:szCs w:val="24"/>
        </w:rPr>
        <w:t>Insufficient specificity of a pleading.</w:t>
      </w:r>
    </w:p>
    <w:p w:rsidR="004B3877" w:rsidRPr="00B86671" w:rsidRDefault="004B3877" w:rsidP="005F6CEF">
      <w:pPr>
        <w:ind w:left="1440" w:right="1080"/>
        <w:rPr>
          <w:rFonts w:ascii="Times New Roman" w:hAnsi="Times New Roman" w:cs="Times New Roman"/>
          <w:sz w:val="24"/>
          <w:szCs w:val="24"/>
        </w:rPr>
      </w:pPr>
    </w:p>
    <w:p w:rsidR="004B3877" w:rsidRPr="00B86671"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B86671">
        <w:rPr>
          <w:rFonts w:ascii="Times New Roman" w:hAnsi="Times New Roman" w:cs="Times New Roman"/>
          <w:sz w:val="24"/>
          <w:szCs w:val="24"/>
        </w:rPr>
        <w:t>Legal insufficiency of a pleading.</w:t>
      </w:r>
    </w:p>
    <w:p w:rsidR="004B3877" w:rsidRPr="00B86671" w:rsidRDefault="004B3877" w:rsidP="005F6CEF">
      <w:pPr>
        <w:ind w:left="1440" w:right="1080"/>
        <w:rPr>
          <w:rFonts w:ascii="Times New Roman" w:hAnsi="Times New Roman" w:cs="Times New Roman"/>
          <w:sz w:val="24"/>
          <w:szCs w:val="24"/>
        </w:rPr>
      </w:pPr>
    </w:p>
    <w:p w:rsidR="004B3877" w:rsidRPr="00B86671"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B86671">
        <w:rPr>
          <w:rFonts w:ascii="Times New Roman" w:hAnsi="Times New Roman" w:cs="Times New Roman"/>
          <w:sz w:val="24"/>
          <w:szCs w:val="24"/>
        </w:rPr>
        <w:t>Lack of capacity to sue, nonjoinder of a necessary party or misjoinder of a cause of action.</w:t>
      </w:r>
    </w:p>
    <w:p w:rsidR="004B3877" w:rsidRPr="00B86671" w:rsidRDefault="004B3877" w:rsidP="005F6CEF">
      <w:pPr>
        <w:ind w:left="1440" w:right="1080"/>
        <w:rPr>
          <w:rFonts w:ascii="Times New Roman" w:hAnsi="Times New Roman" w:cs="Times New Roman"/>
          <w:sz w:val="24"/>
          <w:szCs w:val="24"/>
        </w:rPr>
      </w:pPr>
    </w:p>
    <w:p w:rsidR="004B3877" w:rsidRPr="00B86671"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B86671">
        <w:rPr>
          <w:rFonts w:ascii="Times New Roman" w:hAnsi="Times New Roman" w:cs="Times New Roman"/>
          <w:sz w:val="24"/>
          <w:szCs w:val="24"/>
        </w:rPr>
        <w:t>Pendency of a prior proceeding or agreement for alternative dispute resolution.</w:t>
      </w:r>
    </w:p>
    <w:p w:rsidR="004B3877" w:rsidRPr="00B86671" w:rsidRDefault="004B3877" w:rsidP="005F6CEF">
      <w:pPr>
        <w:widowControl w:val="0"/>
        <w:adjustRightInd w:val="0"/>
        <w:ind w:right="1080"/>
        <w:rPr>
          <w:rFonts w:ascii="Times New Roman" w:hAnsi="Times New Roman" w:cs="Times New Roman"/>
          <w:sz w:val="24"/>
          <w:szCs w:val="24"/>
        </w:rPr>
      </w:pPr>
    </w:p>
    <w:p w:rsidR="004B3877" w:rsidRPr="00B86671" w:rsidRDefault="004B3877" w:rsidP="005F6CEF">
      <w:pPr>
        <w:widowControl w:val="0"/>
        <w:adjustRightInd w:val="0"/>
        <w:ind w:right="1080"/>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7.</w:t>
      </w:r>
      <w:r w:rsidRPr="00B86671">
        <w:rPr>
          <w:rFonts w:ascii="Times New Roman" w:hAnsi="Times New Roman" w:cs="Times New Roman"/>
          <w:sz w:val="24"/>
          <w:szCs w:val="24"/>
        </w:rPr>
        <w:tab/>
        <w:t>Standing of a party to participate in the proceeding.</w:t>
      </w:r>
    </w:p>
    <w:p w:rsidR="004B3877" w:rsidRPr="00B86671" w:rsidRDefault="004B3877" w:rsidP="004B3877">
      <w:pPr>
        <w:tabs>
          <w:tab w:val="left" w:pos="-720"/>
        </w:tabs>
        <w:suppressAutoHyphens/>
        <w:spacing w:line="360" w:lineRule="auto"/>
        <w:ind w:right="1354"/>
        <w:rPr>
          <w:rFonts w:ascii="Times New Roman" w:hAnsi="Times New Roman" w:cs="Times New Roman"/>
          <w:sz w:val="24"/>
          <w:szCs w:val="24"/>
        </w:rPr>
      </w:pPr>
    </w:p>
    <w:p w:rsidR="004B3877" w:rsidRPr="00B86671" w:rsidRDefault="004B3877" w:rsidP="004B3877">
      <w:pPr>
        <w:tabs>
          <w:tab w:val="left" w:pos="-720"/>
        </w:tabs>
        <w:suppressAutoHyphens/>
        <w:spacing w:line="360" w:lineRule="auto"/>
        <w:ind w:firstLine="1350"/>
        <w:rPr>
          <w:rFonts w:ascii="Times New Roman" w:hAnsi="Times New Roman" w:cs="Times New Roman"/>
          <w:sz w:val="24"/>
          <w:szCs w:val="24"/>
        </w:rPr>
      </w:pPr>
      <w:r w:rsidRPr="00B86671">
        <w:rPr>
          <w:rFonts w:ascii="Times New Roman" w:hAnsi="Times New Roman" w:cs="Times New Roman"/>
          <w:sz w:val="24"/>
          <w:szCs w:val="24"/>
        </w:rPr>
        <w:t xml:space="preserve">Commission preliminary objection practice is analogous to Pennsylvania civil practice regarding preliminary objections.  </w:t>
      </w:r>
      <w:r w:rsidRPr="00B86671">
        <w:rPr>
          <w:rFonts w:ascii="Times New Roman" w:hAnsi="Times New Roman" w:cs="Times New Roman"/>
          <w:i/>
          <w:sz w:val="24"/>
          <w:szCs w:val="24"/>
        </w:rPr>
        <w:t>Equitable Small Transportation Intervenors v. Equitable Gas Company</w:t>
      </w:r>
      <w:r w:rsidRPr="00B86671">
        <w:rPr>
          <w:rFonts w:ascii="Times New Roman" w:hAnsi="Times New Roman" w:cs="Times New Roman"/>
          <w:sz w:val="24"/>
          <w:szCs w:val="24"/>
        </w:rPr>
        <w:t>, 1994 Pa PUC LEXIS 69, Docket No. C</w:t>
      </w:r>
      <w:r w:rsidRPr="00B86671">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B86671">
        <w:rPr>
          <w:rFonts w:ascii="Times New Roman" w:hAnsi="Times New Roman" w:cs="Times New Roman"/>
          <w:i/>
          <w:sz w:val="24"/>
          <w:szCs w:val="24"/>
        </w:rPr>
        <w:t>Interstate Traveller Services, Inc. v. Pa. Dept. of Environment Resources</w:t>
      </w:r>
      <w:r w:rsidRPr="00B86671">
        <w:rPr>
          <w:rFonts w:ascii="Times New Roman" w:hAnsi="Times New Roman" w:cs="Times New Roman"/>
          <w:sz w:val="24"/>
          <w:szCs w:val="24"/>
        </w:rPr>
        <w:t xml:space="preserve">, 406 A.2d 1020 (Pa. 1979); </w:t>
      </w:r>
      <w:r w:rsidRPr="00B86671">
        <w:rPr>
          <w:rFonts w:ascii="Times New Roman" w:hAnsi="Times New Roman" w:cs="Times New Roman"/>
          <w:i/>
          <w:sz w:val="24"/>
          <w:szCs w:val="24"/>
        </w:rPr>
        <w:t>Rivera v. Philadelphia Theological Seminary of St. Charles Borromeo, Inc.,</w:t>
      </w:r>
      <w:r w:rsidRPr="00B86671">
        <w:rPr>
          <w:rFonts w:ascii="Times New Roman" w:hAnsi="Times New Roman" w:cs="Times New Roman"/>
          <w:sz w:val="24"/>
          <w:szCs w:val="24"/>
        </w:rPr>
        <w:t xml:space="preserve"> 595 A.2d 172 (Pa.Super. 1991).  The Commission follows this standard.  </w:t>
      </w:r>
      <w:r w:rsidRPr="00B86671">
        <w:rPr>
          <w:rFonts w:ascii="Times New Roman" w:hAnsi="Times New Roman" w:cs="Times New Roman"/>
          <w:i/>
          <w:sz w:val="24"/>
          <w:szCs w:val="24"/>
        </w:rPr>
        <w:t>Montague v. Philadelphia Electric Company</w:t>
      </w:r>
      <w:r w:rsidRPr="00B86671">
        <w:rPr>
          <w:rFonts w:ascii="Times New Roman" w:hAnsi="Times New Roman" w:cs="Times New Roman"/>
          <w:sz w:val="24"/>
          <w:szCs w:val="24"/>
        </w:rPr>
        <w:t>, 66 Pa. PUC 24 (1988).</w:t>
      </w:r>
    </w:p>
    <w:p w:rsidR="009D1ACB" w:rsidRPr="00B86671" w:rsidRDefault="009D1ACB" w:rsidP="002332D6">
      <w:pPr>
        <w:spacing w:line="360" w:lineRule="auto"/>
        <w:rPr>
          <w:rFonts w:ascii="Times New Roman" w:hAnsi="Times New Roman" w:cs="Times New Roman"/>
          <w:sz w:val="24"/>
          <w:szCs w:val="24"/>
        </w:rPr>
      </w:pPr>
      <w:r w:rsidRPr="00B86671">
        <w:rPr>
          <w:rFonts w:ascii="Times New Roman" w:hAnsi="Times New Roman" w:cs="Times New Roman"/>
          <w:sz w:val="24"/>
          <w:szCs w:val="24"/>
          <w:u w:val="single"/>
        </w:rPr>
        <w:lastRenderedPageBreak/>
        <w:t>Complaint and Objection</w:t>
      </w:r>
    </w:p>
    <w:p w:rsidR="009D1ACB" w:rsidRPr="00B86671" w:rsidRDefault="009D1ACB" w:rsidP="002332D6">
      <w:pPr>
        <w:spacing w:line="360" w:lineRule="auto"/>
        <w:rPr>
          <w:rFonts w:ascii="Times New Roman" w:hAnsi="Times New Roman" w:cs="Times New Roman"/>
          <w:sz w:val="24"/>
          <w:szCs w:val="24"/>
        </w:rPr>
      </w:pPr>
    </w:p>
    <w:p w:rsidR="00DF0F28" w:rsidRPr="00B86671" w:rsidRDefault="003F2A1A" w:rsidP="002332D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00CA080D" w:rsidRPr="00B86671">
        <w:rPr>
          <w:rFonts w:ascii="Times New Roman" w:hAnsi="Times New Roman" w:cs="Times New Roman"/>
          <w:sz w:val="24"/>
          <w:szCs w:val="24"/>
        </w:rPr>
        <w:t xml:space="preserve">Complainant </w:t>
      </w:r>
      <w:r w:rsidR="00DC1D99" w:rsidRPr="00B86671">
        <w:rPr>
          <w:rFonts w:ascii="Times New Roman" w:hAnsi="Times New Roman" w:cs="Times New Roman"/>
          <w:sz w:val="24"/>
          <w:szCs w:val="24"/>
        </w:rPr>
        <w:t xml:space="preserve">essentially </w:t>
      </w:r>
      <w:r w:rsidR="00CA080D" w:rsidRPr="00B86671">
        <w:rPr>
          <w:rFonts w:ascii="Times New Roman" w:hAnsi="Times New Roman" w:cs="Times New Roman"/>
          <w:sz w:val="24"/>
          <w:szCs w:val="24"/>
        </w:rPr>
        <w:t xml:space="preserve">alleges </w:t>
      </w:r>
      <w:r w:rsidR="00A47BC1" w:rsidRPr="00B86671">
        <w:rPr>
          <w:rFonts w:ascii="Times New Roman" w:hAnsi="Times New Roman" w:cs="Times New Roman"/>
          <w:sz w:val="24"/>
          <w:szCs w:val="24"/>
        </w:rPr>
        <w:t xml:space="preserve">that on or about January 8 or 9, 2009, as a result of a motor vehicle collision there was a loss of power to the service address.  Afterwards, Duquesne took measures to restore power </w:t>
      </w:r>
      <w:r w:rsidR="006C7232" w:rsidRPr="00B86671">
        <w:rPr>
          <w:rFonts w:ascii="Times New Roman" w:hAnsi="Times New Roman" w:cs="Times New Roman"/>
          <w:sz w:val="24"/>
          <w:szCs w:val="24"/>
        </w:rPr>
        <w:t xml:space="preserve">when Duquesne had actual and/or constructive knowledge that </w:t>
      </w:r>
      <w:r w:rsidR="00A47BC1" w:rsidRPr="00B86671">
        <w:rPr>
          <w:rFonts w:ascii="Times New Roman" w:hAnsi="Times New Roman" w:cs="Times New Roman"/>
          <w:sz w:val="24"/>
          <w:szCs w:val="24"/>
        </w:rPr>
        <w:t>Complainant</w:t>
      </w:r>
      <w:r w:rsidR="00DF0F28" w:rsidRPr="00B86671">
        <w:rPr>
          <w:rFonts w:ascii="Times New Roman" w:hAnsi="Times New Roman" w:cs="Times New Roman"/>
          <w:sz w:val="24"/>
          <w:szCs w:val="24"/>
        </w:rPr>
        <w:t xml:space="preserve">’s </w:t>
      </w:r>
      <w:r w:rsidR="00A47BC1" w:rsidRPr="00B86671">
        <w:rPr>
          <w:rFonts w:ascii="Times New Roman" w:hAnsi="Times New Roman" w:cs="Times New Roman"/>
          <w:sz w:val="24"/>
          <w:szCs w:val="24"/>
        </w:rPr>
        <w:t>electrical equip</w:t>
      </w:r>
      <w:r w:rsidR="006C7232" w:rsidRPr="00B86671">
        <w:rPr>
          <w:rFonts w:ascii="Times New Roman" w:hAnsi="Times New Roman" w:cs="Times New Roman"/>
          <w:sz w:val="24"/>
          <w:szCs w:val="24"/>
        </w:rPr>
        <w:t xml:space="preserve">ment </w:t>
      </w:r>
      <w:r w:rsidR="00DF0F28" w:rsidRPr="00B86671">
        <w:rPr>
          <w:rFonts w:ascii="Times New Roman" w:hAnsi="Times New Roman" w:cs="Times New Roman"/>
          <w:sz w:val="24"/>
          <w:szCs w:val="24"/>
        </w:rPr>
        <w:t xml:space="preserve">had been or </w:t>
      </w:r>
      <w:r w:rsidR="006C7232" w:rsidRPr="00B86671">
        <w:rPr>
          <w:rFonts w:ascii="Times New Roman" w:hAnsi="Times New Roman" w:cs="Times New Roman"/>
          <w:sz w:val="24"/>
          <w:szCs w:val="24"/>
        </w:rPr>
        <w:t>may</w:t>
      </w:r>
      <w:r w:rsidR="00A47BC1" w:rsidRPr="00B86671">
        <w:rPr>
          <w:rFonts w:ascii="Times New Roman" w:hAnsi="Times New Roman" w:cs="Times New Roman"/>
          <w:sz w:val="24"/>
          <w:szCs w:val="24"/>
        </w:rPr>
        <w:t xml:space="preserve"> have been compro</w:t>
      </w:r>
      <w:r w:rsidR="006C7232" w:rsidRPr="00B86671">
        <w:rPr>
          <w:rFonts w:ascii="Times New Roman" w:hAnsi="Times New Roman" w:cs="Times New Roman"/>
          <w:sz w:val="24"/>
          <w:szCs w:val="24"/>
        </w:rPr>
        <w:t>m</w:t>
      </w:r>
      <w:r w:rsidR="00A47BC1" w:rsidRPr="00B86671">
        <w:rPr>
          <w:rFonts w:ascii="Times New Roman" w:hAnsi="Times New Roman" w:cs="Times New Roman"/>
          <w:sz w:val="24"/>
          <w:szCs w:val="24"/>
        </w:rPr>
        <w:t>ised</w:t>
      </w:r>
      <w:r w:rsidR="00DF0F28" w:rsidRPr="00B86671">
        <w:rPr>
          <w:rFonts w:ascii="Times New Roman" w:hAnsi="Times New Roman" w:cs="Times New Roman"/>
          <w:sz w:val="24"/>
          <w:szCs w:val="24"/>
        </w:rPr>
        <w:t xml:space="preserve">. However, without warning Complainant or inspecting Complainant’s electrical equipment, Duquesne restored power to the service address, thereby resulting in a fire and total destruction of Complainant’s funeral home. </w:t>
      </w:r>
      <w:r w:rsidR="00A47BC1" w:rsidRPr="00B86671">
        <w:rPr>
          <w:rFonts w:ascii="Times New Roman" w:hAnsi="Times New Roman" w:cs="Times New Roman"/>
          <w:sz w:val="24"/>
          <w:szCs w:val="24"/>
        </w:rPr>
        <w:t xml:space="preserve"> </w:t>
      </w:r>
      <w:r w:rsidR="00DF0F28" w:rsidRPr="00B86671">
        <w:rPr>
          <w:rFonts w:ascii="Times New Roman" w:hAnsi="Times New Roman" w:cs="Times New Roman"/>
          <w:sz w:val="24"/>
          <w:szCs w:val="24"/>
        </w:rPr>
        <w:t xml:space="preserve">Complainant seeks monetary damages in excess of a million dollars. </w:t>
      </w:r>
    </w:p>
    <w:p w:rsidR="00DF0F28" w:rsidRPr="00B86671" w:rsidRDefault="00DF0F28" w:rsidP="002332D6">
      <w:pPr>
        <w:spacing w:line="360" w:lineRule="auto"/>
        <w:rPr>
          <w:rFonts w:ascii="Times New Roman" w:hAnsi="Times New Roman" w:cs="Times New Roman"/>
          <w:sz w:val="24"/>
          <w:szCs w:val="24"/>
        </w:rPr>
      </w:pPr>
    </w:p>
    <w:p w:rsidR="004C64E4" w:rsidRDefault="00DF0F28" w:rsidP="00FB6E32">
      <w:pPr>
        <w:pStyle w:val="ListParagraph"/>
        <w:spacing w:line="360" w:lineRule="auto"/>
        <w:ind w:left="0"/>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 xml:space="preserve">Complainant and Respondent both admit that the Commission lacks authority to award monetary damages.  </w:t>
      </w:r>
      <w:r w:rsidR="00AD3F8D" w:rsidRPr="00B86671">
        <w:rPr>
          <w:rFonts w:ascii="Times New Roman" w:hAnsi="Times New Roman" w:cs="Times New Roman"/>
          <w:sz w:val="24"/>
          <w:szCs w:val="24"/>
        </w:rPr>
        <w:t xml:space="preserve">However, Complainant objects to the Commission jurisdiction by arguing that its cause of action sounds in negligence which must be decided by a jury. </w:t>
      </w:r>
      <w:r w:rsidR="0027067C" w:rsidRPr="00B86671">
        <w:rPr>
          <w:rFonts w:ascii="Times New Roman" w:hAnsi="Times New Roman" w:cs="Times New Roman"/>
          <w:sz w:val="24"/>
          <w:szCs w:val="24"/>
        </w:rPr>
        <w:t xml:space="preserve"> Complainant further argues that Pennsylvania Supreme Court cases hold that it is for a jury, not the Commission, to determine what was reasonable under the circumstances.</w:t>
      </w:r>
      <w:r w:rsidR="003B1A53">
        <w:rPr>
          <w:rFonts w:ascii="Times New Roman" w:hAnsi="Times New Roman" w:cs="Times New Roman"/>
          <w:sz w:val="24"/>
          <w:szCs w:val="24"/>
        </w:rPr>
        <w:t xml:space="preserve">  However, </w:t>
      </w:r>
      <w:r w:rsidR="00FB6E32">
        <w:rPr>
          <w:rFonts w:ascii="Times New Roman" w:hAnsi="Times New Roman" w:cs="Times New Roman"/>
          <w:sz w:val="24"/>
          <w:szCs w:val="24"/>
        </w:rPr>
        <w:t xml:space="preserve">I note that </w:t>
      </w:r>
      <w:r w:rsidR="00AB3030">
        <w:rPr>
          <w:rFonts w:ascii="Times New Roman" w:hAnsi="Times New Roman" w:cs="Times New Roman"/>
          <w:sz w:val="24"/>
          <w:szCs w:val="24"/>
        </w:rPr>
        <w:t>i</w:t>
      </w:r>
      <w:r w:rsidR="003B1A53">
        <w:rPr>
          <w:rFonts w:ascii="Times New Roman" w:hAnsi="Times New Roman" w:cs="Times New Roman"/>
          <w:sz w:val="24"/>
          <w:szCs w:val="24"/>
        </w:rPr>
        <w:t>n this case the Supreme Court’s decision is silent on the appropriateness of bifurcating and transferring the action.</w:t>
      </w:r>
      <w:r w:rsidR="00FB6E32">
        <w:rPr>
          <w:rFonts w:ascii="Times New Roman" w:hAnsi="Times New Roman" w:cs="Times New Roman"/>
          <w:sz w:val="24"/>
          <w:szCs w:val="24"/>
        </w:rPr>
        <w:t xml:space="preserve">  </w:t>
      </w:r>
      <w:r w:rsidR="00FB6E32" w:rsidRPr="00730E2C">
        <w:rPr>
          <w:rFonts w:ascii="Times New Roman" w:hAnsi="Times New Roman" w:cs="Times New Roman"/>
          <w:sz w:val="24"/>
          <w:szCs w:val="24"/>
        </w:rPr>
        <w:t>See</w:t>
      </w:r>
      <w:r w:rsidR="00FB6E32" w:rsidRPr="00FB6E32">
        <w:rPr>
          <w:rFonts w:ascii="Times New Roman" w:hAnsi="Times New Roman" w:cs="Times New Roman"/>
          <w:i/>
          <w:sz w:val="24"/>
          <w:szCs w:val="24"/>
        </w:rPr>
        <w:t xml:space="preserve"> Alderwoods (Pennsylvania), Inc. v Duquesne Light Co</w:t>
      </w:r>
      <w:r w:rsidR="00FB6E32">
        <w:rPr>
          <w:rFonts w:ascii="Times New Roman" w:hAnsi="Times New Roman" w:cs="Times New Roman"/>
          <w:sz w:val="24"/>
          <w:szCs w:val="24"/>
        </w:rPr>
        <w:t>., 106 A.3d 27 (Pa. 2014).</w:t>
      </w:r>
      <w:bookmarkStart w:id="0" w:name="_GoBack"/>
      <w:bookmarkEnd w:id="0"/>
    </w:p>
    <w:p w:rsidR="00FB6E32" w:rsidRDefault="00FB6E32" w:rsidP="00FB6E32">
      <w:pPr>
        <w:pStyle w:val="ListParagraph"/>
        <w:spacing w:line="360" w:lineRule="auto"/>
        <w:ind w:left="0"/>
        <w:rPr>
          <w:rFonts w:ascii="Times New Roman" w:hAnsi="Times New Roman" w:cs="Times New Roman"/>
          <w:sz w:val="24"/>
          <w:szCs w:val="24"/>
          <w:u w:val="single"/>
        </w:rPr>
      </w:pPr>
    </w:p>
    <w:p w:rsidR="009D1ACB" w:rsidRPr="00B86671" w:rsidRDefault="009D1ACB" w:rsidP="005938A4">
      <w:pPr>
        <w:pStyle w:val="FootnoteText"/>
        <w:spacing w:line="360" w:lineRule="auto"/>
        <w:rPr>
          <w:rFonts w:ascii="Times New Roman" w:hAnsi="Times New Roman" w:cs="Times New Roman"/>
          <w:sz w:val="24"/>
          <w:szCs w:val="24"/>
          <w:u w:val="single"/>
        </w:rPr>
      </w:pPr>
      <w:r w:rsidRPr="00B86671">
        <w:rPr>
          <w:rFonts w:ascii="Times New Roman" w:hAnsi="Times New Roman" w:cs="Times New Roman"/>
          <w:sz w:val="24"/>
          <w:szCs w:val="24"/>
          <w:u w:val="single"/>
        </w:rPr>
        <w:t>Analysis</w:t>
      </w:r>
    </w:p>
    <w:p w:rsidR="009D1ACB" w:rsidRPr="00B86671" w:rsidRDefault="009D1ACB" w:rsidP="005938A4">
      <w:pPr>
        <w:pStyle w:val="FootnoteText"/>
        <w:spacing w:line="360" w:lineRule="auto"/>
        <w:rPr>
          <w:rFonts w:ascii="Times New Roman" w:hAnsi="Times New Roman" w:cs="Times New Roman"/>
          <w:sz w:val="24"/>
          <w:szCs w:val="24"/>
        </w:rPr>
      </w:pPr>
    </w:p>
    <w:p w:rsidR="005938A4" w:rsidRPr="00B86671" w:rsidRDefault="00591B01" w:rsidP="005938A4">
      <w:pPr>
        <w:pStyle w:val="FootnoteText"/>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00627ED8" w:rsidRPr="00B86671">
        <w:rPr>
          <w:rFonts w:ascii="Times New Roman" w:hAnsi="Times New Roman" w:cs="Times New Roman"/>
          <w:sz w:val="24"/>
          <w:szCs w:val="24"/>
        </w:rPr>
        <w:t>T</w:t>
      </w:r>
      <w:r w:rsidR="00721841" w:rsidRPr="00B86671">
        <w:rPr>
          <w:rFonts w:ascii="Times New Roman" w:hAnsi="Times New Roman" w:cs="Times New Roman"/>
          <w:sz w:val="24"/>
          <w:szCs w:val="24"/>
        </w:rPr>
        <w:t xml:space="preserve">o the extent </w:t>
      </w:r>
      <w:r w:rsidR="00503745" w:rsidRPr="00B86671">
        <w:rPr>
          <w:rFonts w:ascii="Times New Roman" w:hAnsi="Times New Roman" w:cs="Times New Roman"/>
          <w:sz w:val="24"/>
          <w:szCs w:val="24"/>
        </w:rPr>
        <w:t xml:space="preserve">Complainant </w:t>
      </w:r>
      <w:r w:rsidR="00721841" w:rsidRPr="00B86671">
        <w:rPr>
          <w:rFonts w:ascii="Times New Roman" w:hAnsi="Times New Roman" w:cs="Times New Roman"/>
          <w:sz w:val="24"/>
          <w:szCs w:val="24"/>
        </w:rPr>
        <w:t xml:space="preserve">is seeking a monetary award </w:t>
      </w:r>
      <w:r w:rsidR="00F42498" w:rsidRPr="00B86671">
        <w:rPr>
          <w:rFonts w:ascii="Times New Roman" w:hAnsi="Times New Roman" w:cs="Times New Roman"/>
          <w:sz w:val="24"/>
          <w:szCs w:val="24"/>
        </w:rPr>
        <w:t xml:space="preserve">for </w:t>
      </w:r>
      <w:r w:rsidR="00503745" w:rsidRPr="00B86671">
        <w:rPr>
          <w:rFonts w:ascii="Times New Roman" w:hAnsi="Times New Roman" w:cs="Times New Roman"/>
          <w:sz w:val="24"/>
          <w:szCs w:val="24"/>
        </w:rPr>
        <w:t xml:space="preserve">damages, </w:t>
      </w:r>
      <w:r w:rsidR="0027067C" w:rsidRPr="00B86671">
        <w:rPr>
          <w:rFonts w:ascii="Times New Roman" w:hAnsi="Times New Roman" w:cs="Times New Roman"/>
          <w:sz w:val="24"/>
          <w:szCs w:val="24"/>
        </w:rPr>
        <w:t>the Parties are correct</w:t>
      </w:r>
      <w:r w:rsidR="00721841" w:rsidRPr="00B86671">
        <w:rPr>
          <w:rFonts w:ascii="Times New Roman" w:hAnsi="Times New Roman" w:cs="Times New Roman"/>
          <w:sz w:val="24"/>
          <w:szCs w:val="24"/>
        </w:rPr>
        <w:t>.</w:t>
      </w:r>
      <w:r w:rsidR="004432B4" w:rsidRPr="00B86671">
        <w:rPr>
          <w:rFonts w:ascii="Times New Roman" w:hAnsi="Times New Roman" w:cs="Times New Roman"/>
          <w:sz w:val="24"/>
          <w:szCs w:val="24"/>
        </w:rPr>
        <w:t xml:space="preserve"> </w:t>
      </w:r>
      <w:r w:rsidR="00721841" w:rsidRPr="00B86671">
        <w:rPr>
          <w:rFonts w:ascii="Times New Roman" w:hAnsi="Times New Roman" w:cs="Times New Roman"/>
          <w:sz w:val="24"/>
          <w:szCs w:val="24"/>
        </w:rPr>
        <w:t xml:space="preserve"> The Commission </w:t>
      </w:r>
      <w:r w:rsidR="00124351" w:rsidRPr="00B86671">
        <w:rPr>
          <w:rFonts w:ascii="Times New Roman" w:hAnsi="Times New Roman" w:cs="Times New Roman"/>
          <w:sz w:val="24"/>
          <w:szCs w:val="24"/>
        </w:rPr>
        <w:t xml:space="preserve">lacks authority </w:t>
      </w:r>
      <w:r w:rsidR="00721841" w:rsidRPr="00B86671">
        <w:rPr>
          <w:rFonts w:ascii="Times New Roman" w:hAnsi="Times New Roman" w:cs="Times New Roman"/>
          <w:sz w:val="24"/>
          <w:szCs w:val="24"/>
        </w:rPr>
        <w:t xml:space="preserve">to award monetary damages. </w:t>
      </w:r>
      <w:r w:rsidR="00D8564F" w:rsidRPr="00B86671">
        <w:rPr>
          <w:rFonts w:ascii="Times New Roman" w:hAnsi="Times New Roman" w:cs="Times New Roman"/>
          <w:sz w:val="24"/>
          <w:szCs w:val="24"/>
        </w:rPr>
        <w:t xml:space="preserve"> See </w:t>
      </w:r>
      <w:r w:rsidR="002E0E74" w:rsidRPr="00B86671">
        <w:rPr>
          <w:rFonts w:ascii="Times New Roman" w:hAnsi="Times New Roman" w:cs="Times New Roman"/>
          <w:i/>
          <w:sz w:val="24"/>
          <w:szCs w:val="24"/>
        </w:rPr>
        <w:t xml:space="preserve">In Re: Melograne, 812 </w:t>
      </w:r>
      <w:r w:rsidR="0073391F" w:rsidRPr="00B86671">
        <w:rPr>
          <w:rFonts w:ascii="Times New Roman" w:hAnsi="Times New Roman" w:cs="Times New Roman"/>
          <w:i/>
          <w:sz w:val="24"/>
          <w:szCs w:val="24"/>
        </w:rPr>
        <w:t>A.</w:t>
      </w:r>
      <w:r w:rsidR="002E0E74" w:rsidRPr="00B86671">
        <w:rPr>
          <w:rFonts w:ascii="Times New Roman" w:hAnsi="Times New Roman" w:cs="Times New Roman"/>
          <w:i/>
          <w:sz w:val="24"/>
          <w:szCs w:val="24"/>
        </w:rPr>
        <w:t xml:space="preserve"> 2d 1164 (Pa. 2002)</w:t>
      </w:r>
      <w:r w:rsidR="0073391F" w:rsidRPr="00B86671">
        <w:rPr>
          <w:rFonts w:ascii="Times New Roman" w:hAnsi="Times New Roman" w:cs="Times New Roman"/>
          <w:i/>
          <w:sz w:val="24"/>
          <w:szCs w:val="24"/>
        </w:rPr>
        <w:t>;</w:t>
      </w:r>
      <w:r w:rsidR="002E0E74" w:rsidRPr="00B86671">
        <w:rPr>
          <w:rFonts w:ascii="Times New Roman" w:hAnsi="Times New Roman" w:cs="Times New Roman"/>
          <w:i/>
          <w:sz w:val="24"/>
          <w:szCs w:val="24"/>
        </w:rPr>
        <w:t xml:space="preserve"> </w:t>
      </w:r>
      <w:r w:rsidR="00D8564F" w:rsidRPr="00B86671">
        <w:rPr>
          <w:rFonts w:ascii="Times New Roman" w:hAnsi="Times New Roman" w:cs="Times New Roman"/>
          <w:i/>
          <w:sz w:val="24"/>
          <w:szCs w:val="24"/>
        </w:rPr>
        <w:t>F</w:t>
      </w:r>
      <w:r w:rsidR="002E0E74" w:rsidRPr="00B86671">
        <w:rPr>
          <w:rFonts w:ascii="Times New Roman" w:hAnsi="Times New Roman" w:cs="Times New Roman"/>
          <w:i/>
          <w:sz w:val="24"/>
          <w:szCs w:val="24"/>
        </w:rPr>
        <w:t>ein</w:t>
      </w:r>
      <w:r w:rsidR="00D8564F" w:rsidRPr="00B86671">
        <w:rPr>
          <w:rFonts w:ascii="Times New Roman" w:hAnsi="Times New Roman" w:cs="Times New Roman"/>
          <w:i/>
          <w:sz w:val="24"/>
          <w:szCs w:val="24"/>
        </w:rPr>
        <w:t>gold v. Bell of Pennsylvania,</w:t>
      </w:r>
      <w:r w:rsidR="00D8564F" w:rsidRPr="00B86671">
        <w:rPr>
          <w:rFonts w:ascii="Times New Roman" w:hAnsi="Times New Roman" w:cs="Times New Roman"/>
          <w:sz w:val="24"/>
          <w:szCs w:val="24"/>
        </w:rPr>
        <w:t xml:space="preserve"> 477 P</w:t>
      </w:r>
      <w:r w:rsidR="0073391F" w:rsidRPr="00B86671">
        <w:rPr>
          <w:rFonts w:ascii="Times New Roman" w:hAnsi="Times New Roman" w:cs="Times New Roman"/>
          <w:sz w:val="24"/>
          <w:szCs w:val="24"/>
        </w:rPr>
        <w:t>a</w:t>
      </w:r>
      <w:r w:rsidR="00D8564F" w:rsidRPr="00B86671">
        <w:rPr>
          <w:rFonts w:ascii="Times New Roman" w:hAnsi="Times New Roman" w:cs="Times New Roman"/>
          <w:sz w:val="24"/>
          <w:szCs w:val="24"/>
        </w:rPr>
        <w:t xml:space="preserve">. 1, 383 A.2d 791 (1977). </w:t>
      </w:r>
      <w:r w:rsidR="005938A4" w:rsidRPr="00B86671">
        <w:rPr>
          <w:rFonts w:ascii="Times New Roman" w:hAnsi="Times New Roman" w:cs="Times New Roman"/>
          <w:sz w:val="24"/>
          <w:szCs w:val="24"/>
        </w:rPr>
        <w:t xml:space="preserve"> In </w:t>
      </w:r>
      <w:r w:rsidR="005938A4" w:rsidRPr="00B86671">
        <w:rPr>
          <w:rFonts w:ascii="Times New Roman" w:hAnsi="Times New Roman" w:cs="Times New Roman"/>
          <w:i/>
          <w:sz w:val="24"/>
          <w:szCs w:val="24"/>
        </w:rPr>
        <w:t xml:space="preserve">Feingold, </w:t>
      </w:r>
      <w:r w:rsidR="005938A4" w:rsidRPr="00B86671">
        <w:rPr>
          <w:rFonts w:ascii="Times New Roman" w:hAnsi="Times New Roman" w:cs="Times New Roman"/>
          <w:sz w:val="24"/>
          <w:szCs w:val="24"/>
        </w:rPr>
        <w:t>our Pennsylvania Supreme Court explained the Commission’s lack of authority to award monetary damages.</w:t>
      </w:r>
    </w:p>
    <w:p w:rsidR="005938A4" w:rsidRPr="00B86671" w:rsidRDefault="005938A4" w:rsidP="005938A4">
      <w:pPr>
        <w:pStyle w:val="FootnoteText"/>
        <w:rPr>
          <w:rFonts w:ascii="Times New Roman" w:hAnsi="Times New Roman" w:cs="Times New Roman"/>
          <w:sz w:val="24"/>
          <w:szCs w:val="24"/>
        </w:rPr>
      </w:pPr>
    </w:p>
    <w:p w:rsidR="005938A4" w:rsidRPr="00B86671" w:rsidRDefault="005938A4" w:rsidP="005938A4">
      <w:pPr>
        <w:pStyle w:val="FootnoteText"/>
        <w:ind w:left="1440" w:right="1080"/>
        <w:rPr>
          <w:rFonts w:ascii="Times New Roman" w:hAnsi="Times New Roman" w:cs="Times New Roman"/>
          <w:sz w:val="24"/>
          <w:szCs w:val="24"/>
        </w:rPr>
      </w:pPr>
      <w:r w:rsidRPr="00B86671">
        <w:rPr>
          <w:rFonts w:ascii="Times New Roman" w:hAnsi="Times New Roman" w:cs="Times New Roman"/>
          <w:color w:val="333333"/>
          <w:sz w:val="24"/>
          <w:szCs w:val="24"/>
        </w:rPr>
        <w:t xml:space="preserve">The Public Utility Law placed a broad range of subject matters under the control of the Public Utility Commission (PUC), making that agency responsible for ensuring the adequacy, efficiency, safety, and reasonableness of public utility services. </w:t>
      </w:r>
      <w:r w:rsidR="00025BDD" w:rsidRPr="00B86671">
        <w:rPr>
          <w:rFonts w:ascii="Times New Roman" w:hAnsi="Times New Roman" w:cs="Times New Roman"/>
          <w:color w:val="333333"/>
          <w:sz w:val="24"/>
          <w:szCs w:val="24"/>
        </w:rPr>
        <w:t xml:space="preserve"> </w:t>
      </w:r>
      <w:r w:rsidRPr="00B86671">
        <w:rPr>
          <w:rFonts w:ascii="Times New Roman" w:hAnsi="Times New Roman" w:cs="Times New Roman"/>
          <w:color w:val="333333"/>
          <w:sz w:val="24"/>
          <w:szCs w:val="24"/>
        </w:rPr>
        <w:t xml:space="preserve">Act of May 28, 1937, P.L. 1053, art. IV, </w:t>
      </w:r>
      <w:r w:rsidRPr="00B86671">
        <w:rPr>
          <w:rFonts w:ascii="Times New Roman" w:hAnsi="Times New Roman" w:cs="Times New Roman"/>
          <w:i/>
          <w:iCs/>
          <w:color w:val="333333"/>
          <w:sz w:val="24"/>
          <w:szCs w:val="24"/>
        </w:rPr>
        <w:t>as amended</w:t>
      </w:r>
      <w:r w:rsidRPr="00B86671">
        <w:rPr>
          <w:rFonts w:ascii="Times New Roman" w:hAnsi="Times New Roman" w:cs="Times New Roman"/>
          <w:color w:val="333333"/>
          <w:sz w:val="24"/>
          <w:szCs w:val="24"/>
        </w:rPr>
        <w:t xml:space="preserve">, Act of October 7, 1976, P.L. 1057, No. 215, </w:t>
      </w:r>
      <w:r w:rsidRPr="00B86671">
        <w:rPr>
          <w:rFonts w:ascii="Times New Roman" w:hAnsi="Times New Roman" w:cs="Times New Roman"/>
          <w:color w:val="333333"/>
          <w:sz w:val="24"/>
          <w:szCs w:val="24"/>
        </w:rPr>
        <w:lastRenderedPageBreak/>
        <w:t xml:space="preserve">66 P.S. § 1171 (Supp.1977-78).  . . . . </w:t>
      </w:r>
      <w:r w:rsidR="008C31F3" w:rsidRPr="00B86671">
        <w:rPr>
          <w:rFonts w:ascii="Times New Roman" w:hAnsi="Times New Roman" w:cs="Times New Roman"/>
          <w:color w:val="333333"/>
          <w:sz w:val="24"/>
          <w:szCs w:val="24"/>
        </w:rPr>
        <w:t xml:space="preserve"> The enforcement and remedial powers of the PUC, although formidable, are not those of a court. </w:t>
      </w:r>
      <w:r w:rsidR="00025BDD" w:rsidRPr="00B86671">
        <w:rPr>
          <w:rFonts w:ascii="Times New Roman" w:hAnsi="Times New Roman" w:cs="Times New Roman"/>
          <w:color w:val="333333"/>
          <w:sz w:val="24"/>
          <w:szCs w:val="24"/>
        </w:rPr>
        <w:t xml:space="preserve"> </w:t>
      </w:r>
      <w:r w:rsidR="008C31F3" w:rsidRPr="00B86671">
        <w:rPr>
          <w:rFonts w:ascii="Times New Roman" w:hAnsi="Times New Roman" w:cs="Times New Roman"/>
          <w:color w:val="333333"/>
          <w:sz w:val="24"/>
          <w:szCs w:val="24"/>
        </w:rPr>
        <w:t xml:space="preserve">The PUC is empowered to correct, by regulation or order, abuses in the provision of service. </w:t>
      </w:r>
      <w:r w:rsidR="00025BDD" w:rsidRPr="00B86671">
        <w:rPr>
          <w:rFonts w:ascii="Times New Roman" w:hAnsi="Times New Roman" w:cs="Times New Roman"/>
          <w:color w:val="333333"/>
          <w:sz w:val="24"/>
          <w:szCs w:val="24"/>
        </w:rPr>
        <w:t xml:space="preserve"> </w:t>
      </w:r>
      <w:r w:rsidR="008C31F3" w:rsidRPr="00B86671">
        <w:rPr>
          <w:rFonts w:ascii="Times New Roman" w:hAnsi="Times New Roman" w:cs="Times New Roman"/>
          <w:color w:val="333333"/>
          <w:sz w:val="24"/>
          <w:szCs w:val="24"/>
        </w:rPr>
        <w:t>Act of May 28, 1937, P.L. 1053, § 413, 66 P.S. §</w:t>
      </w:r>
      <w:r w:rsidR="00025BDD" w:rsidRPr="00B86671">
        <w:rPr>
          <w:rFonts w:ascii="Times New Roman" w:hAnsi="Times New Roman" w:cs="Times New Roman"/>
          <w:color w:val="333333"/>
          <w:sz w:val="24"/>
          <w:szCs w:val="24"/>
        </w:rPr>
        <w:t> </w:t>
      </w:r>
      <w:r w:rsidR="008C31F3" w:rsidRPr="00B86671">
        <w:rPr>
          <w:rFonts w:ascii="Times New Roman" w:hAnsi="Times New Roman" w:cs="Times New Roman"/>
          <w:color w:val="333333"/>
          <w:sz w:val="24"/>
          <w:szCs w:val="24"/>
        </w:rPr>
        <w:t>1183 (1959).</w:t>
      </w:r>
      <w:r w:rsidR="00025BDD" w:rsidRPr="00B86671">
        <w:rPr>
          <w:rFonts w:ascii="Times New Roman" w:hAnsi="Times New Roman" w:cs="Times New Roman"/>
          <w:color w:val="333333"/>
          <w:sz w:val="24"/>
          <w:szCs w:val="24"/>
        </w:rPr>
        <w:t xml:space="preserve"> </w:t>
      </w:r>
      <w:r w:rsidR="008C31F3" w:rsidRPr="00B86671">
        <w:rPr>
          <w:rFonts w:ascii="Times New Roman" w:hAnsi="Times New Roman" w:cs="Times New Roman"/>
          <w:color w:val="333333"/>
          <w:sz w:val="24"/>
          <w:szCs w:val="24"/>
        </w:rPr>
        <w:t xml:space="preserve"> The PUC has the power to impose fines upon a public utility for violation of the Public Utility Law.</w:t>
      </w:r>
      <w:r w:rsidR="00025BDD" w:rsidRPr="00B86671">
        <w:rPr>
          <w:rFonts w:ascii="Times New Roman" w:hAnsi="Times New Roman" w:cs="Times New Roman"/>
          <w:color w:val="333333"/>
          <w:sz w:val="24"/>
          <w:szCs w:val="24"/>
        </w:rPr>
        <w:t xml:space="preserve"> </w:t>
      </w:r>
      <w:r w:rsidR="008C31F3" w:rsidRPr="00B86671">
        <w:rPr>
          <w:rFonts w:ascii="Times New Roman" w:hAnsi="Times New Roman" w:cs="Times New Roman"/>
          <w:color w:val="333333"/>
          <w:sz w:val="24"/>
          <w:szCs w:val="24"/>
        </w:rPr>
        <w:t xml:space="preserve"> Act of May 28, 1937, P.L. 1053, art. XIII, § 1301, </w:t>
      </w:r>
      <w:r w:rsidR="008C31F3" w:rsidRPr="00B86671">
        <w:rPr>
          <w:rFonts w:ascii="Times New Roman" w:hAnsi="Times New Roman" w:cs="Times New Roman"/>
          <w:i/>
          <w:iCs/>
          <w:color w:val="333333"/>
          <w:sz w:val="24"/>
          <w:szCs w:val="24"/>
        </w:rPr>
        <w:t>as amended</w:t>
      </w:r>
      <w:r w:rsidR="008C31F3" w:rsidRPr="00B86671">
        <w:rPr>
          <w:rFonts w:ascii="Times New Roman" w:hAnsi="Times New Roman" w:cs="Times New Roman"/>
          <w:color w:val="333333"/>
          <w:sz w:val="24"/>
          <w:szCs w:val="24"/>
        </w:rPr>
        <w:t xml:space="preserve">, Act of October 7, 1976, P.L. 1057, No. 215, § 25, 66 P.S. § 1491 (Supp.1977-78).  . . . .  </w:t>
      </w:r>
      <w:r w:rsidRPr="00B86671">
        <w:rPr>
          <w:rFonts w:ascii="Times New Roman" w:hAnsi="Times New Roman" w:cs="Times New Roman"/>
          <w:color w:val="333333"/>
          <w:sz w:val="24"/>
          <w:szCs w:val="24"/>
        </w:rPr>
        <w:t xml:space="preserve">Since the PUC is a creature of statute, it has only those powers which are expressly conferred upon it by the Legislature and those powers which arise by necessary implication. </w:t>
      </w:r>
      <w:r w:rsidR="00025BDD" w:rsidRPr="00B86671">
        <w:rPr>
          <w:rFonts w:ascii="Times New Roman" w:hAnsi="Times New Roman" w:cs="Times New Roman"/>
          <w:color w:val="333333"/>
          <w:sz w:val="24"/>
          <w:szCs w:val="24"/>
        </w:rPr>
        <w:t xml:space="preserve"> </w:t>
      </w:r>
      <w:hyperlink r:id="rId9" w:history="1">
        <w:r w:rsidRPr="00B86671">
          <w:rPr>
            <w:rStyle w:val="Hyperlink"/>
            <w:rFonts w:ascii="Times New Roman" w:hAnsi="Times New Roman" w:cs="Times New Roman"/>
            <w:i/>
            <w:iCs/>
            <w:color w:val="auto"/>
            <w:sz w:val="24"/>
            <w:szCs w:val="24"/>
          </w:rPr>
          <w:t>Allegheny County Port Authority v. Pa. P. U. C.</w:t>
        </w:r>
        <w:r w:rsidRPr="00B86671">
          <w:rPr>
            <w:rStyle w:val="Hyperlink"/>
            <w:rFonts w:ascii="Times New Roman" w:hAnsi="Times New Roman" w:cs="Times New Roman"/>
            <w:color w:val="auto"/>
            <w:sz w:val="24"/>
            <w:szCs w:val="24"/>
          </w:rPr>
          <w:t>, 427 Pa. 562, 237 A.2d 602 (1967)</w:t>
        </w:r>
      </w:hyperlink>
      <w:r w:rsidRPr="00B86671">
        <w:rPr>
          <w:rFonts w:ascii="Times New Roman" w:hAnsi="Times New Roman" w:cs="Times New Roman"/>
          <w:sz w:val="24"/>
          <w:szCs w:val="24"/>
        </w:rPr>
        <w:t xml:space="preserve">; </w:t>
      </w:r>
      <w:hyperlink r:id="rId10" w:history="1">
        <w:r w:rsidRPr="00B86671">
          <w:rPr>
            <w:rStyle w:val="Hyperlink"/>
            <w:rFonts w:ascii="Times New Roman" w:hAnsi="Times New Roman" w:cs="Times New Roman"/>
            <w:i/>
            <w:iCs/>
            <w:color w:val="auto"/>
            <w:sz w:val="24"/>
            <w:szCs w:val="24"/>
          </w:rPr>
          <w:t>Delaware River Port Authority v. Pa. P. U. C.</w:t>
        </w:r>
        <w:r w:rsidRPr="00B86671">
          <w:rPr>
            <w:rStyle w:val="Hyperlink"/>
            <w:rFonts w:ascii="Times New Roman" w:hAnsi="Times New Roman" w:cs="Times New Roman"/>
            <w:color w:val="auto"/>
            <w:sz w:val="24"/>
            <w:szCs w:val="24"/>
          </w:rPr>
          <w:t>, 393 Pa. 639, 145 A.2d 172 (1958)</w:t>
        </w:r>
      </w:hyperlink>
      <w:r w:rsidRPr="00B86671">
        <w:rPr>
          <w:rFonts w:ascii="Times New Roman" w:hAnsi="Times New Roman" w:cs="Times New Roman"/>
          <w:sz w:val="24"/>
          <w:szCs w:val="24"/>
        </w:rPr>
        <w:t>.</w:t>
      </w:r>
    </w:p>
    <w:p w:rsidR="005938A4" w:rsidRPr="00B86671" w:rsidRDefault="005938A4" w:rsidP="005938A4">
      <w:pPr>
        <w:pStyle w:val="FootnoteText"/>
        <w:ind w:left="1440" w:right="1080"/>
        <w:rPr>
          <w:rFonts w:ascii="Times New Roman" w:hAnsi="Times New Roman" w:cs="Times New Roman"/>
          <w:sz w:val="24"/>
          <w:szCs w:val="24"/>
        </w:rPr>
      </w:pPr>
    </w:p>
    <w:p w:rsidR="004A7768" w:rsidRPr="00B86671" w:rsidRDefault="005938A4" w:rsidP="005938A4">
      <w:pPr>
        <w:pStyle w:val="FootnoteText"/>
        <w:ind w:left="1440" w:right="1080"/>
        <w:rPr>
          <w:rFonts w:ascii="Times New Roman" w:hAnsi="Times New Roman" w:cs="Times New Roman"/>
          <w:color w:val="333333"/>
          <w:sz w:val="24"/>
          <w:szCs w:val="24"/>
        </w:rPr>
      </w:pPr>
      <w:r w:rsidRPr="00B86671">
        <w:rPr>
          <w:rFonts w:ascii="Times New Roman" w:hAnsi="Times New Roman" w:cs="Times New Roman"/>
          <w:color w:val="333333"/>
          <w:sz w:val="24"/>
          <w:szCs w:val="24"/>
        </w:rPr>
        <w:t xml:space="preserve">It is relevant to the case now before us that the statutory array of PUC </w:t>
      </w:r>
      <w:r w:rsidR="008C31F3" w:rsidRPr="00B86671">
        <w:rPr>
          <w:rFonts w:ascii="Times New Roman" w:hAnsi="Times New Roman" w:cs="Times New Roman"/>
          <w:color w:val="333333"/>
          <w:sz w:val="24"/>
          <w:szCs w:val="24"/>
        </w:rPr>
        <w:t>r</w:t>
      </w:r>
      <w:r w:rsidRPr="00B86671">
        <w:rPr>
          <w:rFonts w:ascii="Times New Roman" w:hAnsi="Times New Roman" w:cs="Times New Roman"/>
          <w:color w:val="333333"/>
          <w:sz w:val="24"/>
          <w:szCs w:val="24"/>
        </w:rPr>
        <w:t xml:space="preserve">emedial and enforcement powers does not include the power to award damages to a private litigant for breach of contract by a public utility. Nor can we find an express grant of power from which the power to award such damages can be fairly implied. </w:t>
      </w:r>
      <w:r w:rsidR="00025BDD" w:rsidRPr="00B86671">
        <w:rPr>
          <w:rFonts w:ascii="Times New Roman" w:hAnsi="Times New Roman" w:cs="Times New Roman"/>
          <w:color w:val="333333"/>
          <w:sz w:val="24"/>
          <w:szCs w:val="24"/>
        </w:rPr>
        <w:t xml:space="preserve"> </w:t>
      </w:r>
      <w:r w:rsidRPr="00B86671">
        <w:rPr>
          <w:rFonts w:ascii="Times New Roman" w:hAnsi="Times New Roman" w:cs="Times New Roman"/>
          <w:color w:val="333333"/>
          <w:sz w:val="24"/>
          <w:szCs w:val="24"/>
        </w:rPr>
        <w:t>Thus, it can be concluded that the Legislature did not intend for the PUC to have such a power.</w:t>
      </w:r>
    </w:p>
    <w:p w:rsidR="004A7768" w:rsidRPr="00B86671" w:rsidRDefault="004A7768" w:rsidP="004A7768">
      <w:pPr>
        <w:pStyle w:val="FootnoteText"/>
        <w:spacing w:line="360" w:lineRule="auto"/>
        <w:ind w:left="1440" w:right="1080"/>
        <w:rPr>
          <w:rFonts w:ascii="Times New Roman" w:hAnsi="Times New Roman" w:cs="Times New Roman"/>
          <w:color w:val="333333"/>
          <w:sz w:val="24"/>
          <w:szCs w:val="24"/>
        </w:rPr>
      </w:pPr>
    </w:p>
    <w:p w:rsidR="004A7768" w:rsidRPr="00B86671" w:rsidRDefault="004A7768" w:rsidP="004A7768">
      <w:pPr>
        <w:pStyle w:val="FootnoteText"/>
        <w:spacing w:line="360" w:lineRule="auto"/>
        <w:ind w:left="1440" w:hanging="1440"/>
        <w:rPr>
          <w:rFonts w:ascii="Times New Roman" w:hAnsi="Times New Roman" w:cs="Times New Roman"/>
          <w:color w:val="333333"/>
          <w:sz w:val="24"/>
          <w:szCs w:val="24"/>
        </w:rPr>
      </w:pPr>
      <w:r w:rsidRPr="00B86671">
        <w:rPr>
          <w:rFonts w:ascii="Times New Roman" w:hAnsi="Times New Roman" w:cs="Times New Roman"/>
          <w:color w:val="333333"/>
          <w:sz w:val="24"/>
          <w:szCs w:val="24"/>
        </w:rPr>
        <w:t>(</w:t>
      </w:r>
      <w:r w:rsidRPr="00B86671">
        <w:rPr>
          <w:rFonts w:ascii="Times New Roman" w:hAnsi="Times New Roman" w:cs="Times New Roman"/>
          <w:i/>
          <w:color w:val="333333"/>
          <w:sz w:val="24"/>
          <w:szCs w:val="24"/>
        </w:rPr>
        <w:t>Id</w:t>
      </w:r>
      <w:r w:rsidRPr="00B86671">
        <w:rPr>
          <w:rFonts w:ascii="Times New Roman" w:hAnsi="Times New Roman" w:cs="Times New Roman"/>
          <w:color w:val="333333"/>
          <w:sz w:val="24"/>
          <w:szCs w:val="24"/>
        </w:rPr>
        <w:t>. at 8-9.)</w:t>
      </w:r>
    </w:p>
    <w:p w:rsidR="007A4B96" w:rsidRPr="00B86671" w:rsidRDefault="007A4B96" w:rsidP="004A7768">
      <w:pPr>
        <w:pStyle w:val="FootnoteText"/>
        <w:spacing w:line="360" w:lineRule="auto"/>
        <w:ind w:left="1440" w:hanging="1440"/>
        <w:rPr>
          <w:rFonts w:ascii="Times New Roman" w:hAnsi="Times New Roman" w:cs="Times New Roman"/>
          <w:color w:val="333333"/>
          <w:sz w:val="24"/>
          <w:szCs w:val="24"/>
        </w:rPr>
      </w:pPr>
    </w:p>
    <w:p w:rsidR="007A4B96" w:rsidRPr="00B86671" w:rsidRDefault="00B86671" w:rsidP="00B86671">
      <w:pPr>
        <w:tabs>
          <w:tab w:val="left" w:pos="1440"/>
        </w:tabs>
        <w:spacing w:line="360" w:lineRule="auto"/>
        <w:rPr>
          <w:rFonts w:ascii="Times New Roman" w:hAnsi="Times New Roman" w:cs="Times New Roman"/>
          <w:sz w:val="24"/>
          <w:szCs w:val="24"/>
        </w:rPr>
      </w:pPr>
      <w:r>
        <w:rPr>
          <w:rFonts w:ascii="Times New Roman" w:hAnsi="Times New Roman" w:cs="Times New Roman"/>
          <w:color w:val="333333"/>
          <w:sz w:val="24"/>
          <w:szCs w:val="24"/>
        </w:rPr>
        <w:tab/>
      </w:r>
      <w:r w:rsidR="007A4B96" w:rsidRPr="00B86671">
        <w:rPr>
          <w:rFonts w:ascii="Times New Roman" w:hAnsi="Times New Roman" w:cs="Times New Roman"/>
          <w:color w:val="333333"/>
          <w:sz w:val="24"/>
          <w:szCs w:val="24"/>
        </w:rPr>
        <w:t xml:space="preserve">Under the Court’s ruling in </w:t>
      </w:r>
      <w:r w:rsidR="007A4B96" w:rsidRPr="00B86671">
        <w:rPr>
          <w:rFonts w:ascii="Times New Roman" w:hAnsi="Times New Roman" w:cs="Times New Roman"/>
          <w:i/>
          <w:color w:val="333333"/>
          <w:sz w:val="24"/>
          <w:szCs w:val="24"/>
        </w:rPr>
        <w:t>Feingold</w:t>
      </w:r>
      <w:r w:rsidR="007A4B96" w:rsidRPr="00B86671">
        <w:rPr>
          <w:rFonts w:ascii="Times New Roman" w:hAnsi="Times New Roman" w:cs="Times New Roman"/>
          <w:color w:val="333333"/>
          <w:sz w:val="24"/>
          <w:szCs w:val="24"/>
        </w:rPr>
        <w:t xml:space="preserve">, </w:t>
      </w:r>
      <w:r w:rsidR="007A4B96" w:rsidRPr="00B86671">
        <w:rPr>
          <w:rFonts w:ascii="Times New Roman" w:hAnsi="Times New Roman" w:cs="Times New Roman"/>
          <w:sz w:val="24"/>
          <w:szCs w:val="24"/>
        </w:rPr>
        <w:t>Complainant cannot recover compensatory damages at this administrative agency.  Requests for compensatory damage</w:t>
      </w:r>
      <w:r w:rsidR="00FB6E32">
        <w:rPr>
          <w:rFonts w:ascii="Times New Roman" w:hAnsi="Times New Roman" w:cs="Times New Roman"/>
          <w:sz w:val="24"/>
          <w:szCs w:val="24"/>
        </w:rPr>
        <w:t xml:space="preserve"> in excess of a million dollars</w:t>
      </w:r>
      <w:r w:rsidR="007A4B96" w:rsidRPr="00B86671">
        <w:rPr>
          <w:rFonts w:ascii="Times New Roman" w:hAnsi="Times New Roman" w:cs="Times New Roman"/>
          <w:sz w:val="24"/>
          <w:szCs w:val="24"/>
        </w:rPr>
        <w:t xml:space="preserve"> should be made before a court of common pleas</w:t>
      </w:r>
      <w:r w:rsidR="00FB6E32">
        <w:rPr>
          <w:rFonts w:ascii="Times New Roman" w:hAnsi="Times New Roman" w:cs="Times New Roman"/>
          <w:sz w:val="24"/>
          <w:szCs w:val="24"/>
        </w:rPr>
        <w:t>.</w:t>
      </w:r>
    </w:p>
    <w:p w:rsidR="007A4B96" w:rsidRPr="00B86671" w:rsidRDefault="007A4B96" w:rsidP="007A4B96">
      <w:pPr>
        <w:spacing w:line="360" w:lineRule="auto"/>
        <w:rPr>
          <w:rFonts w:ascii="Times New Roman" w:hAnsi="Times New Roman" w:cs="Times New Roman"/>
          <w:sz w:val="24"/>
          <w:szCs w:val="24"/>
          <w:u w:val="single"/>
        </w:rPr>
      </w:pPr>
    </w:p>
    <w:p w:rsidR="007A4B96" w:rsidRPr="00B86671" w:rsidRDefault="007B13CE" w:rsidP="007A4B96">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Commission’s Jurisdiction </w:t>
      </w:r>
      <w:proofErr w:type="gramStart"/>
      <w:r>
        <w:rPr>
          <w:rFonts w:ascii="Times New Roman" w:hAnsi="Times New Roman" w:cs="Times New Roman"/>
          <w:sz w:val="24"/>
          <w:szCs w:val="24"/>
          <w:u w:val="single"/>
        </w:rPr>
        <w:t>Over</w:t>
      </w:r>
      <w:proofErr w:type="gramEnd"/>
      <w:r>
        <w:rPr>
          <w:rFonts w:ascii="Times New Roman" w:hAnsi="Times New Roman" w:cs="Times New Roman"/>
          <w:sz w:val="24"/>
          <w:szCs w:val="24"/>
          <w:u w:val="single"/>
        </w:rPr>
        <w:t xml:space="preserve"> Utility’s Service</w:t>
      </w:r>
      <w:r w:rsidR="007A4B96" w:rsidRPr="00B86671">
        <w:rPr>
          <w:rFonts w:ascii="Times New Roman" w:hAnsi="Times New Roman" w:cs="Times New Roman"/>
          <w:sz w:val="24"/>
          <w:szCs w:val="24"/>
          <w:u w:val="single"/>
        </w:rPr>
        <w:t xml:space="preserve"> </w:t>
      </w:r>
    </w:p>
    <w:p w:rsidR="007A4B96" w:rsidRPr="00B86671" w:rsidRDefault="007A4B96" w:rsidP="007A4B96">
      <w:pPr>
        <w:spacing w:line="360" w:lineRule="auto"/>
        <w:rPr>
          <w:rFonts w:ascii="Times New Roman" w:hAnsi="Times New Roman" w:cs="Times New Roman"/>
          <w:sz w:val="24"/>
          <w:szCs w:val="24"/>
          <w:u w:val="single"/>
        </w:rPr>
      </w:pPr>
      <w:r w:rsidRPr="00B86671">
        <w:rPr>
          <w:rFonts w:ascii="Times New Roman" w:hAnsi="Times New Roman" w:cs="Times New Roman"/>
          <w:sz w:val="24"/>
          <w:szCs w:val="24"/>
          <w:u w:val="single"/>
        </w:rPr>
        <w:t xml:space="preserve"> </w:t>
      </w: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However, Hirsh argues further that because the Commission lacks jurisdiction to award</w:t>
      </w:r>
      <w:r w:rsidR="007B13CE">
        <w:rPr>
          <w:rFonts w:ascii="Times New Roman" w:hAnsi="Times New Roman" w:cs="Times New Roman"/>
          <w:sz w:val="24"/>
          <w:szCs w:val="24"/>
        </w:rPr>
        <w:t xml:space="preserve"> damages</w:t>
      </w:r>
      <w:r w:rsidRPr="00B86671">
        <w:rPr>
          <w:rFonts w:ascii="Times New Roman" w:hAnsi="Times New Roman" w:cs="Times New Roman"/>
          <w:sz w:val="24"/>
          <w:szCs w:val="24"/>
        </w:rPr>
        <w:t>, the Commission lacks authority to determine Duquesne’s duty to Hirsch in restoring electric service after an outage.  On this point, as explained below, Hirsh’s argument misapprehends the Commission’s authority to determine Duquesne’s duty</w:t>
      </w:r>
      <w:r w:rsidR="007B13CE">
        <w:rPr>
          <w:rFonts w:ascii="Times New Roman" w:hAnsi="Times New Roman" w:cs="Times New Roman"/>
          <w:sz w:val="24"/>
          <w:szCs w:val="24"/>
        </w:rPr>
        <w:t xml:space="preserve"> in </w:t>
      </w:r>
      <w:r w:rsidR="005D7A0A">
        <w:rPr>
          <w:rFonts w:ascii="Times New Roman" w:hAnsi="Times New Roman" w:cs="Times New Roman"/>
          <w:sz w:val="24"/>
          <w:szCs w:val="24"/>
        </w:rPr>
        <w:t>providing</w:t>
      </w:r>
      <w:r w:rsidR="007B13CE">
        <w:rPr>
          <w:rFonts w:ascii="Times New Roman" w:hAnsi="Times New Roman" w:cs="Times New Roman"/>
          <w:sz w:val="24"/>
          <w:szCs w:val="24"/>
        </w:rPr>
        <w:t xml:space="preserve"> service </w:t>
      </w:r>
      <w:r w:rsidRPr="00B86671">
        <w:rPr>
          <w:rFonts w:ascii="Times New Roman" w:hAnsi="Times New Roman" w:cs="Times New Roman"/>
          <w:sz w:val="24"/>
          <w:szCs w:val="24"/>
        </w:rPr>
        <w:t xml:space="preserve">to Hirsch. </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 xml:space="preserve">  </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eastAsiaTheme="minorHAnsi" w:hAnsi="Times New Roman" w:cs="Times New Roman"/>
          <w:sz w:val="24"/>
          <w:szCs w:val="24"/>
        </w:rPr>
        <w:t>Section 1501 of the Pub</w:t>
      </w:r>
      <w:r w:rsidR="00B86671" w:rsidRPr="00B86671">
        <w:rPr>
          <w:rFonts w:ascii="Times New Roman" w:eastAsiaTheme="minorHAnsi" w:hAnsi="Times New Roman" w:cs="Times New Roman"/>
          <w:sz w:val="24"/>
          <w:szCs w:val="24"/>
        </w:rPr>
        <w:t>lic Utility Code (Code), 66 Pa.</w:t>
      </w:r>
      <w:r w:rsidRPr="00B86671">
        <w:rPr>
          <w:rFonts w:ascii="Times New Roman" w:eastAsiaTheme="minorHAnsi" w:hAnsi="Times New Roman" w:cs="Times New Roman"/>
          <w:sz w:val="24"/>
          <w:szCs w:val="24"/>
        </w:rPr>
        <w:t xml:space="preserve">C.S. § 1501, </w:t>
      </w:r>
      <w:r w:rsidRPr="00B86671">
        <w:rPr>
          <w:rFonts w:ascii="Times New Roman" w:hAnsi="Times New Roman" w:cs="Times New Roman"/>
          <w:sz w:val="24"/>
          <w:szCs w:val="24"/>
        </w:rPr>
        <w:t xml:space="preserve">mandates that a public utility must furnish and maintain adequate, efficient, safe, and reasonable service and facilities, and must make such repairs, changes, alterations, substitutions, and improvements in </w:t>
      </w:r>
      <w:r w:rsidRPr="00B86671">
        <w:rPr>
          <w:rFonts w:ascii="Times New Roman" w:hAnsi="Times New Roman" w:cs="Times New Roman"/>
          <w:sz w:val="24"/>
          <w:szCs w:val="24"/>
        </w:rPr>
        <w:lastRenderedPageBreak/>
        <w:t>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Pa.C.S. § 1505.</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F71275">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Section 102 of the Code, 66 Pa.C.S. § 102, defines “service” as:</w:t>
      </w:r>
    </w:p>
    <w:p w:rsidR="007A4B96" w:rsidRPr="00B86671" w:rsidRDefault="007A4B96" w:rsidP="00F71275">
      <w:pPr>
        <w:ind w:left="1440" w:right="1440"/>
        <w:rPr>
          <w:rFonts w:ascii="Times New Roman" w:hAnsi="Times New Roman" w:cs="Times New Roman"/>
          <w:sz w:val="24"/>
          <w:szCs w:val="24"/>
        </w:rPr>
      </w:pPr>
    </w:p>
    <w:p w:rsidR="007A4B96" w:rsidRPr="00B86671" w:rsidRDefault="007A4B96" w:rsidP="007A4B96">
      <w:pPr>
        <w:ind w:left="1440" w:right="1440"/>
        <w:rPr>
          <w:rFonts w:ascii="Times New Roman" w:hAnsi="Times New Roman" w:cs="Times New Roman"/>
          <w:i/>
          <w:sz w:val="24"/>
          <w:szCs w:val="24"/>
        </w:rPr>
      </w:pPr>
      <w:r w:rsidRPr="00B86671">
        <w:rPr>
          <w:rFonts w:ascii="Times New Roman" w:hAnsi="Times New Roman" w:cs="Times New Roman"/>
          <w:sz w:val="24"/>
          <w:szCs w:val="24"/>
        </w:rPr>
        <w:t xml:space="preserve">Used in its broadest and most inclusive sense, includes </w:t>
      </w:r>
      <w:r w:rsidRPr="00B86671">
        <w:rPr>
          <w:rFonts w:ascii="Times New Roman" w:hAnsi="Times New Roman" w:cs="Times New Roman"/>
          <w:i/>
          <w:sz w:val="24"/>
          <w:szCs w:val="24"/>
        </w:rPr>
        <w:t>any and all</w:t>
      </w:r>
    </w:p>
    <w:p w:rsidR="007A4B96" w:rsidRPr="00B86671" w:rsidRDefault="007A4B96" w:rsidP="007A4B96">
      <w:pPr>
        <w:ind w:left="1440" w:right="1440"/>
        <w:rPr>
          <w:rFonts w:ascii="Times New Roman" w:hAnsi="Times New Roman" w:cs="Times New Roman"/>
          <w:sz w:val="24"/>
          <w:szCs w:val="24"/>
        </w:rPr>
      </w:pPr>
      <w:r w:rsidRPr="00B86671">
        <w:rPr>
          <w:rFonts w:ascii="Times New Roman" w:hAnsi="Times New Roman" w:cs="Times New Roman"/>
          <w:i/>
          <w:sz w:val="24"/>
          <w:szCs w:val="24"/>
        </w:rPr>
        <w:t xml:space="preserve"> </w:t>
      </w:r>
      <w:proofErr w:type="gramStart"/>
      <w:r w:rsidRPr="00B86671">
        <w:rPr>
          <w:rFonts w:ascii="Times New Roman" w:hAnsi="Times New Roman" w:cs="Times New Roman"/>
          <w:i/>
          <w:sz w:val="24"/>
          <w:szCs w:val="24"/>
        </w:rPr>
        <w:t>acts</w:t>
      </w:r>
      <w:proofErr w:type="gramEnd"/>
      <w:r w:rsidRPr="00B86671">
        <w:rPr>
          <w:rFonts w:ascii="Times New Roman" w:hAnsi="Times New Roman" w:cs="Times New Roman"/>
          <w:i/>
          <w:sz w:val="24"/>
          <w:szCs w:val="24"/>
        </w:rPr>
        <w:t xml:space="preserve"> done, rendered, or performed</w:t>
      </w:r>
      <w:r w:rsidRPr="00B86671">
        <w:rPr>
          <w:rFonts w:ascii="Times New Roman" w:hAnsi="Times New Roman" w:cs="Times New Roman"/>
          <w:sz w:val="24"/>
          <w:szCs w:val="24"/>
        </w:rPr>
        <w:t>, and any and all things furnished or supplied, and any and all facilities used, furnished, or supplied by public utilities . . . .</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 xml:space="preserve">(Emphasis added).  A utility’s “service” is not merely confined to the distribution of utility service, but also includes “any and all acts” related to that function.  </w:t>
      </w:r>
      <w:r w:rsidRPr="00B86671">
        <w:rPr>
          <w:rFonts w:ascii="Times New Roman" w:hAnsi="Times New Roman" w:cs="Times New Roman"/>
          <w:i/>
          <w:sz w:val="24"/>
          <w:szCs w:val="24"/>
        </w:rPr>
        <w:t xml:space="preserve">West Penn Power Co. </w:t>
      </w:r>
      <w:proofErr w:type="spellStart"/>
      <w:r w:rsidRPr="00B86671">
        <w:rPr>
          <w:rFonts w:ascii="Times New Roman" w:hAnsi="Times New Roman" w:cs="Times New Roman"/>
          <w:i/>
          <w:sz w:val="24"/>
          <w:szCs w:val="24"/>
        </w:rPr>
        <w:t>v.Pa</w:t>
      </w:r>
      <w:proofErr w:type="spellEnd"/>
      <w:r w:rsidRPr="00B86671">
        <w:rPr>
          <w:rFonts w:ascii="Times New Roman" w:hAnsi="Times New Roman" w:cs="Times New Roman"/>
          <w:i/>
          <w:sz w:val="24"/>
          <w:szCs w:val="24"/>
        </w:rPr>
        <w:t>. Pub. Util. Comm’n</w:t>
      </w:r>
      <w:r w:rsidRPr="00B86671">
        <w:rPr>
          <w:rFonts w:ascii="Times New Roman" w:hAnsi="Times New Roman" w:cs="Times New Roman"/>
          <w:sz w:val="24"/>
          <w:szCs w:val="24"/>
        </w:rPr>
        <w:t xml:space="preserve">, 578 A.2d 75 (Pa.Cmwlth. 1990).  </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002558D2">
        <w:rPr>
          <w:rFonts w:ascii="Times New Roman" w:hAnsi="Times New Roman" w:cs="Times New Roman"/>
          <w:sz w:val="24"/>
          <w:szCs w:val="24"/>
        </w:rPr>
        <w:tab/>
      </w:r>
      <w:r w:rsidRPr="00B86671">
        <w:rPr>
          <w:rFonts w:ascii="Times New Roman" w:hAnsi="Times New Roman" w:cs="Times New Roman"/>
          <w:sz w:val="24"/>
          <w:szCs w:val="24"/>
        </w:rPr>
        <w:t>The Pennsylvania courts have ruled as follows:</w:t>
      </w:r>
    </w:p>
    <w:p w:rsidR="007A4B96" w:rsidRPr="00B86671" w:rsidRDefault="007A4B96" w:rsidP="007A4B96">
      <w:pPr>
        <w:rPr>
          <w:rFonts w:ascii="Times New Roman" w:hAnsi="Times New Roman" w:cs="Times New Roman"/>
          <w:sz w:val="24"/>
          <w:szCs w:val="24"/>
        </w:rPr>
      </w:pPr>
    </w:p>
    <w:p w:rsidR="007A4B96" w:rsidRPr="00B86671" w:rsidRDefault="007A4B96" w:rsidP="007A4B96">
      <w:pPr>
        <w:ind w:left="1440" w:right="1080" w:hanging="1440"/>
        <w:rPr>
          <w:rFonts w:ascii="Times New Roman" w:hAnsi="Times New Roman" w:cs="Times New Roman"/>
          <w:sz w:val="24"/>
          <w:szCs w:val="24"/>
        </w:rPr>
      </w:pPr>
      <w:r w:rsidRPr="00B86671">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i/>
          <w:sz w:val="24"/>
          <w:szCs w:val="24"/>
        </w:rPr>
        <w:t>DiSanto v. Dauphin Consolidated Water Supply Company</w:t>
      </w:r>
      <w:r w:rsidRPr="00B86671">
        <w:rPr>
          <w:rFonts w:ascii="Times New Roman" w:hAnsi="Times New Roman" w:cs="Times New Roman"/>
          <w:sz w:val="24"/>
          <w:szCs w:val="24"/>
        </w:rPr>
        <w:t>, 291 Pa.Super. 440, 436 A.2d 197 (1981).</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 xml:space="preserve">If Hirsch’s allegations are proven by a preponderance of evidence at a hearing, the allegations may well constitute a violation of the reasonable and adequate service requirements of Section 1501 of the Code.  </w:t>
      </w:r>
      <w:r w:rsidRPr="00B86671">
        <w:rPr>
          <w:rFonts w:ascii="Times New Roman" w:hAnsi="Times New Roman" w:cs="Times New Roman"/>
          <w:i/>
          <w:sz w:val="24"/>
          <w:szCs w:val="24"/>
        </w:rPr>
        <w:t xml:space="preserve">Honey Brook Water Co. v. Pa. Pub. Util. Comm’n, </w:t>
      </w:r>
      <w:r w:rsidRPr="00B86671">
        <w:rPr>
          <w:rFonts w:ascii="Times New Roman" w:hAnsi="Times New Roman" w:cs="Times New Roman"/>
          <w:sz w:val="24"/>
          <w:szCs w:val="24"/>
        </w:rPr>
        <w:t xml:space="preserve">167 Pa. Cmwlth. 140, 647 A.2d 653 (1994), </w:t>
      </w:r>
      <w:r w:rsidRPr="00B86671">
        <w:rPr>
          <w:rFonts w:ascii="Times New Roman" w:hAnsi="Times New Roman" w:cs="Times New Roman"/>
          <w:i/>
          <w:sz w:val="24"/>
          <w:szCs w:val="24"/>
        </w:rPr>
        <w:t>app. denied</w:t>
      </w:r>
      <w:r w:rsidRPr="00B86671">
        <w:rPr>
          <w:rFonts w:ascii="Times New Roman" w:hAnsi="Times New Roman" w:cs="Times New Roman"/>
          <w:sz w:val="24"/>
          <w:szCs w:val="24"/>
        </w:rPr>
        <w:t>, 540 Pa. 587, 655 A.2d 518 (1995).  Further Duquesne may ultimately face a civil penalty and/or an order to take remedial action, in the event Hirsch prevails in establishing inadequate service on Duquesne’s part.</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lastRenderedPageBreak/>
        <w:tab/>
      </w:r>
      <w:r w:rsidRPr="00B86671">
        <w:rPr>
          <w:rFonts w:ascii="Times New Roman" w:hAnsi="Times New Roman" w:cs="Times New Roman"/>
          <w:sz w:val="24"/>
          <w:szCs w:val="24"/>
        </w:rPr>
        <w:tab/>
        <w:t xml:space="preserve">As the above analysis demonstrates, the Commission has jurisdiction to determine Duquesne’s duty </w:t>
      </w:r>
      <w:r w:rsidR="003470A6">
        <w:rPr>
          <w:rFonts w:ascii="Times New Roman" w:hAnsi="Times New Roman" w:cs="Times New Roman"/>
          <w:sz w:val="24"/>
          <w:szCs w:val="24"/>
        </w:rPr>
        <w:t xml:space="preserve">in providing services </w:t>
      </w:r>
      <w:r w:rsidRPr="00B86671">
        <w:rPr>
          <w:rFonts w:ascii="Times New Roman" w:hAnsi="Times New Roman" w:cs="Times New Roman"/>
          <w:sz w:val="24"/>
          <w:szCs w:val="24"/>
        </w:rPr>
        <w:t>to Hirsch.</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u w:val="single"/>
        </w:rPr>
      </w:pPr>
      <w:r w:rsidRPr="00B86671">
        <w:rPr>
          <w:rFonts w:ascii="Times New Roman" w:hAnsi="Times New Roman" w:cs="Times New Roman"/>
          <w:sz w:val="24"/>
          <w:szCs w:val="24"/>
          <w:u w:val="single"/>
        </w:rPr>
        <w:t>Conclusion</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 xml:space="preserve">For the reasons stated above, Hirsch’s P.O. will be sustained with respect to any claim by Hirsch for monetary relief.  This case will proceed to hearing with respect to Duquesne’s duty to provide reasonable service to Hirsch. </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The Parties are directed to attempt to resolve this matter themselves and are strongly encouraged to participate in settlement negotiations.  Settlement discussions are consistent with the Commission’s regulations.  See 52 Pa.Code § 5.231.</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jc w:val="center"/>
        <w:rPr>
          <w:rFonts w:ascii="Times New Roman" w:hAnsi="Times New Roman" w:cs="Times New Roman"/>
          <w:sz w:val="24"/>
          <w:szCs w:val="24"/>
          <w:u w:val="single"/>
        </w:rPr>
      </w:pPr>
      <w:r w:rsidRPr="00B86671">
        <w:rPr>
          <w:rFonts w:ascii="Times New Roman" w:hAnsi="Times New Roman" w:cs="Times New Roman"/>
          <w:sz w:val="24"/>
          <w:szCs w:val="24"/>
          <w:u w:val="single"/>
        </w:rPr>
        <w:t>CONCLUSIONS OF LAW</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1.</w:t>
      </w:r>
      <w:r w:rsidRPr="00B86671">
        <w:rPr>
          <w:rFonts w:ascii="Times New Roman" w:hAnsi="Times New Roman" w:cs="Times New Roman"/>
          <w:sz w:val="24"/>
          <w:szCs w:val="24"/>
        </w:rPr>
        <w:tab/>
        <w:t>The Commission’s Rules of Administrative Practice and Procedure permit the filing of preliminary motions.</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2.</w:t>
      </w:r>
      <w:r w:rsidRPr="00B86671">
        <w:rPr>
          <w:rFonts w:ascii="Times New Roman" w:hAnsi="Times New Roman" w:cs="Times New Roman"/>
          <w:sz w:val="24"/>
          <w:szCs w:val="24"/>
        </w:rPr>
        <w:tab/>
        <w:t>The Commission has been granted broad powers to regulate all public utilities doing business within the Commonwealth.</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3.</w:t>
      </w:r>
      <w:r w:rsidRPr="00B86671">
        <w:rPr>
          <w:rFonts w:ascii="Times New Roman" w:hAnsi="Times New Roman" w:cs="Times New Roman"/>
          <w:sz w:val="24"/>
          <w:szCs w:val="24"/>
        </w:rPr>
        <w:tab/>
        <w:t>The Commission is empowered to determine whether a public utility is providing safe, adequate and reasonable service.</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4.</w:t>
      </w:r>
      <w:r w:rsidRPr="00B86671">
        <w:rPr>
          <w:rFonts w:ascii="Times New Roman" w:hAnsi="Times New Roman" w:cs="Times New Roman"/>
          <w:sz w:val="24"/>
          <w:szCs w:val="24"/>
        </w:rPr>
        <w:tab/>
        <w:t>The Commission lacks the authority to award monetary damages.</w:t>
      </w:r>
    </w:p>
    <w:p w:rsidR="003470A6" w:rsidRDefault="003470A6" w:rsidP="007A4B96">
      <w:pPr>
        <w:tabs>
          <w:tab w:val="left" w:pos="-1440"/>
          <w:tab w:val="left" w:pos="-720"/>
        </w:tabs>
        <w:suppressAutoHyphens/>
        <w:spacing w:line="360" w:lineRule="auto"/>
        <w:ind w:firstLine="1440"/>
        <w:rPr>
          <w:rFonts w:ascii="Times New Roman" w:hAnsi="Times New Roman" w:cs="Times New Roman"/>
          <w:sz w:val="24"/>
          <w:szCs w:val="24"/>
          <w:u w:val="single"/>
        </w:rPr>
      </w:pPr>
      <w:r>
        <w:rPr>
          <w:rFonts w:ascii="Times New Roman" w:hAnsi="Times New Roman" w:cs="Times New Roman"/>
          <w:sz w:val="24"/>
          <w:szCs w:val="24"/>
          <w:u w:val="single"/>
        </w:rPr>
        <w:br w:type="page"/>
      </w:r>
    </w:p>
    <w:p w:rsidR="007A4B96" w:rsidRPr="00B86671" w:rsidRDefault="007A4B96" w:rsidP="007A4B96">
      <w:pPr>
        <w:spacing w:line="360" w:lineRule="auto"/>
        <w:jc w:val="center"/>
        <w:rPr>
          <w:rFonts w:ascii="Times New Roman" w:hAnsi="Times New Roman" w:cs="Times New Roman"/>
          <w:sz w:val="24"/>
          <w:szCs w:val="24"/>
          <w:u w:val="single"/>
        </w:rPr>
      </w:pPr>
      <w:r w:rsidRPr="00B86671">
        <w:rPr>
          <w:rFonts w:ascii="Times New Roman" w:hAnsi="Times New Roman" w:cs="Times New Roman"/>
          <w:sz w:val="24"/>
          <w:szCs w:val="24"/>
          <w:u w:val="single"/>
        </w:rPr>
        <w:lastRenderedPageBreak/>
        <w:t>ORDER</w:t>
      </w:r>
    </w:p>
    <w:p w:rsidR="007A4B96" w:rsidRDefault="007A4B96" w:rsidP="007A4B96">
      <w:pPr>
        <w:spacing w:line="360" w:lineRule="auto"/>
        <w:jc w:val="center"/>
        <w:rPr>
          <w:rFonts w:ascii="Times New Roman" w:hAnsi="Times New Roman" w:cs="Times New Roman"/>
          <w:b/>
          <w:sz w:val="24"/>
          <w:szCs w:val="24"/>
        </w:rPr>
      </w:pPr>
    </w:p>
    <w:p w:rsidR="00844742" w:rsidRPr="00B86671" w:rsidRDefault="00844742" w:rsidP="007A4B96">
      <w:pPr>
        <w:spacing w:line="360" w:lineRule="auto"/>
        <w:jc w:val="center"/>
        <w:rPr>
          <w:rFonts w:ascii="Times New Roman" w:hAnsi="Times New Roman" w:cs="Times New Roman"/>
          <w:b/>
          <w:sz w:val="24"/>
          <w:szCs w:val="24"/>
        </w:rPr>
      </w:pPr>
    </w:p>
    <w:p w:rsidR="007A4B96" w:rsidRPr="00B86671" w:rsidRDefault="007A4B96" w:rsidP="00844742">
      <w:pPr>
        <w:tabs>
          <w:tab w:val="left" w:pos="720"/>
          <w:tab w:val="left" w:pos="1440"/>
          <w:tab w:val="left" w:pos="2160"/>
          <w:tab w:val="left" w:pos="2880"/>
          <w:tab w:val="left" w:pos="3876"/>
        </w:tabs>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THEREFORE,</w:t>
      </w:r>
      <w:r w:rsidR="00844742">
        <w:rPr>
          <w:rFonts w:ascii="Times New Roman" w:hAnsi="Times New Roman" w:cs="Times New Roman"/>
          <w:sz w:val="24"/>
          <w:szCs w:val="24"/>
        </w:rPr>
        <w:tab/>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IT IS ORDERED:</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1.</w:t>
      </w:r>
      <w:r w:rsidRPr="00B86671">
        <w:rPr>
          <w:rFonts w:ascii="Times New Roman" w:hAnsi="Times New Roman" w:cs="Times New Roman"/>
          <w:sz w:val="24"/>
          <w:szCs w:val="24"/>
        </w:rPr>
        <w:tab/>
        <w:t xml:space="preserve">That </w:t>
      </w:r>
      <w:r w:rsidRPr="00B86671">
        <w:rPr>
          <w:rFonts w:ascii="Times New Roman" w:eastAsia="Calibri" w:hAnsi="Times New Roman" w:cs="Times New Roman"/>
          <w:sz w:val="24"/>
          <w:szCs w:val="24"/>
        </w:rPr>
        <w:t xml:space="preserve">Alderwoods (Pennsylvania), Inc., a wholly owned subsidiary of Service Corporation International, t/a Burton L. Hirsch Funeral Home’s (Hirsch) </w:t>
      </w:r>
      <w:r w:rsidRPr="00B86671">
        <w:rPr>
          <w:rFonts w:ascii="Times New Roman" w:hAnsi="Times New Roman" w:cs="Times New Roman"/>
          <w:sz w:val="24"/>
          <w:szCs w:val="24"/>
        </w:rPr>
        <w:t>Preliminary Objection filed to its Formal Complaint at Docket No. C-2016-2522634 is sustained, in part, as to Hirsch’s claim for monetary damages against Duquesne Light Company, as the Commission lacks jurisdiction to grant such relief.</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A4B96">
      <w:pPr>
        <w:spacing w:line="360" w:lineRule="auto"/>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2.</w:t>
      </w:r>
      <w:r w:rsidRPr="00B86671">
        <w:rPr>
          <w:rFonts w:ascii="Times New Roman" w:hAnsi="Times New Roman" w:cs="Times New Roman"/>
          <w:sz w:val="24"/>
          <w:szCs w:val="24"/>
        </w:rPr>
        <w:tab/>
        <w:t>That Hirsch’s Preliminary Objection filed at Docket No. C-2016-2522634 seeking dismissal of its Formal Complaint, without prejudice, against Duquesne Light Company is denied, in part, as the Commission has jurisdiction to determine Duquesne Light’s duty to provide reasonable service to Hirsch as required by the Public Utility Code.</w:t>
      </w:r>
    </w:p>
    <w:p w:rsidR="007A4B96" w:rsidRPr="00B86671" w:rsidRDefault="007A4B96" w:rsidP="007A4B96">
      <w:pPr>
        <w:spacing w:line="360" w:lineRule="auto"/>
        <w:rPr>
          <w:rFonts w:ascii="Times New Roman" w:hAnsi="Times New Roman" w:cs="Times New Roman"/>
          <w:sz w:val="24"/>
          <w:szCs w:val="24"/>
        </w:rPr>
      </w:pPr>
    </w:p>
    <w:p w:rsidR="007A4B96" w:rsidRPr="00B86671" w:rsidRDefault="007A4B96" w:rsidP="007357FF">
      <w:pPr>
        <w:spacing w:line="360" w:lineRule="auto"/>
        <w:rPr>
          <w:rFonts w:ascii="Times New Roman" w:hAnsi="Times New Roman" w:cs="Times New Roman"/>
          <w:spacing w:val="-3"/>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t>3.</w:t>
      </w:r>
      <w:r w:rsidRPr="00B86671">
        <w:rPr>
          <w:rFonts w:ascii="Times New Roman" w:hAnsi="Times New Roman" w:cs="Times New Roman"/>
          <w:sz w:val="24"/>
          <w:szCs w:val="24"/>
        </w:rPr>
        <w:tab/>
        <w:t xml:space="preserve"> </w:t>
      </w:r>
      <w:r w:rsidRPr="00B86671">
        <w:rPr>
          <w:rFonts w:ascii="Times New Roman" w:hAnsi="Times New Roman" w:cs="Times New Roman"/>
          <w:spacing w:val="-3"/>
          <w:sz w:val="24"/>
          <w:szCs w:val="24"/>
        </w:rPr>
        <w:t>That a Prehearing Conference will be scheduled in this proceeding to establish a procedural schedule and to address any other issues that may arise during the conference, and the parties will be so notified in writing.</w:t>
      </w:r>
    </w:p>
    <w:p w:rsidR="007357FF" w:rsidRDefault="007357FF" w:rsidP="007357FF">
      <w:pPr>
        <w:tabs>
          <w:tab w:val="left" w:pos="-720"/>
        </w:tabs>
        <w:suppressAutoHyphens/>
        <w:spacing w:line="360" w:lineRule="auto"/>
        <w:ind w:firstLine="1440"/>
        <w:rPr>
          <w:rFonts w:ascii="Times New Roman" w:hAnsi="Times New Roman" w:cs="Times New Roman"/>
          <w:sz w:val="24"/>
          <w:szCs w:val="24"/>
        </w:rPr>
      </w:pPr>
    </w:p>
    <w:p w:rsidR="007A4B96" w:rsidRPr="00B86671" w:rsidRDefault="007A4B96" w:rsidP="007A4B96">
      <w:pPr>
        <w:tabs>
          <w:tab w:val="left" w:pos="-720"/>
        </w:tabs>
        <w:suppressAutoHyphens/>
        <w:spacing w:line="480" w:lineRule="auto"/>
        <w:ind w:firstLine="1440"/>
        <w:rPr>
          <w:rFonts w:ascii="Times New Roman" w:hAnsi="Times New Roman" w:cs="Times New Roman"/>
          <w:sz w:val="24"/>
          <w:szCs w:val="24"/>
        </w:rPr>
      </w:pPr>
      <w:r w:rsidRPr="00B86671">
        <w:rPr>
          <w:rFonts w:ascii="Times New Roman" w:hAnsi="Times New Roman" w:cs="Times New Roman"/>
          <w:noProof/>
          <w:sz w:val="24"/>
          <w:szCs w:val="24"/>
        </w:rPr>
        <w:drawing>
          <wp:anchor distT="0" distB="0" distL="114300" distR="114300" simplePos="0" relativeHeight="251659264" behindDoc="1" locked="0" layoutInCell="1" allowOverlap="1" wp14:anchorId="36C1DD58" wp14:editId="46553E47">
            <wp:simplePos x="0" y="0"/>
            <wp:positionH relativeFrom="column">
              <wp:posOffset>3270885</wp:posOffset>
            </wp:positionH>
            <wp:positionV relativeFrom="paragraph">
              <wp:posOffset>168275</wp:posOffset>
            </wp:positionV>
            <wp:extent cx="2486025" cy="1073785"/>
            <wp:effectExtent l="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4B96" w:rsidRPr="00B86671" w:rsidRDefault="007A4B96" w:rsidP="007A4B96">
      <w:pPr>
        <w:tabs>
          <w:tab w:val="left" w:pos="-720"/>
        </w:tabs>
        <w:suppressAutoHyphens/>
        <w:spacing w:line="480" w:lineRule="auto"/>
        <w:rPr>
          <w:rFonts w:ascii="Times New Roman" w:hAnsi="Times New Roman" w:cs="Times New Roman"/>
          <w:sz w:val="24"/>
          <w:szCs w:val="24"/>
        </w:rPr>
      </w:pPr>
      <w:r w:rsidRPr="00B86671">
        <w:rPr>
          <w:rFonts w:ascii="Times New Roman" w:hAnsi="Times New Roman" w:cs="Times New Roman"/>
          <w:sz w:val="24"/>
          <w:szCs w:val="24"/>
        </w:rPr>
        <w:t xml:space="preserve">Dated:  </w:t>
      </w:r>
      <w:r w:rsidRPr="00B86671">
        <w:rPr>
          <w:rFonts w:ascii="Times New Roman" w:hAnsi="Times New Roman" w:cs="Times New Roman"/>
          <w:sz w:val="24"/>
          <w:szCs w:val="24"/>
          <w:u w:val="single"/>
        </w:rPr>
        <w:t xml:space="preserve">April </w:t>
      </w:r>
      <w:r w:rsidR="00844742">
        <w:rPr>
          <w:rFonts w:ascii="Times New Roman" w:hAnsi="Times New Roman" w:cs="Times New Roman"/>
          <w:sz w:val="24"/>
          <w:szCs w:val="24"/>
          <w:u w:val="single"/>
        </w:rPr>
        <w:t>5</w:t>
      </w:r>
      <w:r w:rsidRPr="00B86671">
        <w:rPr>
          <w:rFonts w:ascii="Times New Roman" w:hAnsi="Times New Roman" w:cs="Times New Roman"/>
          <w:sz w:val="24"/>
          <w:szCs w:val="24"/>
          <w:u w:val="single"/>
        </w:rPr>
        <w:t>, 2016</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 xml:space="preserve"> </w:t>
      </w:r>
    </w:p>
    <w:p w:rsidR="007A4B96" w:rsidRPr="00B86671" w:rsidRDefault="007A4B96" w:rsidP="007A4B96">
      <w:pPr>
        <w:spacing w:line="360" w:lineRule="auto"/>
        <w:rPr>
          <w:rFonts w:ascii="Times New Roman" w:hAnsi="Times New Roman" w:cs="Times New Roman"/>
          <w:sz w:val="24"/>
          <w:szCs w:val="24"/>
        </w:rPr>
      </w:pPr>
    </w:p>
    <w:p w:rsidR="009178A7" w:rsidRDefault="009178A7" w:rsidP="004A7768">
      <w:pPr>
        <w:pStyle w:val="FootnoteText"/>
        <w:spacing w:line="360" w:lineRule="auto"/>
        <w:ind w:left="1440" w:hanging="1440"/>
        <w:rPr>
          <w:rFonts w:ascii="Times New Roman" w:hAnsi="Times New Roman" w:cs="Times New Roman"/>
          <w:color w:val="333333"/>
          <w:sz w:val="24"/>
          <w:szCs w:val="24"/>
        </w:rPr>
        <w:sectPr w:rsidR="009178A7" w:rsidSect="00EE3713">
          <w:footerReference w:type="default" r:id="rId12"/>
          <w:pgSz w:w="12240" w:h="15840"/>
          <w:pgMar w:top="1440" w:right="1440" w:bottom="1440" w:left="1440" w:header="720" w:footer="720" w:gutter="0"/>
          <w:pgNumType w:start="1"/>
          <w:cols w:space="720"/>
          <w:titlePg/>
          <w:docGrid w:linePitch="360"/>
        </w:sectPr>
      </w:pPr>
    </w:p>
    <w:p w:rsidR="009178A7" w:rsidRDefault="009178A7" w:rsidP="009178A7">
      <w:pPr>
        <w:adjustRightInd w:val="0"/>
        <w:rPr>
          <w:rFonts w:ascii="Microsoft Sans Serif" w:hAnsi="Microsoft Sans Serif" w:cs="Microsoft Sans Serif"/>
          <w:sz w:val="24"/>
          <w:szCs w:val="24"/>
        </w:rPr>
      </w:pPr>
      <w:r>
        <w:rPr>
          <w:rFonts w:ascii="Microsoft Sans Serif" w:hAnsi="Microsoft Sans Serif" w:cs="Microsoft Sans Serif"/>
          <w:b/>
          <w:sz w:val="24"/>
          <w:szCs w:val="24"/>
          <w:u w:val="single"/>
        </w:rPr>
        <w:lastRenderedPageBreak/>
        <w:t>ALDERWOODS (PENNSYLVANIA), INC., A WHOLLY OWNED SUBSIDIARY OF SERVICE CORPORATION INTERNATIONAL, T/A BURTON L. HIRSCH FUNERAL HOME v. DUQUESNE LIGHT COMPANY</w:t>
      </w:r>
    </w:p>
    <w:p w:rsidR="009178A7" w:rsidRDefault="009178A7" w:rsidP="009178A7">
      <w:pPr>
        <w:adjustRightInd w:val="0"/>
        <w:ind w:left="-720"/>
        <w:rPr>
          <w:rFonts w:ascii="Microsoft Sans Serif" w:hAnsi="Microsoft Sans Serif" w:cs="Microsoft Sans Serif"/>
          <w:sz w:val="24"/>
          <w:szCs w:val="24"/>
        </w:rPr>
      </w:pPr>
    </w:p>
    <w:p w:rsidR="009178A7" w:rsidRDefault="009178A7" w:rsidP="009178A7">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ALAN J CHARKEY ESQUIRE</w:t>
      </w:r>
    </w:p>
    <w:p w:rsidR="009178A7" w:rsidRDefault="009178A7" w:rsidP="009178A7">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 xml:space="preserve">WHITE AND WILLIAMS LLP </w:t>
      </w:r>
    </w:p>
    <w:p w:rsidR="009178A7" w:rsidRDefault="009178A7" w:rsidP="009178A7">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ONE LIBERTY PLACE</w:t>
      </w:r>
    </w:p>
    <w:p w:rsidR="009178A7" w:rsidRDefault="009178A7" w:rsidP="009178A7">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1650 MARKET STREET SUITE 1800</w:t>
      </w:r>
    </w:p>
    <w:p w:rsidR="009178A7" w:rsidRDefault="009178A7" w:rsidP="009178A7">
      <w:pPr>
        <w:tabs>
          <w:tab w:val="left" w:pos="9360"/>
        </w:tabs>
        <w:adjustRightInd w:val="0"/>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rsidR="009178A7" w:rsidRDefault="009178A7" w:rsidP="009178A7">
      <w:pPr>
        <w:tabs>
          <w:tab w:val="left" w:pos="9360"/>
        </w:tabs>
        <w:adjustRightInd w:val="0"/>
        <w:rPr>
          <w:rFonts w:ascii="Microsoft Sans Serif" w:hAnsi="Microsoft Sans Serif" w:cs="Microsoft Sans Serif"/>
          <w:b/>
          <w:sz w:val="24"/>
          <w:szCs w:val="24"/>
        </w:rPr>
      </w:pPr>
      <w:r>
        <w:rPr>
          <w:rFonts w:ascii="Microsoft Sans Serif" w:hAnsi="Microsoft Sans Serif" w:cs="Microsoft Sans Serif"/>
          <w:b/>
          <w:sz w:val="24"/>
          <w:szCs w:val="24"/>
        </w:rPr>
        <w:t>215.864.6312</w:t>
      </w:r>
    </w:p>
    <w:p w:rsidR="009178A7" w:rsidRDefault="009178A7" w:rsidP="009178A7">
      <w:pPr>
        <w:tabs>
          <w:tab w:val="left" w:pos="9360"/>
        </w:tabs>
        <w:adjustRightInd w:val="0"/>
        <w:rPr>
          <w:rFonts w:ascii="Microsoft Sans Serif" w:hAnsi="Microsoft Sans Serif" w:cs="Microsoft Sans Serif"/>
          <w:b/>
          <w:sz w:val="24"/>
          <w:szCs w:val="24"/>
        </w:rPr>
      </w:pPr>
      <w:r>
        <w:rPr>
          <w:rFonts w:ascii="Microsoft Sans Serif" w:eastAsiaTheme="minorEastAsia" w:hAnsi="Microsoft Sans Serif" w:cs="Microsoft Sans Serif"/>
          <w:i/>
          <w:sz w:val="24"/>
        </w:rPr>
        <w:t>Accepts E-service</w:t>
      </w:r>
    </w:p>
    <w:p w:rsidR="009178A7" w:rsidRDefault="009178A7" w:rsidP="009178A7">
      <w:pPr>
        <w:tabs>
          <w:tab w:val="left" w:pos="9360"/>
        </w:tabs>
        <w:adjustRightInd w:val="0"/>
        <w:rPr>
          <w:rFonts w:ascii="Microsoft Sans Serif" w:eastAsiaTheme="minorEastAsia" w:hAnsi="Microsoft Sans Serif" w:cs="Microsoft Sans Serif"/>
          <w:i/>
          <w:sz w:val="24"/>
          <w:szCs w:val="22"/>
        </w:rPr>
      </w:pPr>
      <w:r>
        <w:rPr>
          <w:rFonts w:ascii="Microsoft Sans Serif" w:eastAsiaTheme="minorEastAsia" w:hAnsi="Microsoft Sans Serif" w:cs="Microsoft Sans Serif"/>
          <w:i/>
          <w:sz w:val="24"/>
        </w:rPr>
        <w:t>Representing Complainant</w:t>
      </w:r>
    </w:p>
    <w:p w:rsidR="009178A7" w:rsidRDefault="009178A7" w:rsidP="009178A7">
      <w:pPr>
        <w:tabs>
          <w:tab w:val="left" w:pos="9360"/>
        </w:tabs>
        <w:adjustRightInd w:val="0"/>
        <w:rPr>
          <w:rFonts w:ascii="Microsoft Sans Serif" w:eastAsiaTheme="minorEastAsia" w:hAnsi="Microsoft Sans Serif" w:cs="Microsoft Sans Serif"/>
          <w:i/>
          <w:sz w:val="24"/>
        </w:rPr>
      </w:pPr>
    </w:p>
    <w:p w:rsidR="009178A7" w:rsidRDefault="009178A7" w:rsidP="009178A7">
      <w:pPr>
        <w:tabs>
          <w:tab w:val="left" w:pos="9360"/>
        </w:tabs>
        <w:adjustRightInd w:val="0"/>
        <w:rPr>
          <w:rFonts w:ascii="Microsoft Sans Serif" w:eastAsiaTheme="minorEastAsia" w:hAnsi="Microsoft Sans Serif" w:cs="Microsoft Sans Serif"/>
          <w:i/>
          <w:sz w:val="24"/>
        </w:rPr>
      </w:pP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b/>
          <w:sz w:val="28"/>
          <w:szCs w:val="28"/>
        </w:rPr>
        <w:t>*</w:t>
      </w:r>
      <w:r>
        <w:rPr>
          <w:rFonts w:ascii="Microsoft Sans Serif" w:eastAsiaTheme="minorEastAsia" w:hAnsi="Microsoft Sans Serif" w:cs="Microsoft Sans Serif"/>
          <w:sz w:val="24"/>
        </w:rPr>
        <w:t>JEREMY V FARRELL ESQUIRE</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b/>
          <w:sz w:val="28"/>
          <w:szCs w:val="28"/>
        </w:rPr>
        <w:t>*</w:t>
      </w:r>
      <w:r>
        <w:rPr>
          <w:rFonts w:ascii="Microsoft Sans Serif" w:eastAsiaTheme="minorEastAsia" w:hAnsi="Microsoft Sans Serif" w:cs="Microsoft Sans Serif"/>
          <w:sz w:val="24"/>
        </w:rPr>
        <w:t>BRADLEY S TUPI ESQUIRE</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ERIN BECKER CONLIN ESQUIRE</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TUCKER ARENSBERG PC</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1500 ONE PPG PLACE</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PITTSBURGH PA 15222</w:t>
      </w:r>
    </w:p>
    <w:p w:rsidR="009178A7" w:rsidRDefault="009178A7" w:rsidP="009178A7">
      <w:pPr>
        <w:tabs>
          <w:tab w:val="left" w:pos="9360"/>
        </w:tabs>
        <w:adjustRightInd w:val="0"/>
        <w:rPr>
          <w:rFonts w:ascii="Microsoft Sans Serif" w:eastAsiaTheme="minorEastAsia" w:hAnsi="Microsoft Sans Serif" w:cs="Microsoft Sans Serif"/>
          <w:b/>
          <w:sz w:val="24"/>
        </w:rPr>
      </w:pPr>
      <w:r>
        <w:rPr>
          <w:rFonts w:ascii="Microsoft Sans Serif" w:eastAsiaTheme="minorEastAsia" w:hAnsi="Microsoft Sans Serif" w:cs="Microsoft Sans Serif"/>
          <w:b/>
          <w:sz w:val="24"/>
        </w:rPr>
        <w:t>412.566.1212</w:t>
      </w:r>
    </w:p>
    <w:p w:rsidR="009178A7" w:rsidRDefault="009178A7" w:rsidP="009178A7">
      <w:pPr>
        <w:tabs>
          <w:tab w:val="left" w:pos="9360"/>
        </w:tabs>
        <w:adjustRightInd w:val="0"/>
        <w:rPr>
          <w:rFonts w:ascii="Microsoft Sans Serif" w:eastAsiaTheme="minorHAnsi" w:hAnsi="Microsoft Sans Serif" w:cs="Microsoft Sans Serif"/>
          <w:b/>
          <w:sz w:val="24"/>
          <w:szCs w:val="24"/>
        </w:rPr>
      </w:pPr>
      <w:r>
        <w:rPr>
          <w:rFonts w:ascii="Microsoft Sans Serif" w:eastAsiaTheme="minorEastAsia" w:hAnsi="Microsoft Sans Serif" w:cs="Microsoft Sans Serif"/>
          <w:b/>
          <w:sz w:val="28"/>
          <w:szCs w:val="28"/>
        </w:rPr>
        <w:t>*</w:t>
      </w:r>
      <w:r>
        <w:rPr>
          <w:rFonts w:ascii="Microsoft Sans Serif" w:eastAsiaTheme="minorEastAsia" w:hAnsi="Microsoft Sans Serif" w:cs="Microsoft Sans Serif"/>
          <w:i/>
          <w:sz w:val="24"/>
        </w:rPr>
        <w:t>Accepts E-service</w:t>
      </w:r>
    </w:p>
    <w:p w:rsidR="009178A7" w:rsidRDefault="009178A7" w:rsidP="009178A7">
      <w:pPr>
        <w:tabs>
          <w:tab w:val="left" w:pos="9360"/>
        </w:tabs>
        <w:adjustRightInd w:val="0"/>
        <w:rPr>
          <w:rFonts w:ascii="Microsoft Sans Serif" w:eastAsiaTheme="minorEastAsia" w:hAnsi="Microsoft Sans Serif" w:cs="Microsoft Sans Serif"/>
          <w:i/>
          <w:sz w:val="24"/>
          <w:szCs w:val="22"/>
        </w:rPr>
      </w:pPr>
      <w:r>
        <w:rPr>
          <w:rFonts w:ascii="Microsoft Sans Serif" w:eastAsiaTheme="minorEastAsia" w:hAnsi="Microsoft Sans Serif" w:cs="Microsoft Sans Serif"/>
          <w:i/>
          <w:sz w:val="24"/>
        </w:rPr>
        <w:t>Representing Duquesne Light Company</w:t>
      </w:r>
    </w:p>
    <w:p w:rsidR="009178A7" w:rsidRDefault="009178A7" w:rsidP="009178A7">
      <w:pPr>
        <w:tabs>
          <w:tab w:val="left" w:pos="9360"/>
        </w:tabs>
        <w:adjustRightInd w:val="0"/>
        <w:rPr>
          <w:rFonts w:ascii="Microsoft Sans Serif" w:eastAsiaTheme="minorEastAsia" w:hAnsi="Microsoft Sans Serif" w:cs="Microsoft Sans Serif"/>
          <w:i/>
          <w:sz w:val="24"/>
        </w:rPr>
      </w:pPr>
    </w:p>
    <w:p w:rsidR="009178A7" w:rsidRDefault="009178A7" w:rsidP="009178A7">
      <w:pPr>
        <w:tabs>
          <w:tab w:val="left" w:pos="9360"/>
        </w:tabs>
        <w:adjustRightInd w:val="0"/>
        <w:rPr>
          <w:rFonts w:ascii="Microsoft Sans Serif" w:eastAsiaTheme="minorEastAsia" w:hAnsi="Microsoft Sans Serif" w:cs="Microsoft Sans Serif"/>
          <w:sz w:val="24"/>
        </w:rPr>
      </w:pP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TISHEKIA WILLIAMS ESQUIRE</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DUQUESNE LIGHT COMPANY</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411 SEVENTH AVENUE</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16</w:t>
      </w:r>
      <w:r>
        <w:rPr>
          <w:rFonts w:ascii="Microsoft Sans Serif" w:eastAsiaTheme="minorEastAsia" w:hAnsi="Microsoft Sans Serif" w:cs="Microsoft Sans Serif"/>
          <w:sz w:val="24"/>
          <w:vertAlign w:val="superscript"/>
        </w:rPr>
        <w:t>TH</w:t>
      </w:r>
      <w:r>
        <w:rPr>
          <w:rFonts w:ascii="Microsoft Sans Serif" w:eastAsiaTheme="minorEastAsia" w:hAnsi="Microsoft Sans Serif" w:cs="Microsoft Sans Serif"/>
          <w:sz w:val="24"/>
        </w:rPr>
        <w:t xml:space="preserve"> FLOOR</w:t>
      </w:r>
    </w:p>
    <w:p w:rsidR="009178A7" w:rsidRDefault="009178A7" w:rsidP="009178A7">
      <w:pPr>
        <w:tabs>
          <w:tab w:val="left" w:pos="9360"/>
        </w:tabs>
        <w:adjustRightInd w:val="0"/>
        <w:rPr>
          <w:rFonts w:ascii="Microsoft Sans Serif" w:eastAsiaTheme="minorEastAsia" w:hAnsi="Microsoft Sans Serif" w:cs="Microsoft Sans Serif"/>
          <w:sz w:val="24"/>
        </w:rPr>
      </w:pPr>
      <w:r>
        <w:rPr>
          <w:rFonts w:ascii="Microsoft Sans Serif" w:eastAsiaTheme="minorEastAsia" w:hAnsi="Microsoft Sans Serif" w:cs="Microsoft Sans Serif"/>
          <w:sz w:val="24"/>
        </w:rPr>
        <w:t>PITTSBURGH PA 15219</w:t>
      </w:r>
    </w:p>
    <w:p w:rsidR="009178A7" w:rsidRDefault="009178A7" w:rsidP="009178A7">
      <w:pPr>
        <w:tabs>
          <w:tab w:val="left" w:pos="9360"/>
        </w:tabs>
        <w:adjustRightInd w:val="0"/>
        <w:rPr>
          <w:rFonts w:ascii="Microsoft Sans Serif" w:eastAsiaTheme="minorEastAsia" w:hAnsi="Microsoft Sans Serif" w:cs="Microsoft Sans Serif"/>
          <w:b/>
          <w:sz w:val="24"/>
        </w:rPr>
      </w:pPr>
      <w:r>
        <w:rPr>
          <w:rFonts w:ascii="Microsoft Sans Serif" w:eastAsiaTheme="minorEastAsia" w:hAnsi="Microsoft Sans Serif" w:cs="Microsoft Sans Serif"/>
          <w:b/>
          <w:sz w:val="24"/>
        </w:rPr>
        <w:t>412.393.1541</w:t>
      </w:r>
    </w:p>
    <w:p w:rsidR="009178A7" w:rsidRDefault="009178A7" w:rsidP="009178A7">
      <w:pPr>
        <w:tabs>
          <w:tab w:val="left" w:pos="9360"/>
        </w:tabs>
        <w:adjustRightInd w:val="0"/>
        <w:rPr>
          <w:rFonts w:ascii="Microsoft Sans Serif" w:eastAsiaTheme="minorHAnsi" w:hAnsi="Microsoft Sans Serif" w:cs="Microsoft Sans Serif"/>
          <w:b/>
          <w:sz w:val="24"/>
          <w:szCs w:val="24"/>
        </w:rPr>
      </w:pPr>
      <w:r>
        <w:rPr>
          <w:rFonts w:ascii="Microsoft Sans Serif" w:eastAsiaTheme="minorEastAsia" w:hAnsi="Microsoft Sans Serif" w:cs="Microsoft Sans Serif"/>
          <w:i/>
          <w:sz w:val="24"/>
        </w:rPr>
        <w:t>Accepts E-service</w:t>
      </w:r>
    </w:p>
    <w:p w:rsidR="009178A7" w:rsidRDefault="009178A7" w:rsidP="009178A7">
      <w:pPr>
        <w:tabs>
          <w:tab w:val="left" w:pos="9360"/>
        </w:tabs>
        <w:adjustRightInd w:val="0"/>
        <w:rPr>
          <w:rFonts w:ascii="Microsoft Sans Serif" w:hAnsi="Microsoft Sans Serif" w:cs="Microsoft Sans Serif"/>
          <w:b/>
          <w:sz w:val="24"/>
          <w:szCs w:val="24"/>
        </w:rPr>
      </w:pPr>
      <w:r>
        <w:rPr>
          <w:rFonts w:ascii="Microsoft Sans Serif" w:eastAsiaTheme="minorEastAsia" w:hAnsi="Microsoft Sans Serif" w:cs="Microsoft Sans Serif"/>
          <w:i/>
          <w:sz w:val="24"/>
        </w:rPr>
        <w:t>Representing Duquesne Light Company</w:t>
      </w:r>
    </w:p>
    <w:p w:rsidR="009178A7" w:rsidRPr="00B86671" w:rsidRDefault="009178A7" w:rsidP="004A7768">
      <w:pPr>
        <w:pStyle w:val="FootnoteText"/>
        <w:spacing w:line="360" w:lineRule="auto"/>
        <w:ind w:left="1440" w:hanging="1440"/>
        <w:rPr>
          <w:rFonts w:ascii="Times New Roman" w:hAnsi="Times New Roman" w:cs="Times New Roman"/>
          <w:color w:val="333333"/>
          <w:sz w:val="24"/>
          <w:szCs w:val="24"/>
        </w:rPr>
      </w:pPr>
    </w:p>
    <w:sectPr w:rsidR="009178A7" w:rsidRPr="00B86671" w:rsidSect="00EE37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D6" w:rsidRDefault="00B348D6" w:rsidP="00F44EDE">
      <w:r>
        <w:separator/>
      </w:r>
    </w:p>
  </w:endnote>
  <w:endnote w:type="continuationSeparator" w:id="0">
    <w:p w:rsidR="00B348D6" w:rsidRDefault="00B348D6"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761983"/>
      <w:docPartObj>
        <w:docPartGallery w:val="Page Numbers (Bottom of Page)"/>
        <w:docPartUnique/>
      </w:docPartObj>
    </w:sdtPr>
    <w:sdtEndPr>
      <w:rPr>
        <w:noProof/>
      </w:rPr>
    </w:sdtEndPr>
    <w:sdtContent>
      <w:p w:rsidR="00EE3713" w:rsidRDefault="00EE3713">
        <w:pPr>
          <w:pStyle w:val="Footer"/>
          <w:jc w:val="center"/>
        </w:pPr>
        <w:r w:rsidRPr="00EE3713">
          <w:rPr>
            <w:rFonts w:ascii="Times New Roman" w:hAnsi="Times New Roman" w:cs="Times New Roman"/>
          </w:rPr>
          <w:fldChar w:fldCharType="begin"/>
        </w:r>
        <w:r w:rsidRPr="00EE3713">
          <w:rPr>
            <w:rFonts w:ascii="Times New Roman" w:hAnsi="Times New Roman" w:cs="Times New Roman"/>
          </w:rPr>
          <w:instrText xml:space="preserve"> PAGE   \* MERGEFORMAT </w:instrText>
        </w:r>
        <w:r w:rsidRPr="00EE3713">
          <w:rPr>
            <w:rFonts w:ascii="Times New Roman" w:hAnsi="Times New Roman" w:cs="Times New Roman"/>
          </w:rPr>
          <w:fldChar w:fldCharType="separate"/>
        </w:r>
        <w:r w:rsidR="00730E2C">
          <w:rPr>
            <w:rFonts w:ascii="Times New Roman" w:hAnsi="Times New Roman" w:cs="Times New Roman"/>
            <w:noProof/>
          </w:rPr>
          <w:t>6</w:t>
        </w:r>
        <w:r w:rsidRPr="00EE371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D6" w:rsidRDefault="00B348D6" w:rsidP="00F44EDE">
      <w:r>
        <w:separator/>
      </w:r>
    </w:p>
  </w:footnote>
  <w:footnote w:type="continuationSeparator" w:id="0">
    <w:p w:rsidR="00B348D6" w:rsidRDefault="00B348D6" w:rsidP="00F44EDE">
      <w:r>
        <w:continuationSeparator/>
      </w:r>
    </w:p>
  </w:footnote>
  <w:footnote w:id="1">
    <w:p w:rsidR="00B27F21" w:rsidRPr="00D57D6A" w:rsidRDefault="00B27F21" w:rsidP="00B27F21">
      <w:pPr>
        <w:pStyle w:val="FootnoteText"/>
        <w:rPr>
          <w:rFonts w:ascii="Times New Roman" w:hAnsi="Times New Roman" w:cs="Times New Roman"/>
        </w:rPr>
      </w:pPr>
      <w:r w:rsidRPr="000D30B8">
        <w:rPr>
          <w:rStyle w:val="FootnoteReference"/>
          <w:rFonts w:ascii="Times New Roman" w:hAnsi="Times New Roman" w:cs="Times New Roman"/>
        </w:rPr>
        <w:footnoteRef/>
      </w:r>
      <w:r w:rsidRPr="000D30B8">
        <w:rPr>
          <w:rFonts w:ascii="Times New Roman" w:hAnsi="Times New Roman" w:cs="Times New Roman"/>
        </w:rPr>
        <w:t xml:space="preserve">   </w:t>
      </w:r>
      <w:r w:rsidR="00D57D6A" w:rsidRPr="000D30B8">
        <w:rPr>
          <w:rFonts w:ascii="Times New Roman" w:hAnsi="Times New Roman" w:cs="Times New Roman"/>
        </w:rPr>
        <w:tab/>
      </w:r>
      <w:r w:rsidRPr="000D30B8">
        <w:rPr>
          <w:rFonts w:ascii="Times New Roman" w:hAnsi="Times New Roman" w:cs="Times New Roman"/>
        </w:rPr>
        <w:t>For a complete and detailed recitation of the allegations, the reader is directed to the Complaint</w:t>
      </w:r>
      <w:r w:rsidRPr="00D57D6A">
        <w:rPr>
          <w:rFonts w:ascii="Times New Roman" w:hAnsi="Times New Roman" w:cs="Times New Roman"/>
        </w:rPr>
        <w:t>.</w:t>
      </w:r>
    </w:p>
  </w:footnote>
  <w:footnote w:id="2">
    <w:p w:rsidR="001C07C8" w:rsidRPr="000D30B8" w:rsidRDefault="001C07C8">
      <w:pPr>
        <w:pStyle w:val="FootnoteText"/>
        <w:rPr>
          <w:rFonts w:ascii="Times New Roman" w:hAnsi="Times New Roman" w:cs="Times New Roman"/>
        </w:rPr>
      </w:pPr>
      <w:r w:rsidRPr="000D30B8">
        <w:rPr>
          <w:rStyle w:val="FootnoteReference"/>
          <w:rFonts w:ascii="Times New Roman" w:hAnsi="Times New Roman" w:cs="Times New Roman"/>
        </w:rPr>
        <w:footnoteRef/>
      </w:r>
      <w:r w:rsidRPr="000D30B8">
        <w:rPr>
          <w:rFonts w:ascii="Times New Roman" w:hAnsi="Times New Roman" w:cs="Times New Roman"/>
        </w:rPr>
        <w:t xml:space="preserve">   </w:t>
      </w:r>
      <w:r w:rsidR="00734E20" w:rsidRPr="000D30B8">
        <w:rPr>
          <w:rFonts w:ascii="Times New Roman" w:hAnsi="Times New Roman" w:cs="Times New Roman"/>
        </w:rPr>
        <w:tab/>
      </w:r>
      <w:r w:rsidRPr="000D30B8">
        <w:rPr>
          <w:rFonts w:ascii="Times New Roman" w:hAnsi="Times New Roman" w:cs="Times New Roman"/>
        </w:rPr>
        <w:t>See P.O. ¶ 52.</w:t>
      </w:r>
      <w:r w:rsidRPr="000D30B8">
        <w:rPr>
          <w:rFonts w:ascii="Times New Roman" w:hAnsi="Times New Roman" w:cs="Times New Roman"/>
        </w:rPr>
        <w:tab/>
      </w:r>
    </w:p>
  </w:footnote>
  <w:footnote w:id="3">
    <w:p w:rsidR="00803D94" w:rsidRPr="000D30B8" w:rsidRDefault="00803D94">
      <w:pPr>
        <w:pStyle w:val="FootnoteText"/>
        <w:rPr>
          <w:rFonts w:ascii="Times New Roman" w:hAnsi="Times New Roman" w:cs="Times New Roman"/>
        </w:rPr>
      </w:pPr>
      <w:r w:rsidRPr="000D30B8">
        <w:rPr>
          <w:rStyle w:val="FootnoteReference"/>
          <w:rFonts w:ascii="Times New Roman" w:hAnsi="Times New Roman" w:cs="Times New Roman"/>
        </w:rPr>
        <w:footnoteRef/>
      </w:r>
      <w:r w:rsidRPr="000D30B8">
        <w:rPr>
          <w:rFonts w:ascii="Times New Roman" w:hAnsi="Times New Roman" w:cs="Times New Roman"/>
        </w:rPr>
        <w:t xml:space="preserve"> </w:t>
      </w:r>
      <w:r w:rsidR="00835A55" w:rsidRPr="000D30B8">
        <w:rPr>
          <w:rFonts w:ascii="Times New Roman" w:hAnsi="Times New Roman" w:cs="Times New Roman"/>
        </w:rPr>
        <w:tab/>
      </w:r>
      <w:r w:rsidRPr="000D30B8">
        <w:rPr>
          <w:rFonts w:ascii="Times New Roman" w:hAnsi="Times New Roman" w:cs="Times New Roman"/>
        </w:rPr>
        <w:t xml:space="preserve">The principle of primary jurisdiction </w:t>
      </w:r>
      <w:r w:rsidR="00F21E0D">
        <w:rPr>
          <w:rFonts w:ascii="Times New Roman" w:hAnsi="Times New Roman" w:cs="Times New Roman"/>
        </w:rPr>
        <w:t>permits</w:t>
      </w:r>
      <w:r w:rsidRPr="000D30B8">
        <w:rPr>
          <w:rFonts w:ascii="Times New Roman" w:hAnsi="Times New Roman" w:cs="Times New Roman"/>
        </w:rPr>
        <w:t xml:space="preserve"> a trial court to transfer a case to </w:t>
      </w:r>
      <w:r w:rsidR="00F21E0D">
        <w:rPr>
          <w:rFonts w:ascii="Times New Roman" w:hAnsi="Times New Roman" w:cs="Times New Roman"/>
        </w:rPr>
        <w:t xml:space="preserve">an administrative agency, </w:t>
      </w:r>
      <w:r w:rsidR="00F21E0D" w:rsidRPr="000D30B8">
        <w:rPr>
          <w:rFonts w:ascii="Times New Roman" w:hAnsi="Times New Roman" w:cs="Times New Roman"/>
        </w:rPr>
        <w:t>where</w:t>
      </w:r>
      <w:r w:rsidRPr="000D30B8">
        <w:rPr>
          <w:rFonts w:ascii="Times New Roman" w:hAnsi="Times New Roman" w:cs="Times New Roman"/>
        </w:rPr>
        <w:t xml:space="preserve"> the court and the agency have </w:t>
      </w:r>
      <w:r w:rsidR="00F21E0D">
        <w:rPr>
          <w:rFonts w:ascii="Times New Roman" w:hAnsi="Times New Roman" w:cs="Times New Roman"/>
        </w:rPr>
        <w:t>overlapping</w:t>
      </w:r>
      <w:r w:rsidRPr="000D30B8">
        <w:rPr>
          <w:rFonts w:ascii="Times New Roman" w:hAnsi="Times New Roman" w:cs="Times New Roman"/>
        </w:rPr>
        <w:t xml:space="preserve"> jurisdiction</w:t>
      </w:r>
      <w:r w:rsidR="00F21E0D">
        <w:rPr>
          <w:rFonts w:ascii="Times New Roman" w:hAnsi="Times New Roman" w:cs="Times New Roman"/>
        </w:rPr>
        <w:t>, in order that the tr</w:t>
      </w:r>
      <w:r w:rsidR="00D449EB">
        <w:rPr>
          <w:rFonts w:ascii="Times New Roman" w:hAnsi="Times New Roman" w:cs="Times New Roman"/>
        </w:rPr>
        <w:t>ia</w:t>
      </w:r>
      <w:r w:rsidR="00F21E0D">
        <w:rPr>
          <w:rFonts w:ascii="Times New Roman" w:hAnsi="Times New Roman" w:cs="Times New Roman"/>
        </w:rPr>
        <w:t xml:space="preserve">l court “can have the benefit of the agency’s views on issues within the agency’s competence.”  </w:t>
      </w:r>
      <w:r w:rsidR="00F21E0D">
        <w:rPr>
          <w:rFonts w:ascii="Times New Roman" w:hAnsi="Times New Roman" w:cs="Times New Roman"/>
          <w:i/>
        </w:rPr>
        <w:t>Elkin v. Bell Tel. Co. of Pa</w:t>
      </w:r>
      <w:r w:rsidR="00F21E0D" w:rsidRPr="00F21E0D">
        <w:rPr>
          <w:rFonts w:ascii="Times New Roman" w:hAnsi="Times New Roman" w:cs="Times New Roman"/>
        </w:rPr>
        <w:t>.</w:t>
      </w:r>
      <w:r w:rsidR="00F21E0D">
        <w:rPr>
          <w:rFonts w:ascii="Times New Roman" w:hAnsi="Times New Roman" w:cs="Times New Roman"/>
        </w:rPr>
        <w:t xml:space="preserve">, </w:t>
      </w:r>
      <w:r w:rsidR="00F21E0D" w:rsidRPr="00F21E0D">
        <w:rPr>
          <w:rFonts w:ascii="Times New Roman" w:hAnsi="Times New Roman" w:cs="Times New Roman"/>
        </w:rPr>
        <w:t>420 A.2d 371, 376 (</w:t>
      </w:r>
      <w:r w:rsidR="00F21E0D">
        <w:rPr>
          <w:rFonts w:ascii="Times New Roman" w:hAnsi="Times New Roman" w:cs="Times New Roman"/>
        </w:rPr>
        <w:t>Pa.</w:t>
      </w:r>
      <w:r w:rsidR="00D449EB">
        <w:rPr>
          <w:rFonts w:ascii="Times New Roman" w:hAnsi="Times New Roman" w:cs="Times New Roman"/>
        </w:rPr>
        <w:t> </w:t>
      </w:r>
      <w:r w:rsidR="00F21E0D">
        <w:rPr>
          <w:rFonts w:ascii="Times New Roman" w:hAnsi="Times New Roman" w:cs="Times New Roman"/>
        </w:rPr>
        <w:t>1980).</w:t>
      </w:r>
      <w:r w:rsidRPr="000D30B8">
        <w:rPr>
          <w:rFonts w:ascii="Times New Roman" w:hAnsi="Times New Roman" w:cs="Times New Roman"/>
        </w:rPr>
        <w:t xml:space="preserve"> </w:t>
      </w:r>
    </w:p>
    <w:p w:rsidR="00803D94" w:rsidRPr="000D30B8" w:rsidRDefault="00803D94">
      <w:pPr>
        <w:pStyle w:val="FootnoteText"/>
        <w:rPr>
          <w:rFonts w:ascii="Times New Roman" w:hAnsi="Times New Roman" w:cs="Times New Roman"/>
        </w:rPr>
      </w:pPr>
    </w:p>
  </w:footnote>
  <w:footnote w:id="4">
    <w:p w:rsidR="00F23467" w:rsidRPr="000D30B8" w:rsidRDefault="00F23467" w:rsidP="00F23467">
      <w:pPr>
        <w:pStyle w:val="FootnoteText"/>
        <w:rPr>
          <w:rFonts w:ascii="Times New Roman" w:hAnsi="Times New Roman" w:cs="Times New Roman"/>
        </w:rPr>
      </w:pPr>
      <w:r w:rsidRPr="000D30B8">
        <w:rPr>
          <w:rStyle w:val="FootnoteReference"/>
          <w:rFonts w:ascii="Times New Roman" w:hAnsi="Times New Roman" w:cs="Times New Roman"/>
        </w:rPr>
        <w:footnoteRef/>
      </w:r>
      <w:r w:rsidRPr="000D30B8">
        <w:rPr>
          <w:rFonts w:ascii="Times New Roman" w:hAnsi="Times New Roman" w:cs="Times New Roman"/>
        </w:rPr>
        <w:t xml:space="preserve">  </w:t>
      </w:r>
      <w:r w:rsidR="00835A55" w:rsidRPr="000D30B8">
        <w:rPr>
          <w:rFonts w:ascii="Times New Roman" w:hAnsi="Times New Roman" w:cs="Times New Roman"/>
        </w:rPr>
        <w:tab/>
      </w:r>
      <w:r w:rsidRPr="000D30B8">
        <w:rPr>
          <w:rFonts w:ascii="Times New Roman" w:hAnsi="Times New Roman" w:cs="Times New Roman"/>
        </w:rPr>
        <w:t xml:space="preserve">The below ruling on the Hirsh’s P.O. renders unnecessary any further consideration of Duquesne’s Motion to Strike and Hirsh’s Response thereto.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286"/>
    <w:multiLevelType w:val="hybridMultilevel"/>
    <w:tmpl w:val="8B106D8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81FF0"/>
    <w:multiLevelType w:val="hybridMultilevel"/>
    <w:tmpl w:val="520AD6E6"/>
    <w:lvl w:ilvl="0" w:tplc="8072F83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51"/>
    <w:rsid w:val="00025BDD"/>
    <w:rsid w:val="000313B3"/>
    <w:rsid w:val="00035D09"/>
    <w:rsid w:val="000452D3"/>
    <w:rsid w:val="0005232A"/>
    <w:rsid w:val="00052C6D"/>
    <w:rsid w:val="0005708E"/>
    <w:rsid w:val="00060174"/>
    <w:rsid w:val="00083F09"/>
    <w:rsid w:val="00085568"/>
    <w:rsid w:val="0009632B"/>
    <w:rsid w:val="00096EBE"/>
    <w:rsid w:val="000A4C47"/>
    <w:rsid w:val="000B1E6D"/>
    <w:rsid w:val="000C3775"/>
    <w:rsid w:val="000C71C8"/>
    <w:rsid w:val="000D30B8"/>
    <w:rsid w:val="000E5799"/>
    <w:rsid w:val="00103DEA"/>
    <w:rsid w:val="001057F0"/>
    <w:rsid w:val="00110F99"/>
    <w:rsid w:val="00124351"/>
    <w:rsid w:val="0013338D"/>
    <w:rsid w:val="00133B44"/>
    <w:rsid w:val="00135971"/>
    <w:rsid w:val="00135FF9"/>
    <w:rsid w:val="001520F0"/>
    <w:rsid w:val="00153072"/>
    <w:rsid w:val="00164D86"/>
    <w:rsid w:val="001718D3"/>
    <w:rsid w:val="00176BAA"/>
    <w:rsid w:val="001841EC"/>
    <w:rsid w:val="00191769"/>
    <w:rsid w:val="00192690"/>
    <w:rsid w:val="001B7429"/>
    <w:rsid w:val="001C07C8"/>
    <w:rsid w:val="001C1D54"/>
    <w:rsid w:val="001C2566"/>
    <w:rsid w:val="001C2AB5"/>
    <w:rsid w:val="001C535C"/>
    <w:rsid w:val="001D736C"/>
    <w:rsid w:val="001E7137"/>
    <w:rsid w:val="001F5724"/>
    <w:rsid w:val="001F6EDF"/>
    <w:rsid w:val="001F7498"/>
    <w:rsid w:val="00216168"/>
    <w:rsid w:val="00225816"/>
    <w:rsid w:val="00225D89"/>
    <w:rsid w:val="00226CB1"/>
    <w:rsid w:val="002332D6"/>
    <w:rsid w:val="002558D2"/>
    <w:rsid w:val="00257378"/>
    <w:rsid w:val="00262DBF"/>
    <w:rsid w:val="0026686E"/>
    <w:rsid w:val="0027067C"/>
    <w:rsid w:val="00272B45"/>
    <w:rsid w:val="00277438"/>
    <w:rsid w:val="00282E3F"/>
    <w:rsid w:val="00291142"/>
    <w:rsid w:val="002A0048"/>
    <w:rsid w:val="002A34CA"/>
    <w:rsid w:val="002C3021"/>
    <w:rsid w:val="002C666B"/>
    <w:rsid w:val="002D4269"/>
    <w:rsid w:val="002D70A6"/>
    <w:rsid w:val="002E0E74"/>
    <w:rsid w:val="002E27A4"/>
    <w:rsid w:val="002F317A"/>
    <w:rsid w:val="002F5DFD"/>
    <w:rsid w:val="00305D24"/>
    <w:rsid w:val="00307B50"/>
    <w:rsid w:val="00322A6C"/>
    <w:rsid w:val="00340A6A"/>
    <w:rsid w:val="003470A6"/>
    <w:rsid w:val="003573FA"/>
    <w:rsid w:val="00361B14"/>
    <w:rsid w:val="0036351E"/>
    <w:rsid w:val="00364F00"/>
    <w:rsid w:val="003654C0"/>
    <w:rsid w:val="0037574D"/>
    <w:rsid w:val="003B1A53"/>
    <w:rsid w:val="003C6574"/>
    <w:rsid w:val="003D6C05"/>
    <w:rsid w:val="003E4925"/>
    <w:rsid w:val="003F2A1A"/>
    <w:rsid w:val="00404D90"/>
    <w:rsid w:val="00411F9F"/>
    <w:rsid w:val="00416776"/>
    <w:rsid w:val="004175F0"/>
    <w:rsid w:val="00420801"/>
    <w:rsid w:val="0042729C"/>
    <w:rsid w:val="0044039B"/>
    <w:rsid w:val="00441FDD"/>
    <w:rsid w:val="004432B4"/>
    <w:rsid w:val="00447D31"/>
    <w:rsid w:val="00460024"/>
    <w:rsid w:val="00464DAC"/>
    <w:rsid w:val="00470D02"/>
    <w:rsid w:val="004771B5"/>
    <w:rsid w:val="00482C6D"/>
    <w:rsid w:val="00485005"/>
    <w:rsid w:val="00495B9A"/>
    <w:rsid w:val="0049745E"/>
    <w:rsid w:val="004A7768"/>
    <w:rsid w:val="004A7AA9"/>
    <w:rsid w:val="004B3877"/>
    <w:rsid w:val="004B704C"/>
    <w:rsid w:val="004C05AF"/>
    <w:rsid w:val="004C64E4"/>
    <w:rsid w:val="004D166C"/>
    <w:rsid w:val="004D7584"/>
    <w:rsid w:val="004E5BC4"/>
    <w:rsid w:val="004F3688"/>
    <w:rsid w:val="004F3C39"/>
    <w:rsid w:val="00503745"/>
    <w:rsid w:val="00503EEE"/>
    <w:rsid w:val="005123A7"/>
    <w:rsid w:val="0052630B"/>
    <w:rsid w:val="0052699D"/>
    <w:rsid w:val="005322AE"/>
    <w:rsid w:val="005554E2"/>
    <w:rsid w:val="0055636F"/>
    <w:rsid w:val="005653F2"/>
    <w:rsid w:val="005730F5"/>
    <w:rsid w:val="005740F8"/>
    <w:rsid w:val="005742FE"/>
    <w:rsid w:val="00591B01"/>
    <w:rsid w:val="0059313B"/>
    <w:rsid w:val="005938A4"/>
    <w:rsid w:val="00597AF6"/>
    <w:rsid w:val="005A0E4F"/>
    <w:rsid w:val="005A13C1"/>
    <w:rsid w:val="005A1CBC"/>
    <w:rsid w:val="005A32BB"/>
    <w:rsid w:val="005B1CBA"/>
    <w:rsid w:val="005B4F80"/>
    <w:rsid w:val="005B769A"/>
    <w:rsid w:val="005C1337"/>
    <w:rsid w:val="005C360B"/>
    <w:rsid w:val="005D7A0A"/>
    <w:rsid w:val="005E5BAF"/>
    <w:rsid w:val="005E6168"/>
    <w:rsid w:val="005F00CF"/>
    <w:rsid w:val="005F1451"/>
    <w:rsid w:val="005F6CEF"/>
    <w:rsid w:val="00613DAB"/>
    <w:rsid w:val="00627ED8"/>
    <w:rsid w:val="00633D2C"/>
    <w:rsid w:val="006565BA"/>
    <w:rsid w:val="0066748A"/>
    <w:rsid w:val="00674A7E"/>
    <w:rsid w:val="00685F55"/>
    <w:rsid w:val="006A0452"/>
    <w:rsid w:val="006A4257"/>
    <w:rsid w:val="006A75B3"/>
    <w:rsid w:val="006B2EE0"/>
    <w:rsid w:val="006C7232"/>
    <w:rsid w:val="006D0682"/>
    <w:rsid w:val="006D5B92"/>
    <w:rsid w:val="006F0285"/>
    <w:rsid w:val="006F6CE7"/>
    <w:rsid w:val="00701231"/>
    <w:rsid w:val="00710BD1"/>
    <w:rsid w:val="00717D35"/>
    <w:rsid w:val="00721841"/>
    <w:rsid w:val="00725AA8"/>
    <w:rsid w:val="00730E2C"/>
    <w:rsid w:val="0073391F"/>
    <w:rsid w:val="0073438E"/>
    <w:rsid w:val="00734E20"/>
    <w:rsid w:val="007357FF"/>
    <w:rsid w:val="0074489F"/>
    <w:rsid w:val="00744EA3"/>
    <w:rsid w:val="007467BE"/>
    <w:rsid w:val="0076417F"/>
    <w:rsid w:val="00770453"/>
    <w:rsid w:val="00776E51"/>
    <w:rsid w:val="00780AF7"/>
    <w:rsid w:val="007860ED"/>
    <w:rsid w:val="00790EF0"/>
    <w:rsid w:val="007944F4"/>
    <w:rsid w:val="00797764"/>
    <w:rsid w:val="007A4B96"/>
    <w:rsid w:val="007B13CE"/>
    <w:rsid w:val="007B2353"/>
    <w:rsid w:val="007C067A"/>
    <w:rsid w:val="007D3D87"/>
    <w:rsid w:val="007D77F8"/>
    <w:rsid w:val="007E1EAF"/>
    <w:rsid w:val="007E3ED9"/>
    <w:rsid w:val="007E5BC0"/>
    <w:rsid w:val="007E66BB"/>
    <w:rsid w:val="007F08CD"/>
    <w:rsid w:val="00801EA6"/>
    <w:rsid w:val="00803D94"/>
    <w:rsid w:val="008076CE"/>
    <w:rsid w:val="00813676"/>
    <w:rsid w:val="008140CB"/>
    <w:rsid w:val="008145E1"/>
    <w:rsid w:val="008230A3"/>
    <w:rsid w:val="00835A55"/>
    <w:rsid w:val="008411C2"/>
    <w:rsid w:val="00844742"/>
    <w:rsid w:val="008752B8"/>
    <w:rsid w:val="00887E48"/>
    <w:rsid w:val="008B227F"/>
    <w:rsid w:val="008B37B6"/>
    <w:rsid w:val="008C146C"/>
    <w:rsid w:val="008C31F3"/>
    <w:rsid w:val="008D5070"/>
    <w:rsid w:val="008E23AE"/>
    <w:rsid w:val="008E4E4F"/>
    <w:rsid w:val="008E5823"/>
    <w:rsid w:val="008E72D3"/>
    <w:rsid w:val="008F5826"/>
    <w:rsid w:val="0091443E"/>
    <w:rsid w:val="009178A7"/>
    <w:rsid w:val="0093010A"/>
    <w:rsid w:val="009410E9"/>
    <w:rsid w:val="00942AC2"/>
    <w:rsid w:val="009567A4"/>
    <w:rsid w:val="00957394"/>
    <w:rsid w:val="00962A4F"/>
    <w:rsid w:val="00992152"/>
    <w:rsid w:val="009A2960"/>
    <w:rsid w:val="009B0DD6"/>
    <w:rsid w:val="009C4502"/>
    <w:rsid w:val="009D1ACB"/>
    <w:rsid w:val="009D2F8A"/>
    <w:rsid w:val="009E191E"/>
    <w:rsid w:val="009E4BE5"/>
    <w:rsid w:val="009E703B"/>
    <w:rsid w:val="009F58DA"/>
    <w:rsid w:val="00A0768A"/>
    <w:rsid w:val="00A130E0"/>
    <w:rsid w:val="00A1764B"/>
    <w:rsid w:val="00A20C8A"/>
    <w:rsid w:val="00A47BC1"/>
    <w:rsid w:val="00A677EC"/>
    <w:rsid w:val="00A70208"/>
    <w:rsid w:val="00A76E6F"/>
    <w:rsid w:val="00A7732D"/>
    <w:rsid w:val="00A94D2C"/>
    <w:rsid w:val="00AA3043"/>
    <w:rsid w:val="00AA4C49"/>
    <w:rsid w:val="00AB3030"/>
    <w:rsid w:val="00AB6510"/>
    <w:rsid w:val="00AC218A"/>
    <w:rsid w:val="00AC6699"/>
    <w:rsid w:val="00AD1EE4"/>
    <w:rsid w:val="00AD3F8D"/>
    <w:rsid w:val="00AD4DB0"/>
    <w:rsid w:val="00AD5BE4"/>
    <w:rsid w:val="00AE0D6D"/>
    <w:rsid w:val="00AF4CDA"/>
    <w:rsid w:val="00AF6EF2"/>
    <w:rsid w:val="00B0220D"/>
    <w:rsid w:val="00B1381E"/>
    <w:rsid w:val="00B14A5F"/>
    <w:rsid w:val="00B14EE2"/>
    <w:rsid w:val="00B14F35"/>
    <w:rsid w:val="00B16336"/>
    <w:rsid w:val="00B261F1"/>
    <w:rsid w:val="00B27D43"/>
    <w:rsid w:val="00B27F21"/>
    <w:rsid w:val="00B31B75"/>
    <w:rsid w:val="00B3213A"/>
    <w:rsid w:val="00B34638"/>
    <w:rsid w:val="00B348D6"/>
    <w:rsid w:val="00B40327"/>
    <w:rsid w:val="00B5222C"/>
    <w:rsid w:val="00B535EE"/>
    <w:rsid w:val="00B62BE5"/>
    <w:rsid w:val="00B67308"/>
    <w:rsid w:val="00B67CC9"/>
    <w:rsid w:val="00B82CEC"/>
    <w:rsid w:val="00B854EB"/>
    <w:rsid w:val="00B86374"/>
    <w:rsid w:val="00B86671"/>
    <w:rsid w:val="00BB1897"/>
    <w:rsid w:val="00BC6DEF"/>
    <w:rsid w:val="00BC7FDE"/>
    <w:rsid w:val="00BE0651"/>
    <w:rsid w:val="00BE710D"/>
    <w:rsid w:val="00BF483A"/>
    <w:rsid w:val="00BF571A"/>
    <w:rsid w:val="00BF71C5"/>
    <w:rsid w:val="00C017B7"/>
    <w:rsid w:val="00C07BBC"/>
    <w:rsid w:val="00C114CD"/>
    <w:rsid w:val="00C1387C"/>
    <w:rsid w:val="00C17524"/>
    <w:rsid w:val="00C256F1"/>
    <w:rsid w:val="00C317D0"/>
    <w:rsid w:val="00C326F9"/>
    <w:rsid w:val="00C350F9"/>
    <w:rsid w:val="00C51BA2"/>
    <w:rsid w:val="00C5586C"/>
    <w:rsid w:val="00C55A63"/>
    <w:rsid w:val="00C56780"/>
    <w:rsid w:val="00C65463"/>
    <w:rsid w:val="00C70041"/>
    <w:rsid w:val="00C73C7C"/>
    <w:rsid w:val="00CA02C1"/>
    <w:rsid w:val="00CA080D"/>
    <w:rsid w:val="00CA21BC"/>
    <w:rsid w:val="00CC4E73"/>
    <w:rsid w:val="00CD71EE"/>
    <w:rsid w:val="00CD7F46"/>
    <w:rsid w:val="00CE1A62"/>
    <w:rsid w:val="00CF6D17"/>
    <w:rsid w:val="00D054A8"/>
    <w:rsid w:val="00D25E67"/>
    <w:rsid w:val="00D31FC6"/>
    <w:rsid w:val="00D449EB"/>
    <w:rsid w:val="00D45CE0"/>
    <w:rsid w:val="00D55850"/>
    <w:rsid w:val="00D57D6A"/>
    <w:rsid w:val="00D6018C"/>
    <w:rsid w:val="00D67E29"/>
    <w:rsid w:val="00D8564F"/>
    <w:rsid w:val="00D923E6"/>
    <w:rsid w:val="00D93105"/>
    <w:rsid w:val="00DA7256"/>
    <w:rsid w:val="00DB0A75"/>
    <w:rsid w:val="00DB6082"/>
    <w:rsid w:val="00DC1D99"/>
    <w:rsid w:val="00DC4BED"/>
    <w:rsid w:val="00DD4A5B"/>
    <w:rsid w:val="00DE150C"/>
    <w:rsid w:val="00DE43F1"/>
    <w:rsid w:val="00DE503A"/>
    <w:rsid w:val="00DF01DF"/>
    <w:rsid w:val="00DF0F28"/>
    <w:rsid w:val="00DF7D4B"/>
    <w:rsid w:val="00E169F7"/>
    <w:rsid w:val="00E259BA"/>
    <w:rsid w:val="00E47845"/>
    <w:rsid w:val="00E5481A"/>
    <w:rsid w:val="00E54E00"/>
    <w:rsid w:val="00E55D2A"/>
    <w:rsid w:val="00E64961"/>
    <w:rsid w:val="00E844E2"/>
    <w:rsid w:val="00E92A3E"/>
    <w:rsid w:val="00E93749"/>
    <w:rsid w:val="00EA3B09"/>
    <w:rsid w:val="00EC6BD7"/>
    <w:rsid w:val="00EE045E"/>
    <w:rsid w:val="00EE3713"/>
    <w:rsid w:val="00EF5817"/>
    <w:rsid w:val="00EF5E3D"/>
    <w:rsid w:val="00EF5F7E"/>
    <w:rsid w:val="00EF72B3"/>
    <w:rsid w:val="00F05C91"/>
    <w:rsid w:val="00F102A6"/>
    <w:rsid w:val="00F16EB8"/>
    <w:rsid w:val="00F21E0D"/>
    <w:rsid w:val="00F229E9"/>
    <w:rsid w:val="00F23467"/>
    <w:rsid w:val="00F27034"/>
    <w:rsid w:val="00F27A9E"/>
    <w:rsid w:val="00F42498"/>
    <w:rsid w:val="00F446C4"/>
    <w:rsid w:val="00F44EDE"/>
    <w:rsid w:val="00F51BAA"/>
    <w:rsid w:val="00F52FF6"/>
    <w:rsid w:val="00F62E92"/>
    <w:rsid w:val="00F631E2"/>
    <w:rsid w:val="00F71275"/>
    <w:rsid w:val="00F75512"/>
    <w:rsid w:val="00F769E0"/>
    <w:rsid w:val="00FA2127"/>
    <w:rsid w:val="00FA26C9"/>
    <w:rsid w:val="00FB3CF8"/>
    <w:rsid w:val="00FB45DA"/>
    <w:rsid w:val="00FB6E32"/>
    <w:rsid w:val="00FC0E21"/>
    <w:rsid w:val="00FD20D3"/>
    <w:rsid w:val="00FE69C7"/>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nhideWhenUsed/>
    <w:rsid w:val="00F44EDE"/>
  </w:style>
  <w:style w:type="character" w:customStyle="1" w:styleId="FootnoteTextChar">
    <w:name w:val="Footnote Text Char"/>
    <w:link w:val="FootnoteText"/>
    <w:rsid w:val="00F44EDE"/>
    <w:rPr>
      <w:rFonts w:ascii="CG Times (W1)" w:eastAsia="Times New Roman" w:hAnsi="CG Times (W1)" w:cs="CG Times (W1)"/>
    </w:rPr>
  </w:style>
  <w:style w:type="character" w:styleId="FootnoteReference">
    <w:name w:val="footnote reference"/>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 w:type="paragraph" w:styleId="ListParagraph">
    <w:name w:val="List Paragraph"/>
    <w:basedOn w:val="Normal"/>
    <w:uiPriority w:val="34"/>
    <w:qFormat/>
    <w:rsid w:val="004D75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nhideWhenUsed/>
    <w:rsid w:val="00F44EDE"/>
  </w:style>
  <w:style w:type="character" w:customStyle="1" w:styleId="FootnoteTextChar">
    <w:name w:val="Footnote Text Char"/>
    <w:link w:val="FootnoteText"/>
    <w:rsid w:val="00F44EDE"/>
    <w:rPr>
      <w:rFonts w:ascii="CG Times (W1)" w:eastAsia="Times New Roman" w:hAnsi="CG Times (W1)" w:cs="CG Times (W1)"/>
    </w:rPr>
  </w:style>
  <w:style w:type="character" w:styleId="FootnoteReference">
    <w:name w:val="footnote reference"/>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 w:type="paragraph" w:styleId="ListParagraph">
    <w:name w:val="List Paragraph"/>
    <w:basedOn w:val="Normal"/>
    <w:uiPriority w:val="34"/>
    <w:qFormat/>
    <w:rsid w:val="004D7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71994">
      <w:bodyDiv w:val="1"/>
      <w:marLeft w:val="0"/>
      <w:marRight w:val="0"/>
      <w:marTop w:val="0"/>
      <w:marBottom w:val="0"/>
      <w:divBdr>
        <w:top w:val="none" w:sz="0" w:space="0" w:color="auto"/>
        <w:left w:val="none" w:sz="0" w:space="0" w:color="auto"/>
        <w:bottom w:val="none" w:sz="0" w:space="0" w:color="auto"/>
        <w:right w:val="none" w:sz="0" w:space="0" w:color="auto"/>
      </w:divBdr>
    </w:div>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 Id="rId4" Type="http://schemas.microsoft.com/office/2007/relationships/stylesWithEffects" Target="stylesWithEffects.xml"/><Relationship Id="rId9"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1C3A-E668-478B-977F-908D996D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11</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Blanton, Leah</cp:lastModifiedBy>
  <cp:revision>41</cp:revision>
  <cp:lastPrinted>2016-04-05T20:19:00Z</cp:lastPrinted>
  <dcterms:created xsi:type="dcterms:W3CDTF">2016-04-01T14:06:00Z</dcterms:created>
  <dcterms:modified xsi:type="dcterms:W3CDTF">2016-04-05T20:22:00Z</dcterms:modified>
</cp:coreProperties>
</file>