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1D645E" w:rsidRPr="001027AA" w:rsidRDefault="001D645E" w:rsidP="0081696C">
      <w:pPr>
        <w:jc w:val="center"/>
        <w:outlineLvl w:val="0"/>
        <w:rPr>
          <w:b/>
          <w:sz w:val="24"/>
          <w:szCs w:val="24"/>
        </w:rPr>
      </w:pPr>
    </w:p>
    <w:p w:rsidR="000F1894" w:rsidRDefault="000F1894" w:rsidP="000F1894">
      <w:pPr>
        <w:jc w:val="center"/>
        <w:rPr>
          <w:sz w:val="24"/>
          <w:szCs w:val="24"/>
        </w:rPr>
      </w:pPr>
    </w:p>
    <w:p w:rsidR="00D9166E" w:rsidRPr="00DE562E" w:rsidRDefault="00D9166E" w:rsidP="000F1894">
      <w:pPr>
        <w:jc w:val="center"/>
        <w:rPr>
          <w:sz w:val="24"/>
          <w:szCs w:val="24"/>
        </w:rPr>
      </w:pPr>
    </w:p>
    <w:p w:rsidR="000F1894" w:rsidRDefault="001D645E" w:rsidP="00D9166E">
      <w:pPr>
        <w:rPr>
          <w:sz w:val="24"/>
          <w:szCs w:val="24"/>
        </w:rPr>
      </w:pPr>
      <w:r>
        <w:rPr>
          <w:sz w:val="24"/>
          <w:szCs w:val="24"/>
        </w:rPr>
        <w:t>Janet Fairchild</w:t>
      </w:r>
      <w:r>
        <w:rPr>
          <w:sz w:val="24"/>
          <w:szCs w:val="24"/>
        </w:rPr>
        <w:tab/>
      </w:r>
      <w:r>
        <w:rPr>
          <w:sz w:val="24"/>
          <w:szCs w:val="24"/>
        </w:rPr>
        <w:tab/>
      </w:r>
      <w:r>
        <w:rPr>
          <w:sz w:val="24"/>
          <w:szCs w:val="24"/>
        </w:rPr>
        <w:tab/>
      </w:r>
      <w:r>
        <w:rPr>
          <w:sz w:val="24"/>
          <w:szCs w:val="24"/>
        </w:rPr>
        <w:tab/>
      </w:r>
      <w:r>
        <w:rPr>
          <w:sz w:val="24"/>
          <w:szCs w:val="24"/>
        </w:rPr>
        <w:tab/>
      </w:r>
      <w:r w:rsidR="00D9166E">
        <w:rPr>
          <w:sz w:val="24"/>
          <w:szCs w:val="24"/>
        </w:rPr>
        <w:tab/>
      </w:r>
      <w:r>
        <w:rPr>
          <w:sz w:val="24"/>
          <w:szCs w:val="24"/>
        </w:rPr>
        <w:t>:</w:t>
      </w:r>
    </w:p>
    <w:p w:rsidR="001D645E" w:rsidRDefault="001D645E" w:rsidP="00D916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9166E">
        <w:rPr>
          <w:sz w:val="24"/>
          <w:szCs w:val="24"/>
        </w:rPr>
        <w:tab/>
      </w:r>
      <w:r>
        <w:rPr>
          <w:sz w:val="24"/>
          <w:szCs w:val="24"/>
        </w:rPr>
        <w:t>:</w:t>
      </w:r>
    </w:p>
    <w:p w:rsidR="001D645E" w:rsidRDefault="00D9166E" w:rsidP="00D9166E">
      <w:pPr>
        <w:rPr>
          <w:sz w:val="24"/>
          <w:szCs w:val="24"/>
        </w:rPr>
      </w:pPr>
      <w:r>
        <w:rPr>
          <w:sz w:val="24"/>
          <w:szCs w:val="24"/>
        </w:rPr>
        <w:tab/>
      </w:r>
      <w:r w:rsidR="001D645E">
        <w:rPr>
          <w:sz w:val="24"/>
          <w:szCs w:val="24"/>
        </w:rPr>
        <w:t xml:space="preserve">v. </w:t>
      </w:r>
      <w:r w:rsidR="001D645E">
        <w:rPr>
          <w:sz w:val="24"/>
          <w:szCs w:val="24"/>
        </w:rPr>
        <w:tab/>
      </w:r>
      <w:r w:rsidR="001D645E">
        <w:rPr>
          <w:sz w:val="24"/>
          <w:szCs w:val="24"/>
        </w:rPr>
        <w:tab/>
      </w:r>
      <w:r w:rsidR="001D645E">
        <w:rPr>
          <w:sz w:val="24"/>
          <w:szCs w:val="24"/>
        </w:rPr>
        <w:tab/>
      </w:r>
      <w:r w:rsidR="001D645E">
        <w:rPr>
          <w:sz w:val="24"/>
          <w:szCs w:val="24"/>
        </w:rPr>
        <w:tab/>
      </w:r>
      <w:r w:rsidR="001D645E">
        <w:rPr>
          <w:sz w:val="24"/>
          <w:szCs w:val="24"/>
        </w:rPr>
        <w:tab/>
      </w:r>
      <w:r w:rsidR="001D645E">
        <w:rPr>
          <w:sz w:val="24"/>
          <w:szCs w:val="24"/>
        </w:rPr>
        <w:tab/>
        <w:t>:</w:t>
      </w:r>
      <w:r w:rsidR="001D645E">
        <w:rPr>
          <w:sz w:val="24"/>
          <w:szCs w:val="24"/>
        </w:rPr>
        <w:tab/>
      </w:r>
      <w:r>
        <w:rPr>
          <w:sz w:val="24"/>
          <w:szCs w:val="24"/>
        </w:rPr>
        <w:tab/>
      </w:r>
      <w:r w:rsidR="001D645E">
        <w:rPr>
          <w:sz w:val="24"/>
          <w:szCs w:val="24"/>
        </w:rPr>
        <w:t>F-2015-2500157</w:t>
      </w:r>
    </w:p>
    <w:p w:rsidR="001D645E" w:rsidRDefault="001D645E" w:rsidP="00D916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9166E">
        <w:rPr>
          <w:sz w:val="24"/>
          <w:szCs w:val="24"/>
        </w:rPr>
        <w:tab/>
      </w:r>
      <w:r>
        <w:rPr>
          <w:sz w:val="24"/>
          <w:szCs w:val="24"/>
        </w:rPr>
        <w:t>:</w:t>
      </w:r>
    </w:p>
    <w:p w:rsidR="001D645E" w:rsidRDefault="001D645E" w:rsidP="00D9166E">
      <w:pPr>
        <w:rPr>
          <w:sz w:val="24"/>
          <w:szCs w:val="24"/>
        </w:rPr>
      </w:pPr>
      <w:r>
        <w:rPr>
          <w:sz w:val="24"/>
          <w:szCs w:val="24"/>
        </w:rPr>
        <w:t>PPL Electric Utilities Corporation</w:t>
      </w:r>
      <w:r>
        <w:rPr>
          <w:sz w:val="24"/>
          <w:szCs w:val="24"/>
        </w:rPr>
        <w:tab/>
      </w:r>
      <w:r>
        <w:rPr>
          <w:sz w:val="24"/>
          <w:szCs w:val="24"/>
        </w:rPr>
        <w:tab/>
      </w:r>
      <w:r w:rsidR="00D9166E">
        <w:rPr>
          <w:sz w:val="24"/>
          <w:szCs w:val="24"/>
        </w:rPr>
        <w:tab/>
      </w:r>
      <w:r>
        <w:rPr>
          <w:sz w:val="24"/>
          <w:szCs w:val="24"/>
        </w:rPr>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D9166E" w:rsidRDefault="00D9166E"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D9166E" w:rsidRDefault="00D9166E" w:rsidP="000F1894">
      <w:pPr>
        <w:jc w:val="center"/>
        <w:rPr>
          <w:b/>
          <w:caps/>
          <w:sz w:val="24"/>
          <w:szCs w:val="24"/>
          <w:u w:val="single"/>
        </w:rPr>
      </w:pPr>
    </w:p>
    <w:p w:rsidR="00386AF2" w:rsidRDefault="00386AF2" w:rsidP="000F1894">
      <w:pPr>
        <w:jc w:val="center"/>
        <w:rPr>
          <w:b/>
          <w:caps/>
          <w:sz w:val="24"/>
          <w:szCs w:val="24"/>
          <w:u w:val="single"/>
        </w:rPr>
      </w:pPr>
    </w:p>
    <w:p w:rsidR="00D9166E" w:rsidRPr="00DE562E" w:rsidRDefault="00D9166E" w:rsidP="00D9166E">
      <w:pPr>
        <w:jc w:val="center"/>
        <w:outlineLvl w:val="0"/>
        <w:rPr>
          <w:sz w:val="24"/>
          <w:szCs w:val="24"/>
        </w:rPr>
      </w:pPr>
      <w:r w:rsidRPr="00DE562E">
        <w:rPr>
          <w:sz w:val="24"/>
          <w:szCs w:val="24"/>
        </w:rPr>
        <w:t>Before</w:t>
      </w:r>
    </w:p>
    <w:p w:rsidR="00D9166E" w:rsidRPr="00DE562E" w:rsidRDefault="00D9166E" w:rsidP="00D9166E">
      <w:pPr>
        <w:jc w:val="center"/>
        <w:rPr>
          <w:sz w:val="24"/>
          <w:szCs w:val="24"/>
        </w:rPr>
      </w:pPr>
      <w:r>
        <w:rPr>
          <w:sz w:val="24"/>
          <w:szCs w:val="24"/>
        </w:rPr>
        <w:t>Ember S. Jandebeur</w:t>
      </w:r>
    </w:p>
    <w:p w:rsidR="00D9166E" w:rsidRDefault="00D9166E" w:rsidP="00D9166E">
      <w:pPr>
        <w:jc w:val="center"/>
        <w:rPr>
          <w:sz w:val="24"/>
          <w:szCs w:val="24"/>
        </w:rPr>
      </w:pPr>
      <w:r w:rsidRPr="00DE562E">
        <w:rPr>
          <w:sz w:val="24"/>
          <w:szCs w:val="24"/>
        </w:rPr>
        <w:t>Administrative Law Judge</w:t>
      </w:r>
    </w:p>
    <w:p w:rsidR="00D9166E" w:rsidRDefault="00D9166E" w:rsidP="00D9166E">
      <w:pPr>
        <w:jc w:val="center"/>
        <w:rPr>
          <w:sz w:val="24"/>
          <w:szCs w:val="24"/>
        </w:rPr>
      </w:pPr>
    </w:p>
    <w:p w:rsidR="00D9166E" w:rsidRDefault="00D9166E" w:rsidP="005E5C31">
      <w:pPr>
        <w:jc w:val="center"/>
        <w:rPr>
          <w:b/>
          <w:caps/>
          <w:sz w:val="24"/>
          <w:szCs w:val="24"/>
          <w:u w:val="single"/>
        </w:rPr>
      </w:pPr>
    </w:p>
    <w:p w:rsidR="00386AF2" w:rsidRPr="00386AF2" w:rsidRDefault="00386AF2" w:rsidP="00386AF2">
      <w:pPr>
        <w:spacing w:line="360" w:lineRule="auto"/>
        <w:ind w:firstLine="1440"/>
        <w:rPr>
          <w:sz w:val="24"/>
          <w:szCs w:val="24"/>
        </w:rPr>
      </w:pPr>
      <w:r>
        <w:rPr>
          <w:sz w:val="24"/>
          <w:szCs w:val="24"/>
        </w:rPr>
        <w:t>This Initial Decision finds that the C</w:t>
      </w:r>
      <w:r w:rsidRPr="00386AF2">
        <w:rPr>
          <w:sz w:val="24"/>
          <w:szCs w:val="24"/>
        </w:rPr>
        <w:t>omplainant</w:t>
      </w:r>
      <w:r>
        <w:rPr>
          <w:sz w:val="24"/>
          <w:szCs w:val="24"/>
        </w:rPr>
        <w:t xml:space="preserve"> failed to prove that PPL violated a statute, regulation or Commission order</w:t>
      </w:r>
      <w:r w:rsidR="00F97690">
        <w:rPr>
          <w:sz w:val="24"/>
          <w:szCs w:val="24"/>
        </w:rPr>
        <w:t>, but proved that she is entitled to a payment arrangement</w:t>
      </w:r>
      <w:r>
        <w:rPr>
          <w:sz w:val="24"/>
          <w:szCs w:val="24"/>
        </w:rPr>
        <w:t>.  The Initial Decision furth</w:t>
      </w:r>
      <w:r w:rsidR="00F97690">
        <w:rPr>
          <w:sz w:val="24"/>
          <w:szCs w:val="24"/>
        </w:rPr>
        <w:t>er finds that the Complainant</w:t>
      </w:r>
      <w:r>
        <w:rPr>
          <w:sz w:val="24"/>
          <w:szCs w:val="24"/>
        </w:rPr>
        <w:t xml:space="preserve"> </w:t>
      </w:r>
      <w:r w:rsidR="004F7DB4">
        <w:rPr>
          <w:sz w:val="24"/>
          <w:szCs w:val="24"/>
        </w:rPr>
        <w:t>has been given the most advantageous payment arrangement based upon her income and household size.</w:t>
      </w:r>
    </w:p>
    <w:p w:rsidR="00CB495C" w:rsidRDefault="00CB495C" w:rsidP="004234E3">
      <w:pPr>
        <w:spacing w:line="360" w:lineRule="auto"/>
        <w:jc w:val="center"/>
        <w:rPr>
          <w:sz w:val="24"/>
          <w:szCs w:val="24"/>
        </w:rPr>
      </w:pPr>
    </w:p>
    <w:p w:rsidR="00CB495C" w:rsidRDefault="006A21C2" w:rsidP="00CB495C">
      <w:pPr>
        <w:jc w:val="center"/>
        <w:rPr>
          <w:sz w:val="24"/>
          <w:szCs w:val="24"/>
          <w:u w:val="single"/>
        </w:rPr>
      </w:pPr>
      <w:r w:rsidRPr="00DC4452">
        <w:rPr>
          <w:sz w:val="24"/>
          <w:szCs w:val="24"/>
        </w:rPr>
        <w:t xml:space="preserve"> </w:t>
      </w:r>
      <w:r w:rsidR="00CB495C" w:rsidRPr="00DC4452">
        <w:rPr>
          <w:sz w:val="24"/>
          <w:szCs w:val="24"/>
          <w:u w:val="single"/>
        </w:rPr>
        <w:t>HISTORY OF THE PROCEEDING</w:t>
      </w:r>
    </w:p>
    <w:p w:rsidR="00D9166E" w:rsidRDefault="00D9166E" w:rsidP="00CB495C">
      <w:pPr>
        <w:jc w:val="center"/>
        <w:rPr>
          <w:sz w:val="24"/>
          <w:szCs w:val="24"/>
          <w:u w:val="single"/>
        </w:rPr>
      </w:pPr>
    </w:p>
    <w:p w:rsidR="001D645E" w:rsidRPr="00DC4452" w:rsidRDefault="001D645E" w:rsidP="00CB495C">
      <w:pPr>
        <w:jc w:val="center"/>
        <w:rPr>
          <w:sz w:val="24"/>
          <w:szCs w:val="24"/>
          <w:u w:val="single"/>
        </w:rPr>
      </w:pPr>
    </w:p>
    <w:p w:rsidR="00CB495C" w:rsidRDefault="001D645E" w:rsidP="001D645E">
      <w:pPr>
        <w:spacing w:line="360" w:lineRule="auto"/>
        <w:ind w:firstLine="1440"/>
        <w:rPr>
          <w:sz w:val="24"/>
          <w:szCs w:val="24"/>
        </w:rPr>
      </w:pPr>
      <w:r>
        <w:rPr>
          <w:sz w:val="24"/>
          <w:szCs w:val="24"/>
        </w:rPr>
        <w:t xml:space="preserve">On August 20, 2015, Janet Fairchild (Complainant) filed a Formal Complaint with the Public Utility Commission against PPL Electric Utilities Corporation (PPL or Respondent) alleging that PPL was threatening to shut off her service and requesting a payment </w:t>
      </w:r>
      <w:r w:rsidR="004F7DB4">
        <w:rPr>
          <w:sz w:val="24"/>
          <w:szCs w:val="24"/>
        </w:rPr>
        <w:t>arrangement</w:t>
      </w:r>
      <w:r>
        <w:rPr>
          <w:sz w:val="24"/>
          <w:szCs w:val="24"/>
        </w:rPr>
        <w:t>.  The Formal Complaint is a timely appeal from a Bureau of Consumer Services</w:t>
      </w:r>
      <w:r w:rsidR="00BA50C1">
        <w:rPr>
          <w:sz w:val="24"/>
          <w:szCs w:val="24"/>
        </w:rPr>
        <w:t xml:space="preserve"> (BCS) </w:t>
      </w:r>
      <w:r>
        <w:rPr>
          <w:sz w:val="24"/>
          <w:szCs w:val="24"/>
        </w:rPr>
        <w:t>informal decision at Case No. 3358869.</w:t>
      </w:r>
      <w:r w:rsidR="00A44BC6">
        <w:rPr>
          <w:sz w:val="24"/>
          <w:szCs w:val="24"/>
        </w:rPr>
        <w:t xml:space="preserve">  In its decision, the B</w:t>
      </w:r>
      <w:r w:rsidR="00BA50C1">
        <w:rPr>
          <w:sz w:val="24"/>
          <w:szCs w:val="24"/>
        </w:rPr>
        <w:t>CS</w:t>
      </w:r>
      <w:r w:rsidR="00A44BC6">
        <w:rPr>
          <w:sz w:val="24"/>
          <w:szCs w:val="24"/>
        </w:rPr>
        <w:t xml:space="preserve"> found that the Complainant must pay $238 budget billing per month, plus $3</w:t>
      </w:r>
      <w:r w:rsidR="004F7DB4">
        <w:rPr>
          <w:sz w:val="24"/>
          <w:szCs w:val="24"/>
        </w:rPr>
        <w:t>6</w:t>
      </w:r>
      <w:r w:rsidR="00A44BC6">
        <w:rPr>
          <w:sz w:val="24"/>
          <w:szCs w:val="24"/>
        </w:rPr>
        <w:t xml:space="preserve"> toward her arrearage for a total monthly bill of $274.</w:t>
      </w:r>
    </w:p>
    <w:p w:rsidR="001D645E" w:rsidRDefault="001D645E" w:rsidP="001D645E">
      <w:pPr>
        <w:spacing w:line="360" w:lineRule="auto"/>
        <w:ind w:firstLine="1440"/>
        <w:rPr>
          <w:sz w:val="24"/>
          <w:szCs w:val="24"/>
        </w:rPr>
      </w:pPr>
    </w:p>
    <w:p w:rsidR="00D05FF6" w:rsidRDefault="00D05FF6" w:rsidP="001D645E">
      <w:pPr>
        <w:spacing w:line="360" w:lineRule="auto"/>
        <w:ind w:firstLine="1440"/>
        <w:rPr>
          <w:sz w:val="24"/>
          <w:szCs w:val="24"/>
        </w:rPr>
      </w:pPr>
    </w:p>
    <w:p w:rsidR="001D645E" w:rsidRDefault="001D645E" w:rsidP="001D645E">
      <w:pPr>
        <w:spacing w:line="360" w:lineRule="auto"/>
        <w:ind w:firstLine="1440"/>
        <w:rPr>
          <w:sz w:val="24"/>
          <w:szCs w:val="24"/>
        </w:rPr>
      </w:pPr>
      <w:r>
        <w:rPr>
          <w:sz w:val="24"/>
          <w:szCs w:val="24"/>
        </w:rPr>
        <w:lastRenderedPageBreak/>
        <w:t xml:space="preserve">On September 14, 2015, PPL filed an Answer admitting that PPL had notified the Complainant of its intent to terminate service for an unpaid balance.  PPL also noted that the payment </w:t>
      </w:r>
      <w:r w:rsidR="004F7DB4">
        <w:rPr>
          <w:sz w:val="24"/>
          <w:szCs w:val="24"/>
        </w:rPr>
        <w:t>arrangement</w:t>
      </w:r>
      <w:r>
        <w:rPr>
          <w:sz w:val="24"/>
          <w:szCs w:val="24"/>
        </w:rPr>
        <w:t xml:space="preserve"> she currently has from</w:t>
      </w:r>
      <w:r w:rsidR="00BA50C1">
        <w:rPr>
          <w:sz w:val="24"/>
          <w:szCs w:val="24"/>
        </w:rPr>
        <w:t xml:space="preserve"> a </w:t>
      </w:r>
      <w:r>
        <w:rPr>
          <w:sz w:val="24"/>
          <w:szCs w:val="24"/>
        </w:rPr>
        <w:t xml:space="preserve">BCS informal decision is the most advantageous payment </w:t>
      </w:r>
      <w:r w:rsidR="004F7DB4">
        <w:rPr>
          <w:sz w:val="24"/>
          <w:szCs w:val="24"/>
        </w:rPr>
        <w:t>arrangement</w:t>
      </w:r>
      <w:r>
        <w:rPr>
          <w:sz w:val="24"/>
          <w:szCs w:val="24"/>
        </w:rPr>
        <w:t xml:space="preserve"> to which she is entitled.</w:t>
      </w:r>
    </w:p>
    <w:p w:rsidR="001D645E" w:rsidRDefault="001D645E" w:rsidP="001D645E">
      <w:pPr>
        <w:spacing w:line="360" w:lineRule="auto"/>
        <w:ind w:firstLine="1440"/>
        <w:rPr>
          <w:sz w:val="24"/>
          <w:szCs w:val="24"/>
        </w:rPr>
      </w:pPr>
    </w:p>
    <w:p w:rsidR="001D645E" w:rsidRDefault="001D645E" w:rsidP="001D645E">
      <w:pPr>
        <w:spacing w:line="360" w:lineRule="auto"/>
        <w:ind w:firstLine="1440"/>
        <w:rPr>
          <w:sz w:val="24"/>
          <w:szCs w:val="24"/>
        </w:rPr>
      </w:pPr>
      <w:r>
        <w:rPr>
          <w:sz w:val="24"/>
          <w:szCs w:val="24"/>
        </w:rPr>
        <w:t>On September 30, 2015 a Telephone Hearing Notice was issued setting a hearing date of November 23, 2015, and the matter was assigned to me.</w:t>
      </w:r>
    </w:p>
    <w:p w:rsidR="001D645E" w:rsidRDefault="001D645E" w:rsidP="001D645E">
      <w:pPr>
        <w:spacing w:line="360" w:lineRule="auto"/>
        <w:ind w:firstLine="1440"/>
        <w:rPr>
          <w:sz w:val="24"/>
          <w:szCs w:val="24"/>
        </w:rPr>
      </w:pPr>
    </w:p>
    <w:p w:rsidR="001D645E" w:rsidRDefault="001D645E" w:rsidP="001D645E">
      <w:pPr>
        <w:spacing w:line="360" w:lineRule="auto"/>
        <w:ind w:firstLine="1440"/>
        <w:rPr>
          <w:sz w:val="24"/>
          <w:szCs w:val="24"/>
        </w:rPr>
      </w:pPr>
      <w:r>
        <w:rPr>
          <w:sz w:val="24"/>
          <w:szCs w:val="24"/>
        </w:rPr>
        <w:t>On October</w:t>
      </w:r>
      <w:r w:rsidR="00E70D1D">
        <w:rPr>
          <w:sz w:val="24"/>
          <w:szCs w:val="24"/>
        </w:rPr>
        <w:t xml:space="preserve"> 9, 2015, I issued a Prehearing Order advising the parties of various procedural rules.</w:t>
      </w:r>
    </w:p>
    <w:p w:rsidR="00E70D1D" w:rsidRDefault="00E70D1D" w:rsidP="001D645E">
      <w:pPr>
        <w:spacing w:line="360" w:lineRule="auto"/>
        <w:ind w:firstLine="1440"/>
        <w:rPr>
          <w:sz w:val="24"/>
          <w:szCs w:val="24"/>
        </w:rPr>
      </w:pPr>
    </w:p>
    <w:p w:rsidR="001D645E" w:rsidRPr="00B41924" w:rsidRDefault="00E70D1D" w:rsidP="00E70D1D">
      <w:pPr>
        <w:spacing w:line="360" w:lineRule="auto"/>
        <w:ind w:firstLine="1440"/>
        <w:rPr>
          <w:sz w:val="24"/>
          <w:szCs w:val="24"/>
        </w:rPr>
      </w:pPr>
      <w:r>
        <w:rPr>
          <w:sz w:val="24"/>
          <w:szCs w:val="24"/>
        </w:rPr>
        <w:t>The hearing convened on November 23, 2015.  The Complainant appeared and represented herself.  PPL appeared and was represented by counsel.  The Complainant proffered no exhibits.  PPL proffered no exhibits.</w:t>
      </w:r>
      <w:r w:rsidR="00C8034E">
        <w:rPr>
          <w:sz w:val="24"/>
          <w:szCs w:val="24"/>
        </w:rPr>
        <w:t xml:space="preserve"> </w:t>
      </w:r>
      <w:r>
        <w:rPr>
          <w:sz w:val="24"/>
          <w:szCs w:val="24"/>
        </w:rPr>
        <w:t xml:space="preserve"> The record closed at the conclusion of the hearing.  This matter is now ready for decision.</w:t>
      </w:r>
    </w:p>
    <w:p w:rsidR="00CB495C" w:rsidRPr="00DC4452" w:rsidRDefault="00CB495C" w:rsidP="00CB495C">
      <w:pPr>
        <w:jc w:val="center"/>
        <w:rPr>
          <w:sz w:val="24"/>
          <w:szCs w:val="24"/>
          <w:u w:val="single"/>
        </w:rPr>
      </w:pPr>
    </w:p>
    <w:p w:rsidR="00CB495C" w:rsidRPr="00DC4452" w:rsidRDefault="00CB495C" w:rsidP="00337039">
      <w:pPr>
        <w:spacing w:line="360" w:lineRule="auto"/>
        <w:jc w:val="center"/>
        <w:rPr>
          <w:sz w:val="24"/>
          <w:szCs w:val="24"/>
          <w:u w:val="single"/>
        </w:rPr>
      </w:pPr>
      <w:r w:rsidRPr="00DC4452">
        <w:rPr>
          <w:sz w:val="24"/>
          <w:szCs w:val="24"/>
          <w:u w:val="single"/>
        </w:rPr>
        <w:t>FINDINGS OF FACT</w:t>
      </w:r>
    </w:p>
    <w:p w:rsidR="00CB495C" w:rsidRPr="00E70D1D" w:rsidRDefault="00CB495C" w:rsidP="00337039">
      <w:pPr>
        <w:spacing w:line="360" w:lineRule="auto"/>
        <w:rPr>
          <w:sz w:val="24"/>
          <w:szCs w:val="24"/>
        </w:rPr>
      </w:pPr>
    </w:p>
    <w:p w:rsidR="00E70D1D" w:rsidRDefault="00E70D1D" w:rsidP="00BF6AE2">
      <w:pPr>
        <w:pStyle w:val="ListParagraph"/>
        <w:numPr>
          <w:ilvl w:val="0"/>
          <w:numId w:val="33"/>
        </w:numPr>
        <w:spacing w:line="360" w:lineRule="auto"/>
        <w:ind w:left="0" w:firstLine="1440"/>
        <w:rPr>
          <w:sz w:val="24"/>
          <w:szCs w:val="24"/>
        </w:rPr>
      </w:pPr>
      <w:r w:rsidRPr="00E70D1D">
        <w:rPr>
          <w:sz w:val="24"/>
          <w:szCs w:val="24"/>
        </w:rPr>
        <w:t xml:space="preserve">The </w:t>
      </w:r>
      <w:r>
        <w:rPr>
          <w:sz w:val="24"/>
          <w:szCs w:val="24"/>
        </w:rPr>
        <w:t xml:space="preserve">Complainant </w:t>
      </w:r>
      <w:r w:rsidRPr="00E70D1D">
        <w:rPr>
          <w:sz w:val="24"/>
          <w:szCs w:val="24"/>
        </w:rPr>
        <w:t>is Janet Fairchild.</w:t>
      </w:r>
      <w:r w:rsidR="00585EFA">
        <w:rPr>
          <w:sz w:val="24"/>
          <w:szCs w:val="24"/>
        </w:rPr>
        <w:t xml:space="preserve">  Ms. Fairchild resides at and receives electric service at 833 West 6th Street, Hazleton, Pennsylvania.  Tr. at 5.</w:t>
      </w:r>
    </w:p>
    <w:p w:rsidR="00E70D1D" w:rsidRDefault="00E70D1D" w:rsidP="00BF6AE2">
      <w:pPr>
        <w:pStyle w:val="ListParagraph"/>
        <w:spacing w:line="360" w:lineRule="auto"/>
        <w:ind w:left="1440"/>
        <w:rPr>
          <w:sz w:val="24"/>
          <w:szCs w:val="24"/>
        </w:rPr>
      </w:pPr>
      <w:r>
        <w:rPr>
          <w:sz w:val="24"/>
          <w:szCs w:val="24"/>
        </w:rPr>
        <w:t xml:space="preserve"> </w:t>
      </w:r>
    </w:p>
    <w:p w:rsidR="00E70D1D" w:rsidRDefault="00E70D1D" w:rsidP="00BF6AE2">
      <w:pPr>
        <w:pStyle w:val="ListParagraph"/>
        <w:numPr>
          <w:ilvl w:val="0"/>
          <w:numId w:val="33"/>
        </w:numPr>
        <w:spacing w:line="360" w:lineRule="auto"/>
        <w:ind w:left="0" w:firstLine="1440"/>
        <w:rPr>
          <w:sz w:val="24"/>
          <w:szCs w:val="24"/>
        </w:rPr>
      </w:pPr>
      <w:r>
        <w:rPr>
          <w:sz w:val="24"/>
          <w:szCs w:val="24"/>
        </w:rPr>
        <w:t>The Respondent is PPL Electric Utilities Corporation</w:t>
      </w:r>
      <w:r w:rsidR="00C76566">
        <w:rPr>
          <w:sz w:val="24"/>
          <w:szCs w:val="24"/>
        </w:rPr>
        <w:t>, a jurisdictional public utility</w:t>
      </w:r>
      <w:r>
        <w:rPr>
          <w:sz w:val="24"/>
          <w:szCs w:val="24"/>
        </w:rPr>
        <w:t>.</w:t>
      </w:r>
    </w:p>
    <w:p w:rsidR="00EE10F4" w:rsidRPr="00EE10F4" w:rsidRDefault="00EE10F4" w:rsidP="00BF6AE2">
      <w:pPr>
        <w:pStyle w:val="ListParagraph"/>
        <w:spacing w:line="360" w:lineRule="auto"/>
        <w:rPr>
          <w:sz w:val="24"/>
          <w:szCs w:val="24"/>
        </w:rPr>
      </w:pPr>
    </w:p>
    <w:p w:rsidR="00EE10F4" w:rsidRDefault="00EE10F4" w:rsidP="00BF6AE2">
      <w:pPr>
        <w:pStyle w:val="ListParagraph"/>
        <w:numPr>
          <w:ilvl w:val="0"/>
          <w:numId w:val="33"/>
        </w:numPr>
        <w:spacing w:line="360" w:lineRule="auto"/>
        <w:ind w:left="0" w:firstLine="1440"/>
        <w:rPr>
          <w:sz w:val="24"/>
          <w:szCs w:val="24"/>
        </w:rPr>
      </w:pPr>
      <w:r>
        <w:rPr>
          <w:sz w:val="24"/>
          <w:szCs w:val="24"/>
        </w:rPr>
        <w:t>The Complainant is the only person in her household.</w:t>
      </w:r>
      <w:r w:rsidR="00585EFA">
        <w:rPr>
          <w:sz w:val="24"/>
          <w:szCs w:val="24"/>
        </w:rPr>
        <w:t xml:space="preserve">  Tr. at 11.</w:t>
      </w:r>
    </w:p>
    <w:p w:rsidR="00E70D1D" w:rsidRPr="00E70D1D" w:rsidRDefault="00E70D1D" w:rsidP="00BF6AE2">
      <w:pPr>
        <w:pStyle w:val="ListParagraph"/>
        <w:spacing w:line="360" w:lineRule="auto"/>
        <w:rPr>
          <w:sz w:val="24"/>
          <w:szCs w:val="24"/>
        </w:rPr>
      </w:pPr>
    </w:p>
    <w:p w:rsidR="00E70D1D" w:rsidRDefault="00081C79" w:rsidP="00BF6AE2">
      <w:pPr>
        <w:pStyle w:val="ListParagraph"/>
        <w:numPr>
          <w:ilvl w:val="0"/>
          <w:numId w:val="33"/>
        </w:numPr>
        <w:spacing w:line="360" w:lineRule="auto"/>
        <w:ind w:left="0" w:firstLine="1440"/>
        <w:rPr>
          <w:sz w:val="24"/>
          <w:szCs w:val="24"/>
        </w:rPr>
      </w:pPr>
      <w:r>
        <w:rPr>
          <w:sz w:val="24"/>
          <w:szCs w:val="24"/>
        </w:rPr>
        <w:t xml:space="preserve">As of the time of the hearing, the Complainant had made only two payments on her bill </w:t>
      </w:r>
      <w:r w:rsidR="00386AF2">
        <w:rPr>
          <w:sz w:val="24"/>
          <w:szCs w:val="24"/>
        </w:rPr>
        <w:t xml:space="preserve">for all of </w:t>
      </w:r>
      <w:r>
        <w:rPr>
          <w:sz w:val="24"/>
          <w:szCs w:val="24"/>
        </w:rPr>
        <w:t>2015.  She paid $62.67 on September 14, 2015</w:t>
      </w:r>
      <w:r w:rsidR="00386AF2">
        <w:rPr>
          <w:sz w:val="24"/>
          <w:szCs w:val="24"/>
        </w:rPr>
        <w:t>,</w:t>
      </w:r>
      <w:r>
        <w:rPr>
          <w:sz w:val="24"/>
          <w:szCs w:val="24"/>
        </w:rPr>
        <w:t xml:space="preserve"> and $69.12 on October 15, 2015.</w:t>
      </w:r>
      <w:r w:rsidR="00585EFA">
        <w:rPr>
          <w:sz w:val="24"/>
          <w:szCs w:val="24"/>
        </w:rPr>
        <w:t xml:space="preserve">  Tr. at 15.</w:t>
      </w:r>
    </w:p>
    <w:p w:rsidR="00081C79" w:rsidRPr="00081C79" w:rsidRDefault="00081C79" w:rsidP="00BF6AE2">
      <w:pPr>
        <w:pStyle w:val="ListParagraph"/>
        <w:spacing w:line="360" w:lineRule="auto"/>
        <w:rPr>
          <w:sz w:val="24"/>
          <w:szCs w:val="24"/>
        </w:rPr>
      </w:pPr>
    </w:p>
    <w:p w:rsidR="00081C79" w:rsidRDefault="00081C79" w:rsidP="00BF6AE2">
      <w:pPr>
        <w:pStyle w:val="ListParagraph"/>
        <w:numPr>
          <w:ilvl w:val="0"/>
          <w:numId w:val="33"/>
        </w:numPr>
        <w:spacing w:line="360" w:lineRule="auto"/>
        <w:ind w:left="0" w:firstLine="1440"/>
        <w:rPr>
          <w:sz w:val="24"/>
          <w:szCs w:val="24"/>
        </w:rPr>
      </w:pPr>
      <w:r>
        <w:rPr>
          <w:sz w:val="24"/>
          <w:szCs w:val="24"/>
        </w:rPr>
        <w:lastRenderedPageBreak/>
        <w:t>As of the time of the hearing, the Complainant’s past due bill amounted to $2,308.66.</w:t>
      </w:r>
      <w:r w:rsidR="00585EFA">
        <w:rPr>
          <w:sz w:val="24"/>
          <w:szCs w:val="24"/>
        </w:rPr>
        <w:t xml:space="preserve">  Tr. at 14.</w:t>
      </w:r>
    </w:p>
    <w:p w:rsidR="003F5A23" w:rsidRDefault="003F5A23" w:rsidP="003F5A23">
      <w:pPr>
        <w:pStyle w:val="ListParagraph"/>
        <w:spacing w:line="360" w:lineRule="auto"/>
        <w:ind w:left="1440"/>
        <w:rPr>
          <w:sz w:val="24"/>
          <w:szCs w:val="24"/>
        </w:rPr>
      </w:pPr>
    </w:p>
    <w:p w:rsidR="00081C79" w:rsidRDefault="00081C79" w:rsidP="00BF6AE2">
      <w:pPr>
        <w:pStyle w:val="ListParagraph"/>
        <w:numPr>
          <w:ilvl w:val="0"/>
          <w:numId w:val="33"/>
        </w:numPr>
        <w:spacing w:line="360" w:lineRule="auto"/>
        <w:ind w:left="0" w:firstLine="1440"/>
        <w:rPr>
          <w:sz w:val="24"/>
          <w:szCs w:val="24"/>
        </w:rPr>
      </w:pPr>
      <w:r>
        <w:rPr>
          <w:sz w:val="24"/>
          <w:szCs w:val="24"/>
        </w:rPr>
        <w:t>The Complainant’s income is $755 from SSI and $187 in food stamps</w:t>
      </w:r>
      <w:r w:rsidR="00841DD6">
        <w:rPr>
          <w:sz w:val="24"/>
          <w:szCs w:val="24"/>
        </w:rPr>
        <w:t xml:space="preserve"> for a monthly total of $942</w:t>
      </w:r>
      <w:r>
        <w:rPr>
          <w:sz w:val="24"/>
          <w:szCs w:val="24"/>
        </w:rPr>
        <w:t>.</w:t>
      </w:r>
      <w:r w:rsidR="00585EFA">
        <w:rPr>
          <w:sz w:val="24"/>
          <w:szCs w:val="24"/>
        </w:rPr>
        <w:t xml:space="preserve">  Tr. at 6-7.</w:t>
      </w:r>
    </w:p>
    <w:p w:rsidR="00081C79" w:rsidRPr="00081C79" w:rsidRDefault="00081C79" w:rsidP="00BF6AE2">
      <w:pPr>
        <w:pStyle w:val="ListParagraph"/>
        <w:spacing w:line="360" w:lineRule="auto"/>
        <w:rPr>
          <w:sz w:val="24"/>
          <w:szCs w:val="24"/>
        </w:rPr>
      </w:pPr>
    </w:p>
    <w:p w:rsidR="00081C79" w:rsidRDefault="00081C79" w:rsidP="00BF6AE2">
      <w:pPr>
        <w:pStyle w:val="ListParagraph"/>
        <w:numPr>
          <w:ilvl w:val="0"/>
          <w:numId w:val="33"/>
        </w:numPr>
        <w:spacing w:line="360" w:lineRule="auto"/>
        <w:ind w:left="0" w:firstLine="1440"/>
        <w:rPr>
          <w:sz w:val="24"/>
          <w:szCs w:val="24"/>
        </w:rPr>
      </w:pPr>
      <w:r>
        <w:rPr>
          <w:sz w:val="24"/>
          <w:szCs w:val="24"/>
        </w:rPr>
        <w:t>The Complainant pays $550 for rent.</w:t>
      </w:r>
      <w:r w:rsidR="00585EFA">
        <w:rPr>
          <w:sz w:val="24"/>
          <w:szCs w:val="24"/>
        </w:rPr>
        <w:t xml:space="preserve">  Tr. at 6.</w:t>
      </w:r>
    </w:p>
    <w:p w:rsidR="00081C79" w:rsidRPr="00081C79" w:rsidRDefault="00081C79" w:rsidP="00BF6AE2">
      <w:pPr>
        <w:pStyle w:val="ListParagraph"/>
        <w:spacing w:line="360" w:lineRule="auto"/>
        <w:rPr>
          <w:sz w:val="24"/>
          <w:szCs w:val="24"/>
        </w:rPr>
      </w:pPr>
    </w:p>
    <w:p w:rsidR="00081C79" w:rsidRDefault="00081C79" w:rsidP="00BF6AE2">
      <w:pPr>
        <w:pStyle w:val="ListParagraph"/>
        <w:numPr>
          <w:ilvl w:val="0"/>
          <w:numId w:val="33"/>
        </w:numPr>
        <w:spacing w:line="360" w:lineRule="auto"/>
        <w:ind w:left="0" w:firstLine="1440"/>
        <w:rPr>
          <w:sz w:val="24"/>
          <w:szCs w:val="24"/>
        </w:rPr>
      </w:pPr>
      <w:r>
        <w:rPr>
          <w:sz w:val="24"/>
          <w:szCs w:val="24"/>
        </w:rPr>
        <w:t>The Complainant is not eligible to apply for On Track, a customer assistance program, until April 2016.</w:t>
      </w:r>
      <w:r w:rsidR="00585EFA">
        <w:rPr>
          <w:sz w:val="24"/>
          <w:szCs w:val="24"/>
        </w:rPr>
        <w:t xml:space="preserve">  Tr. at 16-17.</w:t>
      </w:r>
    </w:p>
    <w:p w:rsidR="00081C79" w:rsidRPr="00081C79" w:rsidRDefault="00081C79" w:rsidP="00BF6AE2">
      <w:pPr>
        <w:pStyle w:val="ListParagraph"/>
        <w:spacing w:line="360" w:lineRule="auto"/>
        <w:rPr>
          <w:sz w:val="24"/>
          <w:szCs w:val="24"/>
        </w:rPr>
      </w:pPr>
    </w:p>
    <w:p w:rsidR="00081C79" w:rsidRDefault="00081C79" w:rsidP="00BF6AE2">
      <w:pPr>
        <w:pStyle w:val="ListParagraph"/>
        <w:numPr>
          <w:ilvl w:val="0"/>
          <w:numId w:val="33"/>
        </w:numPr>
        <w:spacing w:line="360" w:lineRule="auto"/>
        <w:ind w:left="0" w:firstLine="1440"/>
        <w:rPr>
          <w:sz w:val="24"/>
          <w:szCs w:val="24"/>
        </w:rPr>
      </w:pPr>
      <w:r>
        <w:rPr>
          <w:sz w:val="24"/>
          <w:szCs w:val="24"/>
        </w:rPr>
        <w:t xml:space="preserve">PPL </w:t>
      </w:r>
      <w:r w:rsidR="00841DD6">
        <w:rPr>
          <w:sz w:val="24"/>
          <w:szCs w:val="24"/>
        </w:rPr>
        <w:t>did</w:t>
      </w:r>
      <w:r>
        <w:rPr>
          <w:sz w:val="24"/>
          <w:szCs w:val="24"/>
        </w:rPr>
        <w:t xml:space="preserve"> not require a security deposit</w:t>
      </w:r>
      <w:r w:rsidR="00841DD6">
        <w:rPr>
          <w:sz w:val="24"/>
          <w:szCs w:val="24"/>
        </w:rPr>
        <w:t xml:space="preserve"> of the Complainant</w:t>
      </w:r>
      <w:r>
        <w:rPr>
          <w:sz w:val="24"/>
          <w:szCs w:val="24"/>
        </w:rPr>
        <w:t>.</w:t>
      </w:r>
      <w:r w:rsidR="00585EFA">
        <w:rPr>
          <w:sz w:val="24"/>
          <w:szCs w:val="24"/>
        </w:rPr>
        <w:t xml:space="preserve">  Tr. at 14.</w:t>
      </w:r>
    </w:p>
    <w:p w:rsidR="00081C79" w:rsidRPr="00081C79" w:rsidRDefault="00081C79" w:rsidP="00BF6AE2">
      <w:pPr>
        <w:pStyle w:val="ListParagraph"/>
        <w:spacing w:line="360" w:lineRule="auto"/>
        <w:rPr>
          <w:sz w:val="24"/>
          <w:szCs w:val="24"/>
        </w:rPr>
      </w:pPr>
    </w:p>
    <w:p w:rsidR="00841DD6" w:rsidRDefault="00841DD6" w:rsidP="00BF6AE2">
      <w:pPr>
        <w:pStyle w:val="ListParagraph"/>
        <w:numPr>
          <w:ilvl w:val="0"/>
          <w:numId w:val="33"/>
        </w:numPr>
        <w:spacing w:line="360" w:lineRule="auto"/>
        <w:ind w:left="0" w:firstLine="1440"/>
        <w:rPr>
          <w:sz w:val="24"/>
          <w:szCs w:val="24"/>
        </w:rPr>
      </w:pPr>
      <w:r>
        <w:rPr>
          <w:sz w:val="24"/>
          <w:szCs w:val="24"/>
        </w:rPr>
        <w:t xml:space="preserve">The Commission’s Bureau of Consumer Services issued an informal decision on July 14, 2015, finding that the Complainant must pay $238 per month, plus an additional $36 toward her arrearage for a monthly total of $274.  The BCS </w:t>
      </w:r>
      <w:r w:rsidR="00C76566">
        <w:rPr>
          <w:sz w:val="24"/>
          <w:szCs w:val="24"/>
        </w:rPr>
        <w:t xml:space="preserve">decision </w:t>
      </w:r>
      <w:r>
        <w:rPr>
          <w:sz w:val="24"/>
          <w:szCs w:val="24"/>
        </w:rPr>
        <w:t>waived late payment charges.</w:t>
      </w:r>
    </w:p>
    <w:p w:rsidR="00841DD6" w:rsidRPr="00841DD6" w:rsidRDefault="00841DD6" w:rsidP="00BF6AE2">
      <w:pPr>
        <w:pStyle w:val="ListParagraph"/>
        <w:spacing w:line="360" w:lineRule="auto"/>
        <w:rPr>
          <w:sz w:val="24"/>
          <w:szCs w:val="24"/>
        </w:rPr>
      </w:pPr>
    </w:p>
    <w:p w:rsidR="00081C79" w:rsidRDefault="00841DD6" w:rsidP="00BF6AE2">
      <w:pPr>
        <w:pStyle w:val="ListParagraph"/>
        <w:numPr>
          <w:ilvl w:val="0"/>
          <w:numId w:val="33"/>
        </w:numPr>
        <w:spacing w:line="360" w:lineRule="auto"/>
        <w:ind w:left="0" w:firstLine="1440"/>
        <w:rPr>
          <w:sz w:val="24"/>
          <w:szCs w:val="24"/>
        </w:rPr>
      </w:pPr>
      <w:r>
        <w:rPr>
          <w:sz w:val="24"/>
          <w:szCs w:val="24"/>
        </w:rPr>
        <w:t xml:space="preserve"> The Complainant’s income is between 75 and 100% of the 2015 </w:t>
      </w:r>
      <w:r w:rsidR="00BA22DA">
        <w:rPr>
          <w:sz w:val="24"/>
          <w:szCs w:val="24"/>
        </w:rPr>
        <w:t>F</w:t>
      </w:r>
      <w:r>
        <w:rPr>
          <w:sz w:val="24"/>
          <w:szCs w:val="24"/>
        </w:rPr>
        <w:t>ederal poverty level guidelines.</w:t>
      </w:r>
    </w:p>
    <w:p w:rsidR="00EE10F4" w:rsidRPr="00EE10F4" w:rsidRDefault="00EE10F4" w:rsidP="00BF6AE2">
      <w:pPr>
        <w:pStyle w:val="ListParagraph"/>
        <w:spacing w:line="360" w:lineRule="auto"/>
        <w:rPr>
          <w:sz w:val="24"/>
          <w:szCs w:val="24"/>
        </w:rPr>
      </w:pPr>
    </w:p>
    <w:p w:rsidR="00EE10F4" w:rsidRPr="00081C79" w:rsidRDefault="00EE10F4" w:rsidP="00BF6AE2">
      <w:pPr>
        <w:pStyle w:val="ListParagraph"/>
        <w:numPr>
          <w:ilvl w:val="0"/>
          <w:numId w:val="33"/>
        </w:numPr>
        <w:spacing w:line="360" w:lineRule="auto"/>
        <w:ind w:left="0" w:firstLine="1440"/>
        <w:rPr>
          <w:sz w:val="24"/>
          <w:szCs w:val="24"/>
        </w:rPr>
      </w:pPr>
      <w:r>
        <w:rPr>
          <w:sz w:val="24"/>
          <w:szCs w:val="24"/>
        </w:rPr>
        <w:t>The Complainant is highly inconsistent in her payments for her electric service.  She has a poor record of payments.</w:t>
      </w:r>
      <w:r w:rsidR="004F7DB4">
        <w:rPr>
          <w:sz w:val="24"/>
          <w:szCs w:val="24"/>
        </w:rPr>
        <w:t xml:space="preserve">  Tr. at 15.</w:t>
      </w:r>
    </w:p>
    <w:p w:rsidR="00CB495C" w:rsidRPr="00DC4452" w:rsidRDefault="00CB495C" w:rsidP="003E01C9">
      <w:pPr>
        <w:spacing w:line="360" w:lineRule="auto"/>
        <w:jc w:val="center"/>
        <w:rPr>
          <w:sz w:val="24"/>
          <w:szCs w:val="24"/>
          <w:u w:val="single"/>
        </w:rPr>
      </w:pPr>
    </w:p>
    <w:p w:rsidR="00CB495C" w:rsidRPr="00DC4452" w:rsidRDefault="00CB495C" w:rsidP="009411EE">
      <w:pPr>
        <w:spacing w:line="360" w:lineRule="auto"/>
        <w:jc w:val="center"/>
        <w:rPr>
          <w:sz w:val="24"/>
          <w:szCs w:val="24"/>
          <w:u w:val="single"/>
        </w:rPr>
      </w:pPr>
      <w:r w:rsidRPr="00DC4452">
        <w:rPr>
          <w:sz w:val="24"/>
          <w:szCs w:val="24"/>
          <w:u w:val="single"/>
        </w:rPr>
        <w:t>DISCUSSION</w:t>
      </w:r>
    </w:p>
    <w:p w:rsidR="00CB495C" w:rsidRDefault="00CB495C" w:rsidP="009411EE">
      <w:pPr>
        <w:spacing w:line="360" w:lineRule="auto"/>
        <w:jc w:val="center"/>
        <w:rPr>
          <w:sz w:val="24"/>
          <w:szCs w:val="24"/>
          <w:u w:val="single"/>
        </w:rPr>
      </w:pPr>
    </w:p>
    <w:p w:rsidR="001D03C4" w:rsidRDefault="001D03C4" w:rsidP="003E01C9">
      <w:pPr>
        <w:spacing w:line="360" w:lineRule="auto"/>
        <w:rPr>
          <w:sz w:val="24"/>
          <w:szCs w:val="24"/>
          <w:u w:val="single"/>
        </w:rPr>
      </w:pPr>
      <w:r>
        <w:rPr>
          <w:sz w:val="24"/>
          <w:szCs w:val="24"/>
          <w:u w:val="single"/>
        </w:rPr>
        <w:t>Burden of Proof:</w:t>
      </w:r>
    </w:p>
    <w:p w:rsidR="001D03C4" w:rsidRDefault="001D03C4" w:rsidP="001D03C4">
      <w:pPr>
        <w:rPr>
          <w:sz w:val="24"/>
          <w:szCs w:val="24"/>
          <w:u w:val="single"/>
        </w:rPr>
      </w:pPr>
    </w:p>
    <w:p w:rsidR="001D03C4" w:rsidRDefault="001D03C4" w:rsidP="001D03C4">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 xml:space="preserve">66 </w:t>
      </w:r>
      <w:proofErr w:type="spellStart"/>
      <w:r w:rsidRPr="00A941C5">
        <w:rPr>
          <w:sz w:val="24"/>
          <w:szCs w:val="24"/>
        </w:rPr>
        <w:t>Pa.C.S</w:t>
      </w:r>
      <w:proofErr w:type="spellEnd"/>
      <w:r w:rsidRPr="00A941C5">
        <w:rPr>
          <w:sz w:val="24"/>
          <w:szCs w:val="24"/>
        </w:rPr>
        <w:t>.</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w:t>
      </w:r>
      <w:r w:rsidRPr="00614336">
        <w:rPr>
          <w:spacing w:val="-3"/>
          <w:sz w:val="24"/>
          <w:szCs w:val="24"/>
        </w:rPr>
        <w:lastRenderedPageBreak/>
        <w:t xml:space="preserve">accountable for the problem described in the Complaint.  </w:t>
      </w:r>
      <w:proofErr w:type="gramStart"/>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73245F">
        <w:rPr>
          <w:i/>
          <w:spacing w:val="-3"/>
          <w:sz w:val="24"/>
          <w:szCs w:val="24"/>
        </w:rPr>
        <w:t xml:space="preserve">Samuel J. </w:t>
      </w:r>
      <w:proofErr w:type="spellStart"/>
      <w:r w:rsidRPr="0073245F">
        <w:rPr>
          <w:i/>
          <w:spacing w:val="-3"/>
          <w:sz w:val="24"/>
          <w:szCs w:val="24"/>
        </w:rPr>
        <w:t>Lansberry</w:t>
      </w:r>
      <w:proofErr w:type="spellEnd"/>
      <w:r w:rsidRPr="0073245F">
        <w:rPr>
          <w:i/>
          <w:spacing w:val="-3"/>
          <w:sz w:val="24"/>
          <w:szCs w:val="24"/>
        </w:rPr>
        <w:t>, Inc. v. Pa. P</w:t>
      </w:r>
      <w:r w:rsidR="003E01C9">
        <w:rPr>
          <w:i/>
          <w:spacing w:val="-3"/>
          <w:sz w:val="24"/>
          <w:szCs w:val="24"/>
        </w:rPr>
        <w:t>ub.</w:t>
      </w:r>
      <w:proofErr w:type="gramEnd"/>
      <w:r w:rsidR="003E01C9">
        <w:rPr>
          <w:i/>
          <w:spacing w:val="-3"/>
          <w:sz w:val="24"/>
          <w:szCs w:val="24"/>
        </w:rPr>
        <w:t xml:space="preserve"> Util. </w:t>
      </w:r>
      <w:proofErr w:type="spellStart"/>
      <w:r w:rsidR="003E01C9">
        <w:rPr>
          <w:i/>
          <w:spacing w:val="-3"/>
          <w:sz w:val="24"/>
          <w:szCs w:val="24"/>
        </w:rPr>
        <w:t>Comm’n</w:t>
      </w:r>
      <w:proofErr w:type="spellEnd"/>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3E01C9">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proofErr w:type="spellStart"/>
      <w:r w:rsidRPr="00614336">
        <w:rPr>
          <w:i/>
          <w:spacing w:val="-3"/>
          <w:sz w:val="24"/>
          <w:szCs w:val="24"/>
        </w:rPr>
        <w:t>alloc</w:t>
      </w:r>
      <w:proofErr w:type="spellEnd"/>
      <w:r w:rsidRPr="00614336">
        <w:rPr>
          <w:i/>
          <w:spacing w:val="-3"/>
          <w:sz w:val="24"/>
          <w:szCs w:val="24"/>
        </w:rPr>
        <w:t>.</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sidRPr="00386AF2">
        <w:rPr>
          <w:i/>
          <w:spacing w:val="-3"/>
          <w:sz w:val="24"/>
          <w:szCs w:val="24"/>
        </w:rPr>
        <w:t>Mill v. Pa. P</w:t>
      </w:r>
      <w:r w:rsidR="003E01C9">
        <w:rPr>
          <w:i/>
          <w:spacing w:val="-3"/>
          <w:sz w:val="24"/>
          <w:szCs w:val="24"/>
        </w:rPr>
        <w:t>ub.</w:t>
      </w:r>
      <w:proofErr w:type="gramEnd"/>
      <w:r w:rsidR="003E01C9">
        <w:rPr>
          <w:i/>
          <w:spacing w:val="-3"/>
          <w:sz w:val="24"/>
          <w:szCs w:val="24"/>
        </w:rPr>
        <w:t xml:space="preserve"> Util. </w:t>
      </w:r>
      <w:proofErr w:type="spellStart"/>
      <w:r w:rsidR="003E01C9">
        <w:rPr>
          <w:i/>
          <w:spacing w:val="-3"/>
          <w:sz w:val="24"/>
          <w:szCs w:val="24"/>
        </w:rPr>
        <w:t>Comm’n</w:t>
      </w:r>
      <w:proofErr w:type="spellEnd"/>
      <w:r w:rsidRPr="009D011B">
        <w:rPr>
          <w:spacing w:val="-3"/>
          <w:sz w:val="24"/>
          <w:szCs w:val="24"/>
        </w:rPr>
        <w:t>,</w:t>
      </w:r>
      <w:r w:rsidR="00C76566">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3E01C9">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proofErr w:type="spellStart"/>
      <w:r w:rsidRPr="0073245F">
        <w:rPr>
          <w:i/>
          <w:spacing w:val="-3"/>
          <w:sz w:val="24"/>
          <w:szCs w:val="24"/>
        </w:rPr>
        <w:t>Edan</w:t>
      </w:r>
      <w:proofErr w:type="spellEnd"/>
      <w:r w:rsidRPr="0073245F">
        <w:rPr>
          <w:i/>
          <w:spacing w:val="-3"/>
          <w:sz w:val="24"/>
          <w:szCs w:val="24"/>
        </w:rPr>
        <w:t xml:space="preserve"> Transportation Corp. v. Pa. P</w:t>
      </w:r>
      <w:r w:rsidR="003E01C9">
        <w:rPr>
          <w:i/>
          <w:spacing w:val="-3"/>
          <w:sz w:val="24"/>
          <w:szCs w:val="24"/>
        </w:rPr>
        <w:t>ub.</w:t>
      </w:r>
      <w:proofErr w:type="gramEnd"/>
      <w:r w:rsidR="003E01C9">
        <w:rPr>
          <w:i/>
          <w:spacing w:val="-3"/>
          <w:sz w:val="24"/>
          <w:szCs w:val="24"/>
        </w:rPr>
        <w:t xml:space="preserve"> Util. </w:t>
      </w:r>
      <w:proofErr w:type="spellStart"/>
      <w:r w:rsidR="003E01C9">
        <w:rPr>
          <w:i/>
          <w:spacing w:val="-3"/>
          <w:sz w:val="24"/>
          <w:szCs w:val="24"/>
        </w:rPr>
        <w:t>Comm’n</w:t>
      </w:r>
      <w:proofErr w:type="spellEnd"/>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3E01C9">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 xml:space="preserve">(1993), 2 </w:t>
      </w:r>
      <w:proofErr w:type="spellStart"/>
      <w:r w:rsidRPr="00614336">
        <w:rPr>
          <w:spacing w:val="-3"/>
          <w:sz w:val="24"/>
          <w:szCs w:val="24"/>
        </w:rPr>
        <w:t>Pa.C.S</w:t>
      </w:r>
      <w:proofErr w:type="spellEnd"/>
      <w:r w:rsidRPr="00614336">
        <w:rPr>
          <w:spacing w:val="-3"/>
          <w:sz w:val="24"/>
          <w:szCs w:val="24"/>
        </w:rPr>
        <w:t>.</w:t>
      </w:r>
      <w:proofErr w:type="gramEnd"/>
      <w:r w:rsidRPr="00614336">
        <w:rPr>
          <w:spacing w:val="-3"/>
          <w:sz w:val="24"/>
          <w:szCs w:val="24"/>
        </w:rPr>
        <w:t xml:space="preserve"> §</w:t>
      </w:r>
      <w:r w:rsidR="003E01C9">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386AF2">
        <w:rPr>
          <w:i/>
          <w:spacing w:val="-3"/>
          <w:sz w:val="24"/>
          <w:szCs w:val="24"/>
        </w:rPr>
        <w:t xml:space="preserve">.  </w:t>
      </w:r>
      <w:proofErr w:type="gramStart"/>
      <w:r w:rsidRPr="00386AF2">
        <w:rPr>
          <w:i/>
          <w:spacing w:val="-3"/>
          <w:sz w:val="24"/>
          <w:szCs w:val="24"/>
        </w:rPr>
        <w:t>Norfolk and Western Ry. v. Pa.</w:t>
      </w:r>
      <w:r w:rsidR="00C76566">
        <w:rPr>
          <w:i/>
          <w:spacing w:val="-3"/>
          <w:sz w:val="24"/>
          <w:szCs w:val="24"/>
        </w:rPr>
        <w:t xml:space="preserve"> </w:t>
      </w:r>
      <w:r w:rsidRPr="00386AF2">
        <w:rPr>
          <w:i/>
          <w:spacing w:val="-3"/>
          <w:sz w:val="24"/>
          <w:szCs w:val="24"/>
        </w:rPr>
        <w:t>P</w:t>
      </w:r>
      <w:r w:rsidR="003E01C9">
        <w:rPr>
          <w:i/>
          <w:spacing w:val="-3"/>
          <w:sz w:val="24"/>
          <w:szCs w:val="24"/>
        </w:rPr>
        <w:t>ub.</w:t>
      </w:r>
      <w:proofErr w:type="gramEnd"/>
      <w:r w:rsidR="003E01C9">
        <w:rPr>
          <w:i/>
          <w:spacing w:val="-3"/>
          <w:sz w:val="24"/>
          <w:szCs w:val="24"/>
        </w:rPr>
        <w:t xml:space="preserve"> </w:t>
      </w:r>
      <w:proofErr w:type="gramStart"/>
      <w:r w:rsidR="003E01C9">
        <w:rPr>
          <w:i/>
          <w:spacing w:val="-3"/>
          <w:sz w:val="24"/>
          <w:szCs w:val="24"/>
        </w:rPr>
        <w:t xml:space="preserve">Util. </w:t>
      </w:r>
      <w:proofErr w:type="spellStart"/>
      <w:r w:rsidR="003E01C9">
        <w:rPr>
          <w:i/>
          <w:spacing w:val="-3"/>
          <w:sz w:val="24"/>
          <w:szCs w:val="24"/>
        </w:rPr>
        <w:t>Comm’n</w:t>
      </w:r>
      <w:proofErr w:type="spellEnd"/>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xml:space="preserve">, 85 </w:t>
      </w:r>
      <w:proofErr w:type="spellStart"/>
      <w:r w:rsidRPr="00614336">
        <w:rPr>
          <w:spacing w:val="-3"/>
          <w:sz w:val="24"/>
          <w:szCs w:val="24"/>
        </w:rPr>
        <w:t>Pa.C</w:t>
      </w:r>
      <w:r w:rsidR="003E01C9">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585EFA" w:rsidRPr="00614336" w:rsidRDefault="00585EFA" w:rsidP="001D03C4">
      <w:pPr>
        <w:tabs>
          <w:tab w:val="left" w:pos="-1440"/>
          <w:tab w:val="left" w:pos="-720"/>
        </w:tabs>
        <w:suppressAutoHyphens/>
        <w:spacing w:line="360" w:lineRule="auto"/>
        <w:ind w:firstLine="1440"/>
        <w:rPr>
          <w:spacing w:val="-3"/>
          <w:sz w:val="24"/>
          <w:szCs w:val="24"/>
        </w:rPr>
      </w:pPr>
    </w:p>
    <w:p w:rsidR="001D03C4" w:rsidRDefault="001D03C4" w:rsidP="00210972">
      <w:pPr>
        <w:spacing w:line="360" w:lineRule="auto"/>
        <w:rPr>
          <w:sz w:val="24"/>
          <w:szCs w:val="24"/>
          <w:u w:val="single"/>
        </w:rPr>
      </w:pPr>
      <w:r>
        <w:rPr>
          <w:sz w:val="24"/>
          <w:szCs w:val="24"/>
          <w:u w:val="single"/>
        </w:rPr>
        <w:t xml:space="preserve">Payment </w:t>
      </w:r>
      <w:r w:rsidR="004F7DB4">
        <w:rPr>
          <w:sz w:val="24"/>
          <w:szCs w:val="24"/>
          <w:u w:val="single"/>
        </w:rPr>
        <w:t>Arrangement</w:t>
      </w:r>
      <w:r>
        <w:rPr>
          <w:sz w:val="24"/>
          <w:szCs w:val="24"/>
          <w:u w:val="single"/>
        </w:rPr>
        <w:t>:</w:t>
      </w:r>
    </w:p>
    <w:p w:rsidR="001D03C4" w:rsidRDefault="001D03C4" w:rsidP="00210972">
      <w:pPr>
        <w:spacing w:line="360" w:lineRule="auto"/>
        <w:ind w:firstLine="1440"/>
        <w:rPr>
          <w:sz w:val="24"/>
          <w:szCs w:val="24"/>
          <w:u w:val="single"/>
        </w:rPr>
      </w:pPr>
    </w:p>
    <w:p w:rsidR="00C76566" w:rsidRDefault="004F7DB4" w:rsidP="00E665B1">
      <w:pPr>
        <w:pStyle w:val="BodyText"/>
        <w:spacing w:after="0" w:line="360" w:lineRule="auto"/>
        <w:ind w:firstLine="1440"/>
        <w:rPr>
          <w:sz w:val="24"/>
          <w:szCs w:val="24"/>
        </w:rPr>
      </w:pPr>
      <w:r>
        <w:rPr>
          <w:sz w:val="24"/>
          <w:szCs w:val="24"/>
        </w:rPr>
        <w:t>The Complainant has requested a lower payment arrangement</w:t>
      </w:r>
      <w:r w:rsidR="001969C4">
        <w:rPr>
          <w:sz w:val="24"/>
          <w:szCs w:val="24"/>
        </w:rPr>
        <w:t xml:space="preserve"> than that determined by the BCS</w:t>
      </w:r>
      <w:r w:rsidR="007D6F4A">
        <w:rPr>
          <w:sz w:val="24"/>
          <w:szCs w:val="24"/>
        </w:rPr>
        <w:t>.</w:t>
      </w:r>
      <w:r>
        <w:rPr>
          <w:sz w:val="24"/>
          <w:szCs w:val="24"/>
        </w:rPr>
        <w:t xml:space="preserve">  </w:t>
      </w:r>
      <w:r w:rsidR="00841DD6" w:rsidRPr="00841DD6">
        <w:rPr>
          <w:sz w:val="24"/>
          <w:szCs w:val="24"/>
        </w:rPr>
        <w:t xml:space="preserve">The Complainant is currently in default of the </w:t>
      </w:r>
      <w:r w:rsidR="001969C4">
        <w:rPr>
          <w:sz w:val="24"/>
          <w:szCs w:val="24"/>
        </w:rPr>
        <w:t>BCS</w:t>
      </w:r>
      <w:r w:rsidR="00386AF2">
        <w:rPr>
          <w:sz w:val="24"/>
          <w:szCs w:val="24"/>
        </w:rPr>
        <w:t xml:space="preserve"> informal decision</w:t>
      </w:r>
      <w:r w:rsidR="001969C4">
        <w:rPr>
          <w:sz w:val="24"/>
          <w:szCs w:val="24"/>
        </w:rPr>
        <w:t>.</w:t>
      </w:r>
      <w:r w:rsidR="008F388B">
        <w:rPr>
          <w:sz w:val="24"/>
          <w:szCs w:val="24"/>
        </w:rPr>
        <w:t xml:space="preserve"> </w:t>
      </w:r>
    </w:p>
    <w:p w:rsidR="00F97690" w:rsidRDefault="00F97690" w:rsidP="00E665B1">
      <w:pPr>
        <w:pStyle w:val="BodyText"/>
        <w:spacing w:after="0" w:line="360" w:lineRule="auto"/>
        <w:ind w:firstLine="1440"/>
        <w:rPr>
          <w:sz w:val="24"/>
          <w:szCs w:val="24"/>
        </w:rPr>
      </w:pPr>
    </w:p>
    <w:p w:rsidR="00F97690" w:rsidRDefault="00F97690" w:rsidP="00E665B1">
      <w:pPr>
        <w:pStyle w:val="BodyText"/>
        <w:spacing w:after="0" w:line="360" w:lineRule="auto"/>
        <w:ind w:firstLine="1440"/>
        <w:rPr>
          <w:sz w:val="24"/>
          <w:szCs w:val="24"/>
        </w:rPr>
      </w:pPr>
      <w:r>
        <w:rPr>
          <w:sz w:val="24"/>
          <w:szCs w:val="24"/>
        </w:rPr>
        <w:t xml:space="preserve">“The length of time for a customer to resolve an unpaid balance on an account that is subject to a payment arrangement that is investigated by the commission and is entered into by a public utility and a customer shall not extend beyond </w:t>
      </w:r>
    </w:p>
    <w:p w:rsidR="00F7318B" w:rsidRDefault="00F7318B" w:rsidP="00EB6C33">
      <w:pPr>
        <w:pStyle w:val="BodyText"/>
        <w:spacing w:after="0"/>
        <w:ind w:firstLine="1440"/>
        <w:rPr>
          <w:sz w:val="24"/>
          <w:szCs w:val="24"/>
        </w:rPr>
      </w:pPr>
    </w:p>
    <w:p w:rsidR="00F97690" w:rsidRDefault="00F97690" w:rsidP="00F7318B">
      <w:pPr>
        <w:pStyle w:val="BodyText"/>
        <w:numPr>
          <w:ilvl w:val="0"/>
          <w:numId w:val="38"/>
        </w:numPr>
        <w:spacing w:after="0"/>
        <w:ind w:left="2880" w:hanging="720"/>
        <w:rPr>
          <w:sz w:val="24"/>
          <w:szCs w:val="24"/>
        </w:rPr>
      </w:pPr>
      <w:proofErr w:type="gramStart"/>
      <w:r>
        <w:rPr>
          <w:sz w:val="24"/>
          <w:szCs w:val="24"/>
        </w:rPr>
        <w:t>five</w:t>
      </w:r>
      <w:proofErr w:type="gramEnd"/>
      <w:r>
        <w:rPr>
          <w:sz w:val="24"/>
          <w:szCs w:val="24"/>
        </w:rPr>
        <w:t xml:space="preserve"> years for customers with a gross income level not exceeding 150% of the Federal poverty index.”</w:t>
      </w:r>
    </w:p>
    <w:p w:rsidR="00F7318B" w:rsidRDefault="00F7318B" w:rsidP="00F7318B">
      <w:pPr>
        <w:pStyle w:val="BodyText"/>
        <w:spacing w:after="0"/>
        <w:ind w:left="2880"/>
        <w:rPr>
          <w:sz w:val="24"/>
          <w:szCs w:val="24"/>
        </w:rPr>
      </w:pPr>
    </w:p>
    <w:p w:rsidR="00F97690" w:rsidRDefault="00F97690" w:rsidP="00F97690">
      <w:pPr>
        <w:pStyle w:val="BodyText"/>
        <w:spacing w:after="0" w:line="360" w:lineRule="auto"/>
        <w:rPr>
          <w:sz w:val="24"/>
          <w:szCs w:val="24"/>
        </w:rPr>
      </w:pPr>
      <w:r>
        <w:rPr>
          <w:sz w:val="24"/>
          <w:szCs w:val="24"/>
        </w:rPr>
        <w:t>66 Pa. C.S. § 1405</w:t>
      </w:r>
      <w:r w:rsidR="00F7318B">
        <w:rPr>
          <w:sz w:val="24"/>
          <w:szCs w:val="24"/>
        </w:rPr>
        <w:t>(</w:t>
      </w:r>
      <w:r>
        <w:rPr>
          <w:sz w:val="24"/>
          <w:szCs w:val="24"/>
        </w:rPr>
        <w:t>b</w:t>
      </w:r>
      <w:proofErr w:type="gramStart"/>
      <w:r w:rsidR="00F7318B">
        <w:rPr>
          <w:sz w:val="24"/>
          <w:szCs w:val="24"/>
        </w:rPr>
        <w:t>)</w:t>
      </w:r>
      <w:r>
        <w:rPr>
          <w:sz w:val="24"/>
          <w:szCs w:val="24"/>
        </w:rPr>
        <w:t>(</w:t>
      </w:r>
      <w:proofErr w:type="gramEnd"/>
      <w:r>
        <w:rPr>
          <w:sz w:val="24"/>
          <w:szCs w:val="24"/>
        </w:rPr>
        <w:t>1).</w:t>
      </w:r>
    </w:p>
    <w:p w:rsidR="00E665B1" w:rsidRDefault="00E665B1" w:rsidP="00E665B1">
      <w:pPr>
        <w:pStyle w:val="BodyText"/>
        <w:spacing w:after="0" w:line="360" w:lineRule="auto"/>
        <w:ind w:firstLine="1440"/>
        <w:rPr>
          <w:sz w:val="24"/>
          <w:szCs w:val="24"/>
        </w:rPr>
      </w:pPr>
    </w:p>
    <w:p w:rsidR="007A2366" w:rsidRDefault="00F97690" w:rsidP="003E01C9">
      <w:pPr>
        <w:pStyle w:val="BodyText"/>
        <w:spacing w:after="0" w:line="360" w:lineRule="auto"/>
        <w:ind w:firstLine="1440"/>
        <w:rPr>
          <w:sz w:val="24"/>
          <w:szCs w:val="24"/>
        </w:rPr>
      </w:pPr>
      <w:r>
        <w:rPr>
          <w:sz w:val="24"/>
          <w:szCs w:val="24"/>
        </w:rPr>
        <w:t>However, l</w:t>
      </w:r>
      <w:r w:rsidR="008F388B" w:rsidRPr="008F388B">
        <w:rPr>
          <w:sz w:val="24"/>
          <w:szCs w:val="24"/>
        </w:rPr>
        <w:t xml:space="preserve">ow income or insufficient income does not excuse a failure to make payments as directed by </w:t>
      </w:r>
      <w:r w:rsidR="004F4241">
        <w:rPr>
          <w:sz w:val="24"/>
          <w:szCs w:val="24"/>
        </w:rPr>
        <w:t xml:space="preserve">a </w:t>
      </w:r>
      <w:r w:rsidR="008F388B" w:rsidRPr="008F388B">
        <w:rPr>
          <w:sz w:val="24"/>
          <w:szCs w:val="24"/>
        </w:rPr>
        <w:t xml:space="preserve">BCS decision.  </w:t>
      </w:r>
      <w:r w:rsidR="008F388B" w:rsidRPr="00E87670">
        <w:rPr>
          <w:i/>
          <w:sz w:val="24"/>
          <w:szCs w:val="24"/>
        </w:rPr>
        <w:t>Downey v. Duquesne Light Company</w:t>
      </w:r>
      <w:r w:rsidR="008F388B" w:rsidRPr="008F388B">
        <w:rPr>
          <w:sz w:val="24"/>
          <w:szCs w:val="24"/>
        </w:rPr>
        <w:t xml:space="preserve">, Docket No. </w:t>
      </w:r>
      <w:proofErr w:type="gramStart"/>
      <w:r w:rsidR="008F388B" w:rsidRPr="008F388B">
        <w:rPr>
          <w:sz w:val="24"/>
          <w:szCs w:val="24"/>
        </w:rPr>
        <w:t>C</w:t>
      </w:r>
      <w:r w:rsidR="001E3313">
        <w:rPr>
          <w:sz w:val="24"/>
          <w:szCs w:val="24"/>
        </w:rPr>
        <w:noBreakHyphen/>
      </w:r>
      <w:r w:rsidR="008F388B" w:rsidRPr="008F388B">
        <w:rPr>
          <w:sz w:val="24"/>
          <w:szCs w:val="24"/>
        </w:rPr>
        <w:t xml:space="preserve">00968410 (Order entered </w:t>
      </w:r>
      <w:r w:rsidR="008F388B">
        <w:rPr>
          <w:sz w:val="24"/>
          <w:szCs w:val="24"/>
        </w:rPr>
        <w:t>September 16, 1997</w:t>
      </w:r>
      <w:r w:rsidR="008F388B" w:rsidRPr="008F388B">
        <w:rPr>
          <w:sz w:val="24"/>
          <w:szCs w:val="24"/>
        </w:rPr>
        <w:t xml:space="preserve">); </w:t>
      </w:r>
      <w:proofErr w:type="spellStart"/>
      <w:r w:rsidR="008F388B" w:rsidRPr="00E87670">
        <w:rPr>
          <w:i/>
          <w:sz w:val="24"/>
          <w:szCs w:val="24"/>
        </w:rPr>
        <w:t>Stathakis</w:t>
      </w:r>
      <w:proofErr w:type="spellEnd"/>
      <w:r w:rsidR="008F388B" w:rsidRPr="00E87670">
        <w:rPr>
          <w:i/>
          <w:sz w:val="24"/>
          <w:szCs w:val="24"/>
        </w:rPr>
        <w:t xml:space="preserve"> v. Pennsylvania Power &amp; Light Co.,</w:t>
      </w:r>
      <w:r w:rsidR="008F388B" w:rsidRPr="008F388B">
        <w:rPr>
          <w:sz w:val="24"/>
          <w:szCs w:val="24"/>
        </w:rPr>
        <w:t xml:space="preserve"> </w:t>
      </w:r>
      <w:r w:rsidR="008F388B" w:rsidRPr="008F388B">
        <w:rPr>
          <w:sz w:val="24"/>
          <w:szCs w:val="24"/>
        </w:rPr>
        <w:lastRenderedPageBreak/>
        <w:t>Docket No.</w:t>
      </w:r>
      <w:proofErr w:type="gramEnd"/>
      <w:r w:rsidR="008F388B" w:rsidRPr="008F388B">
        <w:rPr>
          <w:sz w:val="24"/>
          <w:szCs w:val="24"/>
        </w:rPr>
        <w:t xml:space="preserve"> </w:t>
      </w:r>
      <w:proofErr w:type="gramStart"/>
      <w:r w:rsidR="008F388B" w:rsidRPr="008F388B">
        <w:rPr>
          <w:sz w:val="24"/>
          <w:szCs w:val="24"/>
        </w:rPr>
        <w:t xml:space="preserve">F-00294590 (Order entered </w:t>
      </w:r>
      <w:r w:rsidR="008F388B">
        <w:rPr>
          <w:sz w:val="24"/>
          <w:szCs w:val="24"/>
        </w:rPr>
        <w:t>October 24, 1996</w:t>
      </w:r>
      <w:r w:rsidR="008F388B" w:rsidRPr="008F388B">
        <w:rPr>
          <w:sz w:val="24"/>
          <w:szCs w:val="24"/>
        </w:rPr>
        <w:t>).</w:t>
      </w:r>
      <w:proofErr w:type="gramEnd"/>
      <w:r w:rsidR="007A2366">
        <w:rPr>
          <w:sz w:val="24"/>
          <w:szCs w:val="24"/>
        </w:rPr>
        <w:t xml:space="preserve">  </w:t>
      </w:r>
      <w:r>
        <w:rPr>
          <w:sz w:val="24"/>
          <w:szCs w:val="24"/>
        </w:rPr>
        <w:t>In whatever way</w:t>
      </w:r>
      <w:r w:rsidR="007A2366" w:rsidRPr="00D65444">
        <w:rPr>
          <w:sz w:val="24"/>
          <w:szCs w:val="24"/>
        </w:rPr>
        <w:t xml:space="preserve"> the Complainant </w:t>
      </w:r>
      <w:r w:rsidR="007A2366">
        <w:rPr>
          <w:sz w:val="24"/>
          <w:szCs w:val="24"/>
        </w:rPr>
        <w:t>configures h</w:t>
      </w:r>
      <w:r w:rsidR="00386AF2">
        <w:rPr>
          <w:sz w:val="24"/>
          <w:szCs w:val="24"/>
        </w:rPr>
        <w:t>er</w:t>
      </w:r>
      <w:r w:rsidR="007A2366">
        <w:rPr>
          <w:sz w:val="24"/>
          <w:szCs w:val="24"/>
        </w:rPr>
        <w:t xml:space="preserve"> household budget,</w:t>
      </w:r>
      <w:r w:rsidR="00386AF2">
        <w:rPr>
          <w:sz w:val="24"/>
          <w:szCs w:val="24"/>
        </w:rPr>
        <w:t xml:space="preserve"> s</w:t>
      </w:r>
      <w:r w:rsidR="007A2366">
        <w:rPr>
          <w:sz w:val="24"/>
          <w:szCs w:val="24"/>
        </w:rPr>
        <w:t xml:space="preserve">he </w:t>
      </w:r>
      <w:r w:rsidR="007A2366" w:rsidRPr="00D65444">
        <w:rPr>
          <w:sz w:val="24"/>
          <w:szCs w:val="24"/>
        </w:rPr>
        <w:t xml:space="preserve">will have to pay </w:t>
      </w:r>
      <w:r w:rsidR="00C76566">
        <w:rPr>
          <w:sz w:val="24"/>
          <w:szCs w:val="24"/>
        </w:rPr>
        <w:t>PPL</w:t>
      </w:r>
      <w:r w:rsidR="007A2366" w:rsidRPr="00D65444">
        <w:rPr>
          <w:sz w:val="24"/>
          <w:szCs w:val="24"/>
        </w:rPr>
        <w:t xml:space="preserve"> for the electric service </w:t>
      </w:r>
      <w:r w:rsidR="00386AF2">
        <w:rPr>
          <w:sz w:val="24"/>
          <w:szCs w:val="24"/>
        </w:rPr>
        <w:t>s</w:t>
      </w:r>
      <w:r w:rsidR="007A2366" w:rsidRPr="00D65444">
        <w:rPr>
          <w:sz w:val="24"/>
          <w:szCs w:val="24"/>
        </w:rPr>
        <w:t>he consumes.  By law, a public utility is entitled to receive payment for the service it provides</w:t>
      </w:r>
      <w:r w:rsidR="007A2366" w:rsidRPr="00E87670">
        <w:rPr>
          <w:i/>
          <w:sz w:val="24"/>
          <w:szCs w:val="24"/>
        </w:rPr>
        <w:t xml:space="preserve">.  </w:t>
      </w:r>
      <w:proofErr w:type="spellStart"/>
      <w:r w:rsidR="007A2366" w:rsidRPr="00E87670">
        <w:rPr>
          <w:i/>
          <w:sz w:val="24"/>
          <w:szCs w:val="24"/>
        </w:rPr>
        <w:t>Scaccia</w:t>
      </w:r>
      <w:proofErr w:type="spellEnd"/>
      <w:r w:rsidR="007A2366" w:rsidRPr="00E87670">
        <w:rPr>
          <w:i/>
          <w:sz w:val="24"/>
          <w:szCs w:val="24"/>
        </w:rPr>
        <w:t xml:space="preserve"> v. West Penn Power Company</w:t>
      </w:r>
      <w:r w:rsidR="00C76566">
        <w:rPr>
          <w:sz w:val="24"/>
          <w:szCs w:val="24"/>
        </w:rPr>
        <w:t>, 55 Pa. P</w:t>
      </w:r>
      <w:r w:rsidR="007A2366">
        <w:rPr>
          <w:sz w:val="24"/>
          <w:szCs w:val="24"/>
        </w:rPr>
        <w:t>U</w:t>
      </w:r>
      <w:r w:rsidR="00C76566">
        <w:rPr>
          <w:sz w:val="24"/>
          <w:szCs w:val="24"/>
        </w:rPr>
        <w:t>C</w:t>
      </w:r>
      <w:r w:rsidR="007A2366">
        <w:rPr>
          <w:sz w:val="24"/>
          <w:szCs w:val="24"/>
        </w:rPr>
        <w:t xml:space="preserve"> 637 (1982).  Otherwise, unpaid bills are included in the utility’s uncollectible expenses, which all of its remaining customers must pay.  </w:t>
      </w:r>
      <w:r w:rsidR="007A2366" w:rsidRPr="00E87670">
        <w:rPr>
          <w:i/>
          <w:sz w:val="24"/>
          <w:szCs w:val="24"/>
        </w:rPr>
        <w:t>Bolt v. Duquesne Light Company</w:t>
      </w:r>
      <w:r w:rsidR="007A2366">
        <w:rPr>
          <w:sz w:val="24"/>
          <w:szCs w:val="24"/>
        </w:rPr>
        <w:t>, Docket No. </w:t>
      </w:r>
      <w:proofErr w:type="gramStart"/>
      <w:r w:rsidR="007A2366">
        <w:rPr>
          <w:sz w:val="24"/>
          <w:szCs w:val="24"/>
        </w:rPr>
        <w:t>Z</w:t>
      </w:r>
      <w:r w:rsidR="007A2366">
        <w:rPr>
          <w:sz w:val="24"/>
          <w:szCs w:val="24"/>
        </w:rPr>
        <w:noBreakHyphen/>
        <w:t>8712758 (Order entered April 8, 1988).</w:t>
      </w:r>
      <w:proofErr w:type="gramEnd"/>
      <w:r w:rsidR="007A2366" w:rsidRPr="00D65444">
        <w:rPr>
          <w:sz w:val="24"/>
          <w:szCs w:val="24"/>
        </w:rPr>
        <w:t xml:space="preserve">  No public utility may receive a greater or lesser rate than the one set forth in its tariff on file with this Commission.  </w:t>
      </w:r>
      <w:proofErr w:type="gramStart"/>
      <w:r w:rsidR="007A2366" w:rsidRPr="00D65444">
        <w:rPr>
          <w:sz w:val="24"/>
          <w:szCs w:val="24"/>
        </w:rPr>
        <w:t>66 </w:t>
      </w:r>
      <w:proofErr w:type="spellStart"/>
      <w:r w:rsidR="007A2366" w:rsidRPr="00D65444">
        <w:rPr>
          <w:sz w:val="24"/>
          <w:szCs w:val="24"/>
        </w:rPr>
        <w:t>Pa.C.S</w:t>
      </w:r>
      <w:proofErr w:type="spellEnd"/>
      <w:r w:rsidR="007A2366" w:rsidRPr="00D65444">
        <w:rPr>
          <w:sz w:val="24"/>
          <w:szCs w:val="24"/>
        </w:rPr>
        <w:t>.</w:t>
      </w:r>
      <w:proofErr w:type="gramEnd"/>
      <w:r w:rsidR="007A2366" w:rsidRPr="00D65444">
        <w:rPr>
          <w:sz w:val="24"/>
          <w:szCs w:val="24"/>
        </w:rPr>
        <w:t xml:space="preserve"> §</w:t>
      </w:r>
      <w:r w:rsidR="003E01C9">
        <w:rPr>
          <w:sz w:val="24"/>
          <w:szCs w:val="24"/>
        </w:rPr>
        <w:t> </w:t>
      </w:r>
      <w:r w:rsidR="007A2366" w:rsidRPr="00D65444">
        <w:rPr>
          <w:sz w:val="24"/>
          <w:szCs w:val="24"/>
        </w:rPr>
        <w:t xml:space="preserve">1303.  Neither may a public utility unreasonably discriminate for or against a particular customer by establishing a special rate for them.  </w:t>
      </w:r>
      <w:proofErr w:type="gramStart"/>
      <w:r w:rsidR="007A2366" w:rsidRPr="00D65444">
        <w:rPr>
          <w:sz w:val="24"/>
          <w:szCs w:val="24"/>
        </w:rPr>
        <w:t xml:space="preserve">66 </w:t>
      </w:r>
      <w:proofErr w:type="spellStart"/>
      <w:r w:rsidR="007A2366" w:rsidRPr="00D65444">
        <w:rPr>
          <w:sz w:val="24"/>
          <w:szCs w:val="24"/>
        </w:rPr>
        <w:t>Pa.C.S</w:t>
      </w:r>
      <w:proofErr w:type="spellEnd"/>
      <w:r w:rsidR="007A2366" w:rsidRPr="00D65444">
        <w:rPr>
          <w:sz w:val="24"/>
          <w:szCs w:val="24"/>
        </w:rPr>
        <w:t>.</w:t>
      </w:r>
      <w:proofErr w:type="gramEnd"/>
      <w:r w:rsidR="007A2366" w:rsidRPr="00D65444">
        <w:rPr>
          <w:sz w:val="24"/>
          <w:szCs w:val="24"/>
        </w:rPr>
        <w:t xml:space="preserve"> §</w:t>
      </w:r>
      <w:r w:rsidR="007A2366">
        <w:rPr>
          <w:sz w:val="24"/>
          <w:szCs w:val="24"/>
        </w:rPr>
        <w:t xml:space="preserve"> </w:t>
      </w:r>
      <w:r w:rsidR="007A2366" w:rsidRPr="00D65444">
        <w:rPr>
          <w:sz w:val="24"/>
          <w:szCs w:val="24"/>
        </w:rPr>
        <w:t xml:space="preserve">1304.  Therefore, </w:t>
      </w:r>
      <w:r w:rsidR="007A2366">
        <w:rPr>
          <w:sz w:val="24"/>
          <w:szCs w:val="24"/>
        </w:rPr>
        <w:t>some payment plan must be established, regardless of the Complainant’s limited income.</w:t>
      </w:r>
    </w:p>
    <w:p w:rsidR="003E01C9" w:rsidRDefault="003E01C9" w:rsidP="003E01C9">
      <w:pPr>
        <w:pStyle w:val="BodyText"/>
        <w:spacing w:after="0" w:line="360" w:lineRule="auto"/>
        <w:ind w:firstLine="1440"/>
        <w:rPr>
          <w:sz w:val="24"/>
          <w:szCs w:val="24"/>
        </w:rPr>
      </w:pPr>
    </w:p>
    <w:p w:rsidR="00EE10F4" w:rsidRDefault="00EE10F4" w:rsidP="003E01C9">
      <w:pPr>
        <w:pStyle w:val="BodyText"/>
        <w:spacing w:after="0" w:line="360" w:lineRule="auto"/>
        <w:ind w:firstLine="1440"/>
        <w:rPr>
          <w:sz w:val="24"/>
          <w:szCs w:val="24"/>
        </w:rPr>
      </w:pPr>
      <w:r>
        <w:rPr>
          <w:sz w:val="24"/>
          <w:szCs w:val="24"/>
        </w:rPr>
        <w:t>The Complainant may have five years or sixty months to pay off her arrearage.</w:t>
      </w:r>
      <w:r w:rsidR="00B705DA">
        <w:rPr>
          <w:sz w:val="24"/>
          <w:szCs w:val="24"/>
        </w:rPr>
        <w:t xml:space="preserve">  </w:t>
      </w:r>
      <w:proofErr w:type="gramStart"/>
      <w:r w:rsidR="00B705DA">
        <w:rPr>
          <w:sz w:val="24"/>
          <w:szCs w:val="24"/>
        </w:rPr>
        <w:t xml:space="preserve">66 </w:t>
      </w:r>
      <w:proofErr w:type="spellStart"/>
      <w:r w:rsidR="00B705DA">
        <w:rPr>
          <w:sz w:val="24"/>
          <w:szCs w:val="24"/>
        </w:rPr>
        <w:t>Pa.C.S</w:t>
      </w:r>
      <w:proofErr w:type="spellEnd"/>
      <w:r w:rsidR="00B705DA">
        <w:rPr>
          <w:sz w:val="24"/>
          <w:szCs w:val="24"/>
        </w:rPr>
        <w:t>.</w:t>
      </w:r>
      <w:proofErr w:type="gramEnd"/>
      <w:r w:rsidR="00B705DA">
        <w:rPr>
          <w:sz w:val="24"/>
          <w:szCs w:val="24"/>
        </w:rPr>
        <w:t xml:space="preserve"> § 1405</w:t>
      </w:r>
      <w:r w:rsidR="00112245">
        <w:rPr>
          <w:sz w:val="24"/>
          <w:szCs w:val="24"/>
        </w:rPr>
        <w:t>(b</w:t>
      </w:r>
      <w:proofErr w:type="gramStart"/>
      <w:r w:rsidR="00112245">
        <w:rPr>
          <w:sz w:val="24"/>
          <w:szCs w:val="24"/>
        </w:rPr>
        <w:t>)</w:t>
      </w:r>
      <w:r w:rsidR="00B705DA">
        <w:rPr>
          <w:sz w:val="24"/>
          <w:szCs w:val="24"/>
        </w:rPr>
        <w:t>(</w:t>
      </w:r>
      <w:proofErr w:type="gramEnd"/>
      <w:r w:rsidR="00B705DA">
        <w:rPr>
          <w:sz w:val="24"/>
          <w:szCs w:val="24"/>
        </w:rPr>
        <w:t>1).</w:t>
      </w:r>
      <w:r>
        <w:rPr>
          <w:sz w:val="24"/>
          <w:szCs w:val="24"/>
        </w:rPr>
        <w:t xml:space="preserve">  Therefore, the Complainant must pay her current bill plus </w:t>
      </w:r>
      <w:r w:rsidR="004F7DB4">
        <w:rPr>
          <w:sz w:val="24"/>
          <w:szCs w:val="24"/>
        </w:rPr>
        <w:t>1/60</w:t>
      </w:r>
      <w:r w:rsidR="004F7DB4" w:rsidRPr="004F7DB4">
        <w:rPr>
          <w:sz w:val="24"/>
          <w:szCs w:val="24"/>
          <w:vertAlign w:val="superscript"/>
        </w:rPr>
        <w:t>th</w:t>
      </w:r>
      <w:r w:rsidR="004F7DB4">
        <w:rPr>
          <w:sz w:val="24"/>
          <w:szCs w:val="24"/>
        </w:rPr>
        <w:t xml:space="preserve"> of her current arrearage</w:t>
      </w:r>
      <w:r>
        <w:rPr>
          <w:sz w:val="24"/>
          <w:szCs w:val="24"/>
        </w:rPr>
        <w:t xml:space="preserve"> or risk having her service terminated for non-payment.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1406(a).  Section 1406(a) states:</w:t>
      </w:r>
    </w:p>
    <w:p w:rsidR="003E01C9" w:rsidRDefault="003E01C9" w:rsidP="003E01C9">
      <w:pPr>
        <w:pStyle w:val="BodyText"/>
        <w:spacing w:after="0" w:line="360" w:lineRule="auto"/>
        <w:ind w:firstLine="1440"/>
        <w:rPr>
          <w:sz w:val="24"/>
          <w:szCs w:val="24"/>
        </w:rPr>
      </w:pPr>
    </w:p>
    <w:p w:rsidR="00EE10F4" w:rsidRDefault="00EE10F4" w:rsidP="007A2366">
      <w:pPr>
        <w:pStyle w:val="BodyText"/>
        <w:spacing w:line="360" w:lineRule="auto"/>
        <w:ind w:firstLine="1440"/>
        <w:rPr>
          <w:sz w:val="24"/>
          <w:szCs w:val="24"/>
        </w:rPr>
      </w:pPr>
      <w:r>
        <w:rPr>
          <w:sz w:val="24"/>
          <w:szCs w:val="24"/>
        </w:rPr>
        <w:t>“A public utility may notify a customer and terminate service provided to a customer after notice as provided in subsection (b) for any of the following actions by the customer:</w:t>
      </w:r>
    </w:p>
    <w:p w:rsidR="00EE10F4" w:rsidRDefault="00EE10F4" w:rsidP="00F81FF8">
      <w:pPr>
        <w:pStyle w:val="BodyText"/>
        <w:numPr>
          <w:ilvl w:val="0"/>
          <w:numId w:val="34"/>
        </w:numPr>
        <w:spacing w:line="360" w:lineRule="auto"/>
        <w:ind w:firstLine="360"/>
        <w:rPr>
          <w:sz w:val="24"/>
          <w:szCs w:val="24"/>
        </w:rPr>
      </w:pPr>
      <w:r>
        <w:rPr>
          <w:sz w:val="24"/>
          <w:szCs w:val="24"/>
        </w:rPr>
        <w:t>Nonpayment of an undisputed delinquent account.</w:t>
      </w:r>
    </w:p>
    <w:p w:rsidR="00EE10F4" w:rsidRDefault="00EE10F4" w:rsidP="00F81FF8">
      <w:pPr>
        <w:pStyle w:val="BodyText"/>
        <w:numPr>
          <w:ilvl w:val="0"/>
          <w:numId w:val="34"/>
        </w:numPr>
        <w:ind w:left="2880" w:hanging="720"/>
        <w:rPr>
          <w:sz w:val="24"/>
          <w:szCs w:val="24"/>
        </w:rPr>
      </w:pPr>
      <w:r>
        <w:rPr>
          <w:sz w:val="24"/>
          <w:szCs w:val="24"/>
        </w:rPr>
        <w:t xml:space="preserve">Failure to comply with the material terms of a payment </w:t>
      </w:r>
      <w:r w:rsidR="004F7DB4">
        <w:rPr>
          <w:sz w:val="24"/>
          <w:szCs w:val="24"/>
        </w:rPr>
        <w:t>arrangement</w:t>
      </w:r>
      <w:r>
        <w:rPr>
          <w:sz w:val="24"/>
          <w:szCs w:val="24"/>
        </w:rPr>
        <w:t>.</w:t>
      </w:r>
    </w:p>
    <w:p w:rsidR="00EE10F4" w:rsidRDefault="00EE10F4" w:rsidP="00F81FF8">
      <w:pPr>
        <w:pStyle w:val="BodyText"/>
        <w:numPr>
          <w:ilvl w:val="0"/>
          <w:numId w:val="34"/>
        </w:numPr>
        <w:spacing w:line="360" w:lineRule="auto"/>
        <w:ind w:firstLine="360"/>
        <w:rPr>
          <w:sz w:val="24"/>
          <w:szCs w:val="24"/>
        </w:rPr>
      </w:pPr>
      <w:r>
        <w:rPr>
          <w:sz w:val="24"/>
          <w:szCs w:val="24"/>
        </w:rPr>
        <w:t>…</w:t>
      </w:r>
    </w:p>
    <w:p w:rsidR="00EE10F4" w:rsidRDefault="00EE10F4" w:rsidP="00F81FF8">
      <w:pPr>
        <w:pStyle w:val="BodyText"/>
        <w:numPr>
          <w:ilvl w:val="0"/>
          <w:numId w:val="34"/>
        </w:numPr>
        <w:spacing w:line="360" w:lineRule="auto"/>
        <w:ind w:firstLine="36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p>
    <w:p w:rsidR="00EE10F4" w:rsidRDefault="00EE10F4" w:rsidP="003E01C9">
      <w:pPr>
        <w:pStyle w:val="BodyText"/>
        <w:spacing w:after="0" w:line="360" w:lineRule="auto"/>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1406(a).</w:t>
      </w:r>
    </w:p>
    <w:p w:rsidR="003E01C9" w:rsidRDefault="003E01C9" w:rsidP="003E01C9">
      <w:pPr>
        <w:pStyle w:val="BodyText"/>
        <w:spacing w:after="0" w:line="360" w:lineRule="auto"/>
        <w:rPr>
          <w:sz w:val="24"/>
          <w:szCs w:val="24"/>
        </w:rPr>
      </w:pPr>
    </w:p>
    <w:p w:rsidR="00EE10F4" w:rsidRDefault="00EE10F4" w:rsidP="00EE10F4">
      <w:pPr>
        <w:pStyle w:val="BodyText"/>
        <w:spacing w:line="360" w:lineRule="auto"/>
        <w:ind w:firstLine="1440"/>
        <w:rPr>
          <w:sz w:val="24"/>
          <w:szCs w:val="24"/>
        </w:rPr>
      </w:pPr>
      <w:r>
        <w:rPr>
          <w:sz w:val="24"/>
          <w:szCs w:val="24"/>
        </w:rPr>
        <w:t xml:space="preserve">The Complainant must make an effort to pay for her electric service </w:t>
      </w:r>
      <w:r w:rsidR="00E87670">
        <w:rPr>
          <w:sz w:val="24"/>
          <w:szCs w:val="24"/>
        </w:rPr>
        <w:t xml:space="preserve">and her arrearage </w:t>
      </w:r>
      <w:r>
        <w:rPr>
          <w:sz w:val="24"/>
          <w:szCs w:val="24"/>
        </w:rPr>
        <w:t>each and every month.  She may take sixty months to pay her arrearage</w:t>
      </w:r>
      <w:r w:rsidR="004F7DB4">
        <w:rPr>
          <w:sz w:val="24"/>
          <w:szCs w:val="24"/>
        </w:rPr>
        <w:t xml:space="preserve"> </w:t>
      </w:r>
      <w:r>
        <w:rPr>
          <w:sz w:val="24"/>
          <w:szCs w:val="24"/>
        </w:rPr>
        <w:t>or risk having her service terminated.</w:t>
      </w:r>
    </w:p>
    <w:p w:rsidR="00BA22DA" w:rsidRDefault="00BA22DA" w:rsidP="003E01C9">
      <w:pPr>
        <w:spacing w:line="360" w:lineRule="auto"/>
        <w:jc w:val="center"/>
        <w:rPr>
          <w:sz w:val="24"/>
          <w:szCs w:val="24"/>
          <w:u w:val="single"/>
        </w:rPr>
      </w:pPr>
    </w:p>
    <w:p w:rsidR="00CB495C" w:rsidRPr="00DC4452" w:rsidRDefault="00CB495C" w:rsidP="003E01C9">
      <w:pPr>
        <w:spacing w:line="360" w:lineRule="auto"/>
        <w:jc w:val="center"/>
        <w:rPr>
          <w:sz w:val="24"/>
          <w:szCs w:val="24"/>
          <w:u w:val="single"/>
        </w:rPr>
      </w:pPr>
      <w:r w:rsidRPr="00DC4452">
        <w:rPr>
          <w:sz w:val="24"/>
          <w:szCs w:val="24"/>
          <w:u w:val="single"/>
        </w:rPr>
        <w:lastRenderedPageBreak/>
        <w:t>CONCLUSIONS OF LAW</w:t>
      </w:r>
    </w:p>
    <w:p w:rsidR="00CB495C" w:rsidRDefault="00CB495C" w:rsidP="00361D37">
      <w:pPr>
        <w:spacing w:line="360" w:lineRule="auto"/>
        <w:jc w:val="center"/>
        <w:rPr>
          <w:sz w:val="24"/>
          <w:szCs w:val="24"/>
          <w:u w:val="single"/>
        </w:rPr>
      </w:pPr>
    </w:p>
    <w:p w:rsidR="00EE10F4" w:rsidRDefault="00E87670" w:rsidP="00A46176">
      <w:pPr>
        <w:pStyle w:val="ListParagraph"/>
        <w:numPr>
          <w:ilvl w:val="0"/>
          <w:numId w:val="40"/>
        </w:numPr>
        <w:spacing w:line="360" w:lineRule="auto"/>
        <w:ind w:left="0" w:firstLine="1440"/>
        <w:rPr>
          <w:sz w:val="24"/>
          <w:szCs w:val="24"/>
        </w:rPr>
      </w:pPr>
      <w:r w:rsidRPr="00E87670">
        <w:rPr>
          <w:sz w:val="24"/>
          <w:szCs w:val="24"/>
        </w:rPr>
        <w:t>The Com</w:t>
      </w:r>
      <w:r>
        <w:rPr>
          <w:sz w:val="24"/>
          <w:szCs w:val="24"/>
        </w:rPr>
        <w:t>mission has jurisdiction over the parties and subject matter of this Formal Complaint.</w:t>
      </w:r>
    </w:p>
    <w:p w:rsidR="00E87670" w:rsidRDefault="00E87670" w:rsidP="00A46176">
      <w:pPr>
        <w:pStyle w:val="ListParagraph"/>
        <w:spacing w:line="360" w:lineRule="auto"/>
        <w:ind w:left="0" w:firstLine="1440"/>
        <w:rPr>
          <w:sz w:val="24"/>
          <w:szCs w:val="24"/>
        </w:rPr>
      </w:pPr>
    </w:p>
    <w:p w:rsidR="00E87670" w:rsidRDefault="00E87670" w:rsidP="00A46176">
      <w:pPr>
        <w:pStyle w:val="ListParagraph"/>
        <w:numPr>
          <w:ilvl w:val="0"/>
          <w:numId w:val="40"/>
        </w:numPr>
        <w:spacing w:line="360" w:lineRule="auto"/>
        <w:ind w:left="0" w:firstLine="1440"/>
        <w:rPr>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 xml:space="preserve">66 </w:t>
      </w:r>
      <w:proofErr w:type="spellStart"/>
      <w:r w:rsidRPr="00A941C5">
        <w:rPr>
          <w:sz w:val="24"/>
          <w:szCs w:val="24"/>
        </w:rPr>
        <w:t>Pa.C.S</w:t>
      </w:r>
      <w:proofErr w:type="spellEnd"/>
      <w:r w:rsidRPr="00A941C5">
        <w:rPr>
          <w:sz w:val="24"/>
          <w:szCs w:val="24"/>
        </w:rPr>
        <w:t>.</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p>
    <w:p w:rsidR="00421848" w:rsidRDefault="00421848" w:rsidP="00A46176">
      <w:pPr>
        <w:pStyle w:val="ListParagraph"/>
        <w:spacing w:line="360" w:lineRule="auto"/>
        <w:ind w:left="0" w:firstLine="1440"/>
        <w:rPr>
          <w:sz w:val="24"/>
          <w:szCs w:val="24"/>
        </w:rPr>
      </w:pPr>
    </w:p>
    <w:p w:rsidR="00E87670" w:rsidRPr="00E87670" w:rsidRDefault="00E87670" w:rsidP="00A46176">
      <w:pPr>
        <w:pStyle w:val="ListParagraph"/>
        <w:numPr>
          <w:ilvl w:val="0"/>
          <w:numId w:val="40"/>
        </w:numPr>
        <w:spacing w:line="360" w:lineRule="auto"/>
        <w:ind w:left="0" w:firstLine="1440"/>
        <w:rPr>
          <w:sz w:val="24"/>
          <w:szCs w:val="24"/>
        </w:rPr>
      </w:pP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
    <w:p w:rsidR="00E87670" w:rsidRPr="00E87670" w:rsidRDefault="00E87670" w:rsidP="00A46176">
      <w:pPr>
        <w:pStyle w:val="ListParagraph"/>
        <w:spacing w:line="360" w:lineRule="auto"/>
        <w:ind w:left="0" w:firstLine="1440"/>
        <w:rPr>
          <w:spacing w:val="-3"/>
          <w:sz w:val="24"/>
          <w:szCs w:val="24"/>
        </w:rPr>
      </w:pPr>
    </w:p>
    <w:p w:rsidR="00F97690" w:rsidRPr="00A46176" w:rsidRDefault="00F97690" w:rsidP="00A46176">
      <w:pPr>
        <w:pStyle w:val="BodyText"/>
        <w:numPr>
          <w:ilvl w:val="0"/>
          <w:numId w:val="40"/>
        </w:numPr>
        <w:spacing w:after="0" w:line="360" w:lineRule="auto"/>
        <w:ind w:left="0" w:firstLine="1440"/>
        <w:rPr>
          <w:sz w:val="24"/>
          <w:szCs w:val="24"/>
        </w:rPr>
      </w:pPr>
      <w:r>
        <w:rPr>
          <w:sz w:val="24"/>
          <w:szCs w:val="24"/>
        </w:rPr>
        <w:t xml:space="preserve">The length of time for a customer to resolve an unpaid balance on an account that is subject to a payment arrangement that is investigated by the commission and is entered into by a public utility and a customer shall not extend beyond </w:t>
      </w:r>
      <w:r w:rsidRPr="00F97690">
        <w:rPr>
          <w:sz w:val="24"/>
          <w:szCs w:val="24"/>
        </w:rPr>
        <w:t>five years for customers with a gross income level not exceeding 150% of the Federal poverty index</w:t>
      </w:r>
      <w:r w:rsidR="001020CF">
        <w:rPr>
          <w:sz w:val="24"/>
          <w:szCs w:val="24"/>
        </w:rPr>
        <w:t>.</w:t>
      </w:r>
      <w:r w:rsidR="00A46176">
        <w:rPr>
          <w:sz w:val="24"/>
          <w:szCs w:val="24"/>
        </w:rPr>
        <w:t xml:space="preserve">  </w:t>
      </w:r>
      <w:proofErr w:type="gramStart"/>
      <w:r w:rsidRPr="00A46176">
        <w:rPr>
          <w:sz w:val="24"/>
          <w:szCs w:val="24"/>
        </w:rPr>
        <w:t xml:space="preserve">66 </w:t>
      </w:r>
      <w:proofErr w:type="spellStart"/>
      <w:r w:rsidRPr="00A46176">
        <w:rPr>
          <w:sz w:val="24"/>
          <w:szCs w:val="24"/>
        </w:rPr>
        <w:t>Pa.C.S</w:t>
      </w:r>
      <w:proofErr w:type="spellEnd"/>
      <w:r w:rsidRPr="00A46176">
        <w:rPr>
          <w:sz w:val="24"/>
          <w:szCs w:val="24"/>
        </w:rPr>
        <w:t>.</w:t>
      </w:r>
      <w:proofErr w:type="gramEnd"/>
      <w:r w:rsidRPr="00A46176">
        <w:rPr>
          <w:sz w:val="24"/>
          <w:szCs w:val="24"/>
        </w:rPr>
        <w:t xml:space="preserve"> § 1405 </w:t>
      </w:r>
      <w:r w:rsidR="00BA22DA">
        <w:rPr>
          <w:sz w:val="24"/>
          <w:szCs w:val="24"/>
        </w:rPr>
        <w:t>(</w:t>
      </w:r>
      <w:r w:rsidRPr="00A46176">
        <w:rPr>
          <w:sz w:val="24"/>
          <w:szCs w:val="24"/>
        </w:rPr>
        <w:t>b</w:t>
      </w:r>
      <w:proofErr w:type="gramStart"/>
      <w:r w:rsidR="00BA22DA">
        <w:rPr>
          <w:sz w:val="24"/>
          <w:szCs w:val="24"/>
        </w:rPr>
        <w:t>)</w:t>
      </w:r>
      <w:r w:rsidRPr="00A46176">
        <w:rPr>
          <w:sz w:val="24"/>
          <w:szCs w:val="24"/>
        </w:rPr>
        <w:t>(</w:t>
      </w:r>
      <w:proofErr w:type="gramEnd"/>
      <w:r w:rsidRPr="00A46176">
        <w:rPr>
          <w:sz w:val="24"/>
          <w:szCs w:val="24"/>
        </w:rPr>
        <w:t>1).</w:t>
      </w:r>
    </w:p>
    <w:p w:rsidR="00E87670" w:rsidRPr="00E87670" w:rsidRDefault="00E87670" w:rsidP="00A46176">
      <w:pPr>
        <w:pStyle w:val="ListParagraph"/>
        <w:spacing w:line="360" w:lineRule="auto"/>
        <w:ind w:left="0" w:firstLine="1440"/>
        <w:rPr>
          <w:sz w:val="24"/>
          <w:szCs w:val="24"/>
        </w:rPr>
      </w:pPr>
    </w:p>
    <w:p w:rsidR="00E87670" w:rsidRDefault="00E87670" w:rsidP="00A46176">
      <w:pPr>
        <w:pStyle w:val="ListParagraph"/>
        <w:numPr>
          <w:ilvl w:val="0"/>
          <w:numId w:val="40"/>
        </w:numPr>
        <w:spacing w:line="360" w:lineRule="auto"/>
        <w:ind w:left="0" w:firstLine="1440"/>
        <w:rPr>
          <w:sz w:val="24"/>
          <w:szCs w:val="24"/>
        </w:rPr>
      </w:pPr>
      <w:r w:rsidRPr="00E87670">
        <w:rPr>
          <w:sz w:val="24"/>
          <w:szCs w:val="24"/>
        </w:rPr>
        <w:t xml:space="preserve"> Low income or insufficient income does not excuse a failure to make payments as directed by </w:t>
      </w:r>
      <w:r w:rsidR="00B412F0">
        <w:rPr>
          <w:sz w:val="24"/>
          <w:szCs w:val="24"/>
        </w:rPr>
        <w:t xml:space="preserve">a </w:t>
      </w:r>
      <w:bookmarkStart w:id="0" w:name="_GoBack"/>
      <w:bookmarkEnd w:id="0"/>
      <w:r w:rsidRPr="00E87670">
        <w:rPr>
          <w:sz w:val="24"/>
          <w:szCs w:val="24"/>
        </w:rPr>
        <w:t xml:space="preserve">BCS decision.  </w:t>
      </w:r>
      <w:r w:rsidRPr="00E87670">
        <w:rPr>
          <w:i/>
          <w:sz w:val="24"/>
          <w:szCs w:val="24"/>
        </w:rPr>
        <w:t>Downey v. Duquesne Light Company</w:t>
      </w:r>
      <w:r w:rsidRPr="00E87670">
        <w:rPr>
          <w:sz w:val="24"/>
          <w:szCs w:val="24"/>
        </w:rPr>
        <w:t>, Docket No. C</w:t>
      </w:r>
      <w:r w:rsidR="00632B82">
        <w:rPr>
          <w:sz w:val="24"/>
          <w:szCs w:val="24"/>
        </w:rPr>
        <w:noBreakHyphen/>
      </w:r>
      <w:r w:rsidRPr="00E87670">
        <w:rPr>
          <w:sz w:val="24"/>
          <w:szCs w:val="24"/>
        </w:rPr>
        <w:t xml:space="preserve">00968410 (Order entered September 16, 1997); </w:t>
      </w:r>
      <w:proofErr w:type="spellStart"/>
      <w:r w:rsidRPr="00E87670">
        <w:rPr>
          <w:i/>
          <w:sz w:val="24"/>
          <w:szCs w:val="24"/>
        </w:rPr>
        <w:t>Stathakis</w:t>
      </w:r>
      <w:proofErr w:type="spellEnd"/>
      <w:r w:rsidRPr="00E87670">
        <w:rPr>
          <w:i/>
          <w:sz w:val="24"/>
          <w:szCs w:val="24"/>
        </w:rPr>
        <w:t xml:space="preserve"> v. Pennsylvania Power &amp; Light Co.,</w:t>
      </w:r>
      <w:r w:rsidRPr="00E87670">
        <w:rPr>
          <w:sz w:val="24"/>
          <w:szCs w:val="24"/>
        </w:rPr>
        <w:t xml:space="preserve"> Docket No. F-00294590 (Order entered October 24, 1996).  </w:t>
      </w:r>
    </w:p>
    <w:p w:rsidR="00E87670" w:rsidRPr="00E87670" w:rsidRDefault="00E87670" w:rsidP="00A46176">
      <w:pPr>
        <w:pStyle w:val="ListParagraph"/>
        <w:spacing w:line="360" w:lineRule="auto"/>
        <w:ind w:left="0" w:firstLine="1440"/>
        <w:rPr>
          <w:sz w:val="24"/>
          <w:szCs w:val="24"/>
        </w:rPr>
      </w:pPr>
    </w:p>
    <w:p w:rsidR="00E87670" w:rsidRDefault="00E87670" w:rsidP="00A46176">
      <w:pPr>
        <w:pStyle w:val="ListParagraph"/>
        <w:numPr>
          <w:ilvl w:val="0"/>
          <w:numId w:val="40"/>
        </w:numPr>
        <w:spacing w:line="360" w:lineRule="auto"/>
        <w:ind w:left="0" w:firstLine="1440"/>
        <w:rPr>
          <w:sz w:val="24"/>
          <w:szCs w:val="24"/>
        </w:rPr>
      </w:pPr>
      <w:r w:rsidRPr="00E87670">
        <w:rPr>
          <w:sz w:val="24"/>
          <w:szCs w:val="24"/>
        </w:rPr>
        <w:t xml:space="preserve"> </w:t>
      </w:r>
      <w:r>
        <w:rPr>
          <w:sz w:val="24"/>
          <w:szCs w:val="24"/>
        </w:rPr>
        <w:t>A</w:t>
      </w:r>
      <w:r w:rsidRPr="00D65444">
        <w:rPr>
          <w:sz w:val="24"/>
          <w:szCs w:val="24"/>
        </w:rPr>
        <w:t xml:space="preserve"> public utility is entitled to receive payment for the service it provides</w:t>
      </w:r>
      <w:r w:rsidRPr="00E87670">
        <w:rPr>
          <w:i/>
          <w:sz w:val="24"/>
          <w:szCs w:val="24"/>
        </w:rPr>
        <w:t xml:space="preserve">.  </w:t>
      </w:r>
      <w:proofErr w:type="spellStart"/>
      <w:r w:rsidRPr="00E87670">
        <w:rPr>
          <w:i/>
          <w:sz w:val="24"/>
          <w:szCs w:val="24"/>
        </w:rPr>
        <w:t>Scaccia</w:t>
      </w:r>
      <w:proofErr w:type="spellEnd"/>
      <w:r w:rsidRPr="00E87670">
        <w:rPr>
          <w:i/>
          <w:sz w:val="24"/>
          <w:szCs w:val="24"/>
        </w:rPr>
        <w:t xml:space="preserve"> v. West Penn Power Company</w:t>
      </w:r>
      <w:r w:rsidR="00C76566">
        <w:rPr>
          <w:sz w:val="24"/>
          <w:szCs w:val="24"/>
        </w:rPr>
        <w:t>, 55 Pa. P</w:t>
      </w:r>
      <w:r>
        <w:rPr>
          <w:sz w:val="24"/>
          <w:szCs w:val="24"/>
        </w:rPr>
        <w:t>U</w:t>
      </w:r>
      <w:r w:rsidR="00C76566">
        <w:rPr>
          <w:sz w:val="24"/>
          <w:szCs w:val="24"/>
        </w:rPr>
        <w:t>C</w:t>
      </w:r>
      <w:r>
        <w:rPr>
          <w:sz w:val="24"/>
          <w:szCs w:val="24"/>
        </w:rPr>
        <w:t xml:space="preserve"> 637 (1982). </w:t>
      </w:r>
    </w:p>
    <w:p w:rsidR="00E87670" w:rsidRDefault="00E87670" w:rsidP="00A46176">
      <w:pPr>
        <w:pStyle w:val="ListParagraph"/>
        <w:spacing w:line="360" w:lineRule="auto"/>
        <w:ind w:left="0" w:firstLine="1440"/>
        <w:rPr>
          <w:sz w:val="24"/>
          <w:szCs w:val="24"/>
        </w:rPr>
      </w:pPr>
    </w:p>
    <w:p w:rsidR="00EE7EC5" w:rsidRDefault="00EE7EC5" w:rsidP="00A46176">
      <w:pPr>
        <w:pStyle w:val="ListParagraph"/>
        <w:spacing w:line="360" w:lineRule="auto"/>
        <w:ind w:left="0" w:firstLine="1440"/>
        <w:rPr>
          <w:sz w:val="24"/>
          <w:szCs w:val="24"/>
        </w:rPr>
      </w:pPr>
    </w:p>
    <w:p w:rsidR="00EE7EC5" w:rsidRPr="00E87670" w:rsidRDefault="00EE7EC5" w:rsidP="00A46176">
      <w:pPr>
        <w:pStyle w:val="ListParagraph"/>
        <w:spacing w:line="360" w:lineRule="auto"/>
        <w:ind w:left="0" w:firstLine="1440"/>
        <w:rPr>
          <w:sz w:val="24"/>
          <w:szCs w:val="24"/>
        </w:rPr>
      </w:pPr>
    </w:p>
    <w:p w:rsidR="00E87670" w:rsidRDefault="00E87670" w:rsidP="00A46176">
      <w:pPr>
        <w:pStyle w:val="ListParagraph"/>
        <w:numPr>
          <w:ilvl w:val="0"/>
          <w:numId w:val="40"/>
        </w:numPr>
        <w:spacing w:line="360" w:lineRule="auto"/>
        <w:ind w:left="0" w:firstLine="1440"/>
        <w:rPr>
          <w:sz w:val="24"/>
          <w:szCs w:val="24"/>
        </w:rPr>
      </w:pPr>
      <w:r w:rsidRPr="00E87670">
        <w:rPr>
          <w:sz w:val="24"/>
          <w:szCs w:val="24"/>
        </w:rPr>
        <w:lastRenderedPageBreak/>
        <w:t xml:space="preserve"> A public utility may notify a customer and terminate service provided to a customer after notice as provided in subsection (b) for any of the following actions by the customer:</w:t>
      </w:r>
    </w:p>
    <w:p w:rsidR="00EE7EC5" w:rsidRPr="00E87670" w:rsidRDefault="00EE7EC5" w:rsidP="00CA67A8">
      <w:pPr>
        <w:pStyle w:val="ListParagraph"/>
        <w:ind w:left="1440"/>
        <w:rPr>
          <w:sz w:val="24"/>
          <w:szCs w:val="24"/>
        </w:rPr>
      </w:pPr>
    </w:p>
    <w:p w:rsidR="00E87670" w:rsidRDefault="00E87670" w:rsidP="0035251A">
      <w:pPr>
        <w:pStyle w:val="BodyText"/>
        <w:numPr>
          <w:ilvl w:val="0"/>
          <w:numId w:val="41"/>
        </w:numPr>
        <w:spacing w:after="0"/>
        <w:ind w:left="1886" w:firstLine="274"/>
        <w:rPr>
          <w:sz w:val="24"/>
          <w:szCs w:val="24"/>
        </w:rPr>
      </w:pPr>
      <w:r>
        <w:rPr>
          <w:sz w:val="24"/>
          <w:szCs w:val="24"/>
        </w:rPr>
        <w:t>Nonpayment of an undisputed delinquent account.</w:t>
      </w:r>
    </w:p>
    <w:p w:rsidR="003534E5" w:rsidRDefault="003534E5" w:rsidP="00CA67A8">
      <w:pPr>
        <w:pStyle w:val="BodyText"/>
        <w:spacing w:after="0"/>
        <w:ind w:firstLine="1440"/>
        <w:rPr>
          <w:sz w:val="24"/>
          <w:szCs w:val="24"/>
        </w:rPr>
      </w:pPr>
    </w:p>
    <w:p w:rsidR="009159E6" w:rsidRDefault="00E87670" w:rsidP="00CA67A8">
      <w:pPr>
        <w:pStyle w:val="BodyText"/>
        <w:numPr>
          <w:ilvl w:val="0"/>
          <w:numId w:val="41"/>
        </w:numPr>
        <w:ind w:left="0" w:firstLine="2160"/>
        <w:rPr>
          <w:sz w:val="24"/>
          <w:szCs w:val="24"/>
        </w:rPr>
      </w:pPr>
      <w:r>
        <w:rPr>
          <w:sz w:val="24"/>
          <w:szCs w:val="24"/>
        </w:rPr>
        <w:t xml:space="preserve">Failure to comply with the material terms of a payment </w:t>
      </w:r>
      <w:r w:rsidR="00CA67A8">
        <w:rPr>
          <w:sz w:val="24"/>
          <w:szCs w:val="24"/>
        </w:rPr>
        <w:tab/>
      </w:r>
      <w:r w:rsidR="00CA67A8">
        <w:rPr>
          <w:sz w:val="24"/>
          <w:szCs w:val="24"/>
        </w:rPr>
        <w:tab/>
      </w:r>
      <w:r w:rsidR="00CA67A8">
        <w:rPr>
          <w:sz w:val="24"/>
          <w:szCs w:val="24"/>
        </w:rPr>
        <w:tab/>
      </w:r>
      <w:r w:rsidR="00CA67A8">
        <w:rPr>
          <w:sz w:val="24"/>
          <w:szCs w:val="24"/>
        </w:rPr>
        <w:tab/>
      </w:r>
      <w:r w:rsidR="00CA67A8">
        <w:rPr>
          <w:sz w:val="24"/>
          <w:szCs w:val="24"/>
        </w:rPr>
        <w:tab/>
      </w:r>
      <w:r w:rsidR="00CA67A8">
        <w:rPr>
          <w:sz w:val="24"/>
          <w:szCs w:val="24"/>
        </w:rPr>
        <w:tab/>
      </w:r>
      <w:r w:rsidR="004F7DB4">
        <w:rPr>
          <w:sz w:val="24"/>
          <w:szCs w:val="24"/>
        </w:rPr>
        <w:t>arrangement</w:t>
      </w:r>
      <w:r w:rsidR="004F4241">
        <w:rPr>
          <w:sz w:val="24"/>
          <w:szCs w:val="24"/>
        </w:rPr>
        <w:t>.</w:t>
      </w:r>
      <w:r w:rsidR="009159E6">
        <w:rPr>
          <w:sz w:val="24"/>
          <w:szCs w:val="24"/>
        </w:rPr>
        <w:t>…</w:t>
      </w:r>
    </w:p>
    <w:p w:rsidR="00CA67A8" w:rsidRDefault="00CA67A8" w:rsidP="00CA67A8">
      <w:pPr>
        <w:pStyle w:val="BodyText"/>
        <w:spacing w:after="0"/>
        <w:ind w:left="2160"/>
        <w:rPr>
          <w:sz w:val="24"/>
          <w:szCs w:val="24"/>
        </w:rPr>
      </w:pPr>
    </w:p>
    <w:p w:rsidR="00E87670" w:rsidRDefault="00E87670" w:rsidP="00A46176">
      <w:pPr>
        <w:pStyle w:val="BodyText"/>
        <w:spacing w:after="0" w:line="360" w:lineRule="auto"/>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1406(a).</w:t>
      </w:r>
    </w:p>
    <w:p w:rsidR="00E87670" w:rsidRDefault="00E87670" w:rsidP="00A46176">
      <w:pPr>
        <w:pStyle w:val="BodyText"/>
        <w:spacing w:line="360" w:lineRule="auto"/>
        <w:ind w:firstLine="1440"/>
        <w:rPr>
          <w:sz w:val="24"/>
          <w:szCs w:val="24"/>
        </w:rPr>
      </w:pPr>
    </w:p>
    <w:p w:rsidR="00386AF2" w:rsidRDefault="00E87670" w:rsidP="00A46176">
      <w:pPr>
        <w:pStyle w:val="ListParagraph"/>
        <w:numPr>
          <w:ilvl w:val="0"/>
          <w:numId w:val="40"/>
        </w:numPr>
        <w:spacing w:line="360" w:lineRule="auto"/>
        <w:ind w:left="0" w:firstLine="1440"/>
        <w:rPr>
          <w:sz w:val="24"/>
          <w:szCs w:val="24"/>
        </w:rPr>
      </w:pPr>
      <w:r>
        <w:rPr>
          <w:sz w:val="24"/>
          <w:szCs w:val="24"/>
        </w:rPr>
        <w:t>The Complainant did not meet her burden of proof to show that PPL Electric Utilities Corporation violated a statute, regulation or order of this Commission.</w:t>
      </w:r>
    </w:p>
    <w:p w:rsidR="003D21A6" w:rsidRDefault="003D21A6" w:rsidP="00A46176">
      <w:pPr>
        <w:pStyle w:val="ListParagraph"/>
        <w:spacing w:line="360" w:lineRule="auto"/>
        <w:ind w:left="0" w:firstLine="1440"/>
        <w:rPr>
          <w:sz w:val="24"/>
          <w:szCs w:val="24"/>
        </w:rPr>
      </w:pPr>
    </w:p>
    <w:p w:rsidR="00E87670" w:rsidRPr="00CA67A8" w:rsidRDefault="00CA67A8" w:rsidP="00CA67A8">
      <w:pPr>
        <w:spacing w:line="360" w:lineRule="auto"/>
        <w:ind w:firstLine="1440"/>
        <w:rPr>
          <w:sz w:val="24"/>
          <w:szCs w:val="24"/>
        </w:rPr>
      </w:pPr>
      <w:r>
        <w:rPr>
          <w:spacing w:val="-3"/>
          <w:sz w:val="24"/>
          <w:szCs w:val="24"/>
        </w:rPr>
        <w:t>9.</w:t>
      </w:r>
      <w:r>
        <w:rPr>
          <w:spacing w:val="-3"/>
          <w:sz w:val="24"/>
          <w:szCs w:val="24"/>
        </w:rPr>
        <w:tab/>
      </w:r>
      <w:r w:rsidR="00386AF2" w:rsidRPr="00CA67A8">
        <w:rPr>
          <w:spacing w:val="-3"/>
          <w:sz w:val="24"/>
          <w:szCs w:val="24"/>
        </w:rPr>
        <w:t xml:space="preserve">The Complainant did not meet her burden of proof to show that she is entitled to </w:t>
      </w:r>
      <w:r w:rsidR="001969C4" w:rsidRPr="00CA67A8">
        <w:rPr>
          <w:spacing w:val="-3"/>
          <w:sz w:val="24"/>
          <w:szCs w:val="24"/>
        </w:rPr>
        <w:t xml:space="preserve">a </w:t>
      </w:r>
      <w:r w:rsidR="001969C4" w:rsidRPr="00CA67A8">
        <w:rPr>
          <w:i/>
          <w:spacing w:val="-3"/>
          <w:sz w:val="24"/>
          <w:szCs w:val="24"/>
        </w:rPr>
        <w:t>lower</w:t>
      </w:r>
      <w:r w:rsidR="001969C4" w:rsidRPr="00CA67A8">
        <w:rPr>
          <w:spacing w:val="-3"/>
          <w:sz w:val="24"/>
          <w:szCs w:val="24"/>
        </w:rPr>
        <w:t xml:space="preserve"> </w:t>
      </w:r>
      <w:r w:rsidR="00386AF2" w:rsidRPr="00CA67A8">
        <w:rPr>
          <w:spacing w:val="-3"/>
          <w:sz w:val="24"/>
          <w:szCs w:val="24"/>
        </w:rPr>
        <w:t xml:space="preserve">payment </w:t>
      </w:r>
      <w:r w:rsidR="004F7DB4" w:rsidRPr="00CA67A8">
        <w:rPr>
          <w:spacing w:val="-3"/>
          <w:sz w:val="24"/>
          <w:szCs w:val="24"/>
        </w:rPr>
        <w:t>arrangement</w:t>
      </w:r>
      <w:r w:rsidR="001020CF" w:rsidRPr="00CA67A8">
        <w:rPr>
          <w:spacing w:val="-3"/>
          <w:sz w:val="24"/>
          <w:szCs w:val="24"/>
        </w:rPr>
        <w:t>, the BCS decision is correct</w:t>
      </w:r>
      <w:r w:rsidR="00386AF2" w:rsidRPr="00CA67A8">
        <w:rPr>
          <w:spacing w:val="-3"/>
          <w:sz w:val="24"/>
          <w:szCs w:val="24"/>
        </w:rPr>
        <w:t>.</w:t>
      </w:r>
      <w:r w:rsidR="00E87670" w:rsidRPr="00CA67A8">
        <w:rPr>
          <w:spacing w:val="-3"/>
          <w:sz w:val="24"/>
          <w:szCs w:val="24"/>
        </w:rPr>
        <w:t xml:space="preserve"> </w:t>
      </w:r>
      <w:r w:rsidR="001020CF" w:rsidRPr="00CA67A8">
        <w:rPr>
          <w:spacing w:val="-3"/>
          <w:sz w:val="24"/>
          <w:szCs w:val="24"/>
        </w:rPr>
        <w:t xml:space="preserve"> The Complainant is entitled to a payment arrangement, but the terms remain the same, she has sixty months to pay off her arrearage and must pay her current bill or risk termination.  </w:t>
      </w:r>
      <w:proofErr w:type="gramStart"/>
      <w:r w:rsidR="001020CF" w:rsidRPr="00CA67A8">
        <w:rPr>
          <w:spacing w:val="-3"/>
          <w:sz w:val="24"/>
          <w:szCs w:val="24"/>
        </w:rPr>
        <w:t xml:space="preserve">66 </w:t>
      </w:r>
      <w:proofErr w:type="spellStart"/>
      <w:r w:rsidR="001020CF" w:rsidRPr="00CA67A8">
        <w:rPr>
          <w:spacing w:val="-3"/>
          <w:sz w:val="24"/>
          <w:szCs w:val="24"/>
        </w:rPr>
        <w:t>Pa.C.S</w:t>
      </w:r>
      <w:proofErr w:type="spellEnd"/>
      <w:r w:rsidR="001020CF" w:rsidRPr="00CA67A8">
        <w:rPr>
          <w:spacing w:val="-3"/>
          <w:sz w:val="24"/>
          <w:szCs w:val="24"/>
        </w:rPr>
        <w:t>.</w:t>
      </w:r>
      <w:proofErr w:type="gramEnd"/>
      <w:r w:rsidR="00B705DA" w:rsidRPr="00CA67A8">
        <w:rPr>
          <w:spacing w:val="-3"/>
          <w:sz w:val="24"/>
          <w:szCs w:val="24"/>
        </w:rPr>
        <w:t xml:space="preserve"> </w:t>
      </w:r>
      <w:r w:rsidR="001020CF" w:rsidRPr="00CA67A8">
        <w:rPr>
          <w:spacing w:val="-3"/>
          <w:sz w:val="24"/>
          <w:szCs w:val="24"/>
        </w:rPr>
        <w:t>§</w:t>
      </w:r>
      <w:r w:rsidR="00B705DA" w:rsidRPr="00CA67A8">
        <w:rPr>
          <w:spacing w:val="-3"/>
          <w:sz w:val="24"/>
          <w:szCs w:val="24"/>
        </w:rPr>
        <w:t>§</w:t>
      </w:r>
      <w:r w:rsidR="001020CF" w:rsidRPr="00CA67A8">
        <w:rPr>
          <w:spacing w:val="-3"/>
          <w:sz w:val="24"/>
          <w:szCs w:val="24"/>
        </w:rPr>
        <w:t xml:space="preserve"> 332(a)</w:t>
      </w:r>
      <w:r w:rsidR="00B705DA" w:rsidRPr="00CA67A8">
        <w:rPr>
          <w:spacing w:val="-3"/>
          <w:sz w:val="24"/>
          <w:szCs w:val="24"/>
        </w:rPr>
        <w:t>, 1405</w:t>
      </w:r>
      <w:r>
        <w:rPr>
          <w:spacing w:val="-3"/>
          <w:sz w:val="24"/>
          <w:szCs w:val="24"/>
        </w:rPr>
        <w:t>(</w:t>
      </w:r>
      <w:r w:rsidR="00B705DA" w:rsidRPr="00CA67A8">
        <w:rPr>
          <w:spacing w:val="-3"/>
          <w:sz w:val="24"/>
          <w:szCs w:val="24"/>
        </w:rPr>
        <w:t>b</w:t>
      </w:r>
      <w:proofErr w:type="gramStart"/>
      <w:r>
        <w:rPr>
          <w:spacing w:val="-3"/>
          <w:sz w:val="24"/>
          <w:szCs w:val="24"/>
        </w:rPr>
        <w:t>)</w:t>
      </w:r>
      <w:r w:rsidR="00B705DA" w:rsidRPr="00CA67A8">
        <w:rPr>
          <w:spacing w:val="-3"/>
          <w:sz w:val="24"/>
          <w:szCs w:val="24"/>
        </w:rPr>
        <w:t>(</w:t>
      </w:r>
      <w:proofErr w:type="gramEnd"/>
      <w:r w:rsidR="00B705DA" w:rsidRPr="00CA67A8">
        <w:rPr>
          <w:spacing w:val="-3"/>
          <w:sz w:val="24"/>
          <w:szCs w:val="24"/>
        </w:rPr>
        <w:t>1), 1406(a)</w:t>
      </w:r>
      <w:r w:rsidR="001020CF" w:rsidRPr="00CA67A8">
        <w:rPr>
          <w:spacing w:val="-3"/>
          <w:sz w:val="24"/>
          <w:szCs w:val="24"/>
        </w:rPr>
        <w:t>.</w:t>
      </w:r>
    </w:p>
    <w:p w:rsidR="00CB495C" w:rsidRPr="00DC4452" w:rsidRDefault="00CB495C" w:rsidP="00012B0F">
      <w:pPr>
        <w:spacing w:line="360" w:lineRule="auto"/>
        <w:jc w:val="center"/>
        <w:rPr>
          <w:sz w:val="24"/>
          <w:szCs w:val="24"/>
          <w:u w:val="single"/>
        </w:rPr>
      </w:pPr>
    </w:p>
    <w:p w:rsidR="00CB495C" w:rsidRDefault="00CB495C" w:rsidP="000A760C">
      <w:pPr>
        <w:spacing w:line="360" w:lineRule="auto"/>
        <w:jc w:val="center"/>
        <w:rPr>
          <w:sz w:val="24"/>
          <w:szCs w:val="24"/>
          <w:u w:val="single"/>
        </w:rPr>
      </w:pPr>
      <w:r w:rsidRPr="00DC4452">
        <w:rPr>
          <w:sz w:val="24"/>
          <w:szCs w:val="24"/>
          <w:u w:val="single"/>
        </w:rPr>
        <w:t>ORDER</w:t>
      </w:r>
    </w:p>
    <w:p w:rsidR="00632B82" w:rsidRPr="00DC4452" w:rsidRDefault="00632B82" w:rsidP="00CB495C">
      <w:pPr>
        <w:jc w:val="center"/>
        <w:rPr>
          <w:sz w:val="24"/>
          <w:szCs w:val="24"/>
          <w:u w:val="single"/>
        </w:rPr>
      </w:pPr>
    </w:p>
    <w:p w:rsidR="005C3634" w:rsidRDefault="005C3634" w:rsidP="00CB495C">
      <w:pPr>
        <w:jc w:val="center"/>
        <w:rPr>
          <w:sz w:val="24"/>
          <w:szCs w:val="24"/>
          <w:u w:val="single"/>
        </w:rPr>
      </w:pPr>
    </w:p>
    <w:p w:rsidR="00BE5F2D" w:rsidRDefault="00632B82" w:rsidP="00632B82">
      <w:pPr>
        <w:spacing w:line="360" w:lineRule="auto"/>
        <w:rPr>
          <w:sz w:val="24"/>
          <w:szCs w:val="24"/>
        </w:rPr>
      </w:pPr>
      <w:r>
        <w:rPr>
          <w:sz w:val="24"/>
          <w:szCs w:val="24"/>
        </w:rPr>
        <w:tab/>
      </w:r>
      <w:r>
        <w:rPr>
          <w:sz w:val="24"/>
          <w:szCs w:val="24"/>
        </w:rPr>
        <w:tab/>
      </w:r>
      <w:r w:rsidR="00BE5F2D">
        <w:rPr>
          <w:sz w:val="24"/>
          <w:szCs w:val="24"/>
        </w:rPr>
        <w:t>THEREFORE,</w:t>
      </w:r>
    </w:p>
    <w:p w:rsidR="00BE5F2D" w:rsidRDefault="00BE5F2D" w:rsidP="000A760C">
      <w:pPr>
        <w:spacing w:line="360" w:lineRule="auto"/>
        <w:rPr>
          <w:sz w:val="24"/>
          <w:szCs w:val="24"/>
        </w:rPr>
      </w:pPr>
    </w:p>
    <w:p w:rsidR="00BE5F2D" w:rsidRDefault="00632B82" w:rsidP="00632B82">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386AF2" w:rsidRDefault="00386AF2" w:rsidP="000A760C">
      <w:pPr>
        <w:spacing w:line="360" w:lineRule="auto"/>
        <w:rPr>
          <w:sz w:val="24"/>
          <w:szCs w:val="24"/>
        </w:rPr>
      </w:pPr>
    </w:p>
    <w:p w:rsidR="00386AF2" w:rsidRDefault="00386AF2" w:rsidP="00632B82">
      <w:pPr>
        <w:pStyle w:val="ListParagraph"/>
        <w:numPr>
          <w:ilvl w:val="2"/>
          <w:numId w:val="37"/>
        </w:numPr>
        <w:spacing w:line="360" w:lineRule="auto"/>
        <w:ind w:left="0" w:firstLine="1440"/>
        <w:rPr>
          <w:sz w:val="24"/>
          <w:szCs w:val="24"/>
        </w:rPr>
      </w:pPr>
      <w:r>
        <w:rPr>
          <w:sz w:val="24"/>
          <w:szCs w:val="24"/>
        </w:rPr>
        <w:t xml:space="preserve">That the Formal Complaint of Janet Fairchild at Docket No. F-2015-2500157 is </w:t>
      </w:r>
      <w:r w:rsidR="001020CF">
        <w:rPr>
          <w:sz w:val="24"/>
          <w:szCs w:val="24"/>
        </w:rPr>
        <w:t>sustain</w:t>
      </w:r>
      <w:r>
        <w:rPr>
          <w:sz w:val="24"/>
          <w:szCs w:val="24"/>
        </w:rPr>
        <w:t>ed.</w:t>
      </w:r>
    </w:p>
    <w:p w:rsidR="00A46176" w:rsidRDefault="00A46176" w:rsidP="00A46176">
      <w:pPr>
        <w:pStyle w:val="ListParagraph"/>
        <w:spacing w:line="360" w:lineRule="auto"/>
        <w:ind w:left="1440"/>
        <w:rPr>
          <w:sz w:val="24"/>
          <w:szCs w:val="24"/>
        </w:rPr>
      </w:pPr>
    </w:p>
    <w:p w:rsidR="00A46176" w:rsidRDefault="00A46176" w:rsidP="00A46176">
      <w:pPr>
        <w:pStyle w:val="ListParagraph"/>
        <w:numPr>
          <w:ilvl w:val="0"/>
          <w:numId w:val="37"/>
        </w:numPr>
        <w:spacing w:line="360" w:lineRule="auto"/>
        <w:ind w:left="0" w:firstLine="1440"/>
        <w:rPr>
          <w:sz w:val="24"/>
          <w:szCs w:val="24"/>
        </w:rPr>
      </w:pPr>
      <w:r w:rsidRPr="00A46176">
        <w:rPr>
          <w:sz w:val="24"/>
          <w:szCs w:val="24"/>
        </w:rPr>
        <w:t xml:space="preserve">That Complainant shall pay Respondent on the date due for the payment </w:t>
      </w:r>
      <w:r>
        <w:rPr>
          <w:sz w:val="24"/>
          <w:szCs w:val="24"/>
        </w:rPr>
        <w:t xml:space="preserve">of each monthly bill </w:t>
      </w:r>
      <w:r w:rsidRPr="00A46176">
        <w:rPr>
          <w:sz w:val="24"/>
          <w:szCs w:val="24"/>
        </w:rPr>
        <w:t>as they come due, plus 1/60</w:t>
      </w:r>
      <w:r w:rsidRPr="00A46176">
        <w:rPr>
          <w:sz w:val="24"/>
          <w:szCs w:val="24"/>
          <w:vertAlign w:val="superscript"/>
        </w:rPr>
        <w:t>th</w:t>
      </w:r>
      <w:r w:rsidRPr="00A46176">
        <w:rPr>
          <w:sz w:val="24"/>
          <w:szCs w:val="24"/>
        </w:rPr>
        <w:t xml:space="preserve"> of the arrearage owed on this account to be calculated as of the date the Commission enters its Order in this case; these payments shall </w:t>
      </w:r>
      <w:r w:rsidRPr="00A46176">
        <w:rPr>
          <w:sz w:val="24"/>
          <w:szCs w:val="24"/>
        </w:rPr>
        <w:lastRenderedPageBreak/>
        <w:t>commence with the first monthly bill received after entry of the Commission’s Order in this case and continue thereafter on the due date for the payment of each regular monthly bill, until the arrearage on this account has been paid in full.</w:t>
      </w:r>
    </w:p>
    <w:p w:rsidR="00CA67A8" w:rsidRPr="00A46176" w:rsidRDefault="00CA67A8" w:rsidP="00CA67A8">
      <w:pPr>
        <w:pStyle w:val="ListParagraph"/>
        <w:spacing w:line="360" w:lineRule="auto"/>
        <w:ind w:left="1440"/>
        <w:rPr>
          <w:sz w:val="24"/>
          <w:szCs w:val="24"/>
        </w:rPr>
      </w:pPr>
    </w:p>
    <w:p w:rsidR="00A46176" w:rsidRPr="00A46176" w:rsidRDefault="00A46176" w:rsidP="00A46176">
      <w:pPr>
        <w:pStyle w:val="ListParagraph"/>
        <w:numPr>
          <w:ilvl w:val="0"/>
          <w:numId w:val="37"/>
        </w:numPr>
        <w:spacing w:line="360" w:lineRule="auto"/>
        <w:ind w:left="0" w:firstLine="1440"/>
        <w:rPr>
          <w:sz w:val="24"/>
          <w:szCs w:val="24"/>
        </w:rPr>
      </w:pPr>
      <w:r w:rsidRPr="00A46176">
        <w:rPr>
          <w:sz w:val="24"/>
          <w:szCs w:val="24"/>
        </w:rPr>
        <w:t>That, so long as Complainant adheres to the terms of this Order, Respondent shall not assess any late payment charges nor shall Respondent terminate service to Complainant, except for valid safety and/or emergency reasons.</w:t>
      </w:r>
    </w:p>
    <w:p w:rsidR="00A46176" w:rsidRPr="00A46176" w:rsidRDefault="00A46176" w:rsidP="00A46176">
      <w:pPr>
        <w:pStyle w:val="ListParagraph"/>
        <w:spacing w:line="360" w:lineRule="auto"/>
        <w:ind w:left="0" w:firstLine="1440"/>
        <w:rPr>
          <w:sz w:val="24"/>
          <w:szCs w:val="24"/>
        </w:rPr>
      </w:pPr>
    </w:p>
    <w:p w:rsidR="00A46176" w:rsidRDefault="00A46176" w:rsidP="00A46176">
      <w:pPr>
        <w:pStyle w:val="ListParagraph"/>
        <w:numPr>
          <w:ilvl w:val="0"/>
          <w:numId w:val="37"/>
        </w:numPr>
        <w:spacing w:line="360" w:lineRule="auto"/>
        <w:ind w:left="0" w:firstLine="1440"/>
        <w:rPr>
          <w:sz w:val="24"/>
          <w:szCs w:val="24"/>
        </w:rPr>
      </w:pPr>
      <w:r w:rsidRPr="00A46176">
        <w:rPr>
          <w:sz w:val="24"/>
          <w:szCs w:val="24"/>
        </w:rPr>
        <w:t xml:space="preserve">That if Complainant fails to adhere to the terms of this Order, the Respondent is hereby authorized to terminate Complainant’s service pursuant to the provisions of the Public Utility Code, 66 </w:t>
      </w:r>
      <w:proofErr w:type="spellStart"/>
      <w:r w:rsidRPr="00A46176">
        <w:rPr>
          <w:sz w:val="24"/>
          <w:szCs w:val="24"/>
        </w:rPr>
        <w:t>Pa.C.S</w:t>
      </w:r>
      <w:proofErr w:type="spellEnd"/>
      <w:r w:rsidRPr="00A46176">
        <w:rPr>
          <w:sz w:val="24"/>
          <w:szCs w:val="24"/>
        </w:rPr>
        <w:t xml:space="preserve">. §§ 101, </w:t>
      </w:r>
      <w:r w:rsidRPr="00A46176">
        <w:rPr>
          <w:i/>
          <w:sz w:val="24"/>
          <w:szCs w:val="24"/>
        </w:rPr>
        <w:t>et seq</w:t>
      </w:r>
      <w:r w:rsidRPr="00A46176">
        <w:rPr>
          <w:sz w:val="24"/>
          <w:szCs w:val="24"/>
        </w:rPr>
        <w:t xml:space="preserve">., and the Commission’s regulations, 52 Pa. Code §§ 56.1, </w:t>
      </w:r>
      <w:r w:rsidRPr="00A46176">
        <w:rPr>
          <w:i/>
          <w:sz w:val="24"/>
          <w:szCs w:val="24"/>
        </w:rPr>
        <w:t>et seq</w:t>
      </w:r>
      <w:r w:rsidRPr="00A46176">
        <w:rPr>
          <w:sz w:val="24"/>
          <w:szCs w:val="24"/>
        </w:rPr>
        <w:t>.</w:t>
      </w:r>
    </w:p>
    <w:p w:rsidR="00A46176" w:rsidRPr="00A46176" w:rsidRDefault="00A46176" w:rsidP="00A46176">
      <w:pPr>
        <w:pStyle w:val="ListParagraph"/>
        <w:rPr>
          <w:sz w:val="24"/>
          <w:szCs w:val="24"/>
        </w:rPr>
      </w:pPr>
    </w:p>
    <w:p w:rsidR="00386AF2" w:rsidRPr="00A46176" w:rsidRDefault="00A46176" w:rsidP="00A46176">
      <w:pPr>
        <w:pStyle w:val="ListParagraph"/>
        <w:numPr>
          <w:ilvl w:val="0"/>
          <w:numId w:val="37"/>
        </w:numPr>
        <w:spacing w:line="360" w:lineRule="auto"/>
        <w:ind w:left="0" w:firstLine="1440"/>
        <w:rPr>
          <w:sz w:val="24"/>
          <w:szCs w:val="24"/>
        </w:rPr>
      </w:pPr>
      <w:r>
        <w:rPr>
          <w:sz w:val="24"/>
          <w:szCs w:val="24"/>
        </w:rPr>
        <w:t>T</w:t>
      </w:r>
      <w:r w:rsidR="00386AF2" w:rsidRPr="00A46176">
        <w:rPr>
          <w:sz w:val="24"/>
          <w:szCs w:val="24"/>
        </w:rPr>
        <w:t>hat the Secretary’s Bureau mark Docket No. F-2015-2500157 closed.</w:t>
      </w:r>
    </w:p>
    <w:p w:rsidR="009159E6" w:rsidRDefault="009159E6" w:rsidP="008A206C">
      <w:pPr>
        <w:spacing w:line="360" w:lineRule="auto"/>
        <w:rPr>
          <w:sz w:val="24"/>
          <w:szCs w:val="24"/>
        </w:rPr>
      </w:pPr>
    </w:p>
    <w:p w:rsidR="009159E6" w:rsidRPr="00BE5F2D" w:rsidRDefault="009159E6" w:rsidP="009159E6">
      <w:pPr>
        <w:ind w:firstLine="1440"/>
        <w:rPr>
          <w:sz w:val="24"/>
          <w:szCs w:val="24"/>
        </w:rPr>
      </w:pPr>
    </w:p>
    <w:p w:rsidR="005C3634" w:rsidRDefault="005C3634" w:rsidP="00CB495C">
      <w:pPr>
        <w:jc w:val="center"/>
        <w:rPr>
          <w:sz w:val="24"/>
          <w:szCs w:val="24"/>
          <w:u w:val="single"/>
        </w:rPr>
      </w:pPr>
    </w:p>
    <w:p w:rsidR="008A206C" w:rsidRDefault="005C3634" w:rsidP="008A206C">
      <w:r w:rsidRPr="00632B82">
        <w:rPr>
          <w:sz w:val="24"/>
          <w:szCs w:val="24"/>
        </w:rPr>
        <w:t>Date:</w:t>
      </w:r>
      <w:r w:rsidR="00632B82">
        <w:rPr>
          <w:sz w:val="24"/>
          <w:szCs w:val="24"/>
        </w:rPr>
        <w:t xml:space="preserve">  </w:t>
      </w:r>
      <w:r w:rsidR="001020CF">
        <w:rPr>
          <w:sz w:val="24"/>
          <w:szCs w:val="24"/>
          <w:u w:val="single"/>
        </w:rPr>
        <w:t>January 4, 2016</w:t>
      </w:r>
      <w:r>
        <w:rPr>
          <w:sz w:val="24"/>
          <w:szCs w:val="24"/>
        </w:rPr>
        <w:tab/>
      </w:r>
      <w:r>
        <w:rPr>
          <w:sz w:val="24"/>
          <w:szCs w:val="24"/>
        </w:rPr>
        <w:tab/>
      </w:r>
      <w:r>
        <w:rPr>
          <w:sz w:val="24"/>
          <w:szCs w:val="24"/>
        </w:rPr>
        <w:tab/>
      </w:r>
      <w:r w:rsidR="00DC4452">
        <w:rPr>
          <w:sz w:val="24"/>
          <w:szCs w:val="24"/>
        </w:rPr>
        <w:tab/>
      </w:r>
      <w:r w:rsidR="008A206C">
        <w:rPr>
          <w:u w:val="single"/>
        </w:rPr>
        <w:tab/>
      </w:r>
      <w:r w:rsidR="008A206C">
        <w:rPr>
          <w:u w:val="single"/>
        </w:rPr>
        <w:tab/>
      </w:r>
      <w:r w:rsidR="008A206C" w:rsidRPr="008A206C">
        <w:rPr>
          <w:sz w:val="24"/>
          <w:szCs w:val="24"/>
          <w:u w:val="single"/>
        </w:rPr>
        <w:t>/s/</w:t>
      </w:r>
      <w:r w:rsidR="008A206C">
        <w:rPr>
          <w:u w:val="single"/>
        </w:rPr>
        <w:tab/>
      </w:r>
      <w:r w:rsidR="008A206C">
        <w:rPr>
          <w:u w:val="single"/>
        </w:rPr>
        <w:tab/>
      </w:r>
      <w:r w:rsidR="008A206C">
        <w:rPr>
          <w:u w:val="single"/>
        </w:rPr>
        <w:tab/>
      </w:r>
      <w:r w:rsidR="008A206C">
        <w:rPr>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38" w:rsidRDefault="009E7938">
      <w:r>
        <w:separator/>
      </w:r>
    </w:p>
  </w:endnote>
  <w:endnote w:type="continuationSeparator" w:id="0">
    <w:p w:rsidR="009E7938" w:rsidRDefault="009E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412F0">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38" w:rsidRDefault="009E7938">
      <w:r>
        <w:separator/>
      </w:r>
    </w:p>
  </w:footnote>
  <w:footnote w:type="continuationSeparator" w:id="0">
    <w:p w:rsidR="009E7938" w:rsidRDefault="009E7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D20024"/>
    <w:multiLevelType w:val="hybridMultilevel"/>
    <w:tmpl w:val="A6524026"/>
    <w:lvl w:ilvl="0" w:tplc="49001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F835571"/>
    <w:multiLevelType w:val="hybridMultilevel"/>
    <w:tmpl w:val="365C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E04C1F"/>
    <w:multiLevelType w:val="hybridMultilevel"/>
    <w:tmpl w:val="086A22CC"/>
    <w:lvl w:ilvl="0" w:tplc="F7EEEF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8021D"/>
    <w:multiLevelType w:val="hybridMultilevel"/>
    <w:tmpl w:val="8E524E7A"/>
    <w:lvl w:ilvl="0" w:tplc="4D5E95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6">
    <w:nsid w:val="49BE4012"/>
    <w:multiLevelType w:val="hybridMultilevel"/>
    <w:tmpl w:val="47607CCE"/>
    <w:lvl w:ilvl="0" w:tplc="22823B1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4AB954D2"/>
    <w:multiLevelType w:val="hybridMultilevel"/>
    <w:tmpl w:val="6C322C9A"/>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B1913FF"/>
    <w:multiLevelType w:val="hybridMultilevel"/>
    <w:tmpl w:val="F132AC5C"/>
    <w:lvl w:ilvl="0" w:tplc="58FADB32">
      <w:start w:val="1"/>
      <w:numFmt w:val="decimal"/>
      <w:lvlText w:val="(%1)"/>
      <w:lvlJc w:val="left"/>
      <w:pPr>
        <w:ind w:left="3225" w:hanging="178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61302830"/>
    <w:multiLevelType w:val="hybridMultilevel"/>
    <w:tmpl w:val="226AA98A"/>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E557FB"/>
    <w:multiLevelType w:val="hybridMultilevel"/>
    <w:tmpl w:val="C9E022D4"/>
    <w:lvl w:ilvl="0" w:tplc="AF70D2BA">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92C03"/>
    <w:multiLevelType w:val="hybridMultilevel"/>
    <w:tmpl w:val="4870740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6BF5646"/>
    <w:multiLevelType w:val="hybridMultilevel"/>
    <w:tmpl w:val="198C7170"/>
    <w:lvl w:ilvl="0" w:tplc="FBA23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292B0A"/>
    <w:multiLevelType w:val="hybridMultilevel"/>
    <w:tmpl w:val="5F6AFC54"/>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5"/>
  </w:num>
  <w:num w:numId="4">
    <w:abstractNumId w:val="3"/>
  </w:num>
  <w:num w:numId="5">
    <w:abstractNumId w:val="21"/>
  </w:num>
  <w:num w:numId="6">
    <w:abstractNumId w:val="14"/>
  </w:num>
  <w:num w:numId="7">
    <w:abstractNumId w:val="9"/>
  </w:num>
  <w:num w:numId="8">
    <w:abstractNumId w:val="0"/>
  </w:num>
  <w:num w:numId="9">
    <w:abstractNumId w:val="22"/>
  </w:num>
  <w:num w:numId="10">
    <w:abstractNumId w:val="28"/>
  </w:num>
  <w:num w:numId="11">
    <w:abstractNumId w:val="24"/>
  </w:num>
  <w:num w:numId="12">
    <w:abstractNumId w:val="42"/>
  </w:num>
  <w:num w:numId="13">
    <w:abstractNumId w:val="1"/>
  </w:num>
  <w:num w:numId="14">
    <w:abstractNumId w:val="10"/>
  </w:num>
  <w:num w:numId="15">
    <w:abstractNumId w:val="33"/>
  </w:num>
  <w:num w:numId="16">
    <w:abstractNumId w:val="38"/>
  </w:num>
  <w:num w:numId="17">
    <w:abstractNumId w:val="16"/>
  </w:num>
  <w:num w:numId="18">
    <w:abstractNumId w:val="7"/>
  </w:num>
  <w:num w:numId="19">
    <w:abstractNumId w:val="29"/>
  </w:num>
  <w:num w:numId="20">
    <w:abstractNumId w:val="5"/>
  </w:num>
  <w:num w:numId="21">
    <w:abstractNumId w:val="8"/>
  </w:num>
  <w:num w:numId="22">
    <w:abstractNumId w:val="19"/>
  </w:num>
  <w:num w:numId="23">
    <w:abstractNumId w:val="20"/>
  </w:num>
  <w:num w:numId="24">
    <w:abstractNumId w:val="41"/>
  </w:num>
  <w:num w:numId="25">
    <w:abstractNumId w:val="37"/>
  </w:num>
  <w:num w:numId="26">
    <w:abstractNumId w:val="6"/>
  </w:num>
  <w:num w:numId="27">
    <w:abstractNumId w:val="23"/>
  </w:num>
  <w:num w:numId="28">
    <w:abstractNumId w:val="15"/>
  </w:num>
  <w:num w:numId="29">
    <w:abstractNumId w:val="18"/>
  </w:num>
  <w:num w:numId="30">
    <w:abstractNumId w:val="12"/>
  </w:num>
  <w:num w:numId="31">
    <w:abstractNumId w:val="39"/>
  </w:num>
  <w:num w:numId="32">
    <w:abstractNumId w:val="30"/>
  </w:num>
  <w:num w:numId="33">
    <w:abstractNumId w:val="4"/>
  </w:num>
  <w:num w:numId="34">
    <w:abstractNumId w:val="2"/>
  </w:num>
  <w:num w:numId="35">
    <w:abstractNumId w:val="34"/>
  </w:num>
  <w:num w:numId="36">
    <w:abstractNumId w:val="26"/>
  </w:num>
  <w:num w:numId="37">
    <w:abstractNumId w:val="27"/>
  </w:num>
  <w:num w:numId="38">
    <w:abstractNumId w:val="31"/>
  </w:num>
  <w:num w:numId="39">
    <w:abstractNumId w:val="40"/>
  </w:num>
  <w:num w:numId="40">
    <w:abstractNumId w:val="11"/>
  </w:num>
  <w:num w:numId="41">
    <w:abstractNumId w:val="35"/>
  </w:num>
  <w:num w:numId="42">
    <w:abstractNumId w:val="43"/>
  </w:num>
  <w:num w:numId="43">
    <w:abstractNumId w:val="3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2B0F"/>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67222"/>
    <w:rsid w:val="00070E25"/>
    <w:rsid w:val="0007126E"/>
    <w:rsid w:val="000728A4"/>
    <w:rsid w:val="00072A50"/>
    <w:rsid w:val="00075A22"/>
    <w:rsid w:val="00081C79"/>
    <w:rsid w:val="00082976"/>
    <w:rsid w:val="00091672"/>
    <w:rsid w:val="00091CE2"/>
    <w:rsid w:val="00093DB9"/>
    <w:rsid w:val="000967DB"/>
    <w:rsid w:val="000A001F"/>
    <w:rsid w:val="000A1CB9"/>
    <w:rsid w:val="000A20A3"/>
    <w:rsid w:val="000A760C"/>
    <w:rsid w:val="000B5F6A"/>
    <w:rsid w:val="000C6F32"/>
    <w:rsid w:val="000D2CE8"/>
    <w:rsid w:val="000E0BD8"/>
    <w:rsid w:val="000E277A"/>
    <w:rsid w:val="000E2934"/>
    <w:rsid w:val="000E6B17"/>
    <w:rsid w:val="000F0833"/>
    <w:rsid w:val="000F1894"/>
    <w:rsid w:val="000F1F62"/>
    <w:rsid w:val="000F2F0A"/>
    <w:rsid w:val="000F6118"/>
    <w:rsid w:val="0010177F"/>
    <w:rsid w:val="001020CF"/>
    <w:rsid w:val="001027AA"/>
    <w:rsid w:val="00110C23"/>
    <w:rsid w:val="00111EA9"/>
    <w:rsid w:val="00112245"/>
    <w:rsid w:val="001122A9"/>
    <w:rsid w:val="001155B6"/>
    <w:rsid w:val="00116136"/>
    <w:rsid w:val="00124BDA"/>
    <w:rsid w:val="00125871"/>
    <w:rsid w:val="00126207"/>
    <w:rsid w:val="001312A6"/>
    <w:rsid w:val="0013337D"/>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969C4"/>
    <w:rsid w:val="001A4CC0"/>
    <w:rsid w:val="001A721E"/>
    <w:rsid w:val="001B123C"/>
    <w:rsid w:val="001B3235"/>
    <w:rsid w:val="001C20B7"/>
    <w:rsid w:val="001C715B"/>
    <w:rsid w:val="001D03C4"/>
    <w:rsid w:val="001D3206"/>
    <w:rsid w:val="001D645E"/>
    <w:rsid w:val="001D6FCF"/>
    <w:rsid w:val="001E3313"/>
    <w:rsid w:val="001E4FAC"/>
    <w:rsid w:val="001F0787"/>
    <w:rsid w:val="001F08B4"/>
    <w:rsid w:val="001F2116"/>
    <w:rsid w:val="001F3112"/>
    <w:rsid w:val="001F6FC1"/>
    <w:rsid w:val="001F7F73"/>
    <w:rsid w:val="0020095D"/>
    <w:rsid w:val="00200D69"/>
    <w:rsid w:val="00210972"/>
    <w:rsid w:val="00215221"/>
    <w:rsid w:val="00220C5E"/>
    <w:rsid w:val="00223E7E"/>
    <w:rsid w:val="00234619"/>
    <w:rsid w:val="0023520D"/>
    <w:rsid w:val="00235C44"/>
    <w:rsid w:val="00236A15"/>
    <w:rsid w:val="00236FF7"/>
    <w:rsid w:val="002416AB"/>
    <w:rsid w:val="0024496F"/>
    <w:rsid w:val="00244D86"/>
    <w:rsid w:val="00244E07"/>
    <w:rsid w:val="00251D19"/>
    <w:rsid w:val="0025370D"/>
    <w:rsid w:val="00260D19"/>
    <w:rsid w:val="00263138"/>
    <w:rsid w:val="002732DC"/>
    <w:rsid w:val="0028114B"/>
    <w:rsid w:val="0028185A"/>
    <w:rsid w:val="00290918"/>
    <w:rsid w:val="002919C6"/>
    <w:rsid w:val="00293557"/>
    <w:rsid w:val="002959E3"/>
    <w:rsid w:val="002A5C2E"/>
    <w:rsid w:val="002A7C1C"/>
    <w:rsid w:val="002B19D4"/>
    <w:rsid w:val="002B3489"/>
    <w:rsid w:val="002B4EAE"/>
    <w:rsid w:val="002B6487"/>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039"/>
    <w:rsid w:val="00337C53"/>
    <w:rsid w:val="00340AB8"/>
    <w:rsid w:val="003421E0"/>
    <w:rsid w:val="0034312D"/>
    <w:rsid w:val="00346E30"/>
    <w:rsid w:val="0035251A"/>
    <w:rsid w:val="003534E5"/>
    <w:rsid w:val="003539D2"/>
    <w:rsid w:val="00354E6F"/>
    <w:rsid w:val="0035737A"/>
    <w:rsid w:val="00361D37"/>
    <w:rsid w:val="00364519"/>
    <w:rsid w:val="003657A8"/>
    <w:rsid w:val="00380450"/>
    <w:rsid w:val="00380AD7"/>
    <w:rsid w:val="00382B1A"/>
    <w:rsid w:val="003857DF"/>
    <w:rsid w:val="00386AF2"/>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21A6"/>
    <w:rsid w:val="003D77FF"/>
    <w:rsid w:val="003D7EC6"/>
    <w:rsid w:val="003E01C9"/>
    <w:rsid w:val="003E292B"/>
    <w:rsid w:val="003E594B"/>
    <w:rsid w:val="003E5A8F"/>
    <w:rsid w:val="003F155A"/>
    <w:rsid w:val="003F18AC"/>
    <w:rsid w:val="003F5796"/>
    <w:rsid w:val="003F5965"/>
    <w:rsid w:val="003F5A23"/>
    <w:rsid w:val="003F69BF"/>
    <w:rsid w:val="00402359"/>
    <w:rsid w:val="004064A8"/>
    <w:rsid w:val="004107FD"/>
    <w:rsid w:val="00417087"/>
    <w:rsid w:val="0042160A"/>
    <w:rsid w:val="00421848"/>
    <w:rsid w:val="0042193A"/>
    <w:rsid w:val="00422E29"/>
    <w:rsid w:val="004234E3"/>
    <w:rsid w:val="00424A76"/>
    <w:rsid w:val="00427E73"/>
    <w:rsid w:val="004312BE"/>
    <w:rsid w:val="00431BEF"/>
    <w:rsid w:val="00442854"/>
    <w:rsid w:val="00453B16"/>
    <w:rsid w:val="0046339D"/>
    <w:rsid w:val="00476C8A"/>
    <w:rsid w:val="00486535"/>
    <w:rsid w:val="00490174"/>
    <w:rsid w:val="004917C1"/>
    <w:rsid w:val="00491C99"/>
    <w:rsid w:val="00495450"/>
    <w:rsid w:val="00495B88"/>
    <w:rsid w:val="004A1805"/>
    <w:rsid w:val="004A5AD6"/>
    <w:rsid w:val="004C2124"/>
    <w:rsid w:val="004C3EFA"/>
    <w:rsid w:val="004D1B54"/>
    <w:rsid w:val="004D3108"/>
    <w:rsid w:val="004D46FD"/>
    <w:rsid w:val="004D5212"/>
    <w:rsid w:val="004D65F3"/>
    <w:rsid w:val="004E187E"/>
    <w:rsid w:val="004E20CB"/>
    <w:rsid w:val="004E2912"/>
    <w:rsid w:val="004E2B03"/>
    <w:rsid w:val="004E533F"/>
    <w:rsid w:val="004F2D3D"/>
    <w:rsid w:val="004F4241"/>
    <w:rsid w:val="004F7DB4"/>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85EFA"/>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3F38"/>
    <w:rsid w:val="005E5C31"/>
    <w:rsid w:val="005E6321"/>
    <w:rsid w:val="005E6C27"/>
    <w:rsid w:val="005E78AE"/>
    <w:rsid w:val="005F17F5"/>
    <w:rsid w:val="005F38EC"/>
    <w:rsid w:val="005F3B50"/>
    <w:rsid w:val="005F452A"/>
    <w:rsid w:val="006034D3"/>
    <w:rsid w:val="0062087D"/>
    <w:rsid w:val="006215E0"/>
    <w:rsid w:val="006306EB"/>
    <w:rsid w:val="00632B82"/>
    <w:rsid w:val="00634A5C"/>
    <w:rsid w:val="006352B9"/>
    <w:rsid w:val="00641596"/>
    <w:rsid w:val="0064329B"/>
    <w:rsid w:val="006441F5"/>
    <w:rsid w:val="00644E60"/>
    <w:rsid w:val="00645B55"/>
    <w:rsid w:val="00652C21"/>
    <w:rsid w:val="0066237B"/>
    <w:rsid w:val="00663BDF"/>
    <w:rsid w:val="00663DBE"/>
    <w:rsid w:val="006656FC"/>
    <w:rsid w:val="00675607"/>
    <w:rsid w:val="00675986"/>
    <w:rsid w:val="00695694"/>
    <w:rsid w:val="006A21C2"/>
    <w:rsid w:val="006A3B47"/>
    <w:rsid w:val="006A7A0A"/>
    <w:rsid w:val="006C1047"/>
    <w:rsid w:val="006C3226"/>
    <w:rsid w:val="006D4BB7"/>
    <w:rsid w:val="006D5283"/>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2366"/>
    <w:rsid w:val="007A49B5"/>
    <w:rsid w:val="007B1672"/>
    <w:rsid w:val="007B1D2D"/>
    <w:rsid w:val="007B46F9"/>
    <w:rsid w:val="007B6CFE"/>
    <w:rsid w:val="007C36CE"/>
    <w:rsid w:val="007C74E3"/>
    <w:rsid w:val="007D3E3E"/>
    <w:rsid w:val="007D6063"/>
    <w:rsid w:val="007D6F4A"/>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25C"/>
    <w:rsid w:val="00841779"/>
    <w:rsid w:val="00841DD6"/>
    <w:rsid w:val="008506A0"/>
    <w:rsid w:val="00851A4F"/>
    <w:rsid w:val="008652B1"/>
    <w:rsid w:val="00866264"/>
    <w:rsid w:val="008663C0"/>
    <w:rsid w:val="008746E1"/>
    <w:rsid w:val="0087572C"/>
    <w:rsid w:val="008803F7"/>
    <w:rsid w:val="00881C76"/>
    <w:rsid w:val="0088763C"/>
    <w:rsid w:val="00893B0E"/>
    <w:rsid w:val="00893F0B"/>
    <w:rsid w:val="00894839"/>
    <w:rsid w:val="0089761B"/>
    <w:rsid w:val="008A0235"/>
    <w:rsid w:val="008A206C"/>
    <w:rsid w:val="008A60E2"/>
    <w:rsid w:val="008B1A8B"/>
    <w:rsid w:val="008B282A"/>
    <w:rsid w:val="008B2B8B"/>
    <w:rsid w:val="008D03B6"/>
    <w:rsid w:val="008D6D09"/>
    <w:rsid w:val="008D761F"/>
    <w:rsid w:val="008E3BE1"/>
    <w:rsid w:val="008E5A53"/>
    <w:rsid w:val="008F013A"/>
    <w:rsid w:val="008F22F9"/>
    <w:rsid w:val="008F388B"/>
    <w:rsid w:val="008F554F"/>
    <w:rsid w:val="008F6AC3"/>
    <w:rsid w:val="009077E3"/>
    <w:rsid w:val="00910EF2"/>
    <w:rsid w:val="00913B17"/>
    <w:rsid w:val="009159E6"/>
    <w:rsid w:val="009166DD"/>
    <w:rsid w:val="0091672D"/>
    <w:rsid w:val="00922FE6"/>
    <w:rsid w:val="0093170C"/>
    <w:rsid w:val="009342E4"/>
    <w:rsid w:val="009411EE"/>
    <w:rsid w:val="009445E9"/>
    <w:rsid w:val="00947175"/>
    <w:rsid w:val="00961314"/>
    <w:rsid w:val="009634B4"/>
    <w:rsid w:val="009643E3"/>
    <w:rsid w:val="009649FC"/>
    <w:rsid w:val="00964D1D"/>
    <w:rsid w:val="00965F82"/>
    <w:rsid w:val="00966FB7"/>
    <w:rsid w:val="00976A94"/>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E7938"/>
    <w:rsid w:val="009F24FB"/>
    <w:rsid w:val="009F4939"/>
    <w:rsid w:val="009F620C"/>
    <w:rsid w:val="009F7BD8"/>
    <w:rsid w:val="00A022C7"/>
    <w:rsid w:val="00A02D20"/>
    <w:rsid w:val="00A0627A"/>
    <w:rsid w:val="00A107BC"/>
    <w:rsid w:val="00A22653"/>
    <w:rsid w:val="00A23BC5"/>
    <w:rsid w:val="00A24F45"/>
    <w:rsid w:val="00A345AE"/>
    <w:rsid w:val="00A409B8"/>
    <w:rsid w:val="00A4383B"/>
    <w:rsid w:val="00A44BC6"/>
    <w:rsid w:val="00A46176"/>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243D"/>
    <w:rsid w:val="00B13849"/>
    <w:rsid w:val="00B23067"/>
    <w:rsid w:val="00B2590D"/>
    <w:rsid w:val="00B25F88"/>
    <w:rsid w:val="00B32E66"/>
    <w:rsid w:val="00B34848"/>
    <w:rsid w:val="00B40E21"/>
    <w:rsid w:val="00B412F0"/>
    <w:rsid w:val="00B41924"/>
    <w:rsid w:val="00B45676"/>
    <w:rsid w:val="00B45F71"/>
    <w:rsid w:val="00B5018B"/>
    <w:rsid w:val="00B57687"/>
    <w:rsid w:val="00B625D9"/>
    <w:rsid w:val="00B665D7"/>
    <w:rsid w:val="00B675E1"/>
    <w:rsid w:val="00B705DA"/>
    <w:rsid w:val="00B70860"/>
    <w:rsid w:val="00B71D02"/>
    <w:rsid w:val="00B810E7"/>
    <w:rsid w:val="00B87994"/>
    <w:rsid w:val="00B922CF"/>
    <w:rsid w:val="00B94E3D"/>
    <w:rsid w:val="00BA22DA"/>
    <w:rsid w:val="00BA47D2"/>
    <w:rsid w:val="00BA50C1"/>
    <w:rsid w:val="00BA61F7"/>
    <w:rsid w:val="00BB3104"/>
    <w:rsid w:val="00BB352A"/>
    <w:rsid w:val="00BB7304"/>
    <w:rsid w:val="00BC2D8F"/>
    <w:rsid w:val="00BC2DE6"/>
    <w:rsid w:val="00BC7240"/>
    <w:rsid w:val="00BC7AF5"/>
    <w:rsid w:val="00BD42F1"/>
    <w:rsid w:val="00BE1D82"/>
    <w:rsid w:val="00BE5F2D"/>
    <w:rsid w:val="00BE6352"/>
    <w:rsid w:val="00BE781D"/>
    <w:rsid w:val="00BF5F04"/>
    <w:rsid w:val="00BF6AE2"/>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61510"/>
    <w:rsid w:val="00C61561"/>
    <w:rsid w:val="00C6634A"/>
    <w:rsid w:val="00C7068E"/>
    <w:rsid w:val="00C73912"/>
    <w:rsid w:val="00C76566"/>
    <w:rsid w:val="00C769EE"/>
    <w:rsid w:val="00C8034E"/>
    <w:rsid w:val="00C86201"/>
    <w:rsid w:val="00C908AD"/>
    <w:rsid w:val="00C920E5"/>
    <w:rsid w:val="00C93C49"/>
    <w:rsid w:val="00C94BB9"/>
    <w:rsid w:val="00CA1E0E"/>
    <w:rsid w:val="00CA5BA3"/>
    <w:rsid w:val="00CA67A8"/>
    <w:rsid w:val="00CB0D2B"/>
    <w:rsid w:val="00CB495C"/>
    <w:rsid w:val="00CB4F5E"/>
    <w:rsid w:val="00CB6A72"/>
    <w:rsid w:val="00CC3CC1"/>
    <w:rsid w:val="00CC49DA"/>
    <w:rsid w:val="00CC5E96"/>
    <w:rsid w:val="00CD4040"/>
    <w:rsid w:val="00CD4A78"/>
    <w:rsid w:val="00CD6B6A"/>
    <w:rsid w:val="00CE43B4"/>
    <w:rsid w:val="00CE68C6"/>
    <w:rsid w:val="00CF3BB0"/>
    <w:rsid w:val="00CF7138"/>
    <w:rsid w:val="00D02084"/>
    <w:rsid w:val="00D050DE"/>
    <w:rsid w:val="00D05FF6"/>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166E"/>
    <w:rsid w:val="00D926F9"/>
    <w:rsid w:val="00D93182"/>
    <w:rsid w:val="00D961B5"/>
    <w:rsid w:val="00DA7FD6"/>
    <w:rsid w:val="00DB1328"/>
    <w:rsid w:val="00DB7EE0"/>
    <w:rsid w:val="00DC4452"/>
    <w:rsid w:val="00DD2411"/>
    <w:rsid w:val="00DD3E7F"/>
    <w:rsid w:val="00DE0ECC"/>
    <w:rsid w:val="00DE1193"/>
    <w:rsid w:val="00DE2348"/>
    <w:rsid w:val="00DE327F"/>
    <w:rsid w:val="00DE3943"/>
    <w:rsid w:val="00DE562E"/>
    <w:rsid w:val="00DE6FB0"/>
    <w:rsid w:val="00DE77F8"/>
    <w:rsid w:val="00DF0138"/>
    <w:rsid w:val="00DF294A"/>
    <w:rsid w:val="00DF57F5"/>
    <w:rsid w:val="00E00EAF"/>
    <w:rsid w:val="00E0236A"/>
    <w:rsid w:val="00E06575"/>
    <w:rsid w:val="00E11739"/>
    <w:rsid w:val="00E12F72"/>
    <w:rsid w:val="00E15A2D"/>
    <w:rsid w:val="00E15B2B"/>
    <w:rsid w:val="00E23F95"/>
    <w:rsid w:val="00E267A5"/>
    <w:rsid w:val="00E30CC6"/>
    <w:rsid w:val="00E32DA2"/>
    <w:rsid w:val="00E32EB1"/>
    <w:rsid w:val="00E35AC9"/>
    <w:rsid w:val="00E413A9"/>
    <w:rsid w:val="00E5003A"/>
    <w:rsid w:val="00E514FA"/>
    <w:rsid w:val="00E51D1F"/>
    <w:rsid w:val="00E52738"/>
    <w:rsid w:val="00E56529"/>
    <w:rsid w:val="00E6135C"/>
    <w:rsid w:val="00E659AC"/>
    <w:rsid w:val="00E665B1"/>
    <w:rsid w:val="00E66725"/>
    <w:rsid w:val="00E67591"/>
    <w:rsid w:val="00E67A2A"/>
    <w:rsid w:val="00E70D1D"/>
    <w:rsid w:val="00E728B0"/>
    <w:rsid w:val="00E75758"/>
    <w:rsid w:val="00E75BC0"/>
    <w:rsid w:val="00E85ECC"/>
    <w:rsid w:val="00E87670"/>
    <w:rsid w:val="00E9292D"/>
    <w:rsid w:val="00EA2B0E"/>
    <w:rsid w:val="00EA319E"/>
    <w:rsid w:val="00EA3781"/>
    <w:rsid w:val="00EA56F6"/>
    <w:rsid w:val="00EA77CE"/>
    <w:rsid w:val="00EB1948"/>
    <w:rsid w:val="00EB1DAB"/>
    <w:rsid w:val="00EB1EEE"/>
    <w:rsid w:val="00EB46BC"/>
    <w:rsid w:val="00EB6C33"/>
    <w:rsid w:val="00EC15BD"/>
    <w:rsid w:val="00EC38D5"/>
    <w:rsid w:val="00EC41CE"/>
    <w:rsid w:val="00EC477B"/>
    <w:rsid w:val="00ED0F47"/>
    <w:rsid w:val="00EE10F4"/>
    <w:rsid w:val="00EE34BE"/>
    <w:rsid w:val="00EE7E40"/>
    <w:rsid w:val="00EE7EC5"/>
    <w:rsid w:val="00EF6C7F"/>
    <w:rsid w:val="00F2180F"/>
    <w:rsid w:val="00F31732"/>
    <w:rsid w:val="00F31F04"/>
    <w:rsid w:val="00F327E2"/>
    <w:rsid w:val="00F34A38"/>
    <w:rsid w:val="00F375FF"/>
    <w:rsid w:val="00F50C2B"/>
    <w:rsid w:val="00F566E6"/>
    <w:rsid w:val="00F702DD"/>
    <w:rsid w:val="00F721A2"/>
    <w:rsid w:val="00F72B51"/>
    <w:rsid w:val="00F7318B"/>
    <w:rsid w:val="00F734B6"/>
    <w:rsid w:val="00F76C50"/>
    <w:rsid w:val="00F81FF8"/>
    <w:rsid w:val="00F84427"/>
    <w:rsid w:val="00F85050"/>
    <w:rsid w:val="00F86303"/>
    <w:rsid w:val="00F95BD7"/>
    <w:rsid w:val="00F97690"/>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D8B6-6EF9-490C-986E-B07DAFCE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25</cp:revision>
  <cp:lastPrinted>2016-01-04T15:39:00Z</cp:lastPrinted>
  <dcterms:created xsi:type="dcterms:W3CDTF">2016-01-04T15:14:00Z</dcterms:created>
  <dcterms:modified xsi:type="dcterms:W3CDTF">2016-01-04T15:41:00Z</dcterms:modified>
</cp:coreProperties>
</file>