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rsidR="007C0AD2" w:rsidRPr="00CD7272"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B43DB3" w:rsidRPr="00CD7272" w:rsidRDefault="00B43DB3" w:rsidP="007C0AD2">
      <w:pPr>
        <w:tabs>
          <w:tab w:val="center" w:pos="4680"/>
        </w:tabs>
        <w:suppressAutoHyphens/>
        <w:jc w:val="center"/>
        <w:rPr>
          <w:rFonts w:ascii="Times New Roman" w:hAnsi="Times New Roman" w:cs="Times New Roman"/>
          <w:b/>
          <w:bCs/>
          <w:spacing w:val="-3"/>
        </w:rPr>
      </w:pP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 xml:space="preserve">Pennsylvania Public Utility </w:t>
      </w:r>
      <w:proofErr w:type="gramStart"/>
      <w:r w:rsidRPr="004E21D2">
        <w:rPr>
          <w:rFonts w:ascii="Times New Roman" w:hAnsi="Times New Roman" w:cs="Times New Roman"/>
          <w:bCs/>
          <w:color w:val="000000"/>
        </w:rPr>
        <w:t>Commission,</w:t>
      </w:r>
      <w:r w:rsidRPr="004E21D2">
        <w:rPr>
          <w:rFonts w:ascii="Times New Roman" w:hAnsi="Times New Roman" w:cs="Times New Roman"/>
          <w:bCs/>
          <w:color w:val="000000"/>
        </w:rPr>
        <w:tab/>
      </w:r>
      <w:r w:rsidRPr="004E21D2">
        <w:rPr>
          <w:rFonts w:ascii="Times New Roman" w:hAnsi="Times New Roman" w:cs="Times New Roman"/>
          <w:bCs/>
          <w:color w:val="000000"/>
        </w:rPr>
        <w:tab/>
        <w:t>:</w:t>
      </w:r>
      <w:proofErr w:type="gramEnd"/>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Bureau of Investigation and Enforcement</w:t>
      </w:r>
      <w:r w:rsidRPr="004E21D2">
        <w:rPr>
          <w:rFonts w:ascii="Times New Roman" w:hAnsi="Times New Roman" w:cs="Times New Roman"/>
          <w:bCs/>
          <w:color w:val="000000"/>
        </w:rPr>
        <w:tab/>
      </w:r>
      <w:r w:rsidRPr="004E21D2">
        <w:rPr>
          <w:rFonts w:ascii="Times New Roman" w:hAnsi="Times New Roman" w:cs="Times New Roman"/>
          <w:bCs/>
          <w:color w:val="000000"/>
        </w:rPr>
        <w:tab/>
        <w:t>:</w:t>
      </w: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t>:</w:t>
      </w: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ab/>
        <w:t>v.</w:t>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t>:</w:t>
      </w:r>
      <w:r w:rsidRPr="004E21D2">
        <w:rPr>
          <w:rFonts w:ascii="Times New Roman" w:hAnsi="Times New Roman" w:cs="Times New Roman"/>
          <w:bCs/>
          <w:color w:val="000000"/>
        </w:rPr>
        <w:tab/>
      </w:r>
      <w:r w:rsidRPr="004E21D2">
        <w:rPr>
          <w:rFonts w:ascii="Times New Roman" w:hAnsi="Times New Roman" w:cs="Times New Roman"/>
          <w:bCs/>
          <w:color w:val="000000"/>
        </w:rPr>
        <w:tab/>
        <w:t>C-2015-2468131</w:t>
      </w: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t>:</w:t>
      </w: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Continental Communities, LLC and</w:t>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t>:</w:t>
      </w:r>
    </w:p>
    <w:p w:rsidR="004E21D2" w:rsidRPr="004E21D2" w:rsidRDefault="004E21D2" w:rsidP="004E21D2">
      <w:pPr>
        <w:widowControl w:val="0"/>
        <w:adjustRightInd w:val="0"/>
        <w:rPr>
          <w:rFonts w:ascii="Times New Roman" w:hAnsi="Times New Roman" w:cs="Times New Roman"/>
          <w:bCs/>
          <w:color w:val="000000"/>
        </w:rPr>
      </w:pPr>
      <w:r w:rsidRPr="004E21D2">
        <w:rPr>
          <w:rFonts w:ascii="Times New Roman" w:hAnsi="Times New Roman" w:cs="Times New Roman"/>
          <w:bCs/>
          <w:color w:val="000000"/>
        </w:rPr>
        <w:t>Hickory Hills MHC, LLC</w:t>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r>
      <w:r w:rsidRPr="004E21D2">
        <w:rPr>
          <w:rFonts w:ascii="Times New Roman" w:hAnsi="Times New Roman" w:cs="Times New Roman"/>
          <w:bCs/>
          <w:color w:val="000000"/>
        </w:rPr>
        <w:tab/>
        <w:t>:</w:t>
      </w:r>
    </w:p>
    <w:p w:rsidR="00D522D2" w:rsidRDefault="00D522D2" w:rsidP="007C0AD2">
      <w:pPr>
        <w:tabs>
          <w:tab w:val="left" w:pos="-720"/>
        </w:tabs>
        <w:suppressAutoHyphens/>
        <w:rPr>
          <w:rFonts w:ascii="Times New Roman" w:hAnsi="Times New Roman"/>
          <w:spacing w:val="-3"/>
        </w:rPr>
      </w:pPr>
    </w:p>
    <w:p w:rsidR="00DB327B" w:rsidRPr="00D522D2" w:rsidRDefault="00DB327B" w:rsidP="007C0AD2">
      <w:pPr>
        <w:tabs>
          <w:tab w:val="left" w:pos="-720"/>
        </w:tabs>
        <w:suppressAutoHyphens/>
        <w:rPr>
          <w:rFonts w:ascii="Times New Roman" w:hAnsi="Times New Roman"/>
          <w:spacing w:val="-3"/>
        </w:rPr>
      </w:pPr>
    </w:p>
    <w:p w:rsidR="007C0AD2" w:rsidRPr="00D522D2" w:rsidRDefault="007C0AD2" w:rsidP="007C0AD2">
      <w:pPr>
        <w:tabs>
          <w:tab w:val="left" w:pos="-720"/>
        </w:tabs>
        <w:suppressAutoHyphens/>
        <w:rPr>
          <w:rFonts w:ascii="Times New Roman" w:hAnsi="Times New Roman" w:cs="Times New Roman"/>
          <w:spacing w:val="-3"/>
        </w:rPr>
      </w:pPr>
    </w:p>
    <w:p w:rsidR="007C0AD2" w:rsidRDefault="007C0AD2" w:rsidP="007C0AD2">
      <w:pPr>
        <w:tabs>
          <w:tab w:val="center" w:pos="4680"/>
        </w:tabs>
        <w:suppressAutoHyphens/>
        <w:jc w:val="center"/>
        <w:rPr>
          <w:rFonts w:ascii="Times New Roman" w:hAnsi="Times New Roman" w:cs="Times New Roman"/>
          <w:b/>
          <w:bCs/>
          <w:spacing w:val="-3"/>
          <w:u w:val="single"/>
        </w:rPr>
      </w:pPr>
      <w:r w:rsidRPr="00D522D2">
        <w:rPr>
          <w:rFonts w:ascii="Times New Roman" w:hAnsi="Times New Roman" w:cs="Times New Roman"/>
          <w:b/>
          <w:bCs/>
          <w:spacing w:val="-3"/>
          <w:u w:val="single"/>
        </w:rPr>
        <w:t>ORDER</w:t>
      </w:r>
    </w:p>
    <w:p w:rsidR="00A84CC2" w:rsidRPr="00D522D2" w:rsidRDefault="00A84CC2"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SUSPENDING LITIGATION SCHEDULE</w:t>
      </w:r>
    </w:p>
    <w:p w:rsidR="007C0AD2" w:rsidRPr="00D522D2" w:rsidRDefault="007C0AD2" w:rsidP="007C0AD2">
      <w:pPr>
        <w:tabs>
          <w:tab w:val="center" w:pos="4680"/>
        </w:tabs>
        <w:suppressAutoHyphens/>
        <w:jc w:val="center"/>
        <w:rPr>
          <w:rFonts w:ascii="Times New Roman" w:hAnsi="Times New Roman" w:cs="Times New Roman"/>
          <w:b/>
          <w:bCs/>
          <w:spacing w:val="-3"/>
          <w:u w:val="single"/>
        </w:rPr>
      </w:pPr>
    </w:p>
    <w:p w:rsidR="007C0AD2" w:rsidRPr="00704367" w:rsidRDefault="007C0AD2" w:rsidP="007C0AD2">
      <w:pPr>
        <w:tabs>
          <w:tab w:val="center" w:pos="4680"/>
        </w:tabs>
        <w:suppressAutoHyphens/>
        <w:jc w:val="center"/>
        <w:rPr>
          <w:rFonts w:ascii="Times New Roman" w:hAnsi="Times New Roman" w:cs="Times New Roman"/>
          <w:b/>
          <w:bCs/>
          <w:spacing w:val="-3"/>
        </w:rPr>
      </w:pPr>
    </w:p>
    <w:p w:rsidR="002703DE" w:rsidRPr="002703DE" w:rsidRDefault="002703DE" w:rsidP="00B43DB3">
      <w:pPr>
        <w:adjustRightInd w:val="0"/>
        <w:spacing w:line="360" w:lineRule="auto"/>
        <w:ind w:firstLine="1440"/>
        <w:rPr>
          <w:rFonts w:ascii="Times New Roman" w:hAnsi="Times New Roman" w:cs="Times New Roman"/>
          <w:bCs/>
          <w:color w:val="000000"/>
        </w:rPr>
      </w:pPr>
      <w:r w:rsidRPr="002703DE">
        <w:rPr>
          <w:rFonts w:ascii="Times New Roman" w:hAnsi="Times New Roman" w:cs="Times New Roman"/>
          <w:bCs/>
          <w:color w:val="000000"/>
        </w:rPr>
        <w:t xml:space="preserve">On February 19, 2015, the Pennsylvania Public Utility Commission, Bureau of Investigation and Enforcement (I&amp;E) filed with the Commission a formal complaint against Continental Communities, LLC </w:t>
      </w:r>
      <w:r w:rsidR="003A19E4">
        <w:rPr>
          <w:rFonts w:ascii="Times New Roman" w:hAnsi="Times New Roman" w:cs="Times New Roman"/>
          <w:bCs/>
          <w:color w:val="000000"/>
        </w:rPr>
        <w:t xml:space="preserve">(Continental) and Hickory Hills MHC, LLC (Hickory Hills), </w:t>
      </w:r>
      <w:r w:rsidRPr="002703DE">
        <w:rPr>
          <w:rFonts w:ascii="Times New Roman" w:hAnsi="Times New Roman" w:cs="Times New Roman"/>
          <w:bCs/>
          <w:color w:val="000000"/>
        </w:rPr>
        <w:t xml:space="preserve">Docket Number C-2015-2468131.  In its Complaint, I&amp;E averred that Continental and Hickory Hills violated various provisions of the Gas Hazardous Liquids Pipelines Act, 58 P.S. §§ 801.101, </w:t>
      </w:r>
      <w:r w:rsidRPr="002703DE">
        <w:rPr>
          <w:rFonts w:ascii="Times New Roman" w:hAnsi="Times New Roman" w:cs="Times New Roman"/>
          <w:bCs/>
          <w:i/>
          <w:color w:val="000000"/>
        </w:rPr>
        <w:t>et seq</w:t>
      </w:r>
      <w:r w:rsidRPr="002703DE">
        <w:rPr>
          <w:rFonts w:ascii="Times New Roman" w:hAnsi="Times New Roman" w:cs="Times New Roman"/>
          <w:bCs/>
          <w:color w:val="000000"/>
        </w:rPr>
        <w:t xml:space="preserve">. (Act 127), as well as </w:t>
      </w:r>
      <w:r w:rsidR="009A5FED">
        <w:rPr>
          <w:rFonts w:ascii="Times New Roman" w:hAnsi="Times New Roman" w:cs="Times New Roman"/>
          <w:bCs/>
          <w:color w:val="000000"/>
        </w:rPr>
        <w:t>the Code of Federal Regulations</w:t>
      </w:r>
      <w:r w:rsidR="003A19E4">
        <w:rPr>
          <w:rFonts w:ascii="Times New Roman" w:hAnsi="Times New Roman" w:cs="Times New Roman"/>
          <w:bCs/>
          <w:color w:val="000000"/>
        </w:rPr>
        <w:t>,</w:t>
      </w:r>
      <w:r w:rsidR="009A5FED">
        <w:rPr>
          <w:rFonts w:ascii="Times New Roman" w:hAnsi="Times New Roman" w:cs="Times New Roman"/>
          <w:bCs/>
          <w:color w:val="000000"/>
        </w:rPr>
        <w:t xml:space="preserve"> relating to an alleged propane gas explosion that occurred on February 14, 2014 in Bath, Pennsylvania.</w:t>
      </w:r>
      <w:r w:rsidRPr="002703DE">
        <w:rPr>
          <w:rFonts w:ascii="Times New Roman" w:hAnsi="Times New Roman" w:cs="Times New Roman"/>
          <w:bCs/>
          <w:color w:val="000000"/>
        </w:rPr>
        <w:t xml:space="preserve">  </w:t>
      </w:r>
    </w:p>
    <w:p w:rsidR="002703DE" w:rsidRPr="002703DE" w:rsidRDefault="002703DE" w:rsidP="00B43DB3">
      <w:pPr>
        <w:adjustRightInd w:val="0"/>
        <w:spacing w:line="360" w:lineRule="auto"/>
        <w:ind w:firstLine="1440"/>
        <w:rPr>
          <w:rFonts w:ascii="Times New Roman" w:hAnsi="Times New Roman" w:cs="Times New Roman"/>
          <w:bCs/>
          <w:color w:val="000000"/>
        </w:rPr>
      </w:pPr>
    </w:p>
    <w:p w:rsidR="002703DE" w:rsidRPr="002703DE" w:rsidRDefault="002703DE" w:rsidP="00B43DB3">
      <w:pPr>
        <w:adjustRightInd w:val="0"/>
        <w:spacing w:line="360" w:lineRule="auto"/>
        <w:ind w:firstLine="1440"/>
        <w:rPr>
          <w:rFonts w:ascii="Times New Roman" w:hAnsi="Times New Roman" w:cs="Times New Roman"/>
          <w:bCs/>
          <w:color w:val="000000"/>
        </w:rPr>
      </w:pPr>
      <w:r w:rsidRPr="002703DE">
        <w:rPr>
          <w:rFonts w:ascii="Times New Roman" w:hAnsi="Times New Roman" w:cs="Times New Roman"/>
          <w:bCs/>
          <w:color w:val="000000"/>
        </w:rPr>
        <w:t>On April 10, 2015, Continental and Hickory Hills filed an Answer and New Matter</w:t>
      </w:r>
      <w:r w:rsidR="003A19E4">
        <w:rPr>
          <w:rFonts w:ascii="Times New Roman" w:hAnsi="Times New Roman" w:cs="Times New Roman"/>
          <w:bCs/>
          <w:color w:val="000000"/>
        </w:rPr>
        <w:t xml:space="preserve"> in response to </w:t>
      </w:r>
      <w:proofErr w:type="gramStart"/>
      <w:r w:rsidR="003A19E4">
        <w:rPr>
          <w:rFonts w:ascii="Times New Roman" w:hAnsi="Times New Roman" w:cs="Times New Roman"/>
          <w:bCs/>
          <w:color w:val="000000"/>
        </w:rPr>
        <w:t>I&amp;E’s</w:t>
      </w:r>
      <w:proofErr w:type="gramEnd"/>
      <w:r w:rsidR="003A19E4">
        <w:rPr>
          <w:rFonts w:ascii="Times New Roman" w:hAnsi="Times New Roman" w:cs="Times New Roman"/>
          <w:bCs/>
          <w:color w:val="000000"/>
        </w:rPr>
        <w:t xml:space="preserve"> Complaint</w:t>
      </w:r>
      <w:r w:rsidRPr="002703DE">
        <w:rPr>
          <w:rFonts w:ascii="Times New Roman" w:hAnsi="Times New Roman" w:cs="Times New Roman"/>
          <w:bCs/>
          <w:color w:val="000000"/>
        </w:rPr>
        <w:t xml:space="preserve">.  In their Answer, Continental and Hickory Hills admitted or denied the various averments made by </w:t>
      </w:r>
      <w:proofErr w:type="gramStart"/>
      <w:r w:rsidRPr="002703DE">
        <w:rPr>
          <w:rFonts w:ascii="Times New Roman" w:hAnsi="Times New Roman" w:cs="Times New Roman"/>
          <w:bCs/>
          <w:color w:val="000000"/>
        </w:rPr>
        <w:t>I&amp;E</w:t>
      </w:r>
      <w:proofErr w:type="gramEnd"/>
      <w:r w:rsidRPr="002703DE">
        <w:rPr>
          <w:rFonts w:ascii="Times New Roman" w:hAnsi="Times New Roman" w:cs="Times New Roman"/>
          <w:bCs/>
          <w:color w:val="000000"/>
        </w:rPr>
        <w:t xml:space="preserve"> in its Complaint.  In particular, Continental and Hickory Hills denied that they are pipeline operators as defined by state regulations.  Continental also denied that it is subject to the Commission’s jurisdiction.</w:t>
      </w:r>
    </w:p>
    <w:p w:rsidR="002703DE" w:rsidRPr="002703DE" w:rsidRDefault="002703DE" w:rsidP="00B43DB3">
      <w:pPr>
        <w:adjustRightInd w:val="0"/>
        <w:spacing w:line="360" w:lineRule="auto"/>
        <w:ind w:firstLine="1440"/>
        <w:rPr>
          <w:rFonts w:ascii="Times New Roman" w:hAnsi="Times New Roman" w:cs="Times New Roman"/>
          <w:bCs/>
          <w:color w:val="000000"/>
        </w:rPr>
      </w:pPr>
    </w:p>
    <w:p w:rsidR="00A842A8" w:rsidRDefault="002703DE" w:rsidP="00B43DB3">
      <w:pPr>
        <w:adjustRightInd w:val="0"/>
        <w:spacing w:line="360" w:lineRule="auto"/>
        <w:ind w:firstLine="1440"/>
        <w:rPr>
          <w:rFonts w:ascii="Times New Roman" w:hAnsi="Times New Roman" w:cs="Times New Roman"/>
          <w:bCs/>
          <w:color w:val="000000"/>
        </w:rPr>
      </w:pPr>
      <w:r w:rsidRPr="002703DE">
        <w:rPr>
          <w:rFonts w:ascii="Times New Roman" w:hAnsi="Times New Roman" w:cs="Times New Roman"/>
          <w:bCs/>
          <w:color w:val="000000"/>
        </w:rPr>
        <w:t xml:space="preserve">Also on April 10, 2015, Continental and Hickory Hills filed Preliminary Objections in response to </w:t>
      </w:r>
      <w:proofErr w:type="gramStart"/>
      <w:r w:rsidRPr="002703DE">
        <w:rPr>
          <w:rFonts w:ascii="Times New Roman" w:hAnsi="Times New Roman" w:cs="Times New Roman"/>
          <w:bCs/>
          <w:color w:val="000000"/>
        </w:rPr>
        <w:t>I&amp;E’s</w:t>
      </w:r>
      <w:proofErr w:type="gramEnd"/>
      <w:r w:rsidRPr="002703DE">
        <w:rPr>
          <w:rFonts w:ascii="Times New Roman" w:hAnsi="Times New Roman" w:cs="Times New Roman"/>
          <w:bCs/>
          <w:color w:val="000000"/>
        </w:rPr>
        <w:t xml:space="preserve"> Complaint.  In its Preliminary Objections, Continental and Hickory Hills </w:t>
      </w:r>
      <w:r w:rsidR="00D54254">
        <w:rPr>
          <w:rFonts w:ascii="Times New Roman" w:hAnsi="Times New Roman" w:cs="Times New Roman"/>
          <w:bCs/>
          <w:color w:val="000000"/>
        </w:rPr>
        <w:t>sought</w:t>
      </w:r>
      <w:r w:rsidRPr="002703DE">
        <w:rPr>
          <w:rFonts w:ascii="Times New Roman" w:hAnsi="Times New Roman" w:cs="Times New Roman"/>
          <w:bCs/>
          <w:color w:val="000000"/>
        </w:rPr>
        <w:t xml:space="preserve"> dismissal of all or part of the Complaint because 1) it fails to state any cause of action against Continental because Continental has never owned or operated pipeline </w:t>
      </w:r>
      <w:r w:rsidRPr="002703DE">
        <w:rPr>
          <w:rFonts w:ascii="Times New Roman" w:hAnsi="Times New Roman" w:cs="Times New Roman"/>
          <w:bCs/>
          <w:color w:val="000000"/>
        </w:rPr>
        <w:lastRenderedPageBreak/>
        <w:t>facilities in Pennsylvania and 2) it fails to state a cause of action against either Continental or Hickory Hills because there is no basis in law or in the factual allegations to create a nexus between the explosion and the alleged statutory violations.</w:t>
      </w:r>
      <w:r w:rsidR="00A842A8">
        <w:rPr>
          <w:rFonts w:ascii="Times New Roman" w:hAnsi="Times New Roman" w:cs="Times New Roman"/>
          <w:bCs/>
          <w:color w:val="000000"/>
        </w:rPr>
        <w:t xml:space="preserve">  </w:t>
      </w:r>
    </w:p>
    <w:p w:rsidR="00A842A8" w:rsidRDefault="00A842A8" w:rsidP="00B43DB3">
      <w:pPr>
        <w:adjustRightInd w:val="0"/>
        <w:spacing w:line="360" w:lineRule="auto"/>
        <w:ind w:firstLine="1440"/>
        <w:rPr>
          <w:rFonts w:ascii="Times New Roman" w:hAnsi="Times New Roman" w:cs="Times New Roman"/>
          <w:bCs/>
          <w:color w:val="000000"/>
        </w:rPr>
      </w:pPr>
    </w:p>
    <w:p w:rsidR="002703DE" w:rsidRPr="002703DE" w:rsidRDefault="002703DE" w:rsidP="00B43DB3">
      <w:pPr>
        <w:adjustRightInd w:val="0"/>
        <w:spacing w:line="360" w:lineRule="auto"/>
        <w:ind w:firstLine="1440"/>
        <w:rPr>
          <w:rFonts w:ascii="Times New Roman" w:hAnsi="Times New Roman" w:cs="Times New Roman"/>
          <w:bCs/>
          <w:color w:val="000000"/>
        </w:rPr>
      </w:pPr>
      <w:r w:rsidRPr="002703DE">
        <w:rPr>
          <w:rFonts w:ascii="Times New Roman" w:hAnsi="Times New Roman" w:cs="Times New Roman"/>
          <w:bCs/>
          <w:color w:val="000000"/>
        </w:rPr>
        <w:t xml:space="preserve">On April 20, 2015, I&amp;E filed an Answer to the New Matter raised by Continental and Hickory Hills.  In its Answer, I&amp;E responded to each of the affirmative defenses raised in the New Matter.  I&amp;E concluded by requesting that the allegations </w:t>
      </w:r>
      <w:proofErr w:type="gramStart"/>
      <w:r w:rsidRPr="002703DE">
        <w:rPr>
          <w:rFonts w:ascii="Times New Roman" w:hAnsi="Times New Roman" w:cs="Times New Roman"/>
          <w:bCs/>
          <w:color w:val="000000"/>
        </w:rPr>
        <w:t>raised</w:t>
      </w:r>
      <w:proofErr w:type="gramEnd"/>
      <w:r w:rsidRPr="002703DE">
        <w:rPr>
          <w:rFonts w:ascii="Times New Roman" w:hAnsi="Times New Roman" w:cs="Times New Roman"/>
          <w:bCs/>
          <w:color w:val="000000"/>
        </w:rPr>
        <w:t xml:space="preserve"> in the New Matter be rejected and that Continental and Hickory Hills be found to be in violation of each and every count in the Complaint.</w:t>
      </w:r>
    </w:p>
    <w:p w:rsidR="002703DE" w:rsidRPr="002703DE" w:rsidRDefault="002703DE" w:rsidP="00B43DB3">
      <w:pPr>
        <w:adjustRightInd w:val="0"/>
        <w:spacing w:line="360" w:lineRule="auto"/>
        <w:ind w:firstLine="1440"/>
        <w:rPr>
          <w:rFonts w:ascii="Times New Roman" w:hAnsi="Times New Roman" w:cs="Times New Roman"/>
          <w:bCs/>
          <w:color w:val="000000"/>
        </w:rPr>
      </w:pPr>
    </w:p>
    <w:p w:rsidR="002703DE" w:rsidRPr="002703DE" w:rsidRDefault="002703DE" w:rsidP="00B43DB3">
      <w:pPr>
        <w:adjustRightInd w:val="0"/>
        <w:spacing w:line="360" w:lineRule="auto"/>
        <w:ind w:firstLine="1440"/>
        <w:rPr>
          <w:rFonts w:ascii="Times New Roman" w:hAnsi="Times New Roman" w:cs="Times New Roman"/>
          <w:bCs/>
          <w:color w:val="000000"/>
        </w:rPr>
      </w:pPr>
      <w:r w:rsidRPr="002703DE">
        <w:rPr>
          <w:rFonts w:ascii="Times New Roman" w:hAnsi="Times New Roman" w:cs="Times New Roman"/>
          <w:bCs/>
          <w:color w:val="000000"/>
        </w:rPr>
        <w:t xml:space="preserve">Also on April 20, 2015, I&amp;E filed an Answer to the Preliminary Objections filed by Continental and Hickory Hills.  In its Answer, I&amp;E argued that, while Hickory Hills may be the deed holder of the real estate where the explosion occurred, Continental is the </w:t>
      </w:r>
      <w:r w:rsidRPr="002703DE">
        <w:rPr>
          <w:rFonts w:ascii="Times New Roman" w:hAnsi="Times New Roman" w:cs="Times New Roman"/>
          <w:bCs/>
          <w:i/>
          <w:color w:val="000000"/>
        </w:rPr>
        <w:t>de facto</w:t>
      </w:r>
      <w:r w:rsidRPr="002703DE">
        <w:rPr>
          <w:rFonts w:ascii="Times New Roman" w:hAnsi="Times New Roman" w:cs="Times New Roman"/>
          <w:bCs/>
          <w:color w:val="000000"/>
        </w:rPr>
        <w:t xml:space="preserve"> owner and operator of Hickory Hills and the associated pipeline facility.</w:t>
      </w:r>
    </w:p>
    <w:p w:rsidR="002703DE" w:rsidRPr="002703DE" w:rsidRDefault="002703DE" w:rsidP="00B43DB3">
      <w:pPr>
        <w:adjustRightInd w:val="0"/>
        <w:spacing w:line="360" w:lineRule="auto"/>
        <w:rPr>
          <w:rFonts w:ascii="Times New Roman" w:hAnsi="Times New Roman" w:cs="Times New Roman"/>
        </w:rPr>
      </w:pPr>
    </w:p>
    <w:p w:rsidR="002703DE" w:rsidRPr="002703DE" w:rsidRDefault="002703DE" w:rsidP="00B43DB3">
      <w:pPr>
        <w:adjustRightInd w:val="0"/>
        <w:spacing w:line="360" w:lineRule="auto"/>
        <w:rPr>
          <w:rFonts w:ascii="Times New Roman" w:hAnsi="Times New Roman" w:cs="Times New Roman"/>
        </w:rPr>
      </w:pPr>
      <w:r w:rsidRPr="002703DE">
        <w:rPr>
          <w:rFonts w:ascii="Times New Roman" w:hAnsi="Times New Roman" w:cs="Times New Roman"/>
        </w:rPr>
        <w:tab/>
      </w:r>
      <w:r w:rsidRPr="002703DE">
        <w:rPr>
          <w:rFonts w:ascii="Times New Roman" w:hAnsi="Times New Roman" w:cs="Times New Roman"/>
        </w:rPr>
        <w:tab/>
        <w:t>By Order dated September 30, 2015, the Preliminary Objections were denied.   The Order directed that the Complaint filed by I&amp;E proceed to a hearing before an Administrative Law Judge.</w:t>
      </w:r>
    </w:p>
    <w:p w:rsidR="002703DE" w:rsidRPr="002703DE" w:rsidRDefault="002703DE" w:rsidP="00B43DB3">
      <w:pPr>
        <w:adjustRightInd w:val="0"/>
        <w:spacing w:line="360" w:lineRule="auto"/>
        <w:rPr>
          <w:rFonts w:ascii="Times New Roman" w:hAnsi="Times New Roman" w:cs="Times New Roman"/>
        </w:rPr>
      </w:pPr>
    </w:p>
    <w:p w:rsidR="004E21D2" w:rsidRDefault="002703DE" w:rsidP="00B43DB3">
      <w:pPr>
        <w:adjustRightInd w:val="0"/>
        <w:spacing w:line="360" w:lineRule="auto"/>
        <w:rPr>
          <w:rFonts w:ascii="Times New Roman" w:hAnsi="Times New Roman"/>
        </w:rPr>
      </w:pPr>
      <w:r w:rsidRPr="002703DE">
        <w:rPr>
          <w:rFonts w:ascii="Times New Roman" w:hAnsi="Times New Roman" w:cs="Times New Roman"/>
        </w:rPr>
        <w:tab/>
      </w:r>
      <w:r w:rsidRPr="002703DE">
        <w:rPr>
          <w:rFonts w:ascii="Times New Roman" w:hAnsi="Times New Roman" w:cs="Times New Roman"/>
        </w:rPr>
        <w:tab/>
      </w:r>
      <w:r w:rsidR="009A5FED">
        <w:rPr>
          <w:rFonts w:ascii="Times New Roman" w:hAnsi="Times New Roman" w:cs="Times New Roman"/>
        </w:rPr>
        <w:t>As a result, o</w:t>
      </w:r>
      <w:r w:rsidRPr="002703DE">
        <w:rPr>
          <w:rFonts w:ascii="Times New Roman" w:hAnsi="Times New Roman" w:cs="Times New Roman"/>
        </w:rPr>
        <w:t>n October 14, 2015, the Commission issued a Notice establishing an Initial Prehearing Conference for this case for Thursday, December 3, 2015 at 10:00 a.m. in Hearing Room 3 of the Commonwealth Keystone Building in Harrisburg and assigning me as the Presiding Officer.  A Prehearing Order dated October 16, 2015 was issued setting forth various rules that would govern the Initial Prehearing Conference.</w:t>
      </w:r>
      <w:r w:rsidR="00A842A8">
        <w:rPr>
          <w:rFonts w:ascii="Times New Roman" w:hAnsi="Times New Roman" w:cs="Times New Roman"/>
        </w:rPr>
        <w:t xml:space="preserve">  </w:t>
      </w:r>
      <w:r w:rsidRPr="002703DE">
        <w:rPr>
          <w:rFonts w:ascii="Times New Roman" w:hAnsi="Times New Roman" w:cs="Times New Roman"/>
        </w:rPr>
        <w:t>On November 20, 2015, Continental and Hickory Hills filed an Unopposed Motion for Continuance of Prehearing Conference.</w:t>
      </w:r>
      <w:r>
        <w:rPr>
          <w:rFonts w:ascii="Times New Roman" w:hAnsi="Times New Roman" w:cs="Times New Roman"/>
        </w:rPr>
        <w:t xml:space="preserve">  That Motion was granted via Order dated November 30, 2015.  As a result, the Commission issued a </w:t>
      </w:r>
      <w:r w:rsidR="00044B4D">
        <w:rPr>
          <w:rFonts w:ascii="Times New Roman" w:hAnsi="Times New Roman" w:cs="Times New Roman"/>
        </w:rPr>
        <w:t xml:space="preserve">Hearing Cancellation/Reschedule </w:t>
      </w:r>
      <w:r>
        <w:rPr>
          <w:rFonts w:ascii="Times New Roman" w:hAnsi="Times New Roman" w:cs="Times New Roman"/>
        </w:rPr>
        <w:t xml:space="preserve">Notice </w:t>
      </w:r>
      <w:r w:rsidR="00044B4D">
        <w:rPr>
          <w:rFonts w:ascii="Times New Roman" w:hAnsi="Times New Roman" w:cs="Times New Roman"/>
        </w:rPr>
        <w:t xml:space="preserve">rescheduling the Initial Prehearing Conference for Wednesday, December </w:t>
      </w:r>
      <w:r w:rsidR="009065F4">
        <w:rPr>
          <w:rFonts w:ascii="Times New Roman" w:hAnsi="Times New Roman" w:cs="Times New Roman"/>
        </w:rPr>
        <w:t>16, 2015</w:t>
      </w:r>
      <w:r w:rsidR="00E73DBB">
        <w:rPr>
          <w:rFonts w:ascii="Times New Roman" w:hAnsi="Times New Roman" w:cs="Times New Roman"/>
        </w:rPr>
        <w:t>.</w:t>
      </w:r>
    </w:p>
    <w:p w:rsidR="004E21D2" w:rsidRPr="009065F4" w:rsidRDefault="004E21D2" w:rsidP="00B43DB3">
      <w:pPr>
        <w:pStyle w:val="BodyTextIndent"/>
        <w:widowControl/>
        <w:rPr>
          <w:rFonts w:ascii="Times New Roman" w:hAnsi="Times New Roman"/>
          <w:sz w:val="24"/>
          <w:szCs w:val="24"/>
        </w:rPr>
      </w:pPr>
    </w:p>
    <w:p w:rsidR="00F358DE" w:rsidRDefault="00467280" w:rsidP="00B43DB3">
      <w:pPr>
        <w:spacing w:line="360" w:lineRule="auto"/>
        <w:ind w:firstLine="1440"/>
        <w:rPr>
          <w:rFonts w:ascii="Times New Roman" w:hAnsi="Times New Roman" w:cs="Times New Roman"/>
        </w:rPr>
      </w:pPr>
      <w:r w:rsidRPr="009065F4">
        <w:rPr>
          <w:rFonts w:ascii="Times New Roman" w:hAnsi="Times New Roman" w:cs="Times New Roman"/>
        </w:rPr>
        <w:t xml:space="preserve">The Initial Prehearing Conference convened on </w:t>
      </w:r>
      <w:r w:rsidR="009065F4">
        <w:rPr>
          <w:rFonts w:ascii="Times New Roman" w:hAnsi="Times New Roman" w:cs="Times New Roman"/>
        </w:rPr>
        <w:t>December 16</w:t>
      </w:r>
      <w:r w:rsidR="004F278F" w:rsidRPr="009065F4">
        <w:rPr>
          <w:rFonts w:ascii="Times New Roman" w:hAnsi="Times New Roman" w:cs="Times New Roman"/>
        </w:rPr>
        <w:t>, 2015</w:t>
      </w:r>
      <w:r w:rsidRPr="009065F4">
        <w:rPr>
          <w:rFonts w:ascii="Times New Roman" w:hAnsi="Times New Roman" w:cs="Times New Roman"/>
        </w:rPr>
        <w:t xml:space="preserve">, as scheduled.  The following counsel entered their appearance:  </w:t>
      </w:r>
      <w:r w:rsidR="009065F4">
        <w:rPr>
          <w:rFonts w:ascii="Times New Roman" w:hAnsi="Times New Roman" w:cs="Times New Roman"/>
        </w:rPr>
        <w:t xml:space="preserve">Kevin J. McKeon, Esquire, on behalf of </w:t>
      </w:r>
      <w:r w:rsidR="009065F4">
        <w:rPr>
          <w:rFonts w:ascii="Times New Roman" w:hAnsi="Times New Roman" w:cs="Times New Roman"/>
        </w:rPr>
        <w:lastRenderedPageBreak/>
        <w:t xml:space="preserve">Continental and Hickory Hills; and Adam Young, Esquire, on behalf of </w:t>
      </w:r>
      <w:proofErr w:type="gramStart"/>
      <w:r w:rsidR="009065F4">
        <w:rPr>
          <w:rFonts w:ascii="Times New Roman" w:hAnsi="Times New Roman" w:cs="Times New Roman"/>
        </w:rPr>
        <w:t>I&amp;E</w:t>
      </w:r>
      <w:proofErr w:type="gramEnd"/>
      <w:r w:rsidR="009065F4">
        <w:rPr>
          <w:rFonts w:ascii="Times New Roman" w:hAnsi="Times New Roman" w:cs="Times New Roman"/>
        </w:rPr>
        <w:t>.</w:t>
      </w:r>
      <w:r w:rsidR="00A842A8">
        <w:rPr>
          <w:rFonts w:ascii="Times New Roman" w:hAnsi="Times New Roman" w:cs="Times New Roman"/>
        </w:rPr>
        <w:t xml:space="preserve"> </w:t>
      </w:r>
      <w:r w:rsidR="009065F4">
        <w:rPr>
          <w:rFonts w:ascii="Times New Roman" w:hAnsi="Times New Roman" w:cs="Times New Roman"/>
        </w:rPr>
        <w:t xml:space="preserve"> </w:t>
      </w:r>
      <w:r w:rsidRPr="009065F4">
        <w:rPr>
          <w:rFonts w:ascii="Times New Roman" w:hAnsi="Times New Roman" w:cs="Times New Roman"/>
        </w:rPr>
        <w:t xml:space="preserve">During the Initial Prehearing Conference, various procedural matters were discussed.  </w:t>
      </w:r>
      <w:r w:rsidR="00A842A8">
        <w:rPr>
          <w:rFonts w:ascii="Times New Roman" w:hAnsi="Times New Roman" w:cs="Times New Roman"/>
        </w:rPr>
        <w:t>A Scheduling Order dated December 17, 2015 was issued memorializing the procedural matters that were discussed.  T</w:t>
      </w:r>
      <w:r w:rsidRPr="00402C5A">
        <w:rPr>
          <w:rFonts w:ascii="Times New Roman" w:hAnsi="Times New Roman" w:cs="Times New Roman"/>
        </w:rPr>
        <w:t xml:space="preserve">he parties </w:t>
      </w:r>
      <w:r w:rsidR="00A842A8">
        <w:rPr>
          <w:rFonts w:ascii="Times New Roman" w:hAnsi="Times New Roman" w:cs="Times New Roman"/>
        </w:rPr>
        <w:t>we</w:t>
      </w:r>
      <w:r w:rsidR="00402C5A" w:rsidRPr="00402C5A">
        <w:rPr>
          <w:rFonts w:ascii="Times New Roman" w:hAnsi="Times New Roman" w:cs="Times New Roman"/>
        </w:rPr>
        <w:t xml:space="preserve">re </w:t>
      </w:r>
      <w:r w:rsidRPr="00402C5A">
        <w:rPr>
          <w:rFonts w:ascii="Times New Roman" w:hAnsi="Times New Roman" w:cs="Times New Roman"/>
        </w:rPr>
        <w:t>reminded that Commission policy promotes settlements</w:t>
      </w:r>
      <w:r w:rsidR="00A842A8">
        <w:rPr>
          <w:rFonts w:ascii="Times New Roman" w:hAnsi="Times New Roman" w:cs="Times New Roman"/>
        </w:rPr>
        <w:t xml:space="preserve">, </w:t>
      </w:r>
      <w:r w:rsidRPr="00402C5A">
        <w:rPr>
          <w:rFonts w:ascii="Times New Roman" w:hAnsi="Times New Roman" w:cs="Times New Roman"/>
        </w:rPr>
        <w:t xml:space="preserve">52 </w:t>
      </w:r>
      <w:proofErr w:type="spellStart"/>
      <w:r w:rsidR="00A842A8">
        <w:rPr>
          <w:rFonts w:ascii="Times New Roman" w:hAnsi="Times New Roman" w:cs="Times New Roman"/>
        </w:rPr>
        <w:t>Pa.Code</w:t>
      </w:r>
      <w:proofErr w:type="spellEnd"/>
      <w:r w:rsidR="00A842A8">
        <w:rPr>
          <w:rFonts w:ascii="Times New Roman" w:hAnsi="Times New Roman" w:cs="Times New Roman"/>
        </w:rPr>
        <w:t xml:space="preserve"> § 5.231(a), and </w:t>
      </w:r>
      <w:r w:rsidRPr="00402C5A">
        <w:rPr>
          <w:rFonts w:ascii="Times New Roman" w:hAnsi="Times New Roman" w:cs="Times New Roman"/>
        </w:rPr>
        <w:t xml:space="preserve">encouraged to commence settlement discussions as early as possible.  </w:t>
      </w:r>
    </w:p>
    <w:p w:rsidR="00A842A8" w:rsidRDefault="00A842A8" w:rsidP="00B43DB3">
      <w:pPr>
        <w:spacing w:line="360" w:lineRule="auto"/>
        <w:ind w:firstLine="1440"/>
        <w:rPr>
          <w:rFonts w:ascii="Times New Roman" w:hAnsi="Times New Roman" w:cs="Times New Roman"/>
        </w:rPr>
      </w:pPr>
    </w:p>
    <w:p w:rsidR="0057622D" w:rsidRDefault="00A842A8" w:rsidP="00B43DB3">
      <w:pPr>
        <w:spacing w:line="360" w:lineRule="auto"/>
        <w:ind w:firstLine="1440"/>
      </w:pPr>
      <w:r>
        <w:rPr>
          <w:rFonts w:ascii="Times New Roman" w:hAnsi="Times New Roman" w:cs="Times New Roman"/>
        </w:rPr>
        <w:t xml:space="preserve">On </w:t>
      </w:r>
      <w:r w:rsidR="0057622D">
        <w:rPr>
          <w:rFonts w:ascii="Times New Roman" w:hAnsi="Times New Roman" w:cs="Times New Roman"/>
        </w:rPr>
        <w:t xml:space="preserve">April 12, 2016, the parties indicated that a settlement had been reached.  A conference call was convened to discuss procedural issues pertaining to filing the settlement.  In part, the parties requested that the litigation schedule be suspended pending disposition of the settlement.  </w:t>
      </w:r>
      <w:r w:rsidR="009C4AC0">
        <w:t xml:space="preserve">As a result, the purpose of this Order is to suspend the litigation schedule pending disposition of the </w:t>
      </w:r>
      <w:r w:rsidR="0057622D">
        <w:t>settlement</w:t>
      </w:r>
      <w:r w:rsidR="009C4AC0">
        <w:t xml:space="preserve">.  </w:t>
      </w:r>
    </w:p>
    <w:p w:rsidR="0057622D" w:rsidRDefault="0057622D" w:rsidP="00B43DB3">
      <w:pPr>
        <w:spacing w:line="360" w:lineRule="auto"/>
        <w:ind w:firstLine="1440"/>
      </w:pPr>
    </w:p>
    <w:p w:rsidR="009C4AC0" w:rsidRDefault="009C4AC0" w:rsidP="00B43DB3">
      <w:pPr>
        <w:spacing w:line="360" w:lineRule="auto"/>
        <w:ind w:firstLine="1440"/>
      </w:pPr>
      <w:r w:rsidRPr="003645D6">
        <w:t xml:space="preserve">Section 5.483(a) of the Commission’s regulations provides Presiding Officers the authority to regulate the course of the proceeding.  </w:t>
      </w:r>
      <w:proofErr w:type="gramStart"/>
      <w:r w:rsidRPr="003645D6">
        <w:t xml:space="preserve">52 </w:t>
      </w:r>
      <w:proofErr w:type="spellStart"/>
      <w:r w:rsidRPr="003645D6">
        <w:t>Pa.Code</w:t>
      </w:r>
      <w:proofErr w:type="spellEnd"/>
      <w:r w:rsidRPr="003645D6">
        <w:t xml:space="preserve"> § 5.483(a).</w:t>
      </w:r>
      <w:proofErr w:type="gramEnd"/>
      <w:r w:rsidRPr="003645D6">
        <w:t xml:space="preserve">  Furthermore, Section 1.2 </w:t>
      </w:r>
      <w:r>
        <w:t xml:space="preserve">of the Commission’s regulations </w:t>
      </w:r>
      <w:r w:rsidRPr="003645D6">
        <w:t>also provides that the Commission’s rules shall be “liberally construed to secure the just, speedy and inexpensive determination of every action or pro</w:t>
      </w:r>
      <w:r>
        <w:t xml:space="preserve">ceeding.”  </w:t>
      </w:r>
      <w:proofErr w:type="gramStart"/>
      <w:r>
        <w:t xml:space="preserve">52 </w:t>
      </w:r>
      <w:proofErr w:type="spellStart"/>
      <w:r>
        <w:t>Pa.Code</w:t>
      </w:r>
      <w:proofErr w:type="spellEnd"/>
      <w:r>
        <w:t xml:space="preserve"> § 1.2(a).</w:t>
      </w:r>
      <w:proofErr w:type="gramEnd"/>
      <w:r>
        <w:t xml:space="preserve">  </w:t>
      </w:r>
      <w:r w:rsidR="0092734C" w:rsidRPr="00402C5A">
        <w:rPr>
          <w:rFonts w:ascii="Times New Roman" w:hAnsi="Times New Roman" w:cs="Times New Roman"/>
        </w:rPr>
        <w:t xml:space="preserve">Commission policy promotes settlements.  </w:t>
      </w:r>
      <w:proofErr w:type="gramStart"/>
      <w:r w:rsidR="0092734C" w:rsidRPr="00402C5A">
        <w:rPr>
          <w:rFonts w:ascii="Times New Roman" w:hAnsi="Times New Roman" w:cs="Times New Roman"/>
        </w:rPr>
        <w:t xml:space="preserve">52 </w:t>
      </w:r>
      <w:proofErr w:type="spellStart"/>
      <w:r w:rsidR="0092734C" w:rsidRPr="00402C5A">
        <w:rPr>
          <w:rFonts w:ascii="Times New Roman" w:hAnsi="Times New Roman" w:cs="Times New Roman"/>
        </w:rPr>
        <w:t>Pa.Code</w:t>
      </w:r>
      <w:proofErr w:type="spellEnd"/>
      <w:r w:rsidR="0092734C" w:rsidRPr="00402C5A">
        <w:rPr>
          <w:rFonts w:ascii="Times New Roman" w:hAnsi="Times New Roman" w:cs="Times New Roman"/>
        </w:rPr>
        <w:t xml:space="preserve"> § 5.231(a).</w:t>
      </w:r>
      <w:proofErr w:type="gramEnd"/>
      <w:r w:rsidR="0092734C" w:rsidRPr="00402C5A">
        <w:rPr>
          <w:rFonts w:ascii="Times New Roman" w:hAnsi="Times New Roman" w:cs="Times New Roman"/>
        </w:rPr>
        <w:t xml:space="preserve">  The parties </w:t>
      </w:r>
      <w:r w:rsidR="0092734C">
        <w:rPr>
          <w:rFonts w:ascii="Times New Roman" w:hAnsi="Times New Roman" w:cs="Times New Roman"/>
        </w:rPr>
        <w:t>we</w:t>
      </w:r>
      <w:r w:rsidR="0092734C" w:rsidRPr="00402C5A">
        <w:rPr>
          <w:rFonts w:ascii="Times New Roman" w:hAnsi="Times New Roman" w:cs="Times New Roman"/>
        </w:rPr>
        <w:t xml:space="preserve">re encouraged to commence settlement discussions as early as possible.  </w:t>
      </w:r>
      <w:r w:rsidR="0092734C">
        <w:rPr>
          <w:rFonts w:ascii="Times New Roman" w:hAnsi="Times New Roman" w:cs="Times New Roman"/>
        </w:rPr>
        <w:t xml:space="preserve">In this case, those discussions were successful.  </w:t>
      </w:r>
      <w:r>
        <w:t>It is</w:t>
      </w:r>
      <w:r w:rsidR="0092734C">
        <w:t>, therefore,</w:t>
      </w:r>
      <w:r>
        <w:t xml:space="preserve"> appropriate to suspend the litigation schedule, including cancelling the hearing scheduled for </w:t>
      </w:r>
      <w:r w:rsidR="0057622D">
        <w:t xml:space="preserve">August 29-31, 2016, </w:t>
      </w:r>
      <w:r>
        <w:t xml:space="preserve">while the </w:t>
      </w:r>
      <w:r w:rsidR="0057622D">
        <w:t xml:space="preserve">settlement </w:t>
      </w:r>
      <w:r>
        <w:t>is pending</w:t>
      </w:r>
      <w:r w:rsidR="003A19E4">
        <w:t xml:space="preserve"> disposition</w:t>
      </w:r>
      <w:r>
        <w:t xml:space="preserve">.  </w:t>
      </w:r>
      <w:r w:rsidR="009A5FED">
        <w:t xml:space="preserve">Suspending the litigation schedule would </w:t>
      </w:r>
      <w:r w:rsidR="003A19E4">
        <w:t xml:space="preserve">help to </w:t>
      </w:r>
      <w:r w:rsidR="009A5FED">
        <w:t xml:space="preserve">secure the just, speedy and inexpensive determination of this proceeding and would be consistent with Commission policy promoting settlement.  </w:t>
      </w:r>
      <w:r>
        <w:t xml:space="preserve">To the extent the </w:t>
      </w:r>
      <w:r w:rsidR="0057622D">
        <w:t xml:space="preserve">settlement </w:t>
      </w:r>
      <w:r>
        <w:t>is approved</w:t>
      </w:r>
      <w:r w:rsidR="009A5FED">
        <w:t xml:space="preserve"> in its entirety</w:t>
      </w:r>
      <w:r>
        <w:t xml:space="preserve">, no hearing is required.  To the extent the </w:t>
      </w:r>
      <w:r w:rsidR="0057622D">
        <w:t xml:space="preserve">settlement </w:t>
      </w:r>
      <w:r>
        <w:t>is denied</w:t>
      </w:r>
      <w:r w:rsidR="009A5FED">
        <w:t xml:space="preserve"> in whole or in part</w:t>
      </w:r>
      <w:r>
        <w:t xml:space="preserve">, </w:t>
      </w:r>
      <w:r w:rsidR="0092734C">
        <w:t xml:space="preserve">a new litigation schedule will be established and </w:t>
      </w:r>
      <w:r>
        <w:t xml:space="preserve">the hearing will be rescheduled.  Therefore, </w:t>
      </w:r>
      <w:r w:rsidR="003A19E4">
        <w:t xml:space="preserve">at this time, </w:t>
      </w:r>
      <w:r>
        <w:t xml:space="preserve">the </w:t>
      </w:r>
      <w:r w:rsidR="0057622D">
        <w:t xml:space="preserve">procedural schedule established in the Scheduling Order dated December 17, 2015 </w:t>
      </w:r>
      <w:r w:rsidR="009A5FED">
        <w:t xml:space="preserve">should be </w:t>
      </w:r>
      <w:r w:rsidR="0057622D">
        <w:t>suspended</w:t>
      </w:r>
      <w:r>
        <w:t>.</w:t>
      </w:r>
    </w:p>
    <w:p w:rsidR="00A842A8" w:rsidRDefault="00A842A8" w:rsidP="00B43DB3">
      <w:pPr>
        <w:spacing w:line="360" w:lineRule="auto"/>
        <w:ind w:firstLine="1440"/>
        <w:rPr>
          <w:rFonts w:ascii="Times New Roman" w:hAnsi="Times New Roman" w:cs="Times New Roman"/>
          <w:u w:val="single"/>
        </w:rPr>
      </w:pPr>
    </w:p>
    <w:p w:rsidR="009A5FED" w:rsidRDefault="009A5FED">
      <w:pPr>
        <w:autoSpaceDE/>
        <w:autoSpaceDN/>
        <w:spacing w:after="200"/>
        <w:rPr>
          <w:rFonts w:ascii="Times New Roman" w:hAnsi="Times New Roman" w:cs="Times New Roman"/>
          <w:u w:val="single"/>
        </w:rPr>
      </w:pPr>
      <w:r>
        <w:rPr>
          <w:rFonts w:ascii="Times New Roman" w:hAnsi="Times New Roman" w:cs="Times New Roman"/>
          <w:u w:val="single"/>
        </w:rPr>
        <w:br w:type="page"/>
      </w:r>
    </w:p>
    <w:p w:rsidR="00467280" w:rsidRPr="00402C5A" w:rsidRDefault="00467280" w:rsidP="00467280">
      <w:pPr>
        <w:spacing w:line="360" w:lineRule="auto"/>
        <w:jc w:val="center"/>
        <w:rPr>
          <w:rFonts w:ascii="Times New Roman" w:hAnsi="Times New Roman" w:cs="Times New Roman"/>
        </w:rPr>
      </w:pPr>
      <w:r w:rsidRPr="00402C5A">
        <w:rPr>
          <w:rFonts w:ascii="Times New Roman" w:hAnsi="Times New Roman" w:cs="Times New Roman"/>
          <w:u w:val="single"/>
        </w:rPr>
        <w:lastRenderedPageBreak/>
        <w:t>ORDER</w:t>
      </w:r>
    </w:p>
    <w:p w:rsidR="00467280" w:rsidRDefault="00467280" w:rsidP="00467280">
      <w:pPr>
        <w:spacing w:line="360" w:lineRule="auto"/>
        <w:rPr>
          <w:rFonts w:ascii="Times New Roman" w:hAnsi="Times New Roman" w:cs="Times New Roman"/>
        </w:rPr>
      </w:pPr>
    </w:p>
    <w:p w:rsidR="00B43DB3" w:rsidRPr="00402C5A" w:rsidRDefault="00B43DB3" w:rsidP="00467280">
      <w:pPr>
        <w:spacing w:line="360" w:lineRule="auto"/>
        <w:rPr>
          <w:rFonts w:ascii="Times New Roman" w:hAnsi="Times New Roman" w:cs="Times New Roman"/>
        </w:rPr>
      </w:pPr>
    </w:p>
    <w:p w:rsidR="00467280" w:rsidRPr="00402C5A" w:rsidRDefault="00467280" w:rsidP="00467280">
      <w:pPr>
        <w:spacing w:line="360" w:lineRule="auto"/>
        <w:ind w:firstLine="1440"/>
        <w:rPr>
          <w:rFonts w:ascii="Times New Roman" w:hAnsi="Times New Roman" w:cs="Times New Roman"/>
          <w:bCs/>
        </w:rPr>
      </w:pPr>
      <w:r w:rsidRPr="00402C5A">
        <w:rPr>
          <w:rFonts w:ascii="Times New Roman" w:hAnsi="Times New Roman" w:cs="Times New Roman"/>
          <w:bCs/>
        </w:rPr>
        <w:t>THEREFORE,</w:t>
      </w:r>
    </w:p>
    <w:p w:rsidR="00467280" w:rsidRPr="00402C5A" w:rsidRDefault="00467280" w:rsidP="00467280">
      <w:pPr>
        <w:spacing w:line="360" w:lineRule="auto"/>
        <w:ind w:firstLine="1440"/>
        <w:rPr>
          <w:rFonts w:ascii="Times New Roman" w:hAnsi="Times New Roman" w:cs="Times New Roman"/>
        </w:rPr>
      </w:pPr>
    </w:p>
    <w:p w:rsidR="00467280" w:rsidRPr="00402C5A" w:rsidRDefault="00467280" w:rsidP="00467280">
      <w:pPr>
        <w:spacing w:line="360" w:lineRule="auto"/>
        <w:ind w:firstLine="1440"/>
        <w:rPr>
          <w:rFonts w:ascii="Times New Roman" w:hAnsi="Times New Roman" w:cs="Times New Roman"/>
          <w:bCs/>
        </w:rPr>
      </w:pPr>
      <w:r w:rsidRPr="00402C5A">
        <w:rPr>
          <w:rFonts w:ascii="Times New Roman" w:hAnsi="Times New Roman" w:cs="Times New Roman"/>
          <w:bCs/>
        </w:rPr>
        <w:t>IT IS ORDERED:</w:t>
      </w:r>
    </w:p>
    <w:p w:rsidR="00467280" w:rsidRPr="00402C5A" w:rsidRDefault="00467280" w:rsidP="00467280">
      <w:pPr>
        <w:spacing w:line="360" w:lineRule="auto"/>
        <w:ind w:firstLine="1440"/>
        <w:rPr>
          <w:rFonts w:ascii="Times New Roman" w:hAnsi="Times New Roman" w:cs="Times New Roman"/>
          <w:bCs/>
        </w:rPr>
      </w:pPr>
    </w:p>
    <w:p w:rsidR="0092734C" w:rsidRDefault="00467280" w:rsidP="00B43DB3">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That</w:t>
      </w:r>
      <w:r w:rsidR="0092734C" w:rsidRPr="0092734C">
        <w:t xml:space="preserve"> </w:t>
      </w:r>
      <w:r w:rsidR="0092734C">
        <w:t>the procedural schedule established in the Scheduling Order dated December 17, 2015 at Docket Number</w:t>
      </w:r>
      <w:r w:rsidR="0092734C" w:rsidRPr="0092734C">
        <w:rPr>
          <w:rFonts w:ascii="Times New Roman" w:hAnsi="Times New Roman" w:cs="Times New Roman"/>
          <w:bCs/>
          <w:color w:val="000000"/>
        </w:rPr>
        <w:t xml:space="preserve"> </w:t>
      </w:r>
      <w:r w:rsidR="0092734C" w:rsidRPr="004E21D2">
        <w:rPr>
          <w:rFonts w:ascii="Times New Roman" w:hAnsi="Times New Roman" w:cs="Times New Roman"/>
          <w:bCs/>
          <w:color w:val="000000"/>
        </w:rPr>
        <w:t>C-2015-2468131</w:t>
      </w:r>
      <w:r w:rsidR="0092734C">
        <w:t xml:space="preserve"> is suspended</w:t>
      </w:r>
      <w:r w:rsidR="0092734C">
        <w:rPr>
          <w:rFonts w:ascii="Times New Roman" w:hAnsi="Times New Roman" w:cs="Times New Roman"/>
        </w:rPr>
        <w:t>.</w:t>
      </w:r>
    </w:p>
    <w:p w:rsidR="0092734C" w:rsidRDefault="0092734C" w:rsidP="00B43DB3">
      <w:pPr>
        <w:spacing w:line="360" w:lineRule="auto"/>
        <w:rPr>
          <w:rFonts w:ascii="Times New Roman" w:hAnsi="Times New Roman" w:cs="Times New Roman"/>
        </w:rPr>
      </w:pPr>
    </w:p>
    <w:p w:rsidR="00A842A8" w:rsidRPr="0092734C" w:rsidRDefault="0092734C" w:rsidP="00B43DB3">
      <w:pPr>
        <w:numPr>
          <w:ilvl w:val="0"/>
          <w:numId w:val="5"/>
        </w:numPr>
        <w:spacing w:line="360" w:lineRule="auto"/>
        <w:ind w:left="0" w:firstLine="1440"/>
        <w:rPr>
          <w:rFonts w:ascii="Times New Roman" w:hAnsi="Times New Roman" w:cs="Times New Roman"/>
        </w:rPr>
      </w:pPr>
      <w:r>
        <w:rPr>
          <w:rFonts w:ascii="Times New Roman" w:hAnsi="Times New Roman" w:cs="Times New Roman"/>
        </w:rPr>
        <w:t>That the parties are required to submit Statements in Support of the Settlement, as well as proposed Findings of Fact, proposed Conclusions of Law and proposed Ordering Paragraphs, at the time the settlement is submitted.</w:t>
      </w:r>
    </w:p>
    <w:p w:rsidR="00467280" w:rsidRPr="00402C5A" w:rsidRDefault="00467280" w:rsidP="00B43DB3">
      <w:pPr>
        <w:spacing w:line="360" w:lineRule="auto"/>
        <w:rPr>
          <w:rFonts w:ascii="Times New Roman" w:hAnsi="Times New Roman" w:cs="Times New Roman"/>
        </w:rPr>
      </w:pPr>
    </w:p>
    <w:p w:rsidR="007C0AD2" w:rsidRPr="00402C5A" w:rsidRDefault="007C0AD2" w:rsidP="00B43DB3">
      <w:pPr>
        <w:tabs>
          <w:tab w:val="left" w:pos="1440"/>
        </w:tabs>
        <w:spacing w:line="360" w:lineRule="auto"/>
        <w:ind w:firstLine="1440"/>
        <w:rPr>
          <w:rFonts w:ascii="Times New Roman" w:hAnsi="Times New Roman" w:cs="Times New Roman"/>
        </w:rPr>
      </w:pPr>
    </w:p>
    <w:p w:rsidR="007C0AD2" w:rsidRPr="00CD7272" w:rsidRDefault="007C0AD2" w:rsidP="007C0AD2">
      <w:pPr>
        <w:tabs>
          <w:tab w:val="left" w:pos="1440"/>
        </w:tabs>
        <w:rPr>
          <w:rFonts w:ascii="Times New Roman" w:hAnsi="Times New Roman" w:cs="Times New Roman"/>
          <w:u w:val="single"/>
        </w:rPr>
      </w:pPr>
      <w:r w:rsidRPr="00CD7272">
        <w:rPr>
          <w:rFonts w:ascii="Times New Roman" w:hAnsi="Times New Roman" w:cs="Times New Roman"/>
        </w:rPr>
        <w:t xml:space="preserve">Date: </w:t>
      </w:r>
      <w:r w:rsidR="00A842A8">
        <w:rPr>
          <w:rFonts w:ascii="Times New Roman" w:hAnsi="Times New Roman" w:cs="Times New Roman"/>
          <w:u w:val="single"/>
        </w:rPr>
        <w:t>April 15, 2016</w:t>
      </w:r>
      <w:r w:rsidRPr="00CD7272">
        <w:rPr>
          <w:rFonts w:ascii="Times New Roman" w:hAnsi="Times New Roman" w:cs="Times New Roman"/>
        </w:rPr>
        <w:tab/>
      </w:r>
      <w:r w:rsidR="002A65D6">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p>
    <w:p w:rsidR="007C0AD2" w:rsidRPr="00CD7272"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Joel H. Cheskis</w:t>
      </w:r>
    </w:p>
    <w:p w:rsidR="00B43DB3" w:rsidRDefault="007C0AD2">
      <w:pPr>
        <w:rPr>
          <w:rFonts w:ascii="Times New Roman" w:hAnsi="Times New Roman" w:cs="Times New Roman"/>
        </w:rPr>
        <w:sectPr w:rsidR="00B43DB3" w:rsidSect="00B43DB3">
          <w:footerReference w:type="default" r:id="rId9"/>
          <w:pgSz w:w="12240" w:h="15840"/>
          <w:pgMar w:top="1440" w:right="1440" w:bottom="1440" w:left="1440" w:header="720" w:footer="720" w:gutter="0"/>
          <w:cols w:space="720"/>
          <w:titlePg/>
          <w:docGrid w:linePitch="360"/>
        </w:sect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t>Administrative Law Judge</w:t>
      </w:r>
    </w:p>
    <w:p w:rsidR="00B43DB3" w:rsidRDefault="00B43DB3" w:rsidP="00B43DB3">
      <w:pPr>
        <w:contextualSpacing/>
        <w:rPr>
          <w:rFonts w:ascii="Microsoft Sans Serif"/>
          <w:b/>
          <w:u w:val="single"/>
        </w:rPr>
      </w:pPr>
      <w:r>
        <w:rPr>
          <w:rFonts w:ascii="Microsoft Sans Serif"/>
          <w:b/>
          <w:u w:val="single"/>
        </w:rPr>
        <w:lastRenderedPageBreak/>
        <w:t>C-2015-2468131 - PUC INVESTIGATION AND ENFORCEMENT v. CONTINENTAL COMMUNITIES LLC/HICKORY HILLS MHC LLC</w:t>
      </w:r>
      <w:r>
        <w:rPr>
          <w:rFonts w:ascii="Microsoft Sans Serif"/>
          <w:b/>
          <w:u w:val="single"/>
        </w:rPr>
        <w:cr/>
      </w:r>
    </w:p>
    <w:p w:rsidR="00B43DB3" w:rsidRDefault="00B43DB3" w:rsidP="00B43DB3">
      <w:pPr>
        <w:contextualSpacing/>
        <w:rPr>
          <w:rFonts w:ascii="Microsoft Sans Serif"/>
        </w:rPr>
      </w:pPr>
      <w:r>
        <w:rPr>
          <w:rFonts w:ascii="Microsoft Sans Serif"/>
        </w:rPr>
        <w:t>ADAM D YOUNG ESQUIRE</w:t>
      </w:r>
      <w:r>
        <w:rPr>
          <w:rFonts w:ascii="Microsoft Sans Serif"/>
        </w:rPr>
        <w:cr/>
        <w:t>WAYNE T SCOTT ESQUIRE</w:t>
      </w:r>
      <w:r>
        <w:rPr>
          <w:rFonts w:ascii="Microsoft Sans Serif"/>
        </w:rPr>
        <w:cr/>
        <w:t>PA PUC BUREAU OF INVESTIGATION AND ENFORCEMENT</w:t>
      </w:r>
      <w:r>
        <w:rPr>
          <w:rFonts w:ascii="Microsoft Sans Serif"/>
        </w:rPr>
        <w:cr/>
        <w:t>PO BOX 3265</w:t>
      </w:r>
      <w:r>
        <w:rPr>
          <w:rFonts w:ascii="Microsoft Sans Serif"/>
        </w:rPr>
        <w:cr/>
        <w:t>HARRISBURG PA  17105-3265</w:t>
      </w:r>
      <w:r>
        <w:rPr>
          <w:rFonts w:ascii="Microsoft Sans Serif"/>
        </w:rPr>
        <w:cr/>
        <w:t>717.783.6150</w:t>
      </w:r>
      <w:r>
        <w:rPr>
          <w:rFonts w:ascii="Microsoft Sans Serif"/>
        </w:rPr>
        <w:cr/>
      </w:r>
      <w:r w:rsidRPr="00FE3A6C">
        <w:rPr>
          <w:rFonts w:ascii="Microsoft Sans Serif"/>
          <w:b/>
          <w:i/>
          <w:u w:val="single"/>
        </w:rPr>
        <w:t>-ACCEPTS ELECTRONIC SERVICE-</w:t>
      </w:r>
    </w:p>
    <w:p w:rsidR="00B43DB3" w:rsidRDefault="00B43DB3" w:rsidP="00B43DB3">
      <w:pPr>
        <w:contextualSpacing/>
        <w:rPr>
          <w:rFonts w:ascii="Microsoft Sans Serif"/>
        </w:rPr>
      </w:pPr>
    </w:p>
    <w:p w:rsidR="00B43DB3" w:rsidRPr="00FE3A6C" w:rsidRDefault="00B43DB3" w:rsidP="00B43DB3">
      <w:pPr>
        <w:contextualSpacing/>
        <w:rPr>
          <w:rFonts w:ascii="Microsoft Sans Serif"/>
          <w:b/>
          <w:i/>
          <w:u w:val="single"/>
        </w:rPr>
      </w:pPr>
      <w:r>
        <w:rPr>
          <w:rFonts w:ascii="Microsoft Sans Serif"/>
        </w:rPr>
        <w:t>KEVIN J MCKEON ESQUIRE</w:t>
      </w:r>
      <w:r>
        <w:rPr>
          <w:rFonts w:ascii="Microsoft Sans Serif"/>
          <w:b/>
          <w:u w:val="single"/>
        </w:rPr>
        <w:cr/>
      </w:r>
      <w:r>
        <w:rPr>
          <w:rFonts w:ascii="Microsoft Sans Serif"/>
        </w:rPr>
        <w:t>WHITNEY E SNYDER ESQUIRE</w:t>
      </w:r>
      <w:r>
        <w:rPr>
          <w:rFonts w:ascii="Microsoft Sans Serif"/>
        </w:rPr>
        <w:cr/>
        <w:t>HAWKE MCKEON AND SNISCAK LLP</w:t>
      </w:r>
      <w:r>
        <w:rPr>
          <w:rFonts w:ascii="Microsoft Sans Serif"/>
        </w:rPr>
        <w:cr/>
        <w:t>100 N 10TH STREET</w:t>
      </w:r>
      <w:r>
        <w:rPr>
          <w:rFonts w:ascii="Microsoft Sans Serif"/>
        </w:rPr>
        <w:cr/>
        <w:t>HARRISBURG PA  17101</w:t>
      </w:r>
      <w:r>
        <w:rPr>
          <w:rFonts w:ascii="Microsoft Sans Serif"/>
        </w:rPr>
        <w:cr/>
        <w:t>717.236.1300</w:t>
      </w:r>
      <w:r>
        <w:rPr>
          <w:rFonts w:ascii="Microsoft Sans Serif"/>
        </w:rPr>
        <w:cr/>
      </w:r>
      <w:r w:rsidRPr="00FE3A6C">
        <w:rPr>
          <w:rFonts w:ascii="Microsoft Sans Serif"/>
          <w:b/>
          <w:i/>
          <w:u w:val="single"/>
        </w:rPr>
        <w:t>-ACCEPTS ELECTRONIC SERVICE-</w:t>
      </w:r>
    </w:p>
    <w:p w:rsidR="00B43DB3" w:rsidRDefault="00B43DB3" w:rsidP="00B43DB3">
      <w:pPr>
        <w:contextualSpacing/>
        <w:rPr>
          <w:rFonts w:ascii="Microsoft Sans Serif"/>
        </w:rPr>
      </w:pPr>
      <w:r w:rsidRPr="00FE3A6C">
        <w:rPr>
          <w:rFonts w:ascii="Microsoft Sans Serif"/>
          <w:b/>
          <w:i/>
          <w:u w:val="single"/>
        </w:rPr>
        <w:cr/>
      </w:r>
      <w:r>
        <w:rPr>
          <w:rFonts w:ascii="Microsoft Sans Serif"/>
        </w:rPr>
        <w:t>HICKORY MILLS MHC LLC</w:t>
      </w:r>
      <w:r>
        <w:rPr>
          <w:rFonts w:ascii="Microsoft Sans Serif"/>
        </w:rPr>
        <w:cr/>
        <w:t>121 HICKORY HILLS DRIVE</w:t>
      </w:r>
      <w:r>
        <w:rPr>
          <w:rFonts w:ascii="Microsoft Sans Serif"/>
        </w:rPr>
        <w:cr/>
        <w:t>BATH PA  18014</w:t>
      </w:r>
      <w:r>
        <w:rPr>
          <w:rFonts w:ascii="Microsoft Sans Serif"/>
        </w:rPr>
        <w:cr/>
      </w:r>
    </w:p>
    <w:p w:rsidR="00B43DB3" w:rsidRDefault="00B43DB3" w:rsidP="00B43DB3">
      <w:pPr>
        <w:contextualSpacing/>
      </w:pPr>
      <w:r>
        <w:rPr>
          <w:rFonts w:ascii="Microsoft Sans Serif"/>
        </w:rPr>
        <w:t>DANIEL VAN VOORHIS</w:t>
      </w:r>
      <w:r>
        <w:rPr>
          <w:rFonts w:ascii="Microsoft Sans Serif"/>
        </w:rPr>
        <w:cr/>
        <w:t>CONTINENTAL COMMUNITIES LLC</w:t>
      </w:r>
      <w:r>
        <w:rPr>
          <w:rFonts w:ascii="Microsoft Sans Serif"/>
        </w:rPr>
        <w:cr/>
        <w:t>2015 SPRING ROAD SUITE 600</w:t>
      </w:r>
      <w:r>
        <w:rPr>
          <w:rFonts w:ascii="Microsoft Sans Serif"/>
        </w:rPr>
        <w:cr/>
        <w:t>OAK BROOK IL  60523</w:t>
      </w:r>
      <w:r>
        <w:rPr>
          <w:rFonts w:ascii="Microsoft Sans Serif"/>
        </w:rPr>
        <w:cr/>
      </w:r>
    </w:p>
    <w:p w:rsidR="00B43DB3" w:rsidRDefault="00B43DB3" w:rsidP="00B43DB3">
      <w:pPr>
        <w:contextualSpacing/>
      </w:pPr>
    </w:p>
    <w:p w:rsidR="00EA6874" w:rsidRPr="00DB327B" w:rsidRDefault="00EA6874">
      <w:pPr>
        <w:rPr>
          <w:rFonts w:ascii="Times New Roman" w:hAnsi="Times New Roman" w:cs="Times New Roman"/>
        </w:rPr>
      </w:pPr>
      <w:bookmarkStart w:id="0" w:name="_GoBack"/>
      <w:bookmarkEnd w:id="0"/>
    </w:p>
    <w:sectPr w:rsidR="00EA6874" w:rsidRPr="00DB32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95" w:rsidRDefault="003A4195">
      <w:r>
        <w:separator/>
      </w:r>
    </w:p>
  </w:endnote>
  <w:endnote w:type="continuationSeparator" w:id="0">
    <w:p w:rsidR="003A4195" w:rsidRDefault="003A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3" w:rsidRPr="00B43DB3" w:rsidRDefault="007C0AD2">
    <w:pPr>
      <w:pStyle w:val="Footer"/>
      <w:framePr w:wrap="auto" w:vAnchor="text" w:hAnchor="margin" w:xAlign="center" w:y="1"/>
      <w:rPr>
        <w:rStyle w:val="PageNumber"/>
        <w:rFonts w:ascii="Times New Roman" w:hAnsi="Times New Roman" w:cs="Times New Roman"/>
        <w:sz w:val="20"/>
        <w:szCs w:val="20"/>
      </w:rPr>
    </w:pPr>
    <w:r w:rsidRPr="00B43DB3">
      <w:rPr>
        <w:rStyle w:val="PageNumber"/>
        <w:rFonts w:ascii="Times New Roman" w:hAnsi="Times New Roman" w:cs="Times New Roman"/>
        <w:sz w:val="20"/>
        <w:szCs w:val="20"/>
      </w:rPr>
      <w:fldChar w:fldCharType="begin"/>
    </w:r>
    <w:r w:rsidRPr="00B43DB3">
      <w:rPr>
        <w:rStyle w:val="PageNumber"/>
        <w:rFonts w:ascii="Times New Roman" w:hAnsi="Times New Roman" w:cs="Times New Roman"/>
        <w:sz w:val="20"/>
        <w:szCs w:val="20"/>
      </w:rPr>
      <w:instrText xml:space="preserve">PAGE  </w:instrText>
    </w:r>
    <w:r w:rsidRPr="00B43DB3">
      <w:rPr>
        <w:rStyle w:val="PageNumber"/>
        <w:rFonts w:ascii="Times New Roman" w:hAnsi="Times New Roman" w:cs="Times New Roman"/>
        <w:sz w:val="20"/>
        <w:szCs w:val="20"/>
      </w:rPr>
      <w:fldChar w:fldCharType="separate"/>
    </w:r>
    <w:r w:rsidR="00B43DB3">
      <w:rPr>
        <w:rStyle w:val="PageNumber"/>
        <w:rFonts w:ascii="Times New Roman" w:hAnsi="Times New Roman" w:cs="Times New Roman"/>
        <w:noProof/>
        <w:sz w:val="20"/>
        <w:szCs w:val="20"/>
      </w:rPr>
      <w:t>2</w:t>
    </w:r>
    <w:r w:rsidRPr="00B43DB3">
      <w:rPr>
        <w:rStyle w:val="PageNumber"/>
        <w:rFonts w:ascii="Times New Roman" w:hAnsi="Times New Roman" w:cs="Times New Roman"/>
        <w:sz w:val="20"/>
        <w:szCs w:val="20"/>
      </w:rPr>
      <w:fldChar w:fldCharType="end"/>
    </w:r>
  </w:p>
  <w:p w:rsidR="00890F53" w:rsidRDefault="003A4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B3" w:rsidRDefault="00B43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95" w:rsidRDefault="003A4195">
      <w:r>
        <w:separator/>
      </w:r>
    </w:p>
  </w:footnote>
  <w:footnote w:type="continuationSeparator" w:id="0">
    <w:p w:rsidR="003A4195" w:rsidRDefault="003A4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CFE"/>
    <w:multiLevelType w:val="hybridMultilevel"/>
    <w:tmpl w:val="DE724C6E"/>
    <w:lvl w:ilvl="0" w:tplc="43DCD3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91C33"/>
    <w:multiLevelType w:val="hybridMultilevel"/>
    <w:tmpl w:val="C3A41208"/>
    <w:lvl w:ilvl="0" w:tplc="E31899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4B4D"/>
    <w:rsid w:val="000A7E76"/>
    <w:rsid w:val="000C3C29"/>
    <w:rsid w:val="000D31D3"/>
    <w:rsid w:val="000D6D2D"/>
    <w:rsid w:val="001A05A3"/>
    <w:rsid w:val="001A7BA3"/>
    <w:rsid w:val="001E3616"/>
    <w:rsid w:val="001F16C4"/>
    <w:rsid w:val="001F46EA"/>
    <w:rsid w:val="002703DE"/>
    <w:rsid w:val="002A65D6"/>
    <w:rsid w:val="002D32F0"/>
    <w:rsid w:val="002F41AD"/>
    <w:rsid w:val="003110A2"/>
    <w:rsid w:val="003323A7"/>
    <w:rsid w:val="003437B2"/>
    <w:rsid w:val="00346249"/>
    <w:rsid w:val="0038002F"/>
    <w:rsid w:val="00394FDF"/>
    <w:rsid w:val="003A19E4"/>
    <w:rsid w:val="003A4195"/>
    <w:rsid w:val="003B6723"/>
    <w:rsid w:val="00402C5A"/>
    <w:rsid w:val="0040711B"/>
    <w:rsid w:val="00417B55"/>
    <w:rsid w:val="00456504"/>
    <w:rsid w:val="00467280"/>
    <w:rsid w:val="00477A57"/>
    <w:rsid w:val="004E21D2"/>
    <w:rsid w:val="004F278F"/>
    <w:rsid w:val="00502404"/>
    <w:rsid w:val="00540816"/>
    <w:rsid w:val="0054671B"/>
    <w:rsid w:val="0057622D"/>
    <w:rsid w:val="005A2250"/>
    <w:rsid w:val="005A4A29"/>
    <w:rsid w:val="00611540"/>
    <w:rsid w:val="00634E3C"/>
    <w:rsid w:val="006673C6"/>
    <w:rsid w:val="006E1F2D"/>
    <w:rsid w:val="006F15CA"/>
    <w:rsid w:val="00704367"/>
    <w:rsid w:val="007460ED"/>
    <w:rsid w:val="007471F4"/>
    <w:rsid w:val="007A0D03"/>
    <w:rsid w:val="007C0AD2"/>
    <w:rsid w:val="00813B64"/>
    <w:rsid w:val="0082381B"/>
    <w:rsid w:val="0087729D"/>
    <w:rsid w:val="008C31EA"/>
    <w:rsid w:val="008D1BEF"/>
    <w:rsid w:val="009065F4"/>
    <w:rsid w:val="00912AEA"/>
    <w:rsid w:val="0092734C"/>
    <w:rsid w:val="0099119F"/>
    <w:rsid w:val="009A5FED"/>
    <w:rsid w:val="009A6884"/>
    <w:rsid w:val="009C4AC0"/>
    <w:rsid w:val="009C6580"/>
    <w:rsid w:val="00A17308"/>
    <w:rsid w:val="00A73184"/>
    <w:rsid w:val="00A842A8"/>
    <w:rsid w:val="00A84CC2"/>
    <w:rsid w:val="00AE01E9"/>
    <w:rsid w:val="00AF2858"/>
    <w:rsid w:val="00AF5A22"/>
    <w:rsid w:val="00B362DC"/>
    <w:rsid w:val="00B43DB3"/>
    <w:rsid w:val="00B75072"/>
    <w:rsid w:val="00B916BE"/>
    <w:rsid w:val="00BD49A0"/>
    <w:rsid w:val="00BE5625"/>
    <w:rsid w:val="00C0478F"/>
    <w:rsid w:val="00C22D2E"/>
    <w:rsid w:val="00C4229D"/>
    <w:rsid w:val="00C7540D"/>
    <w:rsid w:val="00CD5808"/>
    <w:rsid w:val="00CE2745"/>
    <w:rsid w:val="00CF7F8C"/>
    <w:rsid w:val="00D01817"/>
    <w:rsid w:val="00D522D2"/>
    <w:rsid w:val="00D54254"/>
    <w:rsid w:val="00DA2017"/>
    <w:rsid w:val="00DB0759"/>
    <w:rsid w:val="00DB1985"/>
    <w:rsid w:val="00DB327B"/>
    <w:rsid w:val="00E00772"/>
    <w:rsid w:val="00E16B09"/>
    <w:rsid w:val="00E73DBB"/>
    <w:rsid w:val="00EA6874"/>
    <w:rsid w:val="00EE6124"/>
    <w:rsid w:val="00F358DE"/>
    <w:rsid w:val="00F754D7"/>
    <w:rsid w:val="00FA054E"/>
    <w:rsid w:val="00FB269B"/>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7C0AD2"/>
    <w:pPr>
      <w:tabs>
        <w:tab w:val="center" w:pos="4320"/>
        <w:tab w:val="right" w:pos="8640"/>
      </w:tabs>
    </w:pPr>
  </w:style>
  <w:style w:type="character" w:customStyle="1" w:styleId="FooterChar">
    <w:name w:val="Footer Char"/>
    <w:basedOn w:val="DefaultParagraphFont"/>
    <w:link w:val="Footer"/>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rsid w:val="0046728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78F"/>
    <w:pPr>
      <w:tabs>
        <w:tab w:val="center" w:pos="4680"/>
        <w:tab w:val="right" w:pos="9360"/>
      </w:tabs>
    </w:pPr>
  </w:style>
  <w:style w:type="character" w:customStyle="1" w:styleId="HeaderChar">
    <w:name w:val="Header Char"/>
    <w:basedOn w:val="DefaultParagraphFont"/>
    <w:link w:val="Header"/>
    <w:uiPriority w:val="99"/>
    <w:rsid w:val="004F278F"/>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7C0AD2"/>
    <w:pPr>
      <w:tabs>
        <w:tab w:val="center" w:pos="4320"/>
        <w:tab w:val="right" w:pos="8640"/>
      </w:tabs>
    </w:pPr>
  </w:style>
  <w:style w:type="character" w:customStyle="1" w:styleId="FooterChar">
    <w:name w:val="Footer Char"/>
    <w:basedOn w:val="DefaultParagraphFont"/>
    <w:link w:val="Footer"/>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rsid w:val="0046728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78F"/>
    <w:pPr>
      <w:tabs>
        <w:tab w:val="center" w:pos="4680"/>
        <w:tab w:val="right" w:pos="9360"/>
      </w:tabs>
    </w:pPr>
  </w:style>
  <w:style w:type="character" w:customStyle="1" w:styleId="HeaderChar">
    <w:name w:val="Header Char"/>
    <w:basedOn w:val="DefaultParagraphFont"/>
    <w:link w:val="Header"/>
    <w:uiPriority w:val="99"/>
    <w:rsid w:val="004F278F"/>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6AFC-88B7-411D-9441-DB33B1BD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2</cp:revision>
  <cp:lastPrinted>2016-04-15T13:04:00Z</cp:lastPrinted>
  <dcterms:created xsi:type="dcterms:W3CDTF">2016-04-15T17:25:00Z</dcterms:created>
  <dcterms:modified xsi:type="dcterms:W3CDTF">2016-04-15T17:25:00Z</dcterms:modified>
</cp:coreProperties>
</file>