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807EED"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Paulette A. Sanders</w:t>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807EED">
        <w:rPr>
          <w:rFonts w:ascii="Times New Roman" w:hAnsi="Times New Roman" w:cs="Times New Roman"/>
          <w:spacing w:val="-3"/>
        </w:rPr>
        <w:t>C-2015-2506945</w:t>
      </w:r>
    </w:p>
    <w:p w:rsidR="00DF1D5D" w:rsidRPr="002D21A5" w:rsidRDefault="00DF1D5D"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6573C5" w:rsidRPr="006F2D1B" w:rsidRDefault="00F45F02"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807EED" w:rsidRDefault="00F45F02" w:rsidP="00B02DCD">
      <w:pPr>
        <w:tabs>
          <w:tab w:val="left" w:pos="-720"/>
          <w:tab w:val="left" w:pos="0"/>
        </w:tabs>
        <w:suppressAutoHyphens/>
        <w:jc w:val="both"/>
        <w:rPr>
          <w:rFonts w:ascii="Times New Roman" w:hAnsi="Times New Roman" w:cs="Times New Roman"/>
          <w:spacing w:val="-3"/>
        </w:rPr>
      </w:pPr>
      <w:proofErr w:type="gramStart"/>
      <w:r>
        <w:rPr>
          <w:rFonts w:ascii="Times New Roman" w:hAnsi="Times New Roman" w:cs="Times New Roman"/>
          <w:spacing w:val="-3"/>
        </w:rPr>
        <w:t>and</w:t>
      </w:r>
      <w:proofErr w:type="gramEnd"/>
      <w:r>
        <w:rPr>
          <w:rFonts w:ascii="Times New Roman" w:hAnsi="Times New Roman" w:cs="Times New Roman"/>
          <w:spacing w:val="-3"/>
        </w:rPr>
        <w:t xml:space="preserve"> </w:t>
      </w:r>
      <w:r w:rsidR="00807EED">
        <w:rPr>
          <w:rFonts w:ascii="Times New Roman" w:hAnsi="Times New Roman" w:cs="Times New Roman"/>
          <w:spacing w:val="-3"/>
        </w:rPr>
        <w:t>Respond Power</w:t>
      </w:r>
      <w:r w:rsidR="00D22B73">
        <w:rPr>
          <w:rFonts w:ascii="Times New Roman" w:hAnsi="Times New Roman" w:cs="Times New Roman"/>
          <w:spacing w:val="-3"/>
        </w:rPr>
        <w:t xml:space="preserve"> LLC</w:t>
      </w:r>
      <w:r>
        <w:rPr>
          <w:rFonts w:ascii="Times New Roman" w:hAnsi="Times New Roman" w:cs="Times New Roman"/>
          <w:spacing w:val="-3"/>
        </w:rPr>
        <w:tab/>
      </w:r>
      <w:r w:rsidR="00807EED">
        <w:rPr>
          <w:rFonts w:ascii="Times New Roman" w:hAnsi="Times New Roman" w:cs="Times New Roman"/>
          <w:spacing w:val="-3"/>
        </w:rPr>
        <w:tab/>
      </w:r>
      <w:r w:rsidR="00807EED">
        <w:rPr>
          <w:rFonts w:ascii="Times New Roman" w:hAnsi="Times New Roman" w:cs="Times New Roman"/>
          <w:spacing w:val="-3"/>
        </w:rPr>
        <w:tab/>
      </w:r>
      <w:r w:rsidR="00807EED">
        <w:rPr>
          <w:rFonts w:ascii="Times New Roman" w:hAnsi="Times New Roman" w:cs="Times New Roman"/>
          <w:spacing w:val="-3"/>
        </w:rPr>
        <w:tab/>
        <w:t>:</w:t>
      </w:r>
    </w:p>
    <w:p w:rsidR="00D22B73" w:rsidRDefault="00D22B73" w:rsidP="00B02DCD">
      <w:pPr>
        <w:tabs>
          <w:tab w:val="left" w:pos="-720"/>
          <w:tab w:val="left" w:pos="0"/>
        </w:tabs>
        <w:suppressAutoHyphens/>
        <w:jc w:val="both"/>
        <w:rPr>
          <w:rFonts w:ascii="Times New Roman" w:hAnsi="Times New Roman" w:cs="Times New Roman"/>
          <w:spacing w:val="-3"/>
        </w:rPr>
      </w:pPr>
    </w:p>
    <w:p w:rsidR="00066AF1" w:rsidRDefault="00B02DCD"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 xml:space="preserve">PREHEARING </w:t>
      </w:r>
      <w:bookmarkStart w:id="0" w:name="_GoBack"/>
      <w:bookmarkEnd w:id="0"/>
      <w:r w:rsidRPr="006F2D1B">
        <w:rPr>
          <w:rFonts w:ascii="Times New Roman" w:hAnsi="Times New Roman" w:cs="Times New Roman"/>
          <w:b/>
          <w:bCs/>
          <w:spacing w:val="-3"/>
          <w:u w:val="single"/>
        </w:rPr>
        <w:t>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7B4283" w:rsidRPr="007B4283" w:rsidRDefault="007B4283" w:rsidP="007B4283">
      <w:pPr>
        <w:tabs>
          <w:tab w:val="left" w:pos="0"/>
        </w:tabs>
        <w:autoSpaceDE/>
        <w:autoSpaceDN/>
        <w:spacing w:line="360" w:lineRule="auto"/>
        <w:rPr>
          <w:rFonts w:ascii="Times New Roman" w:hAnsi="Times New Roman" w:cs="Times New Roman"/>
        </w:rPr>
      </w:pPr>
      <w:r>
        <w:rPr>
          <w:rFonts w:ascii="Times New Roman" w:hAnsi="Times New Roman" w:cs="Times New Roman"/>
          <w:szCs w:val="20"/>
        </w:rPr>
        <w:tab/>
      </w:r>
      <w:r>
        <w:rPr>
          <w:rFonts w:ascii="Times New Roman" w:hAnsi="Times New Roman" w:cs="Times New Roman"/>
          <w:szCs w:val="20"/>
        </w:rPr>
        <w:tab/>
      </w:r>
      <w:r w:rsidRPr="007B4283">
        <w:rPr>
          <w:rFonts w:ascii="Times New Roman" w:hAnsi="Times New Roman" w:cs="Times New Roman"/>
          <w:szCs w:val="20"/>
        </w:rPr>
        <w:t xml:space="preserve">An initial telephonic hearing in this case is scheduled for </w:t>
      </w:r>
      <w:r w:rsidR="00807EED">
        <w:rPr>
          <w:rFonts w:ascii="Times New Roman" w:hAnsi="Times New Roman" w:cs="Times New Roman"/>
          <w:szCs w:val="20"/>
        </w:rPr>
        <w:t>Wedne</w:t>
      </w:r>
      <w:r w:rsidRPr="007B4283">
        <w:rPr>
          <w:rFonts w:ascii="Times New Roman" w:hAnsi="Times New Roman" w:cs="Times New Roman"/>
          <w:szCs w:val="20"/>
        </w:rPr>
        <w:t xml:space="preserve">sday, May </w:t>
      </w:r>
      <w:r w:rsidR="00807EED">
        <w:rPr>
          <w:rFonts w:ascii="Times New Roman" w:hAnsi="Times New Roman" w:cs="Times New Roman"/>
          <w:szCs w:val="20"/>
        </w:rPr>
        <w:t>25</w:t>
      </w:r>
      <w:r w:rsidRPr="007B4283">
        <w:rPr>
          <w:rFonts w:ascii="Times New Roman" w:hAnsi="Times New Roman" w:cs="Times New Roman"/>
          <w:szCs w:val="20"/>
        </w:rPr>
        <w:t xml:space="preserve">, 2016, at 10:00 a.m.  </w:t>
      </w:r>
      <w:r w:rsidRPr="007B4283">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7B4283" w:rsidRPr="007B4283" w:rsidRDefault="007B4283" w:rsidP="007B4283">
      <w:pPr>
        <w:tabs>
          <w:tab w:val="left" w:pos="0"/>
        </w:tabs>
        <w:autoSpaceDE/>
        <w:autoSpaceDN/>
        <w:spacing w:line="360" w:lineRule="auto"/>
        <w:rPr>
          <w:rFonts w:ascii="Times New Roman" w:hAnsi="Times New Roman" w:cs="Times New Roman"/>
        </w:rPr>
      </w:pPr>
    </w:p>
    <w:p w:rsidR="007B4283" w:rsidRPr="007B4283" w:rsidRDefault="007B4283" w:rsidP="007B4283">
      <w:pPr>
        <w:autoSpaceDE/>
        <w:autoSpaceDN/>
        <w:spacing w:line="360" w:lineRule="auto"/>
        <w:rPr>
          <w:rFonts w:ascii="Times New Roman" w:hAnsi="Times New Roman" w:cs="Times New Roman"/>
        </w:rPr>
      </w:pPr>
      <w:r w:rsidRPr="007B4283">
        <w:rPr>
          <w:rFonts w:ascii="Times New Roman" w:hAnsi="Times New Roman" w:cs="Times New Roman"/>
        </w:rPr>
        <w:tab/>
      </w:r>
      <w:r w:rsidRPr="007B4283">
        <w:rPr>
          <w:rFonts w:ascii="Times New Roman" w:hAnsi="Times New Roman" w:cs="Times New Roman"/>
        </w:rPr>
        <w:tab/>
      </w:r>
      <w:r w:rsidRPr="007B4283">
        <w:rPr>
          <w:rFonts w:ascii="Times New Roman" w:hAnsi="Times New Roman" w:cs="Times New Roman"/>
        </w:rPr>
        <w:tab/>
        <w:t>Toll-free Bridge Number:  1-855-750-1027</w:t>
      </w:r>
    </w:p>
    <w:p w:rsidR="007B4283" w:rsidRPr="007B4283" w:rsidRDefault="007B4283" w:rsidP="007B4283">
      <w:pPr>
        <w:autoSpaceDE/>
        <w:autoSpaceDN/>
        <w:spacing w:line="360" w:lineRule="auto"/>
        <w:rPr>
          <w:rFonts w:ascii="Times New Roman" w:hAnsi="Times New Roman" w:cs="Times New Roman"/>
        </w:rPr>
      </w:pPr>
      <w:r w:rsidRPr="007B4283">
        <w:rPr>
          <w:rFonts w:ascii="Times New Roman" w:hAnsi="Times New Roman" w:cs="Times New Roman"/>
        </w:rPr>
        <w:tab/>
      </w:r>
      <w:r w:rsidRPr="007B4283">
        <w:rPr>
          <w:rFonts w:ascii="Times New Roman" w:hAnsi="Times New Roman" w:cs="Times New Roman"/>
        </w:rPr>
        <w:tab/>
      </w:r>
      <w:r w:rsidRPr="007B4283">
        <w:rPr>
          <w:rFonts w:ascii="Times New Roman" w:hAnsi="Times New Roman" w:cs="Times New Roman"/>
        </w:rPr>
        <w:tab/>
        <w:t>PIN Number:  091262</w:t>
      </w:r>
    </w:p>
    <w:p w:rsidR="007B4283" w:rsidRPr="007B4283" w:rsidRDefault="007B4283" w:rsidP="007B4283">
      <w:pPr>
        <w:autoSpaceDE/>
        <w:autoSpaceDN/>
        <w:rPr>
          <w:rFonts w:ascii="Times New Roman" w:hAnsi="Times New Roman" w:cs="Times New Roman"/>
          <w:sz w:val="20"/>
          <w:szCs w:val="20"/>
        </w:rPr>
      </w:pPr>
    </w:p>
    <w:p w:rsidR="007B4283" w:rsidRPr="007B4283" w:rsidRDefault="007B4283" w:rsidP="007B4283">
      <w:pPr>
        <w:autoSpaceDE/>
        <w:autoSpaceDN/>
        <w:spacing w:line="360" w:lineRule="auto"/>
        <w:rPr>
          <w:rFonts w:ascii="Times New Roman" w:hAnsi="Times New Roman" w:cs="Times New Roman"/>
        </w:rPr>
      </w:pPr>
      <w:r w:rsidRPr="007B4283">
        <w:rPr>
          <w:rFonts w:ascii="Times New Roman" w:hAnsi="Times New Roman" w:cs="Times New Roman"/>
          <w:b/>
          <w:u w:val="single"/>
        </w:rPr>
        <w:t>You must call into the hearing on the scheduled day and time.  If you fail to do so, your case will be dismissed. You will not be called by the Administrative Law Judge.</w:t>
      </w:r>
    </w:p>
    <w:p w:rsidR="007B4283" w:rsidRPr="007B4283" w:rsidRDefault="007B4283" w:rsidP="007B4283">
      <w:pPr>
        <w:tabs>
          <w:tab w:val="left" w:pos="0"/>
        </w:tabs>
        <w:autoSpaceDE/>
        <w:autoSpaceDN/>
        <w:spacing w:line="360" w:lineRule="auto"/>
        <w:rPr>
          <w:rFonts w:ascii="Times New Roman" w:hAnsi="Times New Roman" w:cs="Times New Roman"/>
          <w:szCs w:val="20"/>
        </w:rPr>
      </w:pPr>
    </w:p>
    <w:p w:rsidR="007B4283" w:rsidRPr="007B4283" w:rsidRDefault="007B4283" w:rsidP="007B4283">
      <w:pPr>
        <w:tabs>
          <w:tab w:val="left" w:pos="0"/>
        </w:tabs>
        <w:autoSpaceDE/>
        <w:autoSpaceDN/>
        <w:spacing w:line="360" w:lineRule="auto"/>
        <w:rPr>
          <w:rFonts w:ascii="Times New Roman" w:hAnsi="Times New Roman" w:cs="Times New Roman"/>
          <w:szCs w:val="20"/>
        </w:rPr>
      </w:pPr>
      <w:r w:rsidRPr="007B4283">
        <w:rPr>
          <w:rFonts w:ascii="Times New Roman" w:hAnsi="Times New Roman" w:cs="Times New Roman"/>
          <w:szCs w:val="20"/>
        </w:rPr>
        <w:tab/>
      </w:r>
      <w:r w:rsidRPr="007B4283">
        <w:rPr>
          <w:rFonts w:ascii="Times New Roman" w:hAnsi="Times New Roman" w:cs="Times New Roman"/>
          <w:szCs w:val="20"/>
        </w:rPr>
        <w:tab/>
        <w:t>The parties also are hereby directed to comply with the following requirements:</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B4283"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w:t>
      </w:r>
      <w:r w:rsidR="007B4283">
        <w:rPr>
          <w:rFonts w:ascii="Times New Roman" w:hAnsi="Times New Roman" w:cs="Times New Roman"/>
          <w:spacing w:val="-3"/>
        </w:rPr>
        <w:br w:type="page"/>
      </w:r>
    </w:p>
    <w:p w:rsidR="007E52F0" w:rsidRPr="006F2D1B" w:rsidRDefault="004A77F9" w:rsidP="007B4283">
      <w:pPr>
        <w:pStyle w:val="ParaTab1"/>
        <w:spacing w:line="360" w:lineRule="auto"/>
        <w:ind w:firstLine="0"/>
        <w:rPr>
          <w:rFonts w:ascii="Times New Roman" w:hAnsi="Times New Roman" w:cs="Times New Roman"/>
          <w:spacing w:val="-3"/>
        </w:rPr>
      </w:pPr>
      <w:r w:rsidRPr="006F2D1B">
        <w:rPr>
          <w:rFonts w:ascii="Times New Roman" w:hAnsi="Times New Roman" w:cs="Times New Roman"/>
          <w:spacing w:val="-3"/>
        </w:rPr>
        <w:lastRenderedPageBreak/>
        <w:t>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lastRenderedPageBreak/>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lastRenderedPageBreak/>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421.  You must submit your written application to me 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 xml:space="preserve">YOU MAY LOSE THIS CASE, IF YOU DO NOT TAKE PART IN THIS HEARING AND PRESENT EVIDENCE ON THE ISSUES </w:t>
      </w:r>
      <w:proofErr w:type="gramStart"/>
      <w:r w:rsidRPr="006F2D1B">
        <w:rPr>
          <w:rFonts w:ascii="Times New Roman" w:hAnsi="Times New Roman" w:cs="Times New Roman"/>
          <w:b/>
          <w:spacing w:val="-3"/>
        </w:rPr>
        <w:t>RAISED</w:t>
      </w:r>
      <w:proofErr w:type="gramEnd"/>
      <w:r w:rsidRPr="006F2D1B">
        <w:rPr>
          <w:rFonts w:ascii="Times New Roman" w:hAnsi="Times New Roman" w:cs="Times New Roman"/>
          <w:b/>
          <w:spacing w:val="-3"/>
        </w:rPr>
        <w:t>.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2D3950" w:rsidRDefault="002D3950" w:rsidP="009E58C1">
      <w:pPr>
        <w:pStyle w:val="ParaTab1"/>
        <w:ind w:left="1440" w:firstLine="0"/>
        <w:rPr>
          <w:rFonts w:ascii="Times New Roman" w:hAnsi="Times New Roman" w:cs="Times New Roman"/>
          <w:spacing w:val="-3"/>
        </w:rPr>
      </w:pPr>
    </w:p>
    <w:p w:rsidR="002D3950" w:rsidRDefault="002D3950" w:rsidP="009E58C1">
      <w:pPr>
        <w:pStyle w:val="ParaTab1"/>
        <w:ind w:left="1440" w:firstLine="0"/>
        <w:rPr>
          <w:rFonts w:ascii="Times New Roman" w:hAnsi="Times New Roman" w:cs="Times New Roman"/>
          <w:spacing w:val="-3"/>
        </w:rPr>
      </w:pPr>
      <w:r>
        <w:rPr>
          <w:rFonts w:ascii="Times New Roman" w:hAnsi="Times New Roman" w:cs="Times New Roman"/>
          <w:spacing w:val="-3"/>
        </w:rPr>
        <w:br w:type="page"/>
      </w: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lastRenderedPageBreak/>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216EF9">
        <w:rPr>
          <w:rFonts w:ascii="Times New Roman" w:hAnsi="Times New Roman" w:cs="Times New Roman"/>
          <w:spacing w:val="-3"/>
          <w:u w:val="single"/>
        </w:rPr>
        <w:t xml:space="preserve">April </w:t>
      </w:r>
      <w:r w:rsidR="002D3950">
        <w:rPr>
          <w:rFonts w:ascii="Times New Roman" w:hAnsi="Times New Roman" w:cs="Times New Roman"/>
          <w:spacing w:val="-3"/>
          <w:u w:val="single"/>
        </w:rPr>
        <w:t>15, 2016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2D3950" w:rsidRPr="006F2D1B">
        <w:rPr>
          <w:rFonts w:ascii="Times New Roman" w:hAnsi="Times New Roman" w:cs="Times New Roman"/>
          <w:spacing w:val="-3"/>
          <w:u w:val="single"/>
        </w:rPr>
        <w:tab/>
      </w:r>
      <w:r w:rsidR="002D3950"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2D3950">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92226C" w:rsidRDefault="0092226C" w:rsidP="00A47A97">
      <w:pPr>
        <w:pStyle w:val="ParaTab1"/>
        <w:tabs>
          <w:tab w:val="clear" w:pos="-720"/>
          <w:tab w:val="left" w:pos="720"/>
          <w:tab w:val="left" w:pos="5040"/>
        </w:tabs>
        <w:ind w:firstLine="0"/>
        <w:rPr>
          <w:rFonts w:ascii="Times New Roman" w:hAnsi="Times New Roman" w:cs="Times New Roman"/>
          <w:spacing w:val="-3"/>
        </w:rPr>
      </w:pPr>
    </w:p>
    <w:p w:rsidR="0092226C" w:rsidRDefault="0092226C" w:rsidP="00A47A97">
      <w:pPr>
        <w:pStyle w:val="ParaTab1"/>
        <w:tabs>
          <w:tab w:val="clear" w:pos="-720"/>
          <w:tab w:val="left" w:pos="720"/>
          <w:tab w:val="left" w:pos="5040"/>
        </w:tabs>
        <w:ind w:firstLine="0"/>
        <w:rPr>
          <w:rFonts w:ascii="Times New Roman" w:hAnsi="Times New Roman" w:cs="Times New Roman"/>
          <w:spacing w:val="-3"/>
        </w:rPr>
        <w:sectPr w:rsidR="0092226C"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807EED" w:rsidRPr="00807EED" w:rsidRDefault="00807EED" w:rsidP="00807EED">
      <w:pPr>
        <w:autoSpaceDE/>
        <w:autoSpaceDN/>
        <w:rPr>
          <w:rFonts w:ascii="Microsoft Sans Serif" w:hAnsi="Microsoft Sans Serif" w:cs="Microsoft Sans Serif"/>
          <w:b/>
          <w:caps/>
          <w:u w:val="single"/>
        </w:rPr>
      </w:pPr>
      <w:r w:rsidRPr="00807EED">
        <w:rPr>
          <w:rFonts w:ascii="Microsoft Sans Serif" w:hAnsi="Microsoft Sans Serif" w:cs="Microsoft Sans Serif"/>
          <w:b/>
          <w:caps/>
          <w:noProof/>
          <w:u w:val="single"/>
        </w:rPr>
        <w:lastRenderedPageBreak/>
        <w:t>C-2015-</w:t>
      </w:r>
      <w:proofErr w:type="gramStart"/>
      <w:r w:rsidRPr="00807EED">
        <w:rPr>
          <w:rFonts w:ascii="Microsoft Sans Serif" w:hAnsi="Microsoft Sans Serif" w:cs="Microsoft Sans Serif"/>
          <w:b/>
          <w:caps/>
          <w:noProof/>
          <w:u w:val="single"/>
        </w:rPr>
        <w:t>2506945</w:t>
      </w:r>
      <w:r w:rsidRPr="00807EED">
        <w:rPr>
          <w:rFonts w:ascii="Microsoft Sans Serif" w:hAnsi="Microsoft Sans Serif" w:cs="Microsoft Sans Serif"/>
          <w:b/>
          <w:caps/>
          <w:u w:val="single"/>
        </w:rPr>
        <w:t xml:space="preserve">  </w:t>
      </w:r>
      <w:r w:rsidRPr="00807EED">
        <w:rPr>
          <w:rFonts w:ascii="Microsoft Sans Serif" w:hAnsi="Microsoft Sans Serif" w:cs="Microsoft Sans Serif"/>
          <w:b/>
          <w:caps/>
          <w:noProof/>
          <w:u w:val="single"/>
        </w:rPr>
        <w:t>Paulette</w:t>
      </w:r>
      <w:proofErr w:type="gramEnd"/>
      <w:r w:rsidRPr="00807EED">
        <w:rPr>
          <w:rFonts w:ascii="Microsoft Sans Serif" w:hAnsi="Microsoft Sans Serif" w:cs="Microsoft Sans Serif"/>
          <w:b/>
          <w:caps/>
          <w:noProof/>
          <w:u w:val="single"/>
        </w:rPr>
        <w:t xml:space="preserve"> A. Sanders</w:t>
      </w:r>
      <w:r w:rsidRPr="00807EED">
        <w:rPr>
          <w:rFonts w:ascii="Microsoft Sans Serif" w:hAnsi="Microsoft Sans Serif" w:cs="Microsoft Sans Serif"/>
          <w:b/>
          <w:caps/>
          <w:u w:val="single"/>
        </w:rPr>
        <w:t xml:space="preserve"> </w:t>
      </w:r>
      <w:r w:rsidRPr="00807EED">
        <w:rPr>
          <w:rFonts w:ascii="Microsoft Sans Serif" w:hAnsi="Microsoft Sans Serif" w:cs="Microsoft Sans Serif"/>
          <w:b/>
          <w:smallCaps/>
          <w:u w:val="single"/>
        </w:rPr>
        <w:t>v</w:t>
      </w:r>
      <w:r w:rsidRPr="00807EED">
        <w:rPr>
          <w:rFonts w:ascii="Microsoft Sans Serif" w:hAnsi="Microsoft Sans Serif" w:cs="Microsoft Sans Serif"/>
          <w:b/>
          <w:caps/>
          <w:u w:val="single"/>
        </w:rPr>
        <w:t xml:space="preserve">. </w:t>
      </w:r>
      <w:r w:rsidRPr="00807EED">
        <w:rPr>
          <w:rFonts w:ascii="Microsoft Sans Serif" w:hAnsi="Microsoft Sans Serif" w:cs="Microsoft Sans Serif"/>
          <w:b/>
          <w:caps/>
          <w:noProof/>
          <w:u w:val="single"/>
        </w:rPr>
        <w:t>Pennsylvania Electric Company</w:t>
      </w:r>
      <w:r w:rsidR="00895B89" w:rsidRPr="00895B89">
        <w:rPr>
          <w:rFonts w:ascii="Microsoft Sans Serif" w:hAnsi="Microsoft Sans Serif" w:cs="Microsoft Sans Serif"/>
          <w:b/>
          <w:caps/>
          <w:noProof/>
          <w:u w:val="single"/>
        </w:rPr>
        <w:t xml:space="preserve"> </w:t>
      </w:r>
      <w:r w:rsidR="00895B89">
        <w:rPr>
          <w:rFonts w:ascii="Microsoft Sans Serif" w:hAnsi="Microsoft Sans Serif" w:cs="Microsoft Sans Serif"/>
          <w:b/>
          <w:caps/>
          <w:noProof/>
          <w:u w:val="single"/>
        </w:rPr>
        <w:t xml:space="preserve">AND </w:t>
      </w:r>
      <w:r w:rsidR="00895B89" w:rsidRPr="00807EED">
        <w:rPr>
          <w:rFonts w:ascii="Microsoft Sans Serif" w:hAnsi="Microsoft Sans Serif" w:cs="Microsoft Sans Serif"/>
          <w:b/>
          <w:caps/>
          <w:noProof/>
          <w:u w:val="single"/>
        </w:rPr>
        <w:t xml:space="preserve">Respond Power </w:t>
      </w:r>
      <w:r w:rsidR="00895B89">
        <w:rPr>
          <w:rFonts w:ascii="Microsoft Sans Serif" w:hAnsi="Microsoft Sans Serif" w:cs="Microsoft Sans Serif"/>
          <w:b/>
          <w:caps/>
          <w:noProof/>
          <w:u w:val="single"/>
        </w:rPr>
        <w:t>llc</w:t>
      </w: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i/>
          <w:caps/>
          <w:u w:val="single"/>
        </w:rPr>
      </w:pPr>
      <w:proofErr w:type="gramStart"/>
      <w:r w:rsidRPr="00807EED">
        <w:rPr>
          <w:rFonts w:ascii="Microsoft Sans Serif" w:hAnsi="Microsoft Sans Serif" w:cs="Microsoft Sans Serif"/>
          <w:i/>
          <w:u w:val="single"/>
        </w:rPr>
        <w:t>revised</w:t>
      </w:r>
      <w:proofErr w:type="gramEnd"/>
      <w:r w:rsidRPr="00807EED">
        <w:rPr>
          <w:rFonts w:ascii="Microsoft Sans Serif" w:hAnsi="Microsoft Sans Serif" w:cs="Microsoft Sans Serif"/>
          <w:i/>
          <w:u w:val="single"/>
        </w:rPr>
        <w:t xml:space="preserve"> 4/13/2016</w:t>
      </w: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Paulette A</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Sanders</w:t>
      </w:r>
      <w:r w:rsidRPr="00807EED">
        <w:rPr>
          <w:rFonts w:ascii="Microsoft Sans Serif" w:hAnsi="Microsoft Sans Serif" w:cs="Microsoft Sans Serif"/>
          <w:caps/>
        </w:rPr>
        <w:t xml:space="preserve"> </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1124 East 5th Street</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Erie</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PA</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16507</w:t>
      </w:r>
    </w:p>
    <w:p w:rsidR="00807EED" w:rsidRPr="00807EED" w:rsidRDefault="00807EED" w:rsidP="00807EED">
      <w:pPr>
        <w:autoSpaceDE/>
        <w:autoSpaceDN/>
        <w:rPr>
          <w:rFonts w:ascii="Microsoft Sans Serif" w:hAnsi="Microsoft Sans Serif" w:cs="Microsoft Sans Serif"/>
          <w:b/>
          <w:caps/>
          <w:u w:val="single"/>
        </w:rPr>
      </w:pPr>
      <w:r w:rsidRPr="00807EED">
        <w:rPr>
          <w:rFonts w:ascii="Microsoft Sans Serif" w:hAnsi="Microsoft Sans Serif" w:cs="Microsoft Sans Serif"/>
          <w:b/>
          <w:caps/>
          <w:noProof/>
        </w:rPr>
        <w:t>(814) 528-3379</w:t>
      </w:r>
      <w:r w:rsidRPr="00807EED">
        <w:rPr>
          <w:rFonts w:ascii="Microsoft Sans Serif" w:hAnsi="Microsoft Sans Serif" w:cs="Microsoft Sans Serif"/>
          <w:b/>
          <w:caps/>
          <w:u w:val="single"/>
        </w:rPr>
        <w:t xml:space="preserve"> </w:t>
      </w: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Trevor Ahbleza Crazy Horse</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Stanley</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Esquire</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Major Energy / Respond Power</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100 Dutch Hill Road  Suite 310</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Orangeburg</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NY</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10962</w:t>
      </w:r>
    </w:p>
    <w:p w:rsidR="00807EED" w:rsidRPr="00807EED" w:rsidRDefault="00807EED" w:rsidP="00807EED">
      <w:pPr>
        <w:autoSpaceDE/>
        <w:autoSpaceDN/>
        <w:rPr>
          <w:rFonts w:ascii="Microsoft Sans Serif" w:hAnsi="Microsoft Sans Serif" w:cs="Microsoft Sans Serif"/>
          <w:b/>
          <w:caps/>
          <w:u w:val="single"/>
        </w:rPr>
      </w:pPr>
      <w:r w:rsidRPr="00807EED">
        <w:rPr>
          <w:rFonts w:ascii="Microsoft Sans Serif" w:hAnsi="Microsoft Sans Serif" w:cs="Microsoft Sans Serif"/>
          <w:b/>
          <w:caps/>
          <w:noProof/>
        </w:rPr>
        <w:t>(347) 226-3730</w:t>
      </w: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Lauren M</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Lepkoski</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Esquire</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FirstEnergy Service Company</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2800 Pottsville Pike</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PO Box 16001</w:t>
      </w:r>
    </w:p>
    <w:p w:rsidR="00807EED" w:rsidRPr="00807EED" w:rsidRDefault="00807EED" w:rsidP="00807EED">
      <w:pPr>
        <w:autoSpaceDE/>
        <w:autoSpaceDN/>
        <w:rPr>
          <w:rFonts w:ascii="Microsoft Sans Serif" w:hAnsi="Microsoft Sans Serif" w:cs="Microsoft Sans Serif"/>
          <w:caps/>
        </w:rPr>
      </w:pPr>
      <w:r w:rsidRPr="00807EED">
        <w:rPr>
          <w:rFonts w:ascii="Microsoft Sans Serif" w:hAnsi="Microsoft Sans Serif" w:cs="Microsoft Sans Serif"/>
          <w:caps/>
          <w:noProof/>
        </w:rPr>
        <w:t>Reading</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PA</w:t>
      </w:r>
      <w:r w:rsidRPr="00807EED">
        <w:rPr>
          <w:rFonts w:ascii="Microsoft Sans Serif" w:hAnsi="Microsoft Sans Serif" w:cs="Microsoft Sans Serif"/>
          <w:caps/>
        </w:rPr>
        <w:t xml:space="preserve">  </w:t>
      </w:r>
      <w:r w:rsidRPr="00807EED">
        <w:rPr>
          <w:rFonts w:ascii="Microsoft Sans Serif" w:hAnsi="Microsoft Sans Serif" w:cs="Microsoft Sans Serif"/>
          <w:caps/>
          <w:noProof/>
        </w:rPr>
        <w:t>19612-6001</w:t>
      </w:r>
    </w:p>
    <w:p w:rsidR="00807EED" w:rsidRPr="00807EED" w:rsidRDefault="00807EED" w:rsidP="00807EED">
      <w:pPr>
        <w:autoSpaceDE/>
        <w:autoSpaceDN/>
        <w:rPr>
          <w:rFonts w:ascii="Microsoft Sans Serif" w:hAnsi="Microsoft Sans Serif" w:cs="Microsoft Sans Serif"/>
          <w:b/>
          <w:caps/>
          <w:noProof/>
        </w:rPr>
      </w:pPr>
      <w:r w:rsidRPr="00807EED">
        <w:rPr>
          <w:rFonts w:ascii="Microsoft Sans Serif" w:hAnsi="Microsoft Sans Serif" w:cs="Microsoft Sans Serif"/>
          <w:b/>
          <w:caps/>
          <w:noProof/>
        </w:rPr>
        <w:t>(610) 921-6203</w:t>
      </w:r>
    </w:p>
    <w:p w:rsidR="00807EED" w:rsidRPr="00807EED" w:rsidRDefault="00807EED" w:rsidP="00807EED">
      <w:pPr>
        <w:autoSpaceDE/>
        <w:autoSpaceDN/>
        <w:rPr>
          <w:rFonts w:ascii="Courier New" w:hAnsi="Courier New" w:cs="Times New Roman"/>
          <w:i/>
          <w:sz w:val="20"/>
          <w:szCs w:val="20"/>
          <w:u w:val="single"/>
        </w:rPr>
      </w:pPr>
      <w:r w:rsidRPr="00807EED">
        <w:rPr>
          <w:rFonts w:ascii="Microsoft Sans Serif" w:hAnsi="Microsoft Sans Serif" w:cs="Microsoft Sans Serif"/>
          <w:b/>
          <w:i/>
          <w:caps/>
          <w:noProof/>
          <w:u w:val="single"/>
        </w:rPr>
        <w:t>e-service</w:t>
      </w:r>
    </w:p>
    <w:p w:rsidR="0092226C" w:rsidRPr="006F2D1B" w:rsidRDefault="0092226C" w:rsidP="00A47A97">
      <w:pPr>
        <w:pStyle w:val="ParaTab1"/>
        <w:tabs>
          <w:tab w:val="clear" w:pos="-720"/>
          <w:tab w:val="left" w:pos="720"/>
          <w:tab w:val="left" w:pos="5040"/>
        </w:tabs>
        <w:ind w:firstLine="0"/>
        <w:rPr>
          <w:rFonts w:ascii="Times New Roman" w:hAnsi="Times New Roman" w:cs="Times New Roman"/>
          <w:spacing w:val="-3"/>
        </w:rPr>
      </w:pPr>
    </w:p>
    <w:sectPr w:rsidR="0092226C"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31" w:rsidRDefault="00153E31">
      <w:pPr>
        <w:spacing w:line="20" w:lineRule="exact"/>
        <w:rPr>
          <w:sz w:val="20"/>
          <w:szCs w:val="20"/>
        </w:rPr>
      </w:pPr>
    </w:p>
  </w:endnote>
  <w:endnote w:type="continuationSeparator" w:id="0">
    <w:p w:rsidR="00153E31" w:rsidRDefault="00153E31">
      <w:pPr>
        <w:pStyle w:val="ParaTab1"/>
        <w:rPr>
          <w:sz w:val="20"/>
          <w:szCs w:val="20"/>
        </w:rPr>
      </w:pPr>
      <w:r>
        <w:rPr>
          <w:sz w:val="20"/>
          <w:szCs w:val="20"/>
        </w:rPr>
        <w:t xml:space="preserve"> </w:t>
      </w:r>
    </w:p>
  </w:endnote>
  <w:endnote w:type="continuationNotice" w:id="1">
    <w:p w:rsidR="00153E31" w:rsidRDefault="00153E3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6F0B92">
      <w:rPr>
        <w:rStyle w:val="PageNumber"/>
        <w:rFonts w:ascii="Times New Roman" w:hAnsi="Times New Roman" w:cs="Times New Roman"/>
        <w:noProof/>
        <w:sz w:val="21"/>
        <w:szCs w:val="21"/>
      </w:rPr>
      <w:t>5</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31" w:rsidRDefault="00153E31">
      <w:pPr>
        <w:pStyle w:val="ParaTab1"/>
        <w:rPr>
          <w:sz w:val="20"/>
          <w:szCs w:val="20"/>
        </w:rPr>
      </w:pPr>
      <w:r>
        <w:rPr>
          <w:sz w:val="20"/>
          <w:szCs w:val="20"/>
        </w:rPr>
        <w:separator/>
      </w:r>
    </w:p>
  </w:footnote>
  <w:footnote w:type="continuationSeparator" w:id="0">
    <w:p w:rsidR="00153E31" w:rsidRDefault="00153E31">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3E31"/>
    <w:rsid w:val="001545A6"/>
    <w:rsid w:val="001653AC"/>
    <w:rsid w:val="00190CE1"/>
    <w:rsid w:val="001913E2"/>
    <w:rsid w:val="00193F05"/>
    <w:rsid w:val="00196175"/>
    <w:rsid w:val="001A395D"/>
    <w:rsid w:val="001A526C"/>
    <w:rsid w:val="001C2758"/>
    <w:rsid w:val="001D1A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3950"/>
    <w:rsid w:val="002D4B8D"/>
    <w:rsid w:val="002D6203"/>
    <w:rsid w:val="002E149C"/>
    <w:rsid w:val="002E23C8"/>
    <w:rsid w:val="002E292A"/>
    <w:rsid w:val="002E35A1"/>
    <w:rsid w:val="002E5C7F"/>
    <w:rsid w:val="002E7FA3"/>
    <w:rsid w:val="002F5CD5"/>
    <w:rsid w:val="00304B12"/>
    <w:rsid w:val="00305550"/>
    <w:rsid w:val="0031518E"/>
    <w:rsid w:val="00317FA2"/>
    <w:rsid w:val="0033540A"/>
    <w:rsid w:val="00337CDB"/>
    <w:rsid w:val="00337CF1"/>
    <w:rsid w:val="00344BB9"/>
    <w:rsid w:val="0034744D"/>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51C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32BF8"/>
    <w:rsid w:val="00533B83"/>
    <w:rsid w:val="00534201"/>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0B92"/>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4283"/>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07EED"/>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5B89"/>
    <w:rsid w:val="00897B60"/>
    <w:rsid w:val="00897C02"/>
    <w:rsid w:val="00897D6A"/>
    <w:rsid w:val="008A0E9A"/>
    <w:rsid w:val="008A3C00"/>
    <w:rsid w:val="008A4221"/>
    <w:rsid w:val="008D06D9"/>
    <w:rsid w:val="008D0E17"/>
    <w:rsid w:val="008D1001"/>
    <w:rsid w:val="008D3243"/>
    <w:rsid w:val="008D3827"/>
    <w:rsid w:val="008E20A6"/>
    <w:rsid w:val="008E2FB6"/>
    <w:rsid w:val="008F1052"/>
    <w:rsid w:val="008F1DE7"/>
    <w:rsid w:val="008F7A7D"/>
    <w:rsid w:val="0092226C"/>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0472"/>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38A1"/>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22B73"/>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1D5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45F02"/>
    <w:rsid w:val="00F46CF4"/>
    <w:rsid w:val="00F51F67"/>
    <w:rsid w:val="00F520F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40CD-8E15-4E63-AE51-0500C1FA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Blanton, Leah</cp:lastModifiedBy>
  <cp:revision>6</cp:revision>
  <cp:lastPrinted>2016-04-15T18:47:00Z</cp:lastPrinted>
  <dcterms:created xsi:type="dcterms:W3CDTF">2016-04-15T18:11:00Z</dcterms:created>
  <dcterms:modified xsi:type="dcterms:W3CDTF">2016-04-15T18:49:00Z</dcterms:modified>
</cp:coreProperties>
</file>