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2D6" w:rsidRDefault="008C62D6" w:rsidP="008C62D6">
      <w:pPr>
        <w:jc w:val="center"/>
        <w:rPr>
          <w:b/>
        </w:rPr>
      </w:pPr>
      <w:r>
        <w:rPr>
          <w:b/>
        </w:rPr>
        <w:t>BEFORE THE</w:t>
      </w:r>
    </w:p>
    <w:p w:rsidR="008C62D6" w:rsidRDefault="008C62D6" w:rsidP="008C62D6">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8C62D6" w:rsidRDefault="008C62D6" w:rsidP="008C62D6"/>
    <w:p w:rsidR="008C62D6" w:rsidRDefault="008C62D6" w:rsidP="008C62D6"/>
    <w:p w:rsidR="008C62D6" w:rsidRDefault="008C62D6" w:rsidP="008C62D6"/>
    <w:p w:rsidR="008C62D6" w:rsidRDefault="00D63020" w:rsidP="008C62D6">
      <w:r>
        <w:t xml:space="preserve">Joseph </w:t>
      </w:r>
      <w:proofErr w:type="spellStart"/>
      <w:r>
        <w:t>Burness</w:t>
      </w:r>
      <w:proofErr w:type="spellEnd"/>
      <w:r w:rsidR="008C62D6">
        <w:t xml:space="preserve"> </w:t>
      </w:r>
      <w:r w:rsidR="008C62D6">
        <w:tab/>
      </w:r>
      <w:r w:rsidR="008C62D6">
        <w:tab/>
      </w:r>
      <w:r w:rsidR="008C62D6">
        <w:tab/>
      </w:r>
      <w:r w:rsidR="008C62D6">
        <w:tab/>
      </w:r>
      <w:r w:rsidR="008C62D6">
        <w:tab/>
        <w:t>:</w:t>
      </w:r>
      <w:r w:rsidR="008C62D6">
        <w:tab/>
      </w:r>
      <w:r w:rsidR="008C62D6">
        <w:tab/>
      </w:r>
    </w:p>
    <w:p w:rsidR="008C62D6" w:rsidRDefault="008C62D6" w:rsidP="008C62D6">
      <w:r>
        <w:tab/>
      </w:r>
      <w:r>
        <w:tab/>
      </w:r>
      <w:r>
        <w:tab/>
      </w:r>
      <w:r>
        <w:tab/>
      </w:r>
      <w:r>
        <w:tab/>
      </w:r>
      <w:r>
        <w:tab/>
      </w:r>
      <w:r>
        <w:tab/>
        <w:t>:</w:t>
      </w:r>
      <w:r>
        <w:tab/>
      </w:r>
      <w:r>
        <w:tab/>
      </w:r>
    </w:p>
    <w:p w:rsidR="008C62D6" w:rsidRDefault="00C33E86" w:rsidP="008C62D6">
      <w:r>
        <w:tab/>
      </w:r>
      <w:r w:rsidR="008C62D6">
        <w:t xml:space="preserve">v. </w:t>
      </w:r>
      <w:r w:rsidR="008C62D6">
        <w:tab/>
      </w:r>
      <w:r w:rsidR="008C62D6">
        <w:tab/>
      </w:r>
      <w:r w:rsidR="008C62D6">
        <w:tab/>
      </w:r>
      <w:r w:rsidR="008C62D6">
        <w:tab/>
      </w:r>
      <w:r w:rsidR="008C62D6">
        <w:tab/>
      </w:r>
      <w:r w:rsidR="008C62D6">
        <w:tab/>
        <w:t xml:space="preserve">: </w:t>
      </w:r>
      <w:r w:rsidR="008C62D6">
        <w:tab/>
      </w:r>
      <w:r w:rsidR="008C62D6">
        <w:tab/>
        <w:t>F-2015-2</w:t>
      </w:r>
      <w:r w:rsidR="00D63020">
        <w:t>505678</w:t>
      </w:r>
    </w:p>
    <w:p w:rsidR="008C62D6" w:rsidRDefault="008C62D6" w:rsidP="008C62D6">
      <w:r>
        <w:tab/>
      </w:r>
      <w:r>
        <w:tab/>
      </w:r>
      <w:r>
        <w:tab/>
      </w:r>
      <w:r>
        <w:tab/>
      </w:r>
      <w:r>
        <w:tab/>
      </w:r>
      <w:r>
        <w:tab/>
      </w:r>
      <w:r>
        <w:tab/>
        <w:t>:</w:t>
      </w:r>
    </w:p>
    <w:p w:rsidR="008C62D6" w:rsidRDefault="00D63020" w:rsidP="008C62D6">
      <w:r>
        <w:t>PECO Energy Company</w:t>
      </w:r>
      <w:r w:rsidR="008C62D6">
        <w:t>, and</w:t>
      </w:r>
      <w:r w:rsidR="008C62D6">
        <w:tab/>
      </w:r>
      <w:r w:rsidR="008C62D6">
        <w:tab/>
      </w:r>
      <w:r w:rsidR="008C62D6">
        <w:tab/>
      </w:r>
      <w:r w:rsidR="008C62D6">
        <w:tab/>
        <w:t>:</w:t>
      </w:r>
    </w:p>
    <w:p w:rsidR="008C62D6" w:rsidRDefault="00D63020" w:rsidP="008C62D6">
      <w:r>
        <w:t>Direct Energy Services, LLC</w:t>
      </w:r>
      <w:r>
        <w:tab/>
      </w:r>
      <w:r w:rsidR="008C62D6">
        <w:tab/>
      </w:r>
      <w:r w:rsidR="008C62D6">
        <w:tab/>
      </w:r>
      <w:r w:rsidR="008C62D6">
        <w:tab/>
        <w:t>:</w:t>
      </w:r>
    </w:p>
    <w:p w:rsidR="008C62D6" w:rsidRDefault="008C62D6" w:rsidP="008C62D6"/>
    <w:p w:rsidR="008C62D6" w:rsidRDefault="008C62D6" w:rsidP="008C62D6"/>
    <w:p w:rsidR="008C62D6" w:rsidRPr="00FB448C" w:rsidRDefault="008C62D6" w:rsidP="008C62D6"/>
    <w:p w:rsidR="008C62D6" w:rsidRPr="00FB448C" w:rsidRDefault="008C62D6" w:rsidP="008C62D6">
      <w:pPr>
        <w:pStyle w:val="Heading1"/>
        <w:rPr>
          <w:b/>
          <w:caps/>
          <w:sz w:val="24"/>
          <w:szCs w:val="24"/>
        </w:rPr>
      </w:pPr>
      <w:r w:rsidRPr="00FB448C">
        <w:rPr>
          <w:b/>
          <w:caps/>
          <w:sz w:val="24"/>
          <w:szCs w:val="24"/>
        </w:rPr>
        <w:t>Initial Decision</w:t>
      </w:r>
    </w:p>
    <w:p w:rsidR="008C62D6" w:rsidRPr="00FB448C" w:rsidRDefault="008C62D6" w:rsidP="008C62D6">
      <w:pPr>
        <w:jc w:val="center"/>
        <w:rPr>
          <w:u w:val="single"/>
        </w:rPr>
      </w:pPr>
    </w:p>
    <w:p w:rsidR="008C62D6" w:rsidRPr="00FB448C" w:rsidRDefault="008C62D6" w:rsidP="008C62D6">
      <w:pPr>
        <w:jc w:val="center"/>
        <w:rPr>
          <w:u w:val="single"/>
        </w:rPr>
      </w:pPr>
    </w:p>
    <w:p w:rsidR="008C62D6" w:rsidRPr="00FB448C" w:rsidRDefault="008C62D6" w:rsidP="008C62D6">
      <w:pPr>
        <w:jc w:val="center"/>
      </w:pPr>
      <w:r w:rsidRPr="00FB448C">
        <w:t>Before</w:t>
      </w:r>
    </w:p>
    <w:p w:rsidR="008C62D6" w:rsidRPr="00FB448C" w:rsidRDefault="008C62D6" w:rsidP="008C62D6">
      <w:pPr>
        <w:jc w:val="center"/>
      </w:pPr>
      <w:r w:rsidRPr="00FB448C">
        <w:t>Katrina L. Dunderdale</w:t>
      </w:r>
    </w:p>
    <w:p w:rsidR="008C62D6" w:rsidRPr="00FB448C" w:rsidRDefault="008C62D6" w:rsidP="008C62D6">
      <w:pPr>
        <w:jc w:val="center"/>
      </w:pPr>
      <w:r w:rsidRPr="00FB448C">
        <w:t>Administrative Law Judge</w:t>
      </w:r>
    </w:p>
    <w:p w:rsidR="008C62D6" w:rsidRDefault="008C62D6" w:rsidP="008C62D6">
      <w:pPr>
        <w:jc w:val="center"/>
      </w:pPr>
    </w:p>
    <w:p w:rsidR="008C62D6" w:rsidRDefault="008C62D6" w:rsidP="008C62D6">
      <w:pPr>
        <w:jc w:val="center"/>
      </w:pPr>
    </w:p>
    <w:p w:rsidR="008C62D6" w:rsidRPr="000B0551" w:rsidRDefault="008C62D6" w:rsidP="008C62D6">
      <w:pPr>
        <w:jc w:val="center"/>
        <w:rPr>
          <w:u w:val="single"/>
        </w:rPr>
      </w:pPr>
      <w:r w:rsidRPr="000B0551">
        <w:rPr>
          <w:u w:val="single"/>
        </w:rPr>
        <w:t>INTRODUCTION</w:t>
      </w:r>
    </w:p>
    <w:p w:rsidR="008C62D6" w:rsidRDefault="008C62D6" w:rsidP="008C62D6">
      <w:pPr>
        <w:spacing w:line="360" w:lineRule="auto"/>
      </w:pPr>
    </w:p>
    <w:p w:rsidR="008C62D6" w:rsidRDefault="008C62D6" w:rsidP="008C62D6">
      <w:pPr>
        <w:spacing w:line="360" w:lineRule="auto"/>
      </w:pPr>
      <w:r>
        <w:tab/>
      </w:r>
      <w:r>
        <w:tab/>
        <w:t>This decision d</w:t>
      </w:r>
      <w:r w:rsidR="00E36C2A">
        <w:t>ismisses</w:t>
      </w:r>
      <w:r>
        <w:t xml:space="preserve"> </w:t>
      </w:r>
      <w:r w:rsidR="009857C2">
        <w:t>a formal</w:t>
      </w:r>
      <w:r>
        <w:t xml:space="preserve"> complaint </w:t>
      </w:r>
      <w:r w:rsidR="00F056FA">
        <w:t xml:space="preserve">for failure to sustain the burden of proof, which </w:t>
      </w:r>
      <w:r w:rsidRPr="002B490F">
        <w:t>alleg</w:t>
      </w:r>
      <w:r w:rsidR="00F056FA">
        <w:t>ed</w:t>
      </w:r>
      <w:r w:rsidRPr="002B490F">
        <w:t xml:space="preserve"> Respondent</w:t>
      </w:r>
      <w:r w:rsidR="00506B49">
        <w:t>s</w:t>
      </w:r>
      <w:r w:rsidRPr="002B490F">
        <w:t xml:space="preserve"> </w:t>
      </w:r>
      <w:r w:rsidR="00E236CD">
        <w:t>PECO Energy Company and Direct Energy Services</w:t>
      </w:r>
      <w:r w:rsidR="0009055C">
        <w:t>, LLC</w:t>
      </w:r>
      <w:r w:rsidR="00E236CD">
        <w:t xml:space="preserve"> </w:t>
      </w:r>
      <w:r w:rsidRPr="002B490F">
        <w:t xml:space="preserve">unilaterally, without </w:t>
      </w:r>
      <w:r w:rsidR="00E17E05">
        <w:t xml:space="preserve">notice, increased Complainant’s electric supply </w:t>
      </w:r>
      <w:r w:rsidRPr="002B490F">
        <w:t>rate</w:t>
      </w:r>
      <w:r>
        <w:t xml:space="preserve">.  </w:t>
      </w:r>
    </w:p>
    <w:p w:rsidR="00B6749F" w:rsidRDefault="00B6749F" w:rsidP="008C62D6">
      <w:pPr>
        <w:spacing w:line="360" w:lineRule="auto"/>
      </w:pPr>
    </w:p>
    <w:p w:rsidR="008C62D6" w:rsidRPr="00FB448C" w:rsidRDefault="008C62D6" w:rsidP="0098677F">
      <w:pPr>
        <w:pStyle w:val="Heading1"/>
        <w:spacing w:line="360" w:lineRule="auto"/>
        <w:rPr>
          <w:sz w:val="24"/>
          <w:szCs w:val="24"/>
          <w:u w:val="none"/>
        </w:rPr>
      </w:pPr>
      <w:r w:rsidRPr="00FB448C">
        <w:rPr>
          <w:sz w:val="24"/>
          <w:szCs w:val="24"/>
        </w:rPr>
        <w:t>HISTORY OF THE PROCEEDING</w:t>
      </w:r>
    </w:p>
    <w:p w:rsidR="008C62D6" w:rsidRPr="0065319E" w:rsidRDefault="008C62D6" w:rsidP="008C62D6">
      <w:pPr>
        <w:spacing w:line="360" w:lineRule="auto"/>
        <w:ind w:firstLine="1440"/>
      </w:pPr>
    </w:p>
    <w:p w:rsidR="006C1738" w:rsidRDefault="008C62D6" w:rsidP="00506B49">
      <w:pPr>
        <w:tabs>
          <w:tab w:val="left" w:pos="-1440"/>
          <w:tab w:val="left" w:pos="-720"/>
        </w:tabs>
        <w:suppressAutoHyphens/>
        <w:spacing w:line="360" w:lineRule="auto"/>
        <w:ind w:firstLine="1440"/>
      </w:pPr>
      <w:r w:rsidRPr="0065319E">
        <w:t xml:space="preserve">On </w:t>
      </w:r>
      <w:r w:rsidR="00D63020">
        <w:t>September 21, 2015</w:t>
      </w:r>
      <w:r w:rsidRPr="0065319E">
        <w:t xml:space="preserve">, </w:t>
      </w:r>
      <w:r w:rsidR="00D63020">
        <w:t xml:space="preserve">Joseph </w:t>
      </w:r>
      <w:proofErr w:type="spellStart"/>
      <w:r w:rsidR="00D63020">
        <w:t>Burness</w:t>
      </w:r>
      <w:proofErr w:type="spellEnd"/>
      <w:r w:rsidR="00D63020">
        <w:t xml:space="preserve"> (Complainant or Mr</w:t>
      </w:r>
      <w:r w:rsidRPr="0065319E">
        <w:t>.</w:t>
      </w:r>
      <w:r w:rsidR="00D63020">
        <w:t xml:space="preserve"> Burness</w:t>
      </w:r>
      <w:r w:rsidRPr="0065319E">
        <w:t xml:space="preserve">) filed a formal complaint </w:t>
      </w:r>
      <w:r w:rsidR="0098677F">
        <w:t xml:space="preserve">with the Public Utility Commission (Commission) </w:t>
      </w:r>
      <w:r w:rsidRPr="0065319E">
        <w:t xml:space="preserve">against </w:t>
      </w:r>
      <w:r w:rsidR="00E17E05">
        <w:t>Direct Energy Services, LLC</w:t>
      </w:r>
      <w:r w:rsidRPr="0065319E">
        <w:t xml:space="preserve"> (</w:t>
      </w:r>
      <w:r w:rsidR="00E17E05">
        <w:t>Direct Energy</w:t>
      </w:r>
      <w:r w:rsidRPr="0065319E">
        <w:t>)</w:t>
      </w:r>
      <w:r w:rsidR="00E17E05">
        <w:t xml:space="preserve"> and referenced his electric service account number with PECO Energy Company (PECO).  </w:t>
      </w:r>
      <w:r w:rsidR="0083184B">
        <w:t xml:space="preserve">The formal complaint is a timely </w:t>
      </w:r>
      <w:r w:rsidR="00DA7EC7">
        <w:t>request for review, pursuant to 52</w:t>
      </w:r>
      <w:r w:rsidR="00216B7C">
        <w:t> </w:t>
      </w:r>
      <w:proofErr w:type="spellStart"/>
      <w:r w:rsidR="00DA7EC7">
        <w:t>Pa.Code</w:t>
      </w:r>
      <w:proofErr w:type="spellEnd"/>
      <w:r w:rsidR="00DA7EC7">
        <w:t xml:space="preserve"> §</w:t>
      </w:r>
      <w:r w:rsidR="0009055C">
        <w:t xml:space="preserve"> </w:t>
      </w:r>
      <w:r w:rsidR="00DA7EC7">
        <w:t>56.172(a), from a</w:t>
      </w:r>
      <w:r w:rsidR="0083184B">
        <w:t xml:space="preserve"> decision rendered by the Bureau of Consumer Services (BCS) on August 21, 2015 at BCS No. 003317628.  </w:t>
      </w:r>
      <w:r w:rsidR="00E17E05">
        <w:t xml:space="preserve">Mr. </w:t>
      </w:r>
      <w:proofErr w:type="spellStart"/>
      <w:r w:rsidR="00E17E05">
        <w:t>Burness</w:t>
      </w:r>
      <w:proofErr w:type="spellEnd"/>
      <w:r w:rsidR="00E17E05">
        <w:t xml:space="preserve"> alleged Direc</w:t>
      </w:r>
      <w:r w:rsidR="006C1738">
        <w:t xml:space="preserve">t Energy overcharged him when it changed the electric supply rate without giving him notice.  Complainant requested a refund of all overcharges.  On September 30, 2015, the Commission’s Secretary’s Bureau notified PECO as well as Direct Energy that a formal complaint was filed.  </w:t>
      </w:r>
    </w:p>
    <w:p w:rsidR="008C62D6" w:rsidRPr="0065319E" w:rsidRDefault="008C62D6" w:rsidP="00506B49">
      <w:pPr>
        <w:tabs>
          <w:tab w:val="left" w:pos="-1440"/>
          <w:tab w:val="left" w:pos="-720"/>
        </w:tabs>
        <w:suppressAutoHyphens/>
        <w:spacing w:line="360" w:lineRule="auto"/>
        <w:ind w:firstLine="1440"/>
      </w:pPr>
      <w:r w:rsidRPr="0065319E">
        <w:lastRenderedPageBreak/>
        <w:t xml:space="preserve">On </w:t>
      </w:r>
      <w:r w:rsidR="006C1738">
        <w:t>October 19</w:t>
      </w:r>
      <w:r w:rsidRPr="0065319E">
        <w:t xml:space="preserve">, 2015, </w:t>
      </w:r>
      <w:r w:rsidR="006C1738">
        <w:t>PECO</w:t>
      </w:r>
      <w:r w:rsidRPr="0065319E">
        <w:t xml:space="preserve"> filed an Answer </w:t>
      </w:r>
      <w:r w:rsidR="00506B49">
        <w:t>specifically denying</w:t>
      </w:r>
      <w:r>
        <w:t xml:space="preserve"> </w:t>
      </w:r>
      <w:r w:rsidR="006C1738">
        <w:t>the</w:t>
      </w:r>
      <w:r w:rsidR="00506B49">
        <w:t xml:space="preserve"> allegation</w:t>
      </w:r>
      <w:r w:rsidR="006C1738">
        <w:t>s.  PECO averred Complainant never alleged any wrong</w:t>
      </w:r>
      <w:r w:rsidR="0009055C">
        <w:t xml:space="preserve"> </w:t>
      </w:r>
      <w:r w:rsidR="006C1738">
        <w:t>doing by PECO and never mentioned PECO in his formal complaint</w:t>
      </w:r>
      <w:r w:rsidR="00506B49">
        <w:t xml:space="preserve">.  </w:t>
      </w:r>
      <w:r w:rsidR="006C1738">
        <w:t>PECO did not file New Matter or Preliminary Objections.  Direct Energy did not file an answer.</w:t>
      </w:r>
    </w:p>
    <w:p w:rsidR="008C62D6" w:rsidRDefault="008C62D6" w:rsidP="008C62D6">
      <w:pPr>
        <w:spacing w:line="360" w:lineRule="auto"/>
      </w:pPr>
    </w:p>
    <w:p w:rsidR="008C62D6" w:rsidRDefault="008C62D6" w:rsidP="008C62D6">
      <w:pPr>
        <w:spacing w:line="360" w:lineRule="auto"/>
      </w:pPr>
      <w:r w:rsidRPr="0065319E">
        <w:tab/>
      </w:r>
      <w:r w:rsidRPr="0065319E">
        <w:tab/>
        <w:t xml:space="preserve">On </w:t>
      </w:r>
      <w:r w:rsidR="006C1738">
        <w:t>November 18</w:t>
      </w:r>
      <w:r w:rsidRPr="0065319E">
        <w:t xml:space="preserve">, 2015, the Office of Administrative Law Judge issued a </w:t>
      </w:r>
      <w:r w:rsidR="006C1738">
        <w:t xml:space="preserve">Call-In </w:t>
      </w:r>
      <w:r w:rsidRPr="0065319E">
        <w:t>Telephone He</w:t>
      </w:r>
      <w:r w:rsidR="00506B49">
        <w:t xml:space="preserve">aring Notice, which scheduled an </w:t>
      </w:r>
      <w:r w:rsidRPr="0065319E">
        <w:t>initial</w:t>
      </w:r>
      <w:r w:rsidR="00506B49">
        <w:t xml:space="preserve"> call-in telephonic</w:t>
      </w:r>
      <w:r w:rsidRPr="0065319E">
        <w:t xml:space="preserve"> hearing to be conducted on </w:t>
      </w:r>
      <w:r w:rsidR="006C1738">
        <w:t>Monday, February 8, 2016</w:t>
      </w:r>
      <w:r w:rsidRPr="0065319E">
        <w:t xml:space="preserve">.  On </w:t>
      </w:r>
      <w:r w:rsidR="006C1738">
        <w:t>November 30</w:t>
      </w:r>
      <w:r w:rsidRPr="0065319E">
        <w:t>, 2015, the presiding officer issued a Prehearing Order</w:t>
      </w:r>
      <w:r w:rsidR="009C2F2A">
        <w:t xml:space="preserve"> which set forth information on various procedural matters</w:t>
      </w:r>
      <w:r w:rsidRPr="0065319E">
        <w:t xml:space="preserve">.  </w:t>
      </w:r>
    </w:p>
    <w:p w:rsidR="006C1738" w:rsidRDefault="006C1738" w:rsidP="008C62D6">
      <w:pPr>
        <w:spacing w:line="360" w:lineRule="auto"/>
      </w:pPr>
    </w:p>
    <w:p w:rsidR="006C1738" w:rsidRDefault="006C1738" w:rsidP="008C62D6">
      <w:pPr>
        <w:spacing w:line="360" w:lineRule="auto"/>
      </w:pPr>
      <w:r>
        <w:tab/>
      </w:r>
      <w:r>
        <w:tab/>
        <w:t xml:space="preserve">On January 7, 2016, Direct Energy filed a Certificate of Satisfaction with the Commission, averring Direct Energy satisfied the formal complaint and Complainant no longer wished to pursue the matter.  </w:t>
      </w:r>
    </w:p>
    <w:p w:rsidR="006C1738" w:rsidRDefault="006C1738" w:rsidP="008C62D6">
      <w:pPr>
        <w:spacing w:line="360" w:lineRule="auto"/>
      </w:pPr>
    </w:p>
    <w:p w:rsidR="006C1738" w:rsidRPr="0065319E" w:rsidRDefault="006C1738" w:rsidP="008C62D6">
      <w:pPr>
        <w:spacing w:line="360" w:lineRule="auto"/>
      </w:pPr>
      <w:r>
        <w:tab/>
      </w:r>
      <w:r>
        <w:tab/>
        <w:t xml:space="preserve">On January 27, 2016, Complainant mailed a hand-written letter to the presiding officer </w:t>
      </w:r>
      <w:proofErr w:type="gramStart"/>
      <w:r>
        <w:t>which</w:t>
      </w:r>
      <w:proofErr w:type="gramEnd"/>
      <w:r>
        <w:t xml:space="preserve"> stated:</w:t>
      </w:r>
      <w:r w:rsidR="0009055C">
        <w:t xml:space="preserve"> </w:t>
      </w:r>
      <w:r>
        <w:t xml:space="preserve"> “I recently received a check from Direct Energy in the amount of $533.28.  This satisfies my compl</w:t>
      </w:r>
      <w:r w:rsidR="0009055C">
        <w:t>ai</w:t>
      </w:r>
      <w:r>
        <w:t>nt.  The case, above matter is withdrawn.</w:t>
      </w:r>
      <w:r w:rsidR="00900ABA">
        <w:t xml:space="preserve">  This letter is sent to inform you that I am withdrawing my complaint against Direct Energy.  The above matter has been satisfied.”</w:t>
      </w:r>
    </w:p>
    <w:p w:rsidR="00506B49" w:rsidRDefault="00506B49" w:rsidP="008C62D6">
      <w:pPr>
        <w:spacing w:line="360" w:lineRule="auto"/>
        <w:ind w:firstLine="1440"/>
      </w:pPr>
    </w:p>
    <w:p w:rsidR="008C62D6" w:rsidRDefault="00900ABA" w:rsidP="008C62D6">
      <w:pPr>
        <w:spacing w:line="360" w:lineRule="auto"/>
      </w:pPr>
      <w:r>
        <w:tab/>
      </w:r>
      <w:r>
        <w:tab/>
        <w:t>On February 8, 2016, t</w:t>
      </w:r>
      <w:r w:rsidR="008C62D6" w:rsidRPr="0065319E">
        <w:t xml:space="preserve">he presiding officer convened the initial hearing as scheduled.  Complainant appeared </w:t>
      </w:r>
      <w:r w:rsidR="008C62D6" w:rsidRPr="00AB64FD">
        <w:rPr>
          <w:i/>
        </w:rPr>
        <w:t>pro se</w:t>
      </w:r>
      <w:r w:rsidR="008C62D6">
        <w:t xml:space="preserve"> and testified </w:t>
      </w:r>
      <w:r w:rsidR="009C2F2A">
        <w:t xml:space="preserve">on </w:t>
      </w:r>
      <w:r>
        <w:t>his</w:t>
      </w:r>
      <w:r w:rsidR="009C2F2A">
        <w:t xml:space="preserve"> own behalf</w:t>
      </w:r>
      <w:r>
        <w:t>.  H</w:t>
      </w:r>
      <w:r w:rsidR="008C62D6">
        <w:t xml:space="preserve">e offered no exhibits.  </w:t>
      </w:r>
      <w:r w:rsidR="00006CB3">
        <w:t>PECO</w:t>
      </w:r>
      <w:r w:rsidR="008C62D6">
        <w:t xml:space="preserve"> was represented by </w:t>
      </w:r>
      <w:proofErr w:type="spellStart"/>
      <w:r>
        <w:t>Shawane</w:t>
      </w:r>
      <w:proofErr w:type="spellEnd"/>
      <w:r>
        <w:t xml:space="preserve"> </w:t>
      </w:r>
      <w:r w:rsidR="0009055C">
        <w:t xml:space="preserve">L. </w:t>
      </w:r>
      <w:r>
        <w:t>Lee</w:t>
      </w:r>
      <w:r w:rsidR="008C62D6">
        <w:t xml:space="preserve">, Esquire.  </w:t>
      </w:r>
      <w:r w:rsidR="008C62D6" w:rsidRPr="00B73D10">
        <w:t xml:space="preserve">Attorney </w:t>
      </w:r>
      <w:r>
        <w:t>Lee</w:t>
      </w:r>
      <w:r w:rsidR="008C62D6" w:rsidRPr="00B73D10">
        <w:t xml:space="preserve"> </w:t>
      </w:r>
      <w:r w:rsidR="009C2F2A">
        <w:t xml:space="preserve">offered </w:t>
      </w:r>
      <w:r>
        <w:t>seven</w:t>
      </w:r>
      <w:r w:rsidR="009C2F2A">
        <w:t xml:space="preserve"> exhibits and present</w:t>
      </w:r>
      <w:r>
        <w:t>ed</w:t>
      </w:r>
      <w:r w:rsidR="009C2F2A">
        <w:t xml:space="preserve"> the</w:t>
      </w:r>
      <w:r w:rsidR="008C62D6" w:rsidRPr="00B73D10">
        <w:t xml:space="preserve"> testimony </w:t>
      </w:r>
      <w:r w:rsidR="009C2F2A">
        <w:t xml:space="preserve">of </w:t>
      </w:r>
      <w:r>
        <w:t>one</w:t>
      </w:r>
      <w:r w:rsidR="009C2F2A">
        <w:t xml:space="preserve"> witness</w:t>
      </w:r>
      <w:r w:rsidR="008C62D6">
        <w:t xml:space="preserve">.  </w:t>
      </w:r>
      <w:r w:rsidR="008C62D6" w:rsidRPr="00B73D10">
        <w:t xml:space="preserve">Complainant and </w:t>
      </w:r>
      <w:r w:rsidR="00006CB3">
        <w:t>PECO</w:t>
      </w:r>
      <w:r w:rsidR="008C62D6" w:rsidRPr="00B73D10">
        <w:t xml:space="preserve"> issued final statements on the hearing record in lieu of filing briefs.</w:t>
      </w:r>
    </w:p>
    <w:p w:rsidR="008C62D6" w:rsidRDefault="008C62D6" w:rsidP="008C62D6">
      <w:pPr>
        <w:spacing w:line="360" w:lineRule="auto"/>
      </w:pPr>
    </w:p>
    <w:p w:rsidR="008C62D6" w:rsidRDefault="008C62D6" w:rsidP="008C62D6">
      <w:pPr>
        <w:spacing w:line="360" w:lineRule="auto"/>
        <w:ind w:firstLine="1440"/>
      </w:pPr>
      <w:r w:rsidRPr="00B73D10">
        <w:t>The transcript of the hearing</w:t>
      </w:r>
      <w:r>
        <w:t>,</w:t>
      </w:r>
      <w:r w:rsidRPr="00B73D10">
        <w:t xml:space="preserve"> contain</w:t>
      </w:r>
      <w:r>
        <w:t>ing</w:t>
      </w:r>
      <w:r w:rsidRPr="00B73D10">
        <w:t xml:space="preserve"> </w:t>
      </w:r>
      <w:r w:rsidR="00900ABA">
        <w:t>36</w:t>
      </w:r>
      <w:r>
        <w:t xml:space="preserve"> </w:t>
      </w:r>
      <w:r w:rsidRPr="00B73D10">
        <w:t>pages</w:t>
      </w:r>
      <w:r>
        <w:t xml:space="preserve">, was received in the presiding officer’s office on </w:t>
      </w:r>
      <w:r w:rsidR="00900ABA">
        <w:t>February 22, 2016</w:t>
      </w:r>
      <w:r>
        <w:t xml:space="preserve">.  On </w:t>
      </w:r>
      <w:r w:rsidR="00900ABA">
        <w:t xml:space="preserve">March </w:t>
      </w:r>
      <w:r w:rsidR="000E5FC6">
        <w:t>3</w:t>
      </w:r>
      <w:r w:rsidR="00900ABA">
        <w:t>, 2016</w:t>
      </w:r>
      <w:r>
        <w:t>, the presiding officer issued the Interim Order Closing the Hearing Record.</w:t>
      </w:r>
    </w:p>
    <w:p w:rsidR="008C62D6" w:rsidRDefault="008C62D6" w:rsidP="008C62D6">
      <w:pPr>
        <w:spacing w:line="360" w:lineRule="auto"/>
        <w:rPr>
          <w:u w:val="single"/>
        </w:rPr>
      </w:pPr>
    </w:p>
    <w:p w:rsidR="002D5E24" w:rsidRDefault="002D5E24" w:rsidP="008C62D6">
      <w:pPr>
        <w:spacing w:line="360" w:lineRule="auto"/>
        <w:rPr>
          <w:u w:val="single"/>
        </w:rPr>
      </w:pPr>
    </w:p>
    <w:p w:rsidR="008C62D6" w:rsidRPr="00B73D10" w:rsidRDefault="008C62D6" w:rsidP="0098677F">
      <w:pPr>
        <w:tabs>
          <w:tab w:val="left" w:pos="2160"/>
        </w:tabs>
        <w:spacing w:line="360" w:lineRule="auto"/>
        <w:jc w:val="center"/>
        <w:rPr>
          <w:u w:val="single"/>
        </w:rPr>
      </w:pPr>
      <w:r w:rsidRPr="00B73D10">
        <w:rPr>
          <w:u w:val="single"/>
        </w:rPr>
        <w:lastRenderedPageBreak/>
        <w:t xml:space="preserve">FINDINGS OF </w:t>
      </w:r>
      <w:smartTag w:uri="urn:schemas-microsoft-com:office:smarttags" w:element="stockticker">
        <w:r w:rsidRPr="00B73D10">
          <w:rPr>
            <w:u w:val="single"/>
          </w:rPr>
          <w:t>FACT</w:t>
        </w:r>
      </w:smartTag>
    </w:p>
    <w:p w:rsidR="008C62D6" w:rsidRPr="00B73D10" w:rsidRDefault="008C62D6" w:rsidP="008C62D6">
      <w:pPr>
        <w:tabs>
          <w:tab w:val="left" w:pos="2160"/>
        </w:tabs>
        <w:spacing w:line="360" w:lineRule="auto"/>
        <w:rPr>
          <w:u w:val="single"/>
        </w:rPr>
      </w:pPr>
    </w:p>
    <w:p w:rsidR="008C62D6" w:rsidRDefault="008C62D6" w:rsidP="008C62D6">
      <w:pPr>
        <w:tabs>
          <w:tab w:val="left" w:pos="2160"/>
        </w:tabs>
        <w:spacing w:line="360" w:lineRule="auto"/>
        <w:ind w:firstLine="1440"/>
      </w:pPr>
      <w:r w:rsidRPr="00B73D10">
        <w:t>1.</w:t>
      </w:r>
      <w:r w:rsidRPr="00B73D10">
        <w:tab/>
      </w:r>
      <w:r w:rsidR="003722EC">
        <w:t xml:space="preserve">Joseph </w:t>
      </w:r>
      <w:proofErr w:type="spellStart"/>
      <w:r w:rsidR="003722EC">
        <w:t>Burness</w:t>
      </w:r>
      <w:proofErr w:type="spellEnd"/>
      <w:r w:rsidR="00E236CD">
        <w:t xml:space="preserve"> resides at 501 Harrison Avenue, Glenolden, Pennsylvania (service address), which is a small single-family home Complainant has owned since </w:t>
      </w:r>
      <w:r w:rsidR="00336D20">
        <w:t xml:space="preserve">August </w:t>
      </w:r>
      <w:r w:rsidR="00E236CD">
        <w:t xml:space="preserve">2008.  </w:t>
      </w:r>
      <w:proofErr w:type="gramStart"/>
      <w:r w:rsidR="00E236CD">
        <w:t>(Tr. 6-8</w:t>
      </w:r>
      <w:r w:rsidR="00336D20">
        <w:t>, 18; PECO Exhibit 1</w:t>
      </w:r>
      <w:r w:rsidR="00E236CD">
        <w:t>).</w:t>
      </w:r>
      <w:proofErr w:type="gramEnd"/>
    </w:p>
    <w:p w:rsidR="008C62D6" w:rsidRDefault="008C62D6" w:rsidP="008C62D6">
      <w:pPr>
        <w:tabs>
          <w:tab w:val="left" w:pos="2160"/>
        </w:tabs>
        <w:spacing w:line="360" w:lineRule="auto"/>
        <w:ind w:firstLine="1440"/>
      </w:pPr>
    </w:p>
    <w:p w:rsidR="008C62D6" w:rsidRDefault="008C62D6" w:rsidP="008C62D6">
      <w:pPr>
        <w:tabs>
          <w:tab w:val="left" w:pos="2160"/>
        </w:tabs>
        <w:spacing w:line="360" w:lineRule="auto"/>
        <w:ind w:firstLine="1440"/>
      </w:pPr>
      <w:r>
        <w:t xml:space="preserve">2. </w:t>
      </w:r>
      <w:r>
        <w:tab/>
      </w:r>
      <w:r w:rsidR="00E236CD">
        <w:t xml:space="preserve">PECO Energy Company (PECO) is an electric distribution company (EDC) which provides electric distribution service to Complainant at the service address.  </w:t>
      </w:r>
      <w:proofErr w:type="gramStart"/>
      <w:r w:rsidR="00E236CD">
        <w:t>(Tr. 7</w:t>
      </w:r>
      <w:r w:rsidR="00336D20">
        <w:t>, 18; PECO Exhibit 1</w:t>
      </w:r>
      <w:r w:rsidR="00E236CD">
        <w:t>).</w:t>
      </w:r>
      <w:proofErr w:type="gramEnd"/>
    </w:p>
    <w:p w:rsidR="00B6749F" w:rsidRPr="00B73D10" w:rsidRDefault="00B6749F" w:rsidP="008C62D6">
      <w:pPr>
        <w:tabs>
          <w:tab w:val="left" w:pos="2160"/>
        </w:tabs>
        <w:spacing w:line="360" w:lineRule="auto"/>
        <w:ind w:firstLine="1440"/>
      </w:pPr>
    </w:p>
    <w:p w:rsidR="008C62D6" w:rsidRDefault="008C62D6" w:rsidP="008C62D6">
      <w:pPr>
        <w:tabs>
          <w:tab w:val="left" w:pos="2160"/>
        </w:tabs>
        <w:spacing w:line="360" w:lineRule="auto"/>
        <w:ind w:firstLine="1440"/>
      </w:pPr>
      <w:r>
        <w:t>3.</w:t>
      </w:r>
      <w:r>
        <w:tab/>
        <w:t xml:space="preserve"> </w:t>
      </w:r>
      <w:r w:rsidR="00900ABA">
        <w:t>Direct Energy Services</w:t>
      </w:r>
      <w:r w:rsidR="00E36C2A">
        <w:t>, LLC</w:t>
      </w:r>
      <w:r>
        <w:t xml:space="preserve"> </w:t>
      </w:r>
      <w:r w:rsidR="00E236CD">
        <w:t xml:space="preserve">(Direct Energy) </w:t>
      </w:r>
      <w:r w:rsidR="00B6749F">
        <w:t xml:space="preserve">is an electric generation supplier (EGS) which </w:t>
      </w:r>
      <w:r>
        <w:t xml:space="preserve">provided electric </w:t>
      </w:r>
      <w:r w:rsidR="00E236CD">
        <w:t xml:space="preserve">supply </w:t>
      </w:r>
      <w:r w:rsidR="000875C7">
        <w:t>service to the service address</w:t>
      </w:r>
      <w:r>
        <w:t xml:space="preserve">.  </w:t>
      </w:r>
      <w:proofErr w:type="gramStart"/>
      <w:r>
        <w:t xml:space="preserve">(Tr. </w:t>
      </w:r>
      <w:r w:rsidR="00E236CD">
        <w:t>8</w:t>
      </w:r>
      <w:r>
        <w:t>).</w:t>
      </w:r>
      <w:proofErr w:type="gramEnd"/>
    </w:p>
    <w:p w:rsidR="00E36C2A" w:rsidRDefault="00E36C2A" w:rsidP="008C62D6">
      <w:pPr>
        <w:tabs>
          <w:tab w:val="left" w:pos="2160"/>
        </w:tabs>
        <w:spacing w:line="360" w:lineRule="auto"/>
        <w:ind w:firstLine="1440"/>
      </w:pPr>
    </w:p>
    <w:p w:rsidR="008C62D6" w:rsidRDefault="008C62D6" w:rsidP="008C62D6">
      <w:pPr>
        <w:tabs>
          <w:tab w:val="left" w:pos="2160"/>
        </w:tabs>
        <w:spacing w:line="360" w:lineRule="auto"/>
        <w:ind w:firstLine="1440"/>
      </w:pPr>
      <w:r>
        <w:t xml:space="preserve">4. </w:t>
      </w:r>
      <w:r>
        <w:tab/>
        <w:t xml:space="preserve"> </w:t>
      </w:r>
      <w:r w:rsidR="00E236CD">
        <w:t>Direct Energy rai</w:t>
      </w:r>
      <w:r w:rsidR="0069746E">
        <w:t>sed its electric supply rate early in 2015</w:t>
      </w:r>
      <w:r w:rsidR="00E236CD">
        <w:t xml:space="preserve">.  </w:t>
      </w:r>
      <w:proofErr w:type="gramStart"/>
      <w:r w:rsidRPr="00B73D10">
        <w:t>(Tr.</w:t>
      </w:r>
      <w:r>
        <w:t> </w:t>
      </w:r>
      <w:r w:rsidR="0069746E">
        <w:t>9</w:t>
      </w:r>
      <w:r w:rsidRPr="00B73D10">
        <w:t>).</w:t>
      </w:r>
      <w:proofErr w:type="gramEnd"/>
    </w:p>
    <w:p w:rsidR="008C62D6" w:rsidRDefault="008C62D6" w:rsidP="008C62D6">
      <w:pPr>
        <w:tabs>
          <w:tab w:val="left" w:pos="2160"/>
        </w:tabs>
        <w:spacing w:line="360" w:lineRule="auto"/>
        <w:ind w:firstLine="1440"/>
      </w:pPr>
    </w:p>
    <w:p w:rsidR="008C62D6" w:rsidRDefault="008C62D6" w:rsidP="008C62D6">
      <w:pPr>
        <w:tabs>
          <w:tab w:val="left" w:pos="2160"/>
        </w:tabs>
        <w:spacing w:line="360" w:lineRule="auto"/>
        <w:ind w:firstLine="1440"/>
      </w:pPr>
      <w:r>
        <w:t xml:space="preserve">5. </w:t>
      </w:r>
      <w:r>
        <w:tab/>
      </w:r>
      <w:r w:rsidR="00E236CD">
        <w:t xml:space="preserve">PECO did not notify Complainant </w:t>
      </w:r>
      <w:r w:rsidR="0069746E">
        <w:t>that</w:t>
      </w:r>
      <w:r w:rsidR="00E236CD">
        <w:t xml:space="preserve"> Direct Energy </w:t>
      </w:r>
      <w:r w:rsidR="0069746E">
        <w:t>was raising</w:t>
      </w:r>
      <w:r w:rsidR="00E236CD">
        <w:t xml:space="preserve"> its electric supply rate</w:t>
      </w:r>
      <w:r w:rsidR="0069746E">
        <w:t xml:space="preserve"> in early 2015</w:t>
      </w:r>
      <w:r w:rsidR="00E236CD">
        <w:t xml:space="preserve">.  </w:t>
      </w:r>
      <w:proofErr w:type="gramStart"/>
      <w:r w:rsidR="00E236CD">
        <w:t xml:space="preserve">(Tr. </w:t>
      </w:r>
      <w:r w:rsidR="0069746E">
        <w:t>9, 10</w:t>
      </w:r>
      <w:r w:rsidR="000875C7">
        <w:t>)</w:t>
      </w:r>
      <w:r w:rsidR="00E236CD">
        <w:t>.</w:t>
      </w:r>
      <w:proofErr w:type="gramEnd"/>
    </w:p>
    <w:p w:rsidR="008C62D6" w:rsidRDefault="008C62D6" w:rsidP="008C62D6">
      <w:pPr>
        <w:tabs>
          <w:tab w:val="left" w:pos="2160"/>
        </w:tabs>
        <w:spacing w:line="360" w:lineRule="auto"/>
        <w:ind w:firstLine="1440"/>
      </w:pPr>
    </w:p>
    <w:p w:rsidR="008C62D6" w:rsidRDefault="008C62D6" w:rsidP="008C62D6">
      <w:pPr>
        <w:tabs>
          <w:tab w:val="left" w:pos="2160"/>
        </w:tabs>
        <w:spacing w:line="360" w:lineRule="auto"/>
        <w:ind w:firstLine="1440"/>
      </w:pPr>
      <w:r>
        <w:t>6.</w:t>
      </w:r>
      <w:r>
        <w:tab/>
      </w:r>
      <w:r w:rsidR="0069746E">
        <w:t>Direct Energy did not notify Complainant that it planned to raise its electric supply rate in early 2015.  (Tr. 9)</w:t>
      </w:r>
    </w:p>
    <w:p w:rsidR="00E06E50" w:rsidRDefault="00E06E50" w:rsidP="008C62D6">
      <w:pPr>
        <w:tabs>
          <w:tab w:val="left" w:pos="2160"/>
        </w:tabs>
        <w:spacing w:line="360" w:lineRule="auto"/>
        <w:ind w:firstLine="1440"/>
      </w:pPr>
    </w:p>
    <w:p w:rsidR="00E06E50" w:rsidRDefault="00E06E50" w:rsidP="00E06E50">
      <w:pPr>
        <w:tabs>
          <w:tab w:val="left" w:pos="2160"/>
        </w:tabs>
        <w:spacing w:line="360" w:lineRule="auto"/>
        <w:ind w:firstLine="1440"/>
      </w:pPr>
      <w:r>
        <w:t xml:space="preserve">7. </w:t>
      </w:r>
      <w:r>
        <w:tab/>
      </w:r>
      <w:r w:rsidR="0069746E">
        <w:t xml:space="preserve">Complainant signed up with Gateway as his electric supply provider </w:t>
      </w:r>
      <w:r w:rsidR="00336D20">
        <w:t>on January 14, 2011</w:t>
      </w:r>
      <w:r w:rsidR="0069746E">
        <w:t xml:space="preserve">.  </w:t>
      </w:r>
      <w:proofErr w:type="gramStart"/>
      <w:r w:rsidR="0069746E">
        <w:t>(Tr. 11, 12).</w:t>
      </w:r>
      <w:proofErr w:type="gramEnd"/>
    </w:p>
    <w:p w:rsidR="008C62D6" w:rsidRDefault="008C62D6" w:rsidP="008C62D6">
      <w:pPr>
        <w:tabs>
          <w:tab w:val="left" w:pos="2160"/>
        </w:tabs>
        <w:spacing w:line="360" w:lineRule="auto"/>
        <w:ind w:firstLine="1440"/>
      </w:pPr>
    </w:p>
    <w:p w:rsidR="008C62D6" w:rsidRDefault="00E06E50" w:rsidP="008C62D6">
      <w:pPr>
        <w:tabs>
          <w:tab w:val="left" w:pos="2160"/>
        </w:tabs>
        <w:spacing w:line="360" w:lineRule="auto"/>
        <w:ind w:firstLine="1440"/>
      </w:pPr>
      <w:r>
        <w:t>8</w:t>
      </w:r>
      <w:r w:rsidR="008C62D6">
        <w:t xml:space="preserve">.  </w:t>
      </w:r>
      <w:r w:rsidR="008C62D6">
        <w:tab/>
        <w:t xml:space="preserve"> </w:t>
      </w:r>
      <w:r w:rsidR="00336D20">
        <w:t xml:space="preserve">After signing up with Gateway, Complainant’s next electric supplier was </w:t>
      </w:r>
      <w:proofErr w:type="spellStart"/>
      <w:r w:rsidR="00336D20">
        <w:t>Energetix</w:t>
      </w:r>
      <w:proofErr w:type="spellEnd"/>
      <w:r w:rsidR="00336D20">
        <w:t xml:space="preserve"> starting on August 12, 2011 until January 15, 2013 when Direct Energy became his electric supplier.  </w:t>
      </w:r>
      <w:proofErr w:type="gramStart"/>
      <w:r w:rsidR="00336D20">
        <w:t>(Tr. 19; PECO Exhibit 2).</w:t>
      </w:r>
      <w:proofErr w:type="gramEnd"/>
    </w:p>
    <w:p w:rsidR="0009055C" w:rsidRDefault="0009055C" w:rsidP="008C62D6">
      <w:pPr>
        <w:tabs>
          <w:tab w:val="left" w:pos="2160"/>
        </w:tabs>
        <w:spacing w:line="360" w:lineRule="auto"/>
        <w:ind w:firstLine="1440"/>
      </w:pPr>
    </w:p>
    <w:p w:rsidR="008C62D6" w:rsidRDefault="00E06E50" w:rsidP="008C62D6">
      <w:pPr>
        <w:tabs>
          <w:tab w:val="left" w:pos="2160"/>
        </w:tabs>
        <w:spacing w:line="360" w:lineRule="auto"/>
        <w:ind w:firstLine="1440"/>
      </w:pPr>
      <w:r>
        <w:t>9</w:t>
      </w:r>
      <w:r w:rsidR="008C62D6">
        <w:t>.</w:t>
      </w:r>
      <w:r w:rsidR="008C62D6">
        <w:tab/>
      </w:r>
      <w:r w:rsidR="00336D20">
        <w:t xml:space="preserve">Complainant was enrolled with Direct Energy </w:t>
      </w:r>
      <w:r w:rsidR="000875C7">
        <w:t xml:space="preserve">because Direct Energy acquired </w:t>
      </w:r>
      <w:proofErr w:type="spellStart"/>
      <w:r w:rsidR="00336D20">
        <w:t>Energetix</w:t>
      </w:r>
      <w:proofErr w:type="spellEnd"/>
      <w:r w:rsidR="00336D20">
        <w:t xml:space="preserve"> in November 2012.  </w:t>
      </w:r>
      <w:proofErr w:type="gramStart"/>
      <w:r w:rsidR="00336D20">
        <w:t>(Tr. 20; PECO Exhibit 3).</w:t>
      </w:r>
      <w:proofErr w:type="gramEnd"/>
    </w:p>
    <w:p w:rsidR="008C62D6" w:rsidRDefault="008C62D6" w:rsidP="008C62D6">
      <w:pPr>
        <w:tabs>
          <w:tab w:val="left" w:pos="2160"/>
        </w:tabs>
        <w:spacing w:line="360" w:lineRule="auto"/>
        <w:ind w:firstLine="1440"/>
      </w:pPr>
    </w:p>
    <w:p w:rsidR="008C62D6" w:rsidRDefault="00E06E50" w:rsidP="008C62D6">
      <w:pPr>
        <w:tabs>
          <w:tab w:val="left" w:pos="2160"/>
        </w:tabs>
        <w:spacing w:line="360" w:lineRule="auto"/>
        <w:ind w:firstLine="1440"/>
      </w:pPr>
      <w:r>
        <w:lastRenderedPageBreak/>
        <w:t>10</w:t>
      </w:r>
      <w:r w:rsidR="008C62D6">
        <w:t xml:space="preserve">. </w:t>
      </w:r>
      <w:r w:rsidR="008C62D6">
        <w:tab/>
      </w:r>
      <w:r w:rsidR="00336D20">
        <w:t xml:space="preserve">PECO does not notify customers when one electric supplier acquires another electric supplier, and PECO </w:t>
      </w:r>
      <w:r w:rsidR="0083184B">
        <w:t>expects</w:t>
      </w:r>
      <w:r w:rsidR="00336D20">
        <w:t xml:space="preserve"> the acquiring electric supplier to </w:t>
      </w:r>
      <w:r w:rsidR="0083184B">
        <w:t>send a rebranding letter to all affected</w:t>
      </w:r>
      <w:r w:rsidR="00336D20">
        <w:t xml:space="preserve"> </w:t>
      </w:r>
      <w:r w:rsidR="0083184B">
        <w:t>customers.  (Tr. 20-22</w:t>
      </w:r>
      <w:r w:rsidR="00336D20">
        <w:t>).</w:t>
      </w:r>
    </w:p>
    <w:p w:rsidR="008C62D6" w:rsidRDefault="008C62D6" w:rsidP="008C62D6">
      <w:pPr>
        <w:tabs>
          <w:tab w:val="left" w:pos="2160"/>
        </w:tabs>
        <w:spacing w:line="360" w:lineRule="auto"/>
        <w:ind w:firstLine="1440"/>
      </w:pPr>
    </w:p>
    <w:p w:rsidR="008C62D6" w:rsidRDefault="00E06E50" w:rsidP="008C62D6">
      <w:pPr>
        <w:tabs>
          <w:tab w:val="left" w:pos="2160"/>
        </w:tabs>
        <w:spacing w:line="360" w:lineRule="auto"/>
        <w:ind w:firstLine="1440"/>
      </w:pPr>
      <w:r>
        <w:t>11</w:t>
      </w:r>
      <w:r w:rsidR="008C62D6">
        <w:t>.</w:t>
      </w:r>
      <w:r w:rsidR="008C62D6">
        <w:tab/>
      </w:r>
      <w:r w:rsidR="0083184B">
        <w:t xml:space="preserve">PECO is not required by the Commission to notify PECO customers if an electric supplier proposes or implements a rate change.  </w:t>
      </w:r>
      <w:proofErr w:type="gramStart"/>
      <w:r w:rsidR="0083184B">
        <w:t>(Tr. 23; PECO Exhibit 3).</w:t>
      </w:r>
      <w:proofErr w:type="gramEnd"/>
    </w:p>
    <w:p w:rsidR="008C62D6" w:rsidRDefault="008C62D6" w:rsidP="008C62D6">
      <w:pPr>
        <w:tabs>
          <w:tab w:val="left" w:pos="2160"/>
        </w:tabs>
        <w:spacing w:line="360" w:lineRule="auto"/>
        <w:ind w:firstLine="1440"/>
      </w:pPr>
    </w:p>
    <w:p w:rsidR="0083184B" w:rsidRDefault="0083184B" w:rsidP="008C62D6">
      <w:pPr>
        <w:tabs>
          <w:tab w:val="left" w:pos="2160"/>
        </w:tabs>
        <w:spacing w:line="360" w:lineRule="auto"/>
        <w:ind w:firstLine="1440"/>
      </w:pPr>
      <w:r>
        <w:t xml:space="preserve">12. </w:t>
      </w:r>
      <w:r>
        <w:tab/>
        <w:t xml:space="preserve">Direct Energy sent a rebranding letter to Complainant on November 6, 2012, and mailed renewal letters </w:t>
      </w:r>
      <w:r w:rsidR="00CB2F35">
        <w:t xml:space="preserve">to Complainant </w:t>
      </w:r>
      <w:r>
        <w:t xml:space="preserve">on July 5, 2013 and July 15, 2013.  </w:t>
      </w:r>
      <w:proofErr w:type="gramStart"/>
      <w:r>
        <w:t>(Tr. 30; PECO Exhibit 7)</w:t>
      </w:r>
      <w:r w:rsidR="0009055C">
        <w:t>.</w:t>
      </w:r>
      <w:proofErr w:type="gramEnd"/>
    </w:p>
    <w:p w:rsidR="0083184B" w:rsidRDefault="0083184B" w:rsidP="008C62D6">
      <w:pPr>
        <w:tabs>
          <w:tab w:val="left" w:pos="2160"/>
        </w:tabs>
        <w:spacing w:line="360" w:lineRule="auto"/>
        <w:ind w:firstLine="1440"/>
      </w:pPr>
    </w:p>
    <w:p w:rsidR="009C2F2A" w:rsidRDefault="009C2F2A" w:rsidP="009C2F2A">
      <w:pPr>
        <w:spacing w:line="360" w:lineRule="auto"/>
        <w:jc w:val="center"/>
        <w:rPr>
          <w:u w:val="single"/>
        </w:rPr>
      </w:pPr>
      <w:r>
        <w:rPr>
          <w:u w:val="single"/>
        </w:rPr>
        <w:t>DISCUSSION</w:t>
      </w:r>
    </w:p>
    <w:p w:rsidR="009C2F2A" w:rsidRDefault="009C2F2A" w:rsidP="009C2F2A">
      <w:pPr>
        <w:spacing w:line="360" w:lineRule="auto"/>
        <w:jc w:val="center"/>
        <w:rPr>
          <w:u w:val="single"/>
        </w:rPr>
      </w:pPr>
    </w:p>
    <w:p w:rsidR="009C2F2A" w:rsidRDefault="009C2F2A" w:rsidP="009C2F2A">
      <w:pPr>
        <w:spacing w:line="360" w:lineRule="auto"/>
        <w:rPr>
          <w:u w:val="single"/>
        </w:rPr>
      </w:pPr>
      <w:r>
        <w:rPr>
          <w:u w:val="single"/>
        </w:rPr>
        <w:t>Burden of Proof</w:t>
      </w:r>
    </w:p>
    <w:p w:rsidR="009C2F2A" w:rsidRDefault="009C2F2A" w:rsidP="009C2F2A">
      <w:pPr>
        <w:spacing w:line="360" w:lineRule="auto"/>
        <w:rPr>
          <w:u w:val="single"/>
        </w:rPr>
      </w:pPr>
    </w:p>
    <w:p w:rsidR="009C2F2A" w:rsidRDefault="009C2F2A" w:rsidP="009C2F2A">
      <w:pPr>
        <w:tabs>
          <w:tab w:val="left" w:pos="-1440"/>
          <w:tab w:val="left" w:pos="-720"/>
        </w:tabs>
        <w:suppressAutoHyphens/>
        <w:spacing w:line="360" w:lineRule="auto"/>
        <w:ind w:firstLine="1440"/>
        <w:rPr>
          <w:spacing w:val="-3"/>
        </w:rPr>
      </w:pPr>
      <w:r w:rsidRPr="00A941C5">
        <w:t xml:space="preserve">As the party seeking affirmative relief from the Commission, </w:t>
      </w:r>
      <w:r>
        <w:t xml:space="preserve">Complainant </w:t>
      </w:r>
      <w:r w:rsidRPr="00A941C5">
        <w:t>bear</w:t>
      </w:r>
      <w:r>
        <w:t>s</w:t>
      </w:r>
      <w:r w:rsidRPr="00A941C5">
        <w:t xml:space="preserve"> the burden of proof.  </w:t>
      </w:r>
      <w:proofErr w:type="gramStart"/>
      <w:r w:rsidRPr="00A941C5">
        <w:t xml:space="preserve">66 </w:t>
      </w:r>
      <w:proofErr w:type="spellStart"/>
      <w:r w:rsidRPr="00A941C5">
        <w:t>Pa.C.S</w:t>
      </w:r>
      <w:r w:rsidR="0098677F">
        <w:t>.A</w:t>
      </w:r>
      <w:proofErr w:type="spellEnd"/>
      <w:r w:rsidRPr="00A941C5">
        <w:t>.</w:t>
      </w:r>
      <w:proofErr w:type="gramEnd"/>
      <w:r w:rsidRPr="00A941C5">
        <w:t xml:space="preserve"> §</w:t>
      </w:r>
      <w:r>
        <w:t xml:space="preserve"> </w:t>
      </w:r>
      <w:r w:rsidRPr="00A941C5">
        <w:t>332(a).</w:t>
      </w:r>
      <w:r>
        <w:t xml:space="preserve">  </w:t>
      </w:r>
      <w:r w:rsidRPr="00614336">
        <w:rPr>
          <w:spacing w:val="-3"/>
        </w:rPr>
        <w:t>To establish a sufficient case and satisfy the burden of proof,</w:t>
      </w:r>
      <w:r>
        <w:rPr>
          <w:spacing w:val="-3"/>
        </w:rPr>
        <w:t xml:space="preserve"> Complainant</w:t>
      </w:r>
      <w:r w:rsidRPr="00614336">
        <w:rPr>
          <w:spacing w:val="-3"/>
        </w:rPr>
        <w:t xml:space="preserve"> must show </w:t>
      </w:r>
      <w:r w:rsidR="00006CB3">
        <w:rPr>
          <w:spacing w:val="-3"/>
        </w:rPr>
        <w:t>PECO</w:t>
      </w:r>
      <w:r w:rsidRPr="00614336">
        <w:rPr>
          <w:spacing w:val="-3"/>
        </w:rPr>
        <w:t xml:space="preserve"> is responsible or accountable fo</w:t>
      </w:r>
      <w:r w:rsidR="0098677F">
        <w:rPr>
          <w:spacing w:val="-3"/>
        </w:rPr>
        <w:t>r the problem described in the c</w:t>
      </w:r>
      <w:r w:rsidRPr="00614336">
        <w:rPr>
          <w:spacing w:val="-3"/>
        </w:rPr>
        <w:t xml:space="preserve">omplaint.  </w:t>
      </w:r>
      <w:proofErr w:type="gramStart"/>
      <w:r w:rsidRPr="00614336">
        <w:rPr>
          <w:spacing w:val="-3"/>
          <w:u w:val="single"/>
        </w:rPr>
        <w:t>Patterson v. Bell Telephone Company of Pennsylvania</w:t>
      </w:r>
      <w:r w:rsidRPr="00614336">
        <w:rPr>
          <w:spacing w:val="-3"/>
        </w:rPr>
        <w:t>, 72 P</w:t>
      </w:r>
      <w:r>
        <w:rPr>
          <w:spacing w:val="-3"/>
        </w:rPr>
        <w:t>a.</w:t>
      </w:r>
      <w:r w:rsidRPr="00614336">
        <w:rPr>
          <w:spacing w:val="-3"/>
        </w:rPr>
        <w:t xml:space="preserve"> PUC 196</w:t>
      </w:r>
      <w:r>
        <w:rPr>
          <w:spacing w:val="-3"/>
        </w:rPr>
        <w:t xml:space="preserve"> (</w:t>
      </w:r>
      <w:r w:rsidRPr="00614336">
        <w:rPr>
          <w:spacing w:val="-3"/>
        </w:rPr>
        <w:t xml:space="preserve">1990), </w:t>
      </w:r>
      <w:r w:rsidRPr="00614336">
        <w:rPr>
          <w:spacing w:val="-3"/>
          <w:u w:val="single"/>
        </w:rPr>
        <w:t>Feinstein v. Philadelphia Suburban Water Company</w:t>
      </w:r>
      <w:r w:rsidRPr="00614336">
        <w:rPr>
          <w:spacing w:val="-3"/>
        </w:rPr>
        <w:t>, 50 P</w:t>
      </w:r>
      <w:r>
        <w:rPr>
          <w:spacing w:val="-3"/>
        </w:rPr>
        <w:t>a.</w:t>
      </w:r>
      <w:r w:rsidRPr="00614336">
        <w:rPr>
          <w:spacing w:val="-3"/>
        </w:rPr>
        <w:t xml:space="preserve"> PUC 300</w:t>
      </w:r>
      <w:r>
        <w:rPr>
          <w:spacing w:val="-3"/>
        </w:rPr>
        <w:t xml:space="preserve"> </w:t>
      </w:r>
      <w:r w:rsidRPr="00614336">
        <w:rPr>
          <w:spacing w:val="-3"/>
        </w:rPr>
        <w:t>(1976).</w:t>
      </w:r>
      <w:proofErr w:type="gramEnd"/>
      <w:r w:rsidRPr="00614336">
        <w:rPr>
          <w:spacing w:val="-3"/>
        </w:rPr>
        <w:t xml:space="preserve">  </w:t>
      </w:r>
    </w:p>
    <w:p w:rsidR="0024610D" w:rsidRPr="005C28F8" w:rsidRDefault="0024610D" w:rsidP="009C2F2A">
      <w:pPr>
        <w:tabs>
          <w:tab w:val="left" w:pos="-1440"/>
          <w:tab w:val="left" w:pos="-720"/>
        </w:tabs>
        <w:suppressAutoHyphens/>
        <w:spacing w:line="360" w:lineRule="auto"/>
        <w:rPr>
          <w:b/>
          <w:spacing w:val="-3"/>
          <w:u w:val="single"/>
        </w:rPr>
      </w:pPr>
    </w:p>
    <w:p w:rsidR="009C2F2A" w:rsidRPr="008115AB" w:rsidRDefault="009C2F2A" w:rsidP="009C2F2A">
      <w:pPr>
        <w:pStyle w:val="ParaTab1"/>
        <w:spacing w:line="360" w:lineRule="auto"/>
        <w:ind w:firstLine="0"/>
        <w:rPr>
          <w:rFonts w:ascii="Times New Roman" w:hAnsi="Times New Roman" w:cs="Times New Roman"/>
          <w:u w:val="single"/>
        </w:rPr>
      </w:pPr>
      <w:r>
        <w:rPr>
          <w:rFonts w:ascii="Times New Roman" w:hAnsi="Times New Roman" w:cs="Times New Roman"/>
          <w:u w:val="single"/>
        </w:rPr>
        <w:t>Jurisdiction</w:t>
      </w:r>
    </w:p>
    <w:p w:rsidR="009C2F2A" w:rsidRDefault="009C2F2A" w:rsidP="009C2F2A">
      <w:pPr>
        <w:pStyle w:val="ParaTab1"/>
        <w:spacing w:line="360" w:lineRule="auto"/>
        <w:rPr>
          <w:rFonts w:ascii="Times New Roman" w:hAnsi="Times New Roman" w:cs="Times New Roman"/>
        </w:rPr>
      </w:pPr>
    </w:p>
    <w:p w:rsidR="009C2F2A" w:rsidRPr="00CC4458" w:rsidRDefault="009C2F2A" w:rsidP="009C2F2A">
      <w:pPr>
        <w:pStyle w:val="ParaTab1"/>
        <w:spacing w:line="360" w:lineRule="auto"/>
        <w:rPr>
          <w:rFonts w:ascii="Times New Roman" w:hAnsi="Times New Roman" w:cs="Times New Roman"/>
        </w:rPr>
      </w:pPr>
      <w:r w:rsidRPr="00CC4458">
        <w:rPr>
          <w:rFonts w:ascii="Times New Roman" w:hAnsi="Times New Roman" w:cs="Times New Roman"/>
        </w:rPr>
        <w:t xml:space="preserve">The Commission, as a creation of the General Assembly, has only the powers and authority granted to it by the General Assembly contained in the Public Utility Code.  </w:t>
      </w:r>
      <w:r w:rsidRPr="00CC4458">
        <w:rPr>
          <w:rFonts w:ascii="Times New Roman" w:hAnsi="Times New Roman" w:cs="Times New Roman"/>
          <w:u w:val="single"/>
        </w:rPr>
        <w:t xml:space="preserve">Tod and Lisa </w:t>
      </w:r>
      <w:proofErr w:type="spellStart"/>
      <w:r w:rsidRPr="00CC4458">
        <w:rPr>
          <w:rFonts w:ascii="Times New Roman" w:hAnsi="Times New Roman" w:cs="Times New Roman"/>
          <w:u w:val="single"/>
        </w:rPr>
        <w:t>Shedlosky</w:t>
      </w:r>
      <w:proofErr w:type="spellEnd"/>
      <w:r w:rsidRPr="00CC4458">
        <w:rPr>
          <w:rFonts w:ascii="Times New Roman" w:hAnsi="Times New Roman" w:cs="Times New Roman"/>
          <w:u w:val="single"/>
        </w:rPr>
        <w:t xml:space="preserve"> v. Pennsylvania Electric Co.</w:t>
      </w:r>
      <w:r w:rsidRPr="00CC4458">
        <w:rPr>
          <w:rFonts w:ascii="Times New Roman" w:hAnsi="Times New Roman" w:cs="Times New Roman"/>
        </w:rPr>
        <w:t xml:space="preserve">, Docket No. C-20066937 (Order entered May 28, 2008); </w:t>
      </w:r>
      <w:r w:rsidRPr="00CC4458">
        <w:rPr>
          <w:rFonts w:ascii="Times New Roman" w:hAnsi="Times New Roman" w:cs="Times New Roman"/>
          <w:u w:val="single"/>
        </w:rPr>
        <w:t>Feingold v. Bell Tel. Co. of Pa.</w:t>
      </w:r>
      <w:r w:rsidRPr="00CC4458">
        <w:rPr>
          <w:rFonts w:ascii="Times New Roman" w:hAnsi="Times New Roman" w:cs="Times New Roman"/>
        </w:rPr>
        <w:t xml:space="preserve">, 383 A.2d 791 (Pa. 1977).  The Commission must act within, and cannot exceed, its jurisdiction.  </w:t>
      </w:r>
      <w:proofErr w:type="gramStart"/>
      <w:r w:rsidRPr="00CC4458">
        <w:rPr>
          <w:rFonts w:ascii="Times New Roman" w:hAnsi="Times New Roman" w:cs="Times New Roman"/>
          <w:u w:val="single"/>
        </w:rPr>
        <w:t>City of Pittsburgh v. Pa. Pub.</w:t>
      </w:r>
      <w:proofErr w:type="gramEnd"/>
      <w:r w:rsidRPr="00CC4458">
        <w:rPr>
          <w:rFonts w:ascii="Times New Roman" w:hAnsi="Times New Roman" w:cs="Times New Roman"/>
          <w:u w:val="single"/>
        </w:rPr>
        <w:t xml:space="preserve"> </w:t>
      </w:r>
      <w:proofErr w:type="gramStart"/>
      <w:r w:rsidRPr="00CC4458">
        <w:rPr>
          <w:rFonts w:ascii="Times New Roman" w:hAnsi="Times New Roman" w:cs="Times New Roman"/>
          <w:u w:val="single"/>
        </w:rPr>
        <w:t xml:space="preserve">Util. </w:t>
      </w:r>
      <w:proofErr w:type="spellStart"/>
      <w:r w:rsidRPr="00CC4458">
        <w:rPr>
          <w:rFonts w:ascii="Times New Roman" w:hAnsi="Times New Roman" w:cs="Times New Roman"/>
          <w:u w:val="single"/>
        </w:rPr>
        <w:t>Comm’n</w:t>
      </w:r>
      <w:proofErr w:type="spellEnd"/>
      <w:r w:rsidRPr="00CC4458">
        <w:rPr>
          <w:rFonts w:ascii="Times New Roman" w:hAnsi="Times New Roman" w:cs="Times New Roman"/>
          <w:u w:val="single"/>
        </w:rPr>
        <w:t>,</w:t>
      </w:r>
      <w:r w:rsidRPr="00CC4458">
        <w:rPr>
          <w:rFonts w:ascii="Times New Roman" w:hAnsi="Times New Roman" w:cs="Times New Roman"/>
        </w:rPr>
        <w:t xml:space="preserve"> 43 A.2d 348 (</w:t>
      </w:r>
      <w:proofErr w:type="spellStart"/>
      <w:r w:rsidRPr="00CC4458">
        <w:rPr>
          <w:rFonts w:ascii="Times New Roman" w:hAnsi="Times New Roman" w:cs="Times New Roman"/>
        </w:rPr>
        <w:t>Pa.Super</w:t>
      </w:r>
      <w:proofErr w:type="spellEnd"/>
      <w:r w:rsidRPr="00CC4458">
        <w:rPr>
          <w:rFonts w:ascii="Times New Roman" w:hAnsi="Times New Roman" w:cs="Times New Roman"/>
        </w:rPr>
        <w:t>. 1945).</w:t>
      </w:r>
      <w:proofErr w:type="gramEnd"/>
      <w:r w:rsidRPr="00CC4458">
        <w:rPr>
          <w:rFonts w:ascii="Times New Roman" w:hAnsi="Times New Roman" w:cs="Times New Roman"/>
        </w:rPr>
        <w:t xml:space="preserve">  Jurisdiction may not be conferred by the parties where none exists.  </w:t>
      </w:r>
      <w:proofErr w:type="gramStart"/>
      <w:r w:rsidRPr="00CC4458">
        <w:rPr>
          <w:rFonts w:ascii="Times New Roman" w:hAnsi="Times New Roman" w:cs="Times New Roman"/>
          <w:u w:val="single"/>
        </w:rPr>
        <w:t xml:space="preserve">Roberts v. </w:t>
      </w:r>
      <w:proofErr w:type="spellStart"/>
      <w:r w:rsidRPr="00CC4458">
        <w:rPr>
          <w:rFonts w:ascii="Times New Roman" w:hAnsi="Times New Roman" w:cs="Times New Roman"/>
          <w:u w:val="single"/>
        </w:rPr>
        <w:t>Martorano</w:t>
      </w:r>
      <w:proofErr w:type="spellEnd"/>
      <w:r w:rsidRPr="00CC4458">
        <w:rPr>
          <w:rFonts w:ascii="Times New Roman" w:hAnsi="Times New Roman" w:cs="Times New Roman"/>
        </w:rPr>
        <w:t>, 235 A.2d 602 (Pa. 1967).</w:t>
      </w:r>
      <w:proofErr w:type="gramEnd"/>
      <w:r w:rsidRPr="00CC4458">
        <w:rPr>
          <w:rFonts w:ascii="Times New Roman" w:hAnsi="Times New Roman" w:cs="Times New Roman"/>
        </w:rPr>
        <w:t xml:space="preserve">  Subject matter jurisdiction is a </w:t>
      </w:r>
      <w:r w:rsidRPr="00CC4458">
        <w:rPr>
          <w:rFonts w:ascii="Times New Roman" w:hAnsi="Times New Roman" w:cs="Times New Roman"/>
        </w:rPr>
        <w:lastRenderedPageBreak/>
        <w:t xml:space="preserve">prerequisite to the exercise of power to decide a controversy.  </w:t>
      </w:r>
      <w:proofErr w:type="gramStart"/>
      <w:r w:rsidRPr="00CC4458">
        <w:rPr>
          <w:rFonts w:ascii="Times New Roman" w:hAnsi="Times New Roman" w:cs="Times New Roman"/>
          <w:u w:val="single"/>
        </w:rPr>
        <w:t>Hughes v. Pennsylvania State Police</w:t>
      </w:r>
      <w:r>
        <w:rPr>
          <w:rFonts w:ascii="Times New Roman" w:hAnsi="Times New Roman" w:cs="Times New Roman"/>
        </w:rPr>
        <w:t>, 619 A.2d 390 (</w:t>
      </w:r>
      <w:proofErr w:type="spellStart"/>
      <w:r>
        <w:rPr>
          <w:rFonts w:ascii="Times New Roman" w:hAnsi="Times New Roman" w:cs="Times New Roman"/>
        </w:rPr>
        <w:t>Pa.</w:t>
      </w:r>
      <w:r w:rsidRPr="00CC4458">
        <w:rPr>
          <w:rFonts w:ascii="Times New Roman" w:hAnsi="Times New Roman" w:cs="Times New Roman"/>
        </w:rPr>
        <w:t>Cmwlth</w:t>
      </w:r>
      <w:proofErr w:type="spellEnd"/>
      <w:r w:rsidRPr="00CC4458">
        <w:rPr>
          <w:rFonts w:ascii="Times New Roman" w:hAnsi="Times New Roman" w:cs="Times New Roman"/>
        </w:rPr>
        <w:t xml:space="preserve">. 1992), </w:t>
      </w:r>
      <w:proofErr w:type="spellStart"/>
      <w:r w:rsidRPr="00CC4458">
        <w:rPr>
          <w:rFonts w:ascii="Times New Roman" w:hAnsi="Times New Roman" w:cs="Times New Roman"/>
          <w:u w:val="single"/>
        </w:rPr>
        <w:t>alloc</w:t>
      </w:r>
      <w:proofErr w:type="spellEnd"/>
      <w:r w:rsidRPr="00CC4458">
        <w:rPr>
          <w:rFonts w:ascii="Times New Roman" w:hAnsi="Times New Roman" w:cs="Times New Roman"/>
          <w:u w:val="single"/>
        </w:rPr>
        <w:t>.</w:t>
      </w:r>
      <w:proofErr w:type="gramEnd"/>
      <w:r w:rsidRPr="00CC4458">
        <w:rPr>
          <w:rFonts w:ascii="Times New Roman" w:hAnsi="Times New Roman" w:cs="Times New Roman"/>
          <w:u w:val="single"/>
        </w:rPr>
        <w:t xml:space="preserve"> </w:t>
      </w:r>
      <w:proofErr w:type="gramStart"/>
      <w:r w:rsidRPr="00CC4458">
        <w:rPr>
          <w:rFonts w:ascii="Times New Roman" w:hAnsi="Times New Roman" w:cs="Times New Roman"/>
          <w:u w:val="single"/>
        </w:rPr>
        <w:t>denied</w:t>
      </w:r>
      <w:proofErr w:type="gramEnd"/>
      <w:r w:rsidRPr="00CC4458">
        <w:rPr>
          <w:rFonts w:ascii="Times New Roman" w:hAnsi="Times New Roman" w:cs="Times New Roman"/>
        </w:rPr>
        <w:t>, 637 A.2d 293 (Pa. 1993).</w:t>
      </w:r>
    </w:p>
    <w:p w:rsidR="009C2F2A" w:rsidRPr="00CC4458" w:rsidRDefault="009C2F2A" w:rsidP="009C2F2A">
      <w:pPr>
        <w:pStyle w:val="ParaTab1"/>
        <w:spacing w:line="360" w:lineRule="auto"/>
        <w:rPr>
          <w:rFonts w:ascii="Times New Roman" w:hAnsi="Times New Roman" w:cs="Times New Roman"/>
        </w:rPr>
      </w:pPr>
    </w:p>
    <w:p w:rsidR="00DC72E7" w:rsidRDefault="009C2F2A" w:rsidP="00CB2F35">
      <w:pPr>
        <w:pStyle w:val="ParaTab1"/>
        <w:spacing w:line="360" w:lineRule="auto"/>
        <w:rPr>
          <w:rFonts w:ascii="Times New Roman" w:hAnsi="Times New Roman" w:cs="Times New Roman"/>
        </w:rPr>
      </w:pPr>
      <w:r w:rsidRPr="00CC4458">
        <w:rPr>
          <w:rFonts w:ascii="Times New Roman" w:hAnsi="Times New Roman" w:cs="Times New Roman"/>
        </w:rPr>
        <w:t>The Commission does not have jurisdiction to regulate the rates charg</w:t>
      </w:r>
      <w:r w:rsidR="00ED20C4">
        <w:rPr>
          <w:rFonts w:ascii="Times New Roman" w:hAnsi="Times New Roman" w:cs="Times New Roman"/>
        </w:rPr>
        <w:t>ed by an EGS, such as Direct Energy</w:t>
      </w:r>
      <w:r w:rsidRPr="00CC4458">
        <w:rPr>
          <w:rFonts w:ascii="Times New Roman" w:hAnsi="Times New Roman" w:cs="Times New Roman"/>
        </w:rPr>
        <w:t xml:space="preserve">, or order a refund of unreasonable rates.  Rather, these rates are governed by private contract between the EGS and the customer.  The Commission lacks the jurisdiction to rule on the parties’ responsibilities under a private agreement or the authority to award damages under that agreement.  </w:t>
      </w:r>
      <w:proofErr w:type="gramStart"/>
      <w:r w:rsidRPr="00CC4458">
        <w:rPr>
          <w:rFonts w:ascii="Times New Roman" w:hAnsi="Times New Roman" w:cs="Times New Roman"/>
          <w:u w:val="single"/>
        </w:rPr>
        <w:t>Feingold v. Bell Tel. Co. of Pa.</w:t>
      </w:r>
      <w:r w:rsidRPr="00CC4458">
        <w:rPr>
          <w:rFonts w:ascii="Times New Roman" w:hAnsi="Times New Roman" w:cs="Times New Roman"/>
        </w:rPr>
        <w:t>, 383 A.2d 791 (Pa. 1977).</w:t>
      </w:r>
      <w:proofErr w:type="gramEnd"/>
      <w:r w:rsidRPr="00CC4458">
        <w:rPr>
          <w:rFonts w:ascii="Times New Roman" w:hAnsi="Times New Roman" w:cs="Times New Roman"/>
        </w:rPr>
        <w:t xml:space="preserve">  </w:t>
      </w:r>
    </w:p>
    <w:p w:rsidR="00CB2F35" w:rsidRDefault="00CB2F35" w:rsidP="00CB2F35">
      <w:pPr>
        <w:pStyle w:val="ParaTab1"/>
        <w:spacing w:line="360" w:lineRule="auto"/>
        <w:rPr>
          <w:rFonts w:ascii="Times New Roman" w:hAnsi="Times New Roman" w:cs="Times New Roman"/>
          <w:u w:val="single"/>
        </w:rPr>
      </w:pPr>
    </w:p>
    <w:p w:rsidR="009C2F2A" w:rsidRDefault="009C2F2A" w:rsidP="009C2F2A">
      <w:pPr>
        <w:pStyle w:val="ParaTab1"/>
        <w:spacing w:line="360" w:lineRule="auto"/>
        <w:ind w:firstLine="0"/>
        <w:rPr>
          <w:rFonts w:ascii="Times New Roman" w:hAnsi="Times New Roman" w:cs="Times New Roman"/>
          <w:u w:val="single"/>
        </w:rPr>
      </w:pPr>
      <w:r w:rsidRPr="003A52EE">
        <w:rPr>
          <w:rFonts w:ascii="Times New Roman" w:hAnsi="Times New Roman" w:cs="Times New Roman"/>
          <w:u w:val="single"/>
        </w:rPr>
        <w:t>Analysis</w:t>
      </w:r>
    </w:p>
    <w:p w:rsidR="009C2F2A" w:rsidRPr="003A52EE" w:rsidRDefault="009C2F2A" w:rsidP="009C2F2A">
      <w:pPr>
        <w:pStyle w:val="ParaTab1"/>
        <w:spacing w:line="360" w:lineRule="auto"/>
        <w:ind w:firstLine="0"/>
        <w:rPr>
          <w:rFonts w:ascii="Times New Roman" w:hAnsi="Times New Roman" w:cs="Times New Roman"/>
          <w:u w:val="single"/>
        </w:rPr>
      </w:pPr>
    </w:p>
    <w:p w:rsidR="009C2F2A" w:rsidRDefault="009C2F2A" w:rsidP="009C2F2A">
      <w:pPr>
        <w:pStyle w:val="ParaTab1"/>
        <w:spacing w:line="360" w:lineRule="auto"/>
        <w:rPr>
          <w:rFonts w:ascii="Times New Roman" w:hAnsi="Times New Roman" w:cs="Times New Roman"/>
        </w:rPr>
      </w:pPr>
      <w:r>
        <w:rPr>
          <w:rFonts w:ascii="Times New Roman" w:hAnsi="Times New Roman" w:cs="Times New Roman"/>
        </w:rPr>
        <w:t xml:space="preserve">In the instant matter, Complainant </w:t>
      </w:r>
      <w:r w:rsidR="00BD2092">
        <w:t xml:space="preserve">alleged Direct Energy overcharged him when it changed the electric supply rate without giving him notice, and PECO should refund these overcharges to him because PECO did not notify him when Direct Energy proposed increasing the electric supply rate.  Complainant settled his dispute with Direct Energy prior to the hearing, but was unable to reach a resolution with PECO.  </w:t>
      </w:r>
    </w:p>
    <w:p w:rsidR="009C2F2A" w:rsidRDefault="009C2F2A" w:rsidP="009C2F2A">
      <w:pPr>
        <w:pStyle w:val="ParaTab1"/>
        <w:spacing w:line="360" w:lineRule="auto"/>
        <w:rPr>
          <w:rFonts w:ascii="Times New Roman" w:hAnsi="Times New Roman" w:cs="Times New Roman"/>
        </w:rPr>
      </w:pPr>
    </w:p>
    <w:p w:rsidR="009C2F2A" w:rsidRDefault="009C2F2A" w:rsidP="009C2F2A">
      <w:pPr>
        <w:pStyle w:val="ParaTab1"/>
        <w:spacing w:line="360" w:lineRule="auto"/>
        <w:rPr>
          <w:rFonts w:ascii="Times New Roman" w:hAnsi="Times New Roman" w:cs="Times New Roman"/>
        </w:rPr>
      </w:pPr>
      <w:r>
        <w:rPr>
          <w:rFonts w:ascii="Times New Roman" w:hAnsi="Times New Roman" w:cs="Times New Roman"/>
        </w:rPr>
        <w:t xml:space="preserve">Turning first to the allegation that </w:t>
      </w:r>
      <w:r w:rsidR="000875C7">
        <w:rPr>
          <w:rFonts w:ascii="Times New Roman" w:hAnsi="Times New Roman" w:cs="Times New Roman"/>
        </w:rPr>
        <w:t xml:space="preserve">PECO failed to notify Mr. </w:t>
      </w:r>
      <w:proofErr w:type="spellStart"/>
      <w:r w:rsidR="000875C7">
        <w:rPr>
          <w:rFonts w:ascii="Times New Roman" w:hAnsi="Times New Roman" w:cs="Times New Roman"/>
        </w:rPr>
        <w:t>Burness</w:t>
      </w:r>
      <w:proofErr w:type="spellEnd"/>
      <w:r w:rsidR="000875C7">
        <w:rPr>
          <w:rFonts w:ascii="Times New Roman" w:hAnsi="Times New Roman" w:cs="Times New Roman"/>
        </w:rPr>
        <w:t xml:space="preserve"> that Direct Energy was proposing to raise its supply rate, </w:t>
      </w:r>
      <w:r>
        <w:rPr>
          <w:rFonts w:ascii="Times New Roman" w:hAnsi="Times New Roman" w:cs="Times New Roman"/>
        </w:rPr>
        <w:t xml:space="preserve">Complainant offered no evidence in support of </w:t>
      </w:r>
      <w:r w:rsidR="000875C7">
        <w:rPr>
          <w:rFonts w:ascii="Times New Roman" w:hAnsi="Times New Roman" w:cs="Times New Roman"/>
        </w:rPr>
        <w:t>his</w:t>
      </w:r>
      <w:r>
        <w:rPr>
          <w:rFonts w:ascii="Times New Roman" w:hAnsi="Times New Roman" w:cs="Times New Roman"/>
        </w:rPr>
        <w:t xml:space="preserve"> assertion </w:t>
      </w:r>
      <w:r w:rsidR="000E5FC6">
        <w:rPr>
          <w:rFonts w:ascii="Times New Roman" w:hAnsi="Times New Roman" w:cs="Times New Roman"/>
        </w:rPr>
        <w:t>that PECO is required to notify him as a customer that the supplier would raise its rates.  T</w:t>
      </w:r>
      <w:r w:rsidR="000875C7">
        <w:rPr>
          <w:rFonts w:ascii="Times New Roman" w:hAnsi="Times New Roman" w:cs="Times New Roman"/>
        </w:rPr>
        <w:t>here is no evidence an electric distribution company must notify customers of the electric supply company when an increase to the supply rate is pending</w:t>
      </w:r>
      <w:r>
        <w:rPr>
          <w:rFonts w:ascii="Times New Roman" w:hAnsi="Times New Roman" w:cs="Times New Roman"/>
        </w:rPr>
        <w:t xml:space="preserve">.   </w:t>
      </w:r>
    </w:p>
    <w:p w:rsidR="009C2F2A" w:rsidRDefault="009C2F2A" w:rsidP="009C2F2A">
      <w:pPr>
        <w:pStyle w:val="ParaTab1"/>
        <w:spacing w:line="360" w:lineRule="auto"/>
        <w:rPr>
          <w:rFonts w:ascii="Times New Roman" w:hAnsi="Times New Roman" w:cs="Times New Roman"/>
        </w:rPr>
      </w:pPr>
    </w:p>
    <w:p w:rsidR="009C2F2A" w:rsidRDefault="000875C7" w:rsidP="009C2F2A">
      <w:pPr>
        <w:pStyle w:val="ParaTab1"/>
        <w:spacing w:line="360" w:lineRule="auto"/>
        <w:rPr>
          <w:rFonts w:ascii="Times New Roman" w:hAnsi="Times New Roman" w:cs="Times New Roman"/>
        </w:rPr>
      </w:pPr>
      <w:r>
        <w:rPr>
          <w:rFonts w:ascii="Times New Roman" w:hAnsi="Times New Roman" w:cs="Times New Roman"/>
        </w:rPr>
        <w:t>It should be noted t</w:t>
      </w:r>
      <w:r w:rsidR="009C2F2A" w:rsidRPr="003A2FF7">
        <w:rPr>
          <w:rFonts w:ascii="Times New Roman" w:hAnsi="Times New Roman" w:cs="Times New Roman"/>
        </w:rPr>
        <w:t xml:space="preserve">he Commission may not regulate the rates that </w:t>
      </w:r>
      <w:r w:rsidR="00006CB3">
        <w:rPr>
          <w:rFonts w:ascii="Times New Roman" w:hAnsi="Times New Roman" w:cs="Times New Roman"/>
        </w:rPr>
        <w:t>Direct Energy</w:t>
      </w:r>
      <w:r w:rsidR="009C2F2A" w:rsidRPr="003A2FF7">
        <w:rPr>
          <w:rFonts w:ascii="Times New Roman" w:hAnsi="Times New Roman" w:cs="Times New Roman"/>
        </w:rPr>
        <w:t xml:space="preserve"> charged Complainant for electric generation supply service and may not order </w:t>
      </w:r>
      <w:r w:rsidR="00006CB3">
        <w:rPr>
          <w:rFonts w:ascii="Times New Roman" w:hAnsi="Times New Roman" w:cs="Times New Roman"/>
        </w:rPr>
        <w:t>Direct Energy</w:t>
      </w:r>
      <w:r w:rsidR="009C2F2A" w:rsidRPr="003A2FF7">
        <w:rPr>
          <w:rFonts w:ascii="Times New Roman" w:hAnsi="Times New Roman" w:cs="Times New Roman"/>
        </w:rPr>
        <w:t xml:space="preserve"> to refund any amount to</w:t>
      </w:r>
      <w:r w:rsidR="009C2F2A">
        <w:rPr>
          <w:rFonts w:ascii="Times New Roman" w:hAnsi="Times New Roman" w:cs="Times New Roman"/>
        </w:rPr>
        <w:t xml:space="preserve"> </w:t>
      </w:r>
      <w:r w:rsidR="009C2F2A" w:rsidRPr="003A2FF7">
        <w:rPr>
          <w:rFonts w:ascii="Times New Roman" w:hAnsi="Times New Roman" w:cs="Times New Roman"/>
        </w:rPr>
        <w:t xml:space="preserve">Complainant since, as explained </w:t>
      </w:r>
      <w:proofErr w:type="gramStart"/>
      <w:r w:rsidR="009C2F2A" w:rsidRPr="003A2FF7">
        <w:rPr>
          <w:rFonts w:ascii="Times New Roman" w:hAnsi="Times New Roman" w:cs="Times New Roman"/>
        </w:rPr>
        <w:t>above,</w:t>
      </w:r>
      <w:proofErr w:type="gramEnd"/>
      <w:r w:rsidR="009C2F2A" w:rsidRPr="003A2FF7">
        <w:rPr>
          <w:rFonts w:ascii="Times New Roman" w:hAnsi="Times New Roman" w:cs="Times New Roman"/>
        </w:rPr>
        <w:t xml:space="preserve"> </w:t>
      </w:r>
      <w:r w:rsidR="00006CB3">
        <w:rPr>
          <w:rFonts w:ascii="Times New Roman" w:hAnsi="Times New Roman" w:cs="Times New Roman"/>
        </w:rPr>
        <w:t>Direct Energy</w:t>
      </w:r>
      <w:r w:rsidR="009C2F2A" w:rsidRPr="003A2FF7">
        <w:rPr>
          <w:rFonts w:ascii="Times New Roman" w:hAnsi="Times New Roman" w:cs="Times New Roman"/>
        </w:rPr>
        <w:t xml:space="preserve"> is not a public utility except for the limited purposes of 66 </w:t>
      </w:r>
      <w:proofErr w:type="spellStart"/>
      <w:r w:rsidR="009C2F2A" w:rsidRPr="003A2FF7">
        <w:rPr>
          <w:rFonts w:ascii="Times New Roman" w:hAnsi="Times New Roman" w:cs="Times New Roman"/>
        </w:rPr>
        <w:t>Pa.C.S.</w:t>
      </w:r>
      <w:r>
        <w:rPr>
          <w:rFonts w:ascii="Times New Roman" w:hAnsi="Times New Roman" w:cs="Times New Roman"/>
        </w:rPr>
        <w:t>A</w:t>
      </w:r>
      <w:proofErr w:type="spellEnd"/>
      <w:r>
        <w:rPr>
          <w:rFonts w:ascii="Times New Roman" w:hAnsi="Times New Roman" w:cs="Times New Roman"/>
        </w:rPr>
        <w:t>.</w:t>
      </w:r>
      <w:r w:rsidR="009C2F2A" w:rsidRPr="003A2FF7">
        <w:rPr>
          <w:rFonts w:ascii="Times New Roman" w:hAnsi="Times New Roman" w:cs="Times New Roman"/>
        </w:rPr>
        <w:t xml:space="preserve"> </w:t>
      </w:r>
      <w:proofErr w:type="gramStart"/>
      <w:r w:rsidR="009C2F2A" w:rsidRPr="003A2FF7">
        <w:rPr>
          <w:rFonts w:ascii="Times New Roman" w:hAnsi="Times New Roman" w:cs="Times New Roman"/>
        </w:rPr>
        <w:t>§§ 2809 and 2810.</w:t>
      </w:r>
      <w:proofErr w:type="gramEnd"/>
      <w:r w:rsidR="009C2F2A" w:rsidRPr="003A2FF7">
        <w:rPr>
          <w:rFonts w:ascii="Times New Roman" w:hAnsi="Times New Roman" w:cs="Times New Roman"/>
        </w:rPr>
        <w:t xml:space="preserve">  </w:t>
      </w:r>
    </w:p>
    <w:p w:rsidR="000875C7" w:rsidRDefault="000875C7" w:rsidP="009C2F2A">
      <w:pPr>
        <w:pStyle w:val="ParaTab1"/>
        <w:spacing w:line="360" w:lineRule="auto"/>
        <w:rPr>
          <w:rFonts w:ascii="Times New Roman" w:hAnsi="Times New Roman" w:cs="Times New Roman"/>
        </w:rPr>
      </w:pPr>
    </w:p>
    <w:p w:rsidR="000875C7" w:rsidRPr="00532756" w:rsidRDefault="000875C7" w:rsidP="009C2F2A">
      <w:pPr>
        <w:pStyle w:val="ParaTab1"/>
        <w:spacing w:line="360" w:lineRule="auto"/>
        <w:rPr>
          <w:rFonts w:ascii="Times New Roman" w:hAnsi="Times New Roman" w:cs="Times New Roman"/>
        </w:rPr>
      </w:pPr>
      <w:r>
        <w:rPr>
          <w:rFonts w:ascii="Times New Roman" w:hAnsi="Times New Roman" w:cs="Times New Roman"/>
        </w:rPr>
        <w:t xml:space="preserve">Secondly, Mr. </w:t>
      </w:r>
      <w:proofErr w:type="spellStart"/>
      <w:r>
        <w:rPr>
          <w:rFonts w:ascii="Times New Roman" w:hAnsi="Times New Roman" w:cs="Times New Roman"/>
        </w:rPr>
        <w:t>Burness</w:t>
      </w:r>
      <w:proofErr w:type="spellEnd"/>
      <w:r>
        <w:rPr>
          <w:rFonts w:ascii="Times New Roman" w:hAnsi="Times New Roman" w:cs="Times New Roman"/>
        </w:rPr>
        <w:t xml:space="preserve"> failed to show PECO was in error to have permitted his account to be transferred to Direct Energy without first notifying him.  PECO is correct that Complainant’s contractual relationship with Direct Energy is beyond PECO’s control</w:t>
      </w:r>
      <w:r w:rsidR="00791549">
        <w:rPr>
          <w:rFonts w:ascii="Times New Roman" w:hAnsi="Times New Roman" w:cs="Times New Roman"/>
        </w:rPr>
        <w:t xml:space="preserve">. </w:t>
      </w:r>
      <w:r>
        <w:rPr>
          <w:rFonts w:ascii="Times New Roman" w:hAnsi="Times New Roman" w:cs="Times New Roman"/>
        </w:rPr>
        <w:t xml:space="preserve"> </w:t>
      </w:r>
      <w:r w:rsidR="00791549">
        <w:rPr>
          <w:rFonts w:ascii="Times New Roman" w:hAnsi="Times New Roman" w:cs="Times New Roman"/>
        </w:rPr>
        <w:t xml:space="preserve">PECO </w:t>
      </w:r>
      <w:r w:rsidR="00791549">
        <w:rPr>
          <w:rFonts w:ascii="Times New Roman" w:hAnsi="Times New Roman" w:cs="Times New Roman"/>
        </w:rPr>
        <w:lastRenderedPageBreak/>
        <w:t xml:space="preserve">was not required to notify customers of Direct Energy when Direct Energy acquired </w:t>
      </w:r>
      <w:proofErr w:type="spellStart"/>
      <w:r w:rsidR="00791549">
        <w:rPr>
          <w:rFonts w:ascii="Times New Roman" w:hAnsi="Times New Roman" w:cs="Times New Roman"/>
        </w:rPr>
        <w:t>Energetix</w:t>
      </w:r>
      <w:proofErr w:type="spellEnd"/>
      <w:r w:rsidR="00791549">
        <w:rPr>
          <w:rFonts w:ascii="Times New Roman" w:hAnsi="Times New Roman" w:cs="Times New Roman"/>
        </w:rPr>
        <w:t xml:space="preserve"> in November 2012.  The responsibility to notify customers, such as Mr. </w:t>
      </w:r>
      <w:proofErr w:type="spellStart"/>
      <w:r w:rsidR="00791549">
        <w:rPr>
          <w:rFonts w:ascii="Times New Roman" w:hAnsi="Times New Roman" w:cs="Times New Roman"/>
        </w:rPr>
        <w:t>Burness</w:t>
      </w:r>
      <w:proofErr w:type="spellEnd"/>
      <w:r w:rsidR="00791549">
        <w:rPr>
          <w:rFonts w:ascii="Times New Roman" w:hAnsi="Times New Roman" w:cs="Times New Roman"/>
        </w:rPr>
        <w:t xml:space="preserve">, falls upon the electric supply company at that point – and </w:t>
      </w:r>
      <w:r w:rsidR="00006CB3">
        <w:rPr>
          <w:rFonts w:ascii="Times New Roman" w:hAnsi="Times New Roman" w:cs="Times New Roman"/>
        </w:rPr>
        <w:t>PECO</w:t>
      </w:r>
      <w:r w:rsidR="00791549">
        <w:rPr>
          <w:rFonts w:ascii="Times New Roman" w:hAnsi="Times New Roman" w:cs="Times New Roman"/>
        </w:rPr>
        <w:t xml:space="preserve"> points out BCS’ investigation revealed the electric supply company, Direct Energy, issued the necessary “rebranding” letter, as well as sen</w:t>
      </w:r>
      <w:r w:rsidR="000E5FC6">
        <w:rPr>
          <w:rFonts w:ascii="Times New Roman" w:hAnsi="Times New Roman" w:cs="Times New Roman"/>
        </w:rPr>
        <w:t>t</w:t>
      </w:r>
      <w:r w:rsidR="00791549">
        <w:rPr>
          <w:rFonts w:ascii="Times New Roman" w:hAnsi="Times New Roman" w:cs="Times New Roman"/>
        </w:rPr>
        <w:t xml:space="preserve"> two contract renewal letters.  Complainant knew as of November 6, 2012 that Direct Energy would be his new electric service supplier.  </w:t>
      </w:r>
    </w:p>
    <w:p w:rsidR="009C2F2A" w:rsidRPr="00CC4458" w:rsidRDefault="00DC72E7" w:rsidP="009C2F2A">
      <w:pPr>
        <w:spacing w:line="360" w:lineRule="auto"/>
        <w:ind w:firstLine="720"/>
        <w:rPr>
          <w:b/>
        </w:rPr>
      </w:pPr>
      <w:r>
        <w:t xml:space="preserve">  </w:t>
      </w:r>
    </w:p>
    <w:p w:rsidR="009C2F2A" w:rsidRPr="00791549" w:rsidRDefault="009C2F2A" w:rsidP="00791549">
      <w:pPr>
        <w:pStyle w:val="ParaTab1"/>
        <w:spacing w:line="360" w:lineRule="auto"/>
        <w:rPr>
          <w:rFonts w:ascii="Times New Roman" w:hAnsi="Times New Roman" w:cs="Times New Roman"/>
        </w:rPr>
      </w:pPr>
      <w:r w:rsidRPr="00CC4458">
        <w:rPr>
          <w:rFonts w:ascii="Times New Roman" w:hAnsi="Times New Roman" w:cs="Times New Roman"/>
        </w:rPr>
        <w:t xml:space="preserve">Based on the evidence presented, Complainant failed to demonstrate by a preponderance of the evidence that </w:t>
      </w:r>
      <w:r w:rsidR="00CB3C2B">
        <w:rPr>
          <w:rFonts w:ascii="Times New Roman" w:hAnsi="Times New Roman" w:cs="Times New Roman"/>
        </w:rPr>
        <w:t>PECO</w:t>
      </w:r>
      <w:r w:rsidR="00791549">
        <w:rPr>
          <w:rFonts w:ascii="Times New Roman" w:hAnsi="Times New Roman" w:cs="Times New Roman"/>
        </w:rPr>
        <w:t xml:space="preserve"> failed to provide reasonable and adequate customer service when it did not notify Complainant about Direct Energy’s proposed rate increase.  Accordingly, </w:t>
      </w:r>
      <w:r w:rsidRPr="00CC4458">
        <w:t xml:space="preserve">Complainant did not meet </w:t>
      </w:r>
      <w:r w:rsidR="00791549">
        <w:t>the</w:t>
      </w:r>
      <w:r w:rsidRPr="00CC4458">
        <w:t xml:space="preserve"> burden of proof to show </w:t>
      </w:r>
      <w:r w:rsidR="00CB3C2B">
        <w:t>PECO</w:t>
      </w:r>
      <w:r w:rsidRPr="00CC4458">
        <w:t xml:space="preserve"> </w:t>
      </w:r>
      <w:r w:rsidRPr="00CC4458">
        <w:rPr>
          <w:spacing w:val="-3"/>
        </w:rPr>
        <w:t>is responsible or accountable fo</w:t>
      </w:r>
      <w:r w:rsidR="0098677F">
        <w:rPr>
          <w:spacing w:val="-3"/>
        </w:rPr>
        <w:t>r the problem described in the c</w:t>
      </w:r>
      <w:r w:rsidRPr="00CC4458">
        <w:rPr>
          <w:spacing w:val="-3"/>
        </w:rPr>
        <w:t xml:space="preserve">omplaint.  </w:t>
      </w:r>
      <w:proofErr w:type="gramStart"/>
      <w:r w:rsidRPr="00CC4458">
        <w:rPr>
          <w:spacing w:val="-3"/>
          <w:u w:val="single"/>
        </w:rPr>
        <w:t>Patterson v. Bell Telephone Company of Pennsylvania</w:t>
      </w:r>
      <w:r w:rsidRPr="00CC4458">
        <w:rPr>
          <w:spacing w:val="-3"/>
        </w:rPr>
        <w:t xml:space="preserve">, 72 Pa. PUC 196 (1990), </w:t>
      </w:r>
      <w:r w:rsidRPr="00CC4458">
        <w:rPr>
          <w:spacing w:val="-3"/>
          <w:u w:val="single"/>
        </w:rPr>
        <w:t>Feinstein v. Philadelphia Suburban Water Company</w:t>
      </w:r>
      <w:r w:rsidRPr="00CC4458">
        <w:rPr>
          <w:spacing w:val="-3"/>
        </w:rPr>
        <w:t>, 50 Pa. PUC 300 (1976).</w:t>
      </w:r>
      <w:proofErr w:type="gramEnd"/>
      <w:r w:rsidRPr="00CC4458">
        <w:rPr>
          <w:spacing w:val="-3"/>
        </w:rPr>
        <w:t xml:space="preserve">  </w:t>
      </w:r>
    </w:p>
    <w:p w:rsidR="008C62D6" w:rsidRDefault="008C62D6" w:rsidP="008C62D6"/>
    <w:p w:rsidR="009C2F2A" w:rsidRPr="003A52EE" w:rsidRDefault="009C2F2A" w:rsidP="009C2F2A">
      <w:pPr>
        <w:spacing w:line="360" w:lineRule="auto"/>
        <w:jc w:val="center"/>
        <w:rPr>
          <w:u w:val="single"/>
        </w:rPr>
      </w:pPr>
      <w:r w:rsidRPr="003A52EE">
        <w:rPr>
          <w:u w:val="single"/>
        </w:rPr>
        <w:t>CONCLUSIONS OF LAW</w:t>
      </w:r>
    </w:p>
    <w:p w:rsidR="009C2F2A" w:rsidRPr="00EE0848" w:rsidRDefault="009C2F2A" w:rsidP="009C2F2A">
      <w:pPr>
        <w:spacing w:line="360" w:lineRule="auto"/>
        <w:jc w:val="center"/>
        <w:rPr>
          <w:b/>
          <w:u w:val="single"/>
        </w:rPr>
      </w:pPr>
    </w:p>
    <w:p w:rsidR="009C2F2A" w:rsidRPr="00DF2CC3" w:rsidRDefault="009C2F2A" w:rsidP="009C2F2A">
      <w:pPr>
        <w:pStyle w:val="ListParagraph"/>
        <w:numPr>
          <w:ilvl w:val="0"/>
          <w:numId w:val="5"/>
        </w:numPr>
        <w:ind w:left="0" w:firstLine="1440"/>
        <w:rPr>
          <w:sz w:val="24"/>
          <w:szCs w:val="24"/>
        </w:rPr>
      </w:pPr>
      <w:r w:rsidRPr="00DF2CC3">
        <w:rPr>
          <w:sz w:val="24"/>
          <w:szCs w:val="24"/>
        </w:rPr>
        <w:t>The Commission has jurisdiction over the parties and subject matter of this Formal Complaint.</w:t>
      </w:r>
      <w:r w:rsidRPr="00DF2CC3">
        <w:rPr>
          <w:b/>
          <w:sz w:val="24"/>
          <w:szCs w:val="24"/>
        </w:rPr>
        <w:t xml:space="preserve">  </w:t>
      </w:r>
      <w:proofErr w:type="gramStart"/>
      <w:r w:rsidRPr="00DF2CC3">
        <w:rPr>
          <w:sz w:val="24"/>
          <w:szCs w:val="24"/>
        </w:rPr>
        <w:t>66 </w:t>
      </w:r>
      <w:proofErr w:type="spellStart"/>
      <w:r w:rsidRPr="00DF2CC3">
        <w:rPr>
          <w:sz w:val="24"/>
          <w:szCs w:val="24"/>
        </w:rPr>
        <w:t>Pa.C.S.</w:t>
      </w:r>
      <w:r w:rsidR="00DC72E7" w:rsidRPr="00DF2CC3">
        <w:rPr>
          <w:sz w:val="24"/>
          <w:szCs w:val="24"/>
        </w:rPr>
        <w:t>A</w:t>
      </w:r>
      <w:proofErr w:type="spellEnd"/>
      <w:r w:rsidR="00DC72E7" w:rsidRPr="00DF2CC3">
        <w:rPr>
          <w:sz w:val="24"/>
          <w:szCs w:val="24"/>
        </w:rPr>
        <w:t>.</w:t>
      </w:r>
      <w:proofErr w:type="gramEnd"/>
      <w:r w:rsidRPr="00DF2CC3">
        <w:rPr>
          <w:sz w:val="24"/>
          <w:szCs w:val="24"/>
        </w:rPr>
        <w:t xml:space="preserve"> § 701; 66 </w:t>
      </w:r>
      <w:proofErr w:type="spellStart"/>
      <w:r w:rsidRPr="00DF2CC3">
        <w:rPr>
          <w:sz w:val="24"/>
          <w:szCs w:val="24"/>
        </w:rPr>
        <w:t>Pa.C.S.</w:t>
      </w:r>
      <w:r w:rsidR="00DC72E7" w:rsidRPr="00DF2CC3">
        <w:rPr>
          <w:sz w:val="24"/>
          <w:szCs w:val="24"/>
        </w:rPr>
        <w:t>A</w:t>
      </w:r>
      <w:proofErr w:type="spellEnd"/>
      <w:r w:rsidR="00DC72E7" w:rsidRPr="00DF2CC3">
        <w:rPr>
          <w:sz w:val="24"/>
          <w:szCs w:val="24"/>
        </w:rPr>
        <w:t>.</w:t>
      </w:r>
      <w:r w:rsidRPr="00DF2CC3">
        <w:rPr>
          <w:sz w:val="24"/>
          <w:szCs w:val="24"/>
        </w:rPr>
        <w:t xml:space="preserve"> § 2807(d</w:t>
      </w:r>
      <w:proofErr w:type="gramStart"/>
      <w:r w:rsidRPr="00DF2CC3">
        <w:rPr>
          <w:sz w:val="24"/>
          <w:szCs w:val="24"/>
        </w:rPr>
        <w:t>)(</w:t>
      </w:r>
      <w:proofErr w:type="gramEnd"/>
      <w:r w:rsidRPr="00DF2CC3">
        <w:rPr>
          <w:sz w:val="24"/>
          <w:szCs w:val="24"/>
        </w:rPr>
        <w:t>2).</w:t>
      </w:r>
    </w:p>
    <w:p w:rsidR="009C2F2A" w:rsidRPr="00DF2CC3" w:rsidRDefault="009C2F2A" w:rsidP="009C2F2A">
      <w:pPr>
        <w:pStyle w:val="ListParagraph"/>
        <w:ind w:left="1440"/>
        <w:rPr>
          <w:b/>
          <w:sz w:val="24"/>
          <w:szCs w:val="24"/>
        </w:rPr>
      </w:pPr>
      <w:r w:rsidRPr="00DF2CC3">
        <w:rPr>
          <w:b/>
          <w:sz w:val="24"/>
          <w:szCs w:val="24"/>
        </w:rPr>
        <w:t xml:space="preserve"> </w:t>
      </w:r>
    </w:p>
    <w:p w:rsidR="009C2F2A" w:rsidRPr="00DF2CC3" w:rsidRDefault="00DF2CC3" w:rsidP="009C2F2A">
      <w:pPr>
        <w:pStyle w:val="ListParagraph"/>
        <w:numPr>
          <w:ilvl w:val="0"/>
          <w:numId w:val="5"/>
        </w:numPr>
        <w:tabs>
          <w:tab w:val="left" w:pos="-1440"/>
          <w:tab w:val="left" w:pos="-720"/>
          <w:tab w:val="left" w:pos="1350"/>
        </w:tabs>
        <w:suppressAutoHyphens/>
        <w:ind w:left="0" w:firstLine="1440"/>
        <w:rPr>
          <w:sz w:val="24"/>
          <w:szCs w:val="24"/>
        </w:rPr>
      </w:pPr>
      <w:r w:rsidRPr="00DF2CC3">
        <w:rPr>
          <w:sz w:val="24"/>
          <w:szCs w:val="24"/>
        </w:rPr>
        <w:t xml:space="preserve">The burden of proof in this proceeding is on Complainant.  66 </w:t>
      </w:r>
      <w:proofErr w:type="spellStart"/>
      <w:r w:rsidRPr="00DF2CC3">
        <w:rPr>
          <w:sz w:val="24"/>
          <w:szCs w:val="24"/>
        </w:rPr>
        <w:t>Pa.C.S.A</w:t>
      </w:r>
      <w:proofErr w:type="spellEnd"/>
      <w:r w:rsidRPr="00DF2CC3">
        <w:rPr>
          <w:sz w:val="24"/>
          <w:szCs w:val="24"/>
        </w:rPr>
        <w:t xml:space="preserve"> § 332(a).</w:t>
      </w:r>
    </w:p>
    <w:p w:rsidR="00CB3C2B" w:rsidRPr="00DF2CC3" w:rsidRDefault="00CB3C2B" w:rsidP="00CB3C2B">
      <w:pPr>
        <w:tabs>
          <w:tab w:val="left" w:pos="-1440"/>
          <w:tab w:val="left" w:pos="-720"/>
          <w:tab w:val="left" w:pos="1350"/>
        </w:tabs>
        <w:suppressAutoHyphens/>
      </w:pPr>
    </w:p>
    <w:p w:rsidR="009C2F2A" w:rsidRPr="00DF2CC3" w:rsidRDefault="009C2F2A" w:rsidP="009C2F2A">
      <w:pPr>
        <w:spacing w:line="360" w:lineRule="auto"/>
        <w:ind w:firstLine="720"/>
      </w:pPr>
      <w:r w:rsidRPr="00DF2CC3">
        <w:tab/>
        <w:t>3.</w:t>
      </w:r>
      <w:r w:rsidRPr="00DF2CC3">
        <w:tab/>
      </w:r>
      <w:r w:rsidR="00DF2CC3" w:rsidRPr="00DF2CC3">
        <w:t>Complainant did not meet h</w:t>
      </w:r>
      <w:r w:rsidR="0009055C">
        <w:t>is</w:t>
      </w:r>
      <w:r w:rsidR="00DF2CC3" w:rsidRPr="00DF2CC3">
        <w:t xml:space="preserve"> burden of proof to show PECO </w:t>
      </w:r>
      <w:r w:rsidR="00DF2CC3" w:rsidRPr="00DF2CC3">
        <w:rPr>
          <w:spacing w:val="-3"/>
        </w:rPr>
        <w:t xml:space="preserve">is responsible or accountable for the problem described in the complaint.  </w:t>
      </w:r>
      <w:proofErr w:type="gramStart"/>
      <w:r w:rsidR="00DF2CC3" w:rsidRPr="00DF2CC3">
        <w:rPr>
          <w:spacing w:val="-3"/>
        </w:rPr>
        <w:t xml:space="preserve">66 </w:t>
      </w:r>
      <w:proofErr w:type="spellStart"/>
      <w:r w:rsidR="00DF2CC3" w:rsidRPr="00DF2CC3">
        <w:rPr>
          <w:spacing w:val="-3"/>
        </w:rPr>
        <w:t>Pa.C.S.A</w:t>
      </w:r>
      <w:proofErr w:type="spellEnd"/>
      <w:r w:rsidR="00DF2CC3" w:rsidRPr="00DF2CC3">
        <w:rPr>
          <w:spacing w:val="-3"/>
        </w:rPr>
        <w:t>.</w:t>
      </w:r>
      <w:proofErr w:type="gramEnd"/>
      <w:r w:rsidR="00DF2CC3" w:rsidRPr="00DF2CC3">
        <w:rPr>
          <w:spacing w:val="-3"/>
        </w:rPr>
        <w:t xml:space="preserve"> §</w:t>
      </w:r>
      <w:r w:rsidR="0009055C">
        <w:rPr>
          <w:spacing w:val="-3"/>
        </w:rPr>
        <w:t xml:space="preserve"> </w:t>
      </w:r>
      <w:r w:rsidR="00DF2CC3" w:rsidRPr="00DF2CC3">
        <w:rPr>
          <w:spacing w:val="-3"/>
        </w:rPr>
        <w:t xml:space="preserve">332(a); </w:t>
      </w:r>
      <w:r w:rsidR="00DF2CC3" w:rsidRPr="00DF2CC3">
        <w:rPr>
          <w:spacing w:val="-3"/>
          <w:u w:val="single"/>
        </w:rPr>
        <w:t>Patterson v. Bell Telephone Company of Pennsylvania</w:t>
      </w:r>
      <w:r w:rsidR="00DF2CC3" w:rsidRPr="00DF2CC3">
        <w:rPr>
          <w:spacing w:val="-3"/>
        </w:rPr>
        <w:t xml:space="preserve">, 72 Pa. PUC 196 (1990); </w:t>
      </w:r>
      <w:r w:rsidR="00DF2CC3" w:rsidRPr="00DF2CC3">
        <w:rPr>
          <w:spacing w:val="-3"/>
          <w:u w:val="single"/>
        </w:rPr>
        <w:t>Feinstein v. Philadelphia Suburban Water Company</w:t>
      </w:r>
      <w:r w:rsidR="00DF2CC3" w:rsidRPr="00DF2CC3">
        <w:rPr>
          <w:spacing w:val="-3"/>
        </w:rPr>
        <w:t xml:space="preserve">, 50 Pa. PUC 300 (1976). </w:t>
      </w:r>
    </w:p>
    <w:p w:rsidR="009C2F2A" w:rsidRDefault="009C2F2A" w:rsidP="009C2F2A">
      <w:pPr>
        <w:spacing w:line="360" w:lineRule="auto"/>
      </w:pPr>
    </w:p>
    <w:p w:rsidR="003316B3" w:rsidRDefault="003316B3" w:rsidP="009C2F2A">
      <w:pPr>
        <w:spacing w:line="360" w:lineRule="auto"/>
      </w:pPr>
    </w:p>
    <w:p w:rsidR="0009055C" w:rsidRDefault="0009055C" w:rsidP="009C2F2A">
      <w:pPr>
        <w:spacing w:line="360" w:lineRule="auto"/>
      </w:pPr>
    </w:p>
    <w:p w:rsidR="0009055C" w:rsidRDefault="0009055C" w:rsidP="009C2F2A">
      <w:pPr>
        <w:spacing w:line="360" w:lineRule="auto"/>
      </w:pPr>
    </w:p>
    <w:p w:rsidR="003316B3" w:rsidRPr="00DF2CC3" w:rsidRDefault="003316B3" w:rsidP="009C2F2A">
      <w:pPr>
        <w:spacing w:line="360" w:lineRule="auto"/>
      </w:pPr>
    </w:p>
    <w:p w:rsidR="009C2F2A" w:rsidRPr="00A00D08" w:rsidRDefault="009C2F2A" w:rsidP="009C2F2A">
      <w:pPr>
        <w:pStyle w:val="BodyText"/>
        <w:spacing w:after="0" w:line="360" w:lineRule="auto"/>
        <w:jc w:val="center"/>
        <w:rPr>
          <w:sz w:val="24"/>
          <w:szCs w:val="24"/>
          <w:u w:val="single"/>
        </w:rPr>
      </w:pPr>
      <w:r w:rsidRPr="00A00D08">
        <w:rPr>
          <w:sz w:val="24"/>
          <w:szCs w:val="24"/>
          <w:u w:val="single"/>
        </w:rPr>
        <w:lastRenderedPageBreak/>
        <w:t>ORDER</w:t>
      </w:r>
    </w:p>
    <w:p w:rsidR="009C2F2A" w:rsidRPr="00A00D08" w:rsidRDefault="009C2F2A" w:rsidP="009C2F2A">
      <w:pPr>
        <w:pStyle w:val="BodyText"/>
        <w:spacing w:after="0" w:line="360" w:lineRule="auto"/>
        <w:rPr>
          <w:sz w:val="24"/>
          <w:szCs w:val="24"/>
        </w:rPr>
      </w:pPr>
    </w:p>
    <w:p w:rsidR="009C2F2A" w:rsidRPr="00A00D08" w:rsidRDefault="009C2F2A" w:rsidP="009C2F2A">
      <w:pPr>
        <w:pStyle w:val="BodyText"/>
        <w:spacing w:after="0" w:line="360" w:lineRule="auto"/>
        <w:rPr>
          <w:sz w:val="24"/>
          <w:szCs w:val="24"/>
        </w:rPr>
      </w:pPr>
    </w:p>
    <w:p w:rsidR="009C2F2A" w:rsidRPr="00A00D08" w:rsidRDefault="009C2F2A" w:rsidP="009C2F2A">
      <w:pPr>
        <w:pStyle w:val="BodyText"/>
        <w:spacing w:after="0" w:line="360" w:lineRule="auto"/>
        <w:rPr>
          <w:sz w:val="24"/>
          <w:szCs w:val="24"/>
        </w:rPr>
      </w:pPr>
      <w:r w:rsidRPr="00A00D08">
        <w:rPr>
          <w:sz w:val="24"/>
          <w:szCs w:val="24"/>
        </w:rPr>
        <w:tab/>
      </w:r>
      <w:r w:rsidRPr="00A00D08">
        <w:rPr>
          <w:sz w:val="24"/>
          <w:szCs w:val="24"/>
        </w:rPr>
        <w:tab/>
        <w:t>THEREFORE,</w:t>
      </w:r>
    </w:p>
    <w:p w:rsidR="009C2F2A" w:rsidRPr="00A00D08" w:rsidRDefault="009C2F2A" w:rsidP="009C2F2A">
      <w:pPr>
        <w:pStyle w:val="BodyText"/>
        <w:spacing w:after="0" w:line="360" w:lineRule="auto"/>
        <w:rPr>
          <w:sz w:val="24"/>
          <w:szCs w:val="24"/>
        </w:rPr>
      </w:pPr>
    </w:p>
    <w:p w:rsidR="009C2F2A" w:rsidRPr="00A00D08" w:rsidRDefault="009C2F2A" w:rsidP="009C2F2A">
      <w:pPr>
        <w:pStyle w:val="BodyText"/>
        <w:spacing w:after="0" w:line="360" w:lineRule="auto"/>
        <w:rPr>
          <w:sz w:val="24"/>
          <w:szCs w:val="24"/>
        </w:rPr>
      </w:pPr>
      <w:r w:rsidRPr="00A00D08">
        <w:rPr>
          <w:sz w:val="24"/>
          <w:szCs w:val="24"/>
        </w:rPr>
        <w:tab/>
      </w:r>
      <w:r w:rsidRPr="00A00D08">
        <w:rPr>
          <w:sz w:val="24"/>
          <w:szCs w:val="24"/>
        </w:rPr>
        <w:tab/>
        <w:t>IT IS ORDERED:</w:t>
      </w:r>
    </w:p>
    <w:p w:rsidR="009C2F2A" w:rsidRPr="00A00D08" w:rsidRDefault="009C2F2A" w:rsidP="009C2F2A">
      <w:pPr>
        <w:pStyle w:val="BodyText"/>
        <w:spacing w:after="0" w:line="360" w:lineRule="auto"/>
        <w:rPr>
          <w:sz w:val="24"/>
          <w:szCs w:val="24"/>
        </w:rPr>
      </w:pPr>
    </w:p>
    <w:p w:rsidR="009C2F2A" w:rsidRPr="00CC4458" w:rsidRDefault="009C2F2A" w:rsidP="009C2F2A">
      <w:pPr>
        <w:pStyle w:val="BodyText"/>
        <w:numPr>
          <w:ilvl w:val="0"/>
          <w:numId w:val="6"/>
        </w:numPr>
        <w:tabs>
          <w:tab w:val="clear" w:pos="360"/>
        </w:tabs>
        <w:spacing w:after="0" w:line="360" w:lineRule="auto"/>
        <w:ind w:left="0" w:firstLine="1440"/>
        <w:rPr>
          <w:sz w:val="24"/>
          <w:szCs w:val="24"/>
        </w:rPr>
      </w:pPr>
      <w:r w:rsidRPr="00CC4458">
        <w:rPr>
          <w:sz w:val="24"/>
          <w:szCs w:val="24"/>
        </w:rPr>
        <w:t xml:space="preserve">That the complaint of </w:t>
      </w:r>
      <w:r w:rsidR="00CB3C2B">
        <w:rPr>
          <w:sz w:val="24"/>
          <w:szCs w:val="24"/>
        </w:rPr>
        <w:t xml:space="preserve">Joseph </w:t>
      </w:r>
      <w:proofErr w:type="spellStart"/>
      <w:r w:rsidR="00CB3C2B">
        <w:rPr>
          <w:sz w:val="24"/>
          <w:szCs w:val="24"/>
        </w:rPr>
        <w:t>Burness</w:t>
      </w:r>
      <w:proofErr w:type="spellEnd"/>
      <w:r w:rsidRPr="00CC4458">
        <w:rPr>
          <w:sz w:val="24"/>
          <w:szCs w:val="24"/>
        </w:rPr>
        <w:t xml:space="preserve"> against</w:t>
      </w:r>
      <w:r>
        <w:rPr>
          <w:sz w:val="24"/>
          <w:szCs w:val="24"/>
        </w:rPr>
        <w:t xml:space="preserve"> </w:t>
      </w:r>
      <w:r w:rsidR="00CB3C2B">
        <w:rPr>
          <w:sz w:val="24"/>
          <w:szCs w:val="24"/>
        </w:rPr>
        <w:t>PECO Energy Company</w:t>
      </w:r>
      <w:r w:rsidRPr="00CC4458">
        <w:rPr>
          <w:sz w:val="24"/>
          <w:szCs w:val="24"/>
        </w:rPr>
        <w:t xml:space="preserve"> at Docket No. </w:t>
      </w:r>
      <w:r>
        <w:rPr>
          <w:sz w:val="24"/>
          <w:szCs w:val="24"/>
        </w:rPr>
        <w:t>F-2015-2</w:t>
      </w:r>
      <w:r w:rsidR="00CB3C2B">
        <w:rPr>
          <w:sz w:val="24"/>
          <w:szCs w:val="24"/>
        </w:rPr>
        <w:t>505678</w:t>
      </w:r>
      <w:r w:rsidRPr="00CC4458">
        <w:rPr>
          <w:sz w:val="24"/>
          <w:szCs w:val="24"/>
        </w:rPr>
        <w:t xml:space="preserve"> is d</w:t>
      </w:r>
      <w:r w:rsidR="00E271CC">
        <w:rPr>
          <w:sz w:val="24"/>
          <w:szCs w:val="24"/>
        </w:rPr>
        <w:t>ismissed</w:t>
      </w:r>
      <w:r w:rsidRPr="00CC4458">
        <w:rPr>
          <w:sz w:val="24"/>
          <w:szCs w:val="24"/>
        </w:rPr>
        <w:t>.</w:t>
      </w:r>
    </w:p>
    <w:p w:rsidR="009C2F2A" w:rsidRPr="00CC4458" w:rsidRDefault="009C2F2A" w:rsidP="009C2F2A">
      <w:pPr>
        <w:pStyle w:val="BodyText"/>
        <w:spacing w:after="0" w:line="360" w:lineRule="auto"/>
        <w:rPr>
          <w:sz w:val="24"/>
          <w:szCs w:val="24"/>
        </w:rPr>
      </w:pPr>
    </w:p>
    <w:p w:rsidR="009C2F2A" w:rsidRDefault="009C2F2A" w:rsidP="009C2F2A">
      <w:pPr>
        <w:pStyle w:val="BodyText"/>
        <w:spacing w:after="0" w:line="360" w:lineRule="auto"/>
        <w:rPr>
          <w:sz w:val="24"/>
          <w:szCs w:val="24"/>
        </w:rPr>
      </w:pPr>
      <w:r w:rsidRPr="00CC4458">
        <w:rPr>
          <w:sz w:val="24"/>
          <w:szCs w:val="24"/>
        </w:rPr>
        <w:tab/>
      </w:r>
      <w:r w:rsidRPr="00CC4458">
        <w:rPr>
          <w:sz w:val="24"/>
          <w:szCs w:val="24"/>
        </w:rPr>
        <w:tab/>
        <w:t>2.</w:t>
      </w:r>
      <w:r w:rsidRPr="00CC4458">
        <w:rPr>
          <w:sz w:val="24"/>
          <w:szCs w:val="24"/>
        </w:rPr>
        <w:tab/>
      </w:r>
      <w:r>
        <w:rPr>
          <w:sz w:val="24"/>
          <w:szCs w:val="24"/>
        </w:rPr>
        <w:t xml:space="preserve">That the complaint of </w:t>
      </w:r>
      <w:r w:rsidR="00CB3C2B">
        <w:rPr>
          <w:sz w:val="24"/>
          <w:szCs w:val="24"/>
        </w:rPr>
        <w:t xml:space="preserve">Joseph </w:t>
      </w:r>
      <w:proofErr w:type="spellStart"/>
      <w:r w:rsidR="00CB3C2B">
        <w:rPr>
          <w:sz w:val="24"/>
          <w:szCs w:val="24"/>
        </w:rPr>
        <w:t>Burness</w:t>
      </w:r>
      <w:proofErr w:type="spellEnd"/>
      <w:r>
        <w:rPr>
          <w:sz w:val="24"/>
          <w:szCs w:val="24"/>
        </w:rPr>
        <w:t xml:space="preserve"> against </w:t>
      </w:r>
      <w:r w:rsidR="00CB3C2B">
        <w:rPr>
          <w:sz w:val="24"/>
          <w:szCs w:val="24"/>
        </w:rPr>
        <w:t>Direct Energy Services, LLC</w:t>
      </w:r>
      <w:r>
        <w:rPr>
          <w:sz w:val="24"/>
          <w:szCs w:val="24"/>
        </w:rPr>
        <w:t xml:space="preserve"> at Docket No. F-2015-2</w:t>
      </w:r>
      <w:r w:rsidR="00CB3C2B">
        <w:rPr>
          <w:sz w:val="24"/>
          <w:szCs w:val="24"/>
        </w:rPr>
        <w:t>505678</w:t>
      </w:r>
      <w:r>
        <w:rPr>
          <w:sz w:val="24"/>
          <w:szCs w:val="24"/>
        </w:rPr>
        <w:t xml:space="preserve"> is </w:t>
      </w:r>
      <w:r w:rsidR="00257206">
        <w:rPr>
          <w:sz w:val="24"/>
          <w:szCs w:val="24"/>
        </w:rPr>
        <w:t>closed</w:t>
      </w:r>
      <w:bookmarkStart w:id="0" w:name="_GoBack"/>
      <w:bookmarkEnd w:id="0"/>
      <w:r>
        <w:rPr>
          <w:sz w:val="24"/>
          <w:szCs w:val="24"/>
        </w:rPr>
        <w:t>.</w:t>
      </w:r>
    </w:p>
    <w:p w:rsidR="009C2F2A" w:rsidRDefault="009C2F2A" w:rsidP="009C2F2A">
      <w:pPr>
        <w:pStyle w:val="BodyText"/>
        <w:spacing w:after="0" w:line="360" w:lineRule="auto"/>
        <w:rPr>
          <w:sz w:val="24"/>
          <w:szCs w:val="24"/>
        </w:rPr>
      </w:pPr>
    </w:p>
    <w:p w:rsidR="009C2F2A" w:rsidRPr="00CC4458" w:rsidRDefault="009C2F2A" w:rsidP="009C2F2A">
      <w:pPr>
        <w:pStyle w:val="BodyText"/>
        <w:spacing w:after="0" w:line="360" w:lineRule="auto"/>
        <w:ind w:left="720" w:firstLine="720"/>
        <w:rPr>
          <w:sz w:val="24"/>
          <w:szCs w:val="24"/>
        </w:rPr>
      </w:pPr>
      <w:r>
        <w:rPr>
          <w:sz w:val="24"/>
          <w:szCs w:val="24"/>
        </w:rPr>
        <w:t xml:space="preserve">3. </w:t>
      </w:r>
      <w:r>
        <w:rPr>
          <w:sz w:val="24"/>
          <w:szCs w:val="24"/>
        </w:rPr>
        <w:tab/>
      </w:r>
      <w:r w:rsidRPr="00CC4458">
        <w:rPr>
          <w:sz w:val="24"/>
          <w:szCs w:val="24"/>
        </w:rPr>
        <w:t>That the docket at Docket No.</w:t>
      </w:r>
      <w:r w:rsidRPr="00CC4458">
        <w:rPr>
          <w:spacing w:val="-3"/>
          <w:sz w:val="24"/>
          <w:szCs w:val="24"/>
        </w:rPr>
        <w:t xml:space="preserve"> </w:t>
      </w:r>
      <w:r>
        <w:rPr>
          <w:sz w:val="24"/>
          <w:szCs w:val="24"/>
        </w:rPr>
        <w:t>F-2015-2</w:t>
      </w:r>
      <w:r w:rsidR="00CB3C2B">
        <w:rPr>
          <w:sz w:val="24"/>
          <w:szCs w:val="24"/>
        </w:rPr>
        <w:t>505678</w:t>
      </w:r>
      <w:r w:rsidRPr="00CC4458">
        <w:rPr>
          <w:sz w:val="24"/>
          <w:szCs w:val="24"/>
        </w:rPr>
        <w:t xml:space="preserve"> is marked closed.</w:t>
      </w:r>
    </w:p>
    <w:p w:rsidR="009C2F2A" w:rsidRDefault="009C2F2A" w:rsidP="009C2F2A">
      <w:pPr>
        <w:pStyle w:val="ParaTab1"/>
        <w:spacing w:line="360" w:lineRule="auto"/>
        <w:rPr>
          <w:rFonts w:ascii="Times New Roman" w:hAnsi="Times New Roman" w:cs="Times New Roman"/>
          <w:spacing w:val="-3"/>
        </w:rPr>
      </w:pPr>
    </w:p>
    <w:p w:rsidR="008C62D6" w:rsidRPr="0044591D" w:rsidRDefault="008C62D6" w:rsidP="008C62D6"/>
    <w:p w:rsidR="008C62D6" w:rsidRPr="0044591D" w:rsidRDefault="008C62D6" w:rsidP="008C62D6"/>
    <w:p w:rsidR="008C62D6" w:rsidRPr="0044591D" w:rsidRDefault="008C62D6" w:rsidP="008C62D6">
      <w:r w:rsidRPr="0044591D">
        <w:t xml:space="preserve">Date:  </w:t>
      </w:r>
      <w:r w:rsidR="00DF2CC3">
        <w:rPr>
          <w:u w:val="single"/>
        </w:rPr>
        <w:t>March 2</w:t>
      </w:r>
      <w:r w:rsidR="00EE6E8E">
        <w:rPr>
          <w:u w:val="single"/>
        </w:rPr>
        <w:t>5</w:t>
      </w:r>
      <w:r w:rsidR="00CB3C2B">
        <w:rPr>
          <w:u w:val="single"/>
        </w:rPr>
        <w:t>, 2016</w:t>
      </w:r>
      <w:r w:rsidRPr="0044591D">
        <w:tab/>
      </w:r>
      <w:r w:rsidRPr="0044591D">
        <w:tab/>
      </w:r>
      <w:r w:rsidRPr="0044591D">
        <w:tab/>
      </w:r>
      <w:r w:rsidRPr="0044591D">
        <w:tab/>
      </w:r>
      <w:r w:rsidRPr="0044591D">
        <w:tab/>
      </w:r>
      <w:r w:rsidRPr="0044591D">
        <w:rPr>
          <w:u w:val="single"/>
        </w:rPr>
        <w:tab/>
      </w:r>
      <w:r w:rsidRPr="0044591D">
        <w:rPr>
          <w:u w:val="single"/>
        </w:rPr>
        <w:tab/>
        <w:t>/s/</w:t>
      </w:r>
      <w:r w:rsidRPr="0044591D">
        <w:rPr>
          <w:u w:val="single"/>
        </w:rPr>
        <w:tab/>
      </w:r>
      <w:r w:rsidRPr="0044591D">
        <w:rPr>
          <w:u w:val="single"/>
        </w:rPr>
        <w:tab/>
      </w:r>
      <w:r w:rsidRPr="0044591D">
        <w:rPr>
          <w:u w:val="single"/>
        </w:rPr>
        <w:tab/>
      </w:r>
    </w:p>
    <w:p w:rsidR="008C62D6" w:rsidRPr="0044591D" w:rsidRDefault="008C62D6" w:rsidP="008C62D6">
      <w:pPr>
        <w:rPr>
          <w:u w:val="single"/>
        </w:rPr>
      </w:pPr>
      <w:r w:rsidRPr="0044591D">
        <w:tab/>
      </w:r>
      <w:r w:rsidRPr="0044591D">
        <w:tab/>
      </w:r>
      <w:r w:rsidRPr="0044591D">
        <w:tab/>
      </w:r>
      <w:r w:rsidRPr="0044591D">
        <w:tab/>
      </w:r>
      <w:r w:rsidRPr="0044591D">
        <w:tab/>
      </w:r>
      <w:r w:rsidRPr="0044591D">
        <w:tab/>
      </w:r>
      <w:r w:rsidRPr="0044591D">
        <w:tab/>
      </w:r>
      <w:r w:rsidRPr="0044591D">
        <w:tab/>
        <w:t>Katrina L. Dunderdale</w:t>
      </w:r>
    </w:p>
    <w:p w:rsidR="009857C2" w:rsidRDefault="008C62D6">
      <w:r w:rsidRPr="00ED1D67">
        <w:tab/>
      </w:r>
      <w:r w:rsidRPr="00ED1D67">
        <w:tab/>
      </w:r>
      <w:r w:rsidRPr="00B73D10">
        <w:tab/>
      </w:r>
      <w:r w:rsidRPr="00B73D10">
        <w:tab/>
      </w:r>
      <w:r w:rsidRPr="00B73D10">
        <w:tab/>
      </w:r>
      <w:r w:rsidRPr="00B73D10">
        <w:tab/>
      </w:r>
      <w:r w:rsidRPr="00B73D10">
        <w:tab/>
      </w:r>
      <w:r>
        <w:tab/>
      </w:r>
      <w:r w:rsidRPr="00B73D10">
        <w:t>Administrative Law Judge</w:t>
      </w:r>
    </w:p>
    <w:sectPr w:rsidR="009857C2" w:rsidSect="00C9062E">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092" w:rsidRDefault="00BF0092" w:rsidP="008C62D6">
      <w:r>
        <w:separator/>
      </w:r>
    </w:p>
  </w:endnote>
  <w:endnote w:type="continuationSeparator" w:id="0">
    <w:p w:rsidR="00BF0092" w:rsidRDefault="00BF0092" w:rsidP="008C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008749"/>
      <w:docPartObj>
        <w:docPartGallery w:val="Page Numbers (Bottom of Page)"/>
        <w:docPartUnique/>
      </w:docPartObj>
    </w:sdtPr>
    <w:sdtEndPr>
      <w:rPr>
        <w:noProof/>
        <w:sz w:val="20"/>
        <w:szCs w:val="20"/>
      </w:rPr>
    </w:sdtEndPr>
    <w:sdtContent>
      <w:p w:rsidR="00C9062E" w:rsidRPr="007254B8" w:rsidRDefault="00C9062E">
        <w:pPr>
          <w:pStyle w:val="Footer"/>
          <w:jc w:val="center"/>
          <w:rPr>
            <w:sz w:val="20"/>
            <w:szCs w:val="20"/>
          </w:rPr>
        </w:pPr>
        <w:r w:rsidRPr="007254B8">
          <w:rPr>
            <w:sz w:val="20"/>
            <w:szCs w:val="20"/>
          </w:rPr>
          <w:fldChar w:fldCharType="begin"/>
        </w:r>
        <w:r w:rsidRPr="007254B8">
          <w:rPr>
            <w:sz w:val="20"/>
            <w:szCs w:val="20"/>
          </w:rPr>
          <w:instrText xml:space="preserve"> PAGE   \* MERGEFORMAT </w:instrText>
        </w:r>
        <w:r w:rsidRPr="007254B8">
          <w:rPr>
            <w:sz w:val="20"/>
            <w:szCs w:val="20"/>
          </w:rPr>
          <w:fldChar w:fldCharType="separate"/>
        </w:r>
        <w:r w:rsidR="00257206">
          <w:rPr>
            <w:noProof/>
            <w:sz w:val="20"/>
            <w:szCs w:val="20"/>
          </w:rPr>
          <w:t>7</w:t>
        </w:r>
        <w:r w:rsidRPr="007254B8">
          <w:rPr>
            <w:noProof/>
            <w:sz w:val="20"/>
            <w:szCs w:val="20"/>
          </w:rPr>
          <w:fldChar w:fldCharType="end"/>
        </w:r>
      </w:p>
    </w:sdtContent>
  </w:sdt>
  <w:p w:rsidR="00C11B4C" w:rsidRDefault="00C11B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B4C" w:rsidRDefault="00C11B4C">
    <w:pPr>
      <w:pStyle w:val="Footer"/>
      <w:jc w:val="center"/>
    </w:pPr>
  </w:p>
  <w:p w:rsidR="00C11B4C" w:rsidRDefault="00C11B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092" w:rsidRDefault="00BF0092" w:rsidP="008C62D6">
      <w:r>
        <w:separator/>
      </w:r>
    </w:p>
  </w:footnote>
  <w:footnote w:type="continuationSeparator" w:id="0">
    <w:p w:rsidR="00BF0092" w:rsidRDefault="00BF0092" w:rsidP="008C62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183581A"/>
    <w:multiLevelType w:val="singleLevel"/>
    <w:tmpl w:val="0409000F"/>
    <w:lvl w:ilvl="0">
      <w:start w:val="1"/>
      <w:numFmt w:val="decimal"/>
      <w:lvlText w:val="%1."/>
      <w:lvlJc w:val="left"/>
      <w:pPr>
        <w:tabs>
          <w:tab w:val="num" w:pos="360"/>
        </w:tabs>
        <w:ind w:left="360" w:hanging="360"/>
      </w:pPr>
    </w:lvl>
  </w:abstractNum>
  <w:abstractNum w:abstractNumId="2">
    <w:nsid w:val="2E1C2C9D"/>
    <w:multiLevelType w:val="hybridMultilevel"/>
    <w:tmpl w:val="83BAFE64"/>
    <w:lvl w:ilvl="0" w:tplc="055866C4">
      <w:start w:val="1"/>
      <w:numFmt w:val="decimal"/>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3647CC"/>
    <w:multiLevelType w:val="hybridMultilevel"/>
    <w:tmpl w:val="3ACC0502"/>
    <w:lvl w:ilvl="0" w:tplc="291C7F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0C95D4E"/>
    <w:multiLevelType w:val="hybridMultilevel"/>
    <w:tmpl w:val="190A0196"/>
    <w:lvl w:ilvl="0" w:tplc="76AE502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6EF75055"/>
    <w:multiLevelType w:val="singleLevel"/>
    <w:tmpl w:val="3244E540"/>
    <w:lvl w:ilvl="0">
      <w:start w:val="1"/>
      <w:numFmt w:val="decimal"/>
      <w:lvlText w:val="%1."/>
      <w:lvlJc w:val="left"/>
      <w:pPr>
        <w:tabs>
          <w:tab w:val="num" w:pos="1440"/>
        </w:tabs>
        <w:ind w:left="1440" w:hanging="720"/>
      </w:pPr>
      <w:rPr>
        <w:rFont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2D6"/>
    <w:rsid w:val="00004A34"/>
    <w:rsid w:val="00006CB3"/>
    <w:rsid w:val="00061955"/>
    <w:rsid w:val="000875C7"/>
    <w:rsid w:val="0009055C"/>
    <w:rsid w:val="000B3F8E"/>
    <w:rsid w:val="000E4374"/>
    <w:rsid w:val="000E5FC6"/>
    <w:rsid w:val="0012466F"/>
    <w:rsid w:val="001C1DB9"/>
    <w:rsid w:val="001C7C26"/>
    <w:rsid w:val="00216B7C"/>
    <w:rsid w:val="002277DA"/>
    <w:rsid w:val="0024610D"/>
    <w:rsid w:val="00257206"/>
    <w:rsid w:val="00264585"/>
    <w:rsid w:val="00293908"/>
    <w:rsid w:val="00294148"/>
    <w:rsid w:val="002B0D0E"/>
    <w:rsid w:val="002D5E24"/>
    <w:rsid w:val="003316B3"/>
    <w:rsid w:val="00336D20"/>
    <w:rsid w:val="003722EC"/>
    <w:rsid w:val="00383776"/>
    <w:rsid w:val="003A25F0"/>
    <w:rsid w:val="003C3A2E"/>
    <w:rsid w:val="00421A9C"/>
    <w:rsid w:val="00443F98"/>
    <w:rsid w:val="00481F67"/>
    <w:rsid w:val="004B504A"/>
    <w:rsid w:val="004E6F69"/>
    <w:rsid w:val="00506B49"/>
    <w:rsid w:val="0052149B"/>
    <w:rsid w:val="00534710"/>
    <w:rsid w:val="00546C40"/>
    <w:rsid w:val="005D010C"/>
    <w:rsid w:val="005D1C07"/>
    <w:rsid w:val="00611442"/>
    <w:rsid w:val="00621F37"/>
    <w:rsid w:val="00627E3E"/>
    <w:rsid w:val="00691959"/>
    <w:rsid w:val="0069746E"/>
    <w:rsid w:val="006B3242"/>
    <w:rsid w:val="006C1738"/>
    <w:rsid w:val="00704D13"/>
    <w:rsid w:val="007254B8"/>
    <w:rsid w:val="00771237"/>
    <w:rsid w:val="0077513B"/>
    <w:rsid w:val="00776A91"/>
    <w:rsid w:val="00777602"/>
    <w:rsid w:val="00791549"/>
    <w:rsid w:val="007A4BDC"/>
    <w:rsid w:val="007B1937"/>
    <w:rsid w:val="007D4B4A"/>
    <w:rsid w:val="0083184B"/>
    <w:rsid w:val="00852806"/>
    <w:rsid w:val="00885CA0"/>
    <w:rsid w:val="008C62D6"/>
    <w:rsid w:val="008E6C72"/>
    <w:rsid w:val="00900ABA"/>
    <w:rsid w:val="009024BA"/>
    <w:rsid w:val="00927982"/>
    <w:rsid w:val="00951B1C"/>
    <w:rsid w:val="00966BCB"/>
    <w:rsid w:val="009857C2"/>
    <w:rsid w:val="0098677F"/>
    <w:rsid w:val="009C2AA0"/>
    <w:rsid w:val="009C2F2A"/>
    <w:rsid w:val="009E5EF2"/>
    <w:rsid w:val="009F2726"/>
    <w:rsid w:val="00AB5ACA"/>
    <w:rsid w:val="00B6749F"/>
    <w:rsid w:val="00BD2092"/>
    <w:rsid w:val="00BF0092"/>
    <w:rsid w:val="00BF3832"/>
    <w:rsid w:val="00C11B4C"/>
    <w:rsid w:val="00C33E86"/>
    <w:rsid w:val="00C9062E"/>
    <w:rsid w:val="00CA1BC8"/>
    <w:rsid w:val="00CA4631"/>
    <w:rsid w:val="00CB2F35"/>
    <w:rsid w:val="00CB3C2B"/>
    <w:rsid w:val="00D2056C"/>
    <w:rsid w:val="00D63020"/>
    <w:rsid w:val="00DA7EC7"/>
    <w:rsid w:val="00DC72E7"/>
    <w:rsid w:val="00DF2CC3"/>
    <w:rsid w:val="00E06E50"/>
    <w:rsid w:val="00E15B45"/>
    <w:rsid w:val="00E17E05"/>
    <w:rsid w:val="00E236CD"/>
    <w:rsid w:val="00E271CC"/>
    <w:rsid w:val="00E34C9C"/>
    <w:rsid w:val="00E36C2A"/>
    <w:rsid w:val="00E47802"/>
    <w:rsid w:val="00E727C1"/>
    <w:rsid w:val="00ED0A9F"/>
    <w:rsid w:val="00ED20C4"/>
    <w:rsid w:val="00EE6E8E"/>
    <w:rsid w:val="00F056FA"/>
    <w:rsid w:val="00F51C81"/>
    <w:rsid w:val="00F8450E"/>
    <w:rsid w:val="00FA6EB3"/>
    <w:rsid w:val="00FB0E2E"/>
    <w:rsid w:val="00FC48D2"/>
    <w:rsid w:val="00FF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2D6"/>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62D6"/>
    <w:pPr>
      <w:keepNext/>
      <w:jc w:val="center"/>
      <w:outlineLvl w:val="0"/>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62D6"/>
    <w:rPr>
      <w:rFonts w:ascii="Times New Roman" w:eastAsia="Times New Roman" w:hAnsi="Times New Roman" w:cs="Times New Roman"/>
      <w:sz w:val="26"/>
      <w:szCs w:val="20"/>
      <w:u w:val="single"/>
    </w:rPr>
  </w:style>
  <w:style w:type="paragraph" w:styleId="FootnoteText">
    <w:name w:val="footnote text"/>
    <w:basedOn w:val="Normal"/>
    <w:link w:val="FootnoteTextChar"/>
    <w:semiHidden/>
    <w:rsid w:val="008C62D6"/>
    <w:rPr>
      <w:sz w:val="20"/>
      <w:szCs w:val="20"/>
    </w:rPr>
  </w:style>
  <w:style w:type="character" w:customStyle="1" w:styleId="FootnoteTextChar">
    <w:name w:val="Footnote Text Char"/>
    <w:basedOn w:val="DefaultParagraphFont"/>
    <w:link w:val="FootnoteText"/>
    <w:semiHidden/>
    <w:rsid w:val="008C62D6"/>
    <w:rPr>
      <w:rFonts w:ascii="Times New Roman" w:eastAsia="Times New Roman" w:hAnsi="Times New Roman" w:cs="Times New Roman"/>
      <w:sz w:val="20"/>
      <w:szCs w:val="20"/>
    </w:rPr>
  </w:style>
  <w:style w:type="character" w:styleId="FootnoteReference">
    <w:name w:val="footnote reference"/>
    <w:basedOn w:val="DefaultParagraphFont"/>
    <w:semiHidden/>
    <w:rsid w:val="008C62D6"/>
    <w:rPr>
      <w:vertAlign w:val="superscript"/>
    </w:rPr>
  </w:style>
  <w:style w:type="paragraph" w:styleId="ListParagraph">
    <w:name w:val="List Paragraph"/>
    <w:basedOn w:val="Normal"/>
    <w:uiPriority w:val="34"/>
    <w:qFormat/>
    <w:rsid w:val="008C62D6"/>
    <w:pPr>
      <w:spacing w:line="360" w:lineRule="auto"/>
      <w:ind w:left="720"/>
      <w:contextualSpacing/>
    </w:pPr>
    <w:rPr>
      <w:sz w:val="26"/>
      <w:szCs w:val="20"/>
    </w:rPr>
  </w:style>
  <w:style w:type="paragraph" w:customStyle="1" w:styleId="ParaTab1">
    <w:name w:val="ParaTab 1"/>
    <w:rsid w:val="009C2F2A"/>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BodyText">
    <w:name w:val="Body Text"/>
    <w:basedOn w:val="Normal"/>
    <w:link w:val="BodyTextChar"/>
    <w:rsid w:val="009C2F2A"/>
    <w:pPr>
      <w:spacing w:after="120"/>
    </w:pPr>
    <w:rPr>
      <w:sz w:val="20"/>
      <w:szCs w:val="26"/>
    </w:rPr>
  </w:style>
  <w:style w:type="character" w:customStyle="1" w:styleId="BodyTextChar">
    <w:name w:val="Body Text Char"/>
    <w:basedOn w:val="DefaultParagraphFont"/>
    <w:link w:val="BodyText"/>
    <w:rsid w:val="009C2F2A"/>
    <w:rPr>
      <w:rFonts w:ascii="Times New Roman" w:eastAsia="Times New Roman" w:hAnsi="Times New Roman" w:cs="Times New Roman"/>
      <w:sz w:val="20"/>
      <w:szCs w:val="26"/>
    </w:rPr>
  </w:style>
  <w:style w:type="paragraph" w:styleId="BalloonText">
    <w:name w:val="Balloon Text"/>
    <w:basedOn w:val="Normal"/>
    <w:link w:val="BalloonTextChar"/>
    <w:uiPriority w:val="99"/>
    <w:semiHidden/>
    <w:unhideWhenUsed/>
    <w:rsid w:val="00966BCB"/>
    <w:rPr>
      <w:rFonts w:ascii="Tahoma" w:hAnsi="Tahoma" w:cs="Tahoma"/>
      <w:sz w:val="16"/>
      <w:szCs w:val="16"/>
    </w:rPr>
  </w:style>
  <w:style w:type="character" w:customStyle="1" w:styleId="BalloonTextChar">
    <w:name w:val="Balloon Text Char"/>
    <w:basedOn w:val="DefaultParagraphFont"/>
    <w:link w:val="BalloonText"/>
    <w:uiPriority w:val="99"/>
    <w:semiHidden/>
    <w:rsid w:val="00966BCB"/>
    <w:rPr>
      <w:rFonts w:ascii="Tahoma" w:eastAsia="Times New Roman" w:hAnsi="Tahoma" w:cs="Tahoma"/>
      <w:sz w:val="16"/>
      <w:szCs w:val="16"/>
    </w:rPr>
  </w:style>
  <w:style w:type="paragraph" w:styleId="Header">
    <w:name w:val="header"/>
    <w:basedOn w:val="Normal"/>
    <w:link w:val="HeaderChar"/>
    <w:uiPriority w:val="99"/>
    <w:unhideWhenUsed/>
    <w:rsid w:val="00C11B4C"/>
    <w:pPr>
      <w:tabs>
        <w:tab w:val="center" w:pos="4680"/>
        <w:tab w:val="right" w:pos="9360"/>
      </w:tabs>
    </w:pPr>
  </w:style>
  <w:style w:type="character" w:customStyle="1" w:styleId="HeaderChar">
    <w:name w:val="Header Char"/>
    <w:basedOn w:val="DefaultParagraphFont"/>
    <w:link w:val="Header"/>
    <w:uiPriority w:val="99"/>
    <w:rsid w:val="00C11B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1B4C"/>
    <w:pPr>
      <w:tabs>
        <w:tab w:val="center" w:pos="4680"/>
        <w:tab w:val="right" w:pos="9360"/>
      </w:tabs>
    </w:pPr>
  </w:style>
  <w:style w:type="character" w:customStyle="1" w:styleId="FooterChar">
    <w:name w:val="Footer Char"/>
    <w:basedOn w:val="DefaultParagraphFont"/>
    <w:link w:val="Footer"/>
    <w:uiPriority w:val="99"/>
    <w:rsid w:val="00C11B4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2D6"/>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62D6"/>
    <w:pPr>
      <w:keepNext/>
      <w:jc w:val="center"/>
      <w:outlineLvl w:val="0"/>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62D6"/>
    <w:rPr>
      <w:rFonts w:ascii="Times New Roman" w:eastAsia="Times New Roman" w:hAnsi="Times New Roman" w:cs="Times New Roman"/>
      <w:sz w:val="26"/>
      <w:szCs w:val="20"/>
      <w:u w:val="single"/>
    </w:rPr>
  </w:style>
  <w:style w:type="paragraph" w:styleId="FootnoteText">
    <w:name w:val="footnote text"/>
    <w:basedOn w:val="Normal"/>
    <w:link w:val="FootnoteTextChar"/>
    <w:semiHidden/>
    <w:rsid w:val="008C62D6"/>
    <w:rPr>
      <w:sz w:val="20"/>
      <w:szCs w:val="20"/>
    </w:rPr>
  </w:style>
  <w:style w:type="character" w:customStyle="1" w:styleId="FootnoteTextChar">
    <w:name w:val="Footnote Text Char"/>
    <w:basedOn w:val="DefaultParagraphFont"/>
    <w:link w:val="FootnoteText"/>
    <w:semiHidden/>
    <w:rsid w:val="008C62D6"/>
    <w:rPr>
      <w:rFonts w:ascii="Times New Roman" w:eastAsia="Times New Roman" w:hAnsi="Times New Roman" w:cs="Times New Roman"/>
      <w:sz w:val="20"/>
      <w:szCs w:val="20"/>
    </w:rPr>
  </w:style>
  <w:style w:type="character" w:styleId="FootnoteReference">
    <w:name w:val="footnote reference"/>
    <w:basedOn w:val="DefaultParagraphFont"/>
    <w:semiHidden/>
    <w:rsid w:val="008C62D6"/>
    <w:rPr>
      <w:vertAlign w:val="superscript"/>
    </w:rPr>
  </w:style>
  <w:style w:type="paragraph" w:styleId="ListParagraph">
    <w:name w:val="List Paragraph"/>
    <w:basedOn w:val="Normal"/>
    <w:uiPriority w:val="34"/>
    <w:qFormat/>
    <w:rsid w:val="008C62D6"/>
    <w:pPr>
      <w:spacing w:line="360" w:lineRule="auto"/>
      <w:ind w:left="720"/>
      <w:contextualSpacing/>
    </w:pPr>
    <w:rPr>
      <w:sz w:val="26"/>
      <w:szCs w:val="20"/>
    </w:rPr>
  </w:style>
  <w:style w:type="paragraph" w:customStyle="1" w:styleId="ParaTab1">
    <w:name w:val="ParaTab 1"/>
    <w:rsid w:val="009C2F2A"/>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BodyText">
    <w:name w:val="Body Text"/>
    <w:basedOn w:val="Normal"/>
    <w:link w:val="BodyTextChar"/>
    <w:rsid w:val="009C2F2A"/>
    <w:pPr>
      <w:spacing w:after="120"/>
    </w:pPr>
    <w:rPr>
      <w:sz w:val="20"/>
      <w:szCs w:val="26"/>
    </w:rPr>
  </w:style>
  <w:style w:type="character" w:customStyle="1" w:styleId="BodyTextChar">
    <w:name w:val="Body Text Char"/>
    <w:basedOn w:val="DefaultParagraphFont"/>
    <w:link w:val="BodyText"/>
    <w:rsid w:val="009C2F2A"/>
    <w:rPr>
      <w:rFonts w:ascii="Times New Roman" w:eastAsia="Times New Roman" w:hAnsi="Times New Roman" w:cs="Times New Roman"/>
      <w:sz w:val="20"/>
      <w:szCs w:val="26"/>
    </w:rPr>
  </w:style>
  <w:style w:type="paragraph" w:styleId="BalloonText">
    <w:name w:val="Balloon Text"/>
    <w:basedOn w:val="Normal"/>
    <w:link w:val="BalloonTextChar"/>
    <w:uiPriority w:val="99"/>
    <w:semiHidden/>
    <w:unhideWhenUsed/>
    <w:rsid w:val="00966BCB"/>
    <w:rPr>
      <w:rFonts w:ascii="Tahoma" w:hAnsi="Tahoma" w:cs="Tahoma"/>
      <w:sz w:val="16"/>
      <w:szCs w:val="16"/>
    </w:rPr>
  </w:style>
  <w:style w:type="character" w:customStyle="1" w:styleId="BalloonTextChar">
    <w:name w:val="Balloon Text Char"/>
    <w:basedOn w:val="DefaultParagraphFont"/>
    <w:link w:val="BalloonText"/>
    <w:uiPriority w:val="99"/>
    <w:semiHidden/>
    <w:rsid w:val="00966BCB"/>
    <w:rPr>
      <w:rFonts w:ascii="Tahoma" w:eastAsia="Times New Roman" w:hAnsi="Tahoma" w:cs="Tahoma"/>
      <w:sz w:val="16"/>
      <w:szCs w:val="16"/>
    </w:rPr>
  </w:style>
  <w:style w:type="paragraph" w:styleId="Header">
    <w:name w:val="header"/>
    <w:basedOn w:val="Normal"/>
    <w:link w:val="HeaderChar"/>
    <w:uiPriority w:val="99"/>
    <w:unhideWhenUsed/>
    <w:rsid w:val="00C11B4C"/>
    <w:pPr>
      <w:tabs>
        <w:tab w:val="center" w:pos="4680"/>
        <w:tab w:val="right" w:pos="9360"/>
      </w:tabs>
    </w:pPr>
  </w:style>
  <w:style w:type="character" w:customStyle="1" w:styleId="HeaderChar">
    <w:name w:val="Header Char"/>
    <w:basedOn w:val="DefaultParagraphFont"/>
    <w:link w:val="Header"/>
    <w:uiPriority w:val="99"/>
    <w:rsid w:val="00C11B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1B4C"/>
    <w:pPr>
      <w:tabs>
        <w:tab w:val="center" w:pos="4680"/>
        <w:tab w:val="right" w:pos="9360"/>
      </w:tabs>
    </w:pPr>
  </w:style>
  <w:style w:type="character" w:customStyle="1" w:styleId="FooterChar">
    <w:name w:val="Footer Char"/>
    <w:basedOn w:val="DefaultParagraphFont"/>
    <w:link w:val="Footer"/>
    <w:uiPriority w:val="99"/>
    <w:rsid w:val="00C11B4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594A1-EDC8-49AF-A19F-CAEEACD22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Dunderdale, Katrina</dc:creator>
  <cp:lastModifiedBy>sandra elizabeth oldynski</cp:lastModifiedBy>
  <cp:revision>24</cp:revision>
  <cp:lastPrinted>2016-03-25T14:52:00Z</cp:lastPrinted>
  <dcterms:created xsi:type="dcterms:W3CDTF">2016-03-24T12:14:00Z</dcterms:created>
  <dcterms:modified xsi:type="dcterms:W3CDTF">2016-04-06T19:18:00Z</dcterms:modified>
</cp:coreProperties>
</file>