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CB13FB" w:rsidRDefault="004D733D" w:rsidP="006D365F">
      <w:pPr>
        <w:jc w:val="center"/>
        <w:rPr>
          <w:b/>
          <w:bCs/>
        </w:rPr>
      </w:pPr>
      <w:r w:rsidRPr="00CB13FB">
        <w:rPr>
          <w:b/>
          <w:bCs/>
        </w:rPr>
        <w:t>BEFORE THE</w:t>
      </w:r>
    </w:p>
    <w:p w:rsidR="004D733D" w:rsidRPr="00CB13FB" w:rsidRDefault="004D733D" w:rsidP="006D365F">
      <w:pPr>
        <w:jc w:val="center"/>
        <w:rPr>
          <w:b/>
          <w:bCs/>
        </w:rPr>
      </w:pPr>
      <w:r w:rsidRPr="00CB13FB">
        <w:rPr>
          <w:b/>
          <w:bCs/>
        </w:rPr>
        <w:t>PENNSYLVANIA PUBLIC UTILITY COMMISSION</w:t>
      </w:r>
    </w:p>
    <w:p w:rsidR="004D733D" w:rsidRPr="00CB13FB" w:rsidRDefault="004D733D" w:rsidP="006D365F">
      <w:pPr>
        <w:jc w:val="center"/>
        <w:rPr>
          <w:b/>
          <w:bCs/>
        </w:rPr>
      </w:pPr>
    </w:p>
    <w:p w:rsidR="004D733D" w:rsidRPr="00CB13FB" w:rsidRDefault="004D733D" w:rsidP="006D365F">
      <w:pPr>
        <w:jc w:val="center"/>
        <w:rPr>
          <w:b/>
          <w:bCs/>
        </w:rPr>
      </w:pPr>
    </w:p>
    <w:p w:rsidR="004D733D" w:rsidRPr="00CB13FB" w:rsidRDefault="004D733D" w:rsidP="006D365F">
      <w:pPr>
        <w:jc w:val="center"/>
        <w:rPr>
          <w:b/>
          <w:bCs/>
        </w:rPr>
      </w:pPr>
    </w:p>
    <w:p w:rsidR="004D733D" w:rsidRPr="00CB13FB" w:rsidRDefault="009674E2" w:rsidP="006D365F">
      <w:r>
        <w:t>Alonza Carson</w:t>
      </w:r>
      <w:r>
        <w:tab/>
      </w:r>
      <w:r w:rsidR="00E842CF" w:rsidRPr="00CB13FB">
        <w:tab/>
      </w:r>
      <w:r w:rsidR="004D733D" w:rsidRPr="00CB13FB">
        <w:tab/>
      </w:r>
      <w:r w:rsidR="00A076DA">
        <w:tab/>
      </w:r>
      <w:r w:rsidR="007372DB">
        <w:tab/>
      </w:r>
      <w:r w:rsidR="004D733D" w:rsidRPr="00CB13FB">
        <w:tab/>
        <w:t>:</w:t>
      </w:r>
    </w:p>
    <w:p w:rsidR="004D733D" w:rsidRPr="00CB13FB" w:rsidRDefault="004D733D" w:rsidP="006D365F">
      <w:r w:rsidRPr="00CB13FB">
        <w:tab/>
      </w:r>
      <w:r w:rsidRPr="00CB13FB">
        <w:tab/>
      </w:r>
      <w:r w:rsidRPr="00CB13FB">
        <w:tab/>
      </w:r>
      <w:r w:rsidRPr="00CB13FB">
        <w:tab/>
      </w:r>
      <w:r w:rsidRPr="00CB13FB">
        <w:tab/>
      </w:r>
      <w:r w:rsidRPr="00CB13FB">
        <w:tab/>
      </w:r>
      <w:r w:rsidRPr="00CB13FB">
        <w:tab/>
        <w:t>:</w:t>
      </w:r>
    </w:p>
    <w:p w:rsidR="004D733D" w:rsidRPr="00CB13FB" w:rsidRDefault="004D733D" w:rsidP="006D365F">
      <w:r w:rsidRPr="00CB13FB">
        <w:tab/>
        <w:t>v.</w:t>
      </w:r>
      <w:r w:rsidRPr="00CB13FB">
        <w:tab/>
      </w:r>
      <w:r w:rsidRPr="00CB13FB">
        <w:tab/>
      </w:r>
      <w:r w:rsidRPr="00CB13FB">
        <w:tab/>
      </w:r>
      <w:r w:rsidRPr="00CB13FB">
        <w:tab/>
      </w:r>
      <w:r w:rsidRPr="00CB13FB">
        <w:tab/>
      </w:r>
      <w:r w:rsidRPr="00CB13FB">
        <w:tab/>
        <w:t>:</w:t>
      </w:r>
      <w:r w:rsidRPr="00CB13FB">
        <w:tab/>
      </w:r>
      <w:r w:rsidRPr="00CB13FB">
        <w:tab/>
      </w:r>
      <w:r w:rsidR="001005F5" w:rsidRPr="00CB13FB">
        <w:t>C</w:t>
      </w:r>
      <w:r w:rsidRPr="00CB13FB">
        <w:t>-201</w:t>
      </w:r>
      <w:r w:rsidR="009674E2">
        <w:t>5-2512849</w:t>
      </w:r>
    </w:p>
    <w:p w:rsidR="004D733D" w:rsidRPr="00CB13FB" w:rsidRDefault="004D733D" w:rsidP="006D365F">
      <w:r w:rsidRPr="00CB13FB">
        <w:tab/>
      </w:r>
      <w:r w:rsidRPr="00CB13FB">
        <w:tab/>
      </w:r>
      <w:r w:rsidRPr="00CB13FB">
        <w:tab/>
      </w:r>
      <w:r w:rsidRPr="00CB13FB">
        <w:tab/>
      </w:r>
      <w:r w:rsidRPr="00CB13FB">
        <w:tab/>
      </w:r>
      <w:r w:rsidRPr="00CB13FB">
        <w:tab/>
      </w:r>
      <w:r w:rsidRPr="00CB13FB">
        <w:tab/>
        <w:t>:</w:t>
      </w:r>
    </w:p>
    <w:p w:rsidR="004D733D" w:rsidRPr="00CB13FB" w:rsidRDefault="009674E2" w:rsidP="006D365F">
      <w:r>
        <w:t>Philadelphia Gas Works</w:t>
      </w:r>
      <w:r>
        <w:tab/>
      </w:r>
      <w:r w:rsidR="00F85697">
        <w:tab/>
      </w:r>
      <w:r w:rsidR="00F85697">
        <w:tab/>
      </w:r>
      <w:r w:rsidR="004D733D" w:rsidRPr="00CB13FB">
        <w:tab/>
        <w:t>:</w:t>
      </w:r>
    </w:p>
    <w:p w:rsidR="004D733D" w:rsidRPr="00CB13FB" w:rsidRDefault="004D733D" w:rsidP="006D365F">
      <w:pPr>
        <w:tabs>
          <w:tab w:val="left" w:pos="1076"/>
        </w:tabs>
      </w:pPr>
    </w:p>
    <w:p w:rsidR="004D733D" w:rsidRPr="00CB13FB" w:rsidRDefault="004D733D" w:rsidP="006D365F">
      <w:pPr>
        <w:tabs>
          <w:tab w:val="left" w:pos="1076"/>
        </w:tabs>
      </w:pPr>
    </w:p>
    <w:p w:rsidR="004D733D" w:rsidRPr="00CB13FB" w:rsidRDefault="004D733D" w:rsidP="006D365F">
      <w:pPr>
        <w:tabs>
          <w:tab w:val="left" w:pos="1076"/>
        </w:tabs>
      </w:pPr>
    </w:p>
    <w:p w:rsidR="004D733D" w:rsidRPr="00CB13FB" w:rsidRDefault="004D733D" w:rsidP="006D365F">
      <w:pPr>
        <w:jc w:val="center"/>
      </w:pPr>
      <w:r w:rsidRPr="00CB13FB">
        <w:rPr>
          <w:b/>
          <w:bCs/>
          <w:u w:val="single"/>
        </w:rPr>
        <w:t>INITIAL DECISION</w:t>
      </w:r>
    </w:p>
    <w:p w:rsidR="004D733D" w:rsidRPr="00CB13FB" w:rsidRDefault="004D733D" w:rsidP="006D365F">
      <w:pPr>
        <w:jc w:val="center"/>
      </w:pPr>
    </w:p>
    <w:p w:rsidR="004D733D" w:rsidRPr="00CB13FB" w:rsidRDefault="004D733D" w:rsidP="006D365F">
      <w:pPr>
        <w:jc w:val="center"/>
      </w:pPr>
    </w:p>
    <w:p w:rsidR="004D733D" w:rsidRPr="00CB13FB" w:rsidRDefault="004D733D" w:rsidP="006D365F">
      <w:pPr>
        <w:jc w:val="center"/>
      </w:pPr>
      <w:r w:rsidRPr="00CB13FB">
        <w:t>Before</w:t>
      </w:r>
    </w:p>
    <w:p w:rsidR="004D733D" w:rsidRPr="00CB13FB" w:rsidRDefault="00A076DA" w:rsidP="006D365F">
      <w:pPr>
        <w:jc w:val="center"/>
      </w:pPr>
      <w:r>
        <w:t>Rebecca Waldemar</w:t>
      </w:r>
    </w:p>
    <w:p w:rsidR="004D733D" w:rsidRPr="00CB13FB" w:rsidRDefault="004D733D" w:rsidP="006D365F">
      <w:pPr>
        <w:jc w:val="center"/>
      </w:pPr>
      <w:r w:rsidRPr="00CB13FB">
        <w:t>Special Agent</w:t>
      </w:r>
    </w:p>
    <w:p w:rsidR="004D733D" w:rsidRPr="00CB13FB" w:rsidRDefault="004D733D" w:rsidP="006D365F">
      <w:pPr>
        <w:jc w:val="center"/>
      </w:pPr>
    </w:p>
    <w:p w:rsidR="00B14AF1" w:rsidRDefault="00B14AF1" w:rsidP="002F560F">
      <w:pPr>
        <w:jc w:val="center"/>
        <w:rPr>
          <w:u w:val="single"/>
        </w:rPr>
      </w:pPr>
    </w:p>
    <w:p w:rsidR="00FF292A" w:rsidRPr="00CB13FB" w:rsidRDefault="00FF292A" w:rsidP="006D365F">
      <w:pPr>
        <w:jc w:val="center"/>
      </w:pPr>
      <w:r w:rsidRPr="00CB13FB">
        <w:rPr>
          <w:u w:val="single"/>
        </w:rPr>
        <w:t>INTRODUCTION</w:t>
      </w:r>
    </w:p>
    <w:p w:rsidR="00FF292A" w:rsidRPr="00CB13FB" w:rsidRDefault="00FF292A" w:rsidP="006D365F">
      <w:pPr>
        <w:jc w:val="center"/>
        <w:rPr>
          <w:u w:val="single"/>
        </w:rPr>
      </w:pPr>
    </w:p>
    <w:p w:rsidR="008E10B7" w:rsidRPr="00CB13FB" w:rsidRDefault="008E10B7" w:rsidP="002F560F">
      <w:pPr>
        <w:jc w:val="center"/>
      </w:pPr>
    </w:p>
    <w:p w:rsidR="00C96AF4" w:rsidRDefault="00B14AF1" w:rsidP="00B25FE0">
      <w:pPr>
        <w:spacing w:line="360" w:lineRule="auto"/>
        <w:ind w:firstLine="1440"/>
      </w:pPr>
      <w:r w:rsidRPr="00CB13FB">
        <w:t xml:space="preserve">The </w:t>
      </w:r>
      <w:r w:rsidR="0050123F" w:rsidRPr="00CB13FB">
        <w:t>customer</w:t>
      </w:r>
      <w:r w:rsidRPr="00CB13FB">
        <w:t xml:space="preserve"> filed this Complaint to </w:t>
      </w:r>
      <w:r w:rsidR="00C74CB1">
        <w:t xml:space="preserve">request an affordable payment arrangement.  </w:t>
      </w:r>
      <w:r w:rsidRPr="00CB13FB">
        <w:t xml:space="preserve">This decision </w:t>
      </w:r>
      <w:r w:rsidR="006F4B51">
        <w:t>grants</w:t>
      </w:r>
      <w:r w:rsidR="009674E2">
        <w:t xml:space="preserve"> the request</w:t>
      </w:r>
      <w:r w:rsidR="006F4B51">
        <w:t xml:space="preserve"> and establishes a payment arrangement</w:t>
      </w:r>
      <w:r w:rsidR="00C74CB1">
        <w:t>.</w:t>
      </w:r>
    </w:p>
    <w:p w:rsidR="002F560F" w:rsidRPr="00CB13FB" w:rsidRDefault="002F560F" w:rsidP="00B25FE0">
      <w:pPr>
        <w:spacing w:line="360" w:lineRule="auto"/>
        <w:ind w:firstLine="90"/>
        <w:rPr>
          <w:u w:val="single"/>
        </w:rPr>
      </w:pPr>
    </w:p>
    <w:p w:rsidR="004D733D" w:rsidRPr="00CB13FB" w:rsidRDefault="004D733D" w:rsidP="00C96AF4">
      <w:pPr>
        <w:jc w:val="center"/>
      </w:pPr>
      <w:r w:rsidRPr="00CB13FB">
        <w:rPr>
          <w:u w:val="single"/>
        </w:rPr>
        <w:t>HISTORY OF THE PROCEEDING</w:t>
      </w:r>
    </w:p>
    <w:p w:rsidR="004D733D" w:rsidRPr="00CB13FB" w:rsidRDefault="004D733D" w:rsidP="00B25FE0">
      <w:pPr>
        <w:spacing w:line="360" w:lineRule="auto"/>
      </w:pPr>
    </w:p>
    <w:p w:rsidR="001C4707" w:rsidRPr="00CB13FB" w:rsidRDefault="005842A0" w:rsidP="00B25FE0">
      <w:pPr>
        <w:spacing w:line="360" w:lineRule="auto"/>
        <w:ind w:firstLine="1440"/>
      </w:pPr>
      <w:r>
        <w:t>On November 9</w:t>
      </w:r>
      <w:r w:rsidR="00C34A69">
        <w:t>, 2015</w:t>
      </w:r>
      <w:r w:rsidR="004D733D" w:rsidRPr="00CB13FB">
        <w:t xml:space="preserve">, </w:t>
      </w:r>
      <w:r>
        <w:t>Alonza Carson</w:t>
      </w:r>
      <w:r w:rsidR="004D733D" w:rsidRPr="00CB13FB">
        <w:t xml:space="preserve"> (Complainant) file</w:t>
      </w:r>
      <w:r w:rsidR="00C34A69">
        <w:t>d a formal Complaint</w:t>
      </w:r>
      <w:r w:rsidR="004D733D" w:rsidRPr="00CB13FB">
        <w:t xml:space="preserve"> with the Pennsylvania Public</w:t>
      </w:r>
      <w:r w:rsidR="00C34A69">
        <w:t xml:space="preserve"> Utility Commission</w:t>
      </w:r>
      <w:r w:rsidR="004D733D" w:rsidRPr="00CB13FB">
        <w:t xml:space="preserve"> against </w:t>
      </w:r>
      <w:r>
        <w:t>Philadelphia Gas Works</w:t>
      </w:r>
      <w:r w:rsidR="00AB77C6">
        <w:t xml:space="preserve"> </w:t>
      </w:r>
      <w:r w:rsidR="004D733D" w:rsidRPr="00CB13FB">
        <w:t>(</w:t>
      </w:r>
      <w:r w:rsidR="00162A30" w:rsidRPr="00CB13FB">
        <w:t>Respondent</w:t>
      </w:r>
      <w:r>
        <w:t xml:space="preserve"> or PGW</w:t>
      </w:r>
      <w:r w:rsidR="004D733D" w:rsidRPr="00CB13FB">
        <w:t>)</w:t>
      </w:r>
      <w:r w:rsidR="00100FD6">
        <w:t xml:space="preserve"> alleging</w:t>
      </w:r>
      <w:r w:rsidR="00FF292A" w:rsidRPr="00CB13FB">
        <w:t xml:space="preserve"> </w:t>
      </w:r>
      <w:r w:rsidR="001005F5" w:rsidRPr="00CB13FB">
        <w:t>t</w:t>
      </w:r>
      <w:r>
        <w:t>hat PGW had terminated his service, th</w:t>
      </w:r>
      <w:r w:rsidR="002D7A7D">
        <w:t>a</w:t>
      </w:r>
      <w:r>
        <w:t>t there were two people over the age of 65, one with a disability, in his household, and that PGW had violated the rule of the federal poverty guidelines</w:t>
      </w:r>
      <w:r w:rsidR="00FF292A" w:rsidRPr="00CB13FB">
        <w:t>.</w:t>
      </w:r>
      <w:r w:rsidR="00EB32DE" w:rsidRPr="00CB13FB">
        <w:t xml:space="preserve">  </w:t>
      </w:r>
      <w:r>
        <w:t xml:space="preserve">He </w:t>
      </w:r>
      <w:r w:rsidR="0010208B">
        <w:t>requested</w:t>
      </w:r>
      <w:r>
        <w:t xml:space="preserve"> that the Commission set up</w:t>
      </w:r>
      <w:r w:rsidR="0010208B">
        <w:t xml:space="preserve"> a paym</w:t>
      </w:r>
      <w:r>
        <w:t>ent arrangement</w:t>
      </w:r>
      <w:r w:rsidR="006A44C5">
        <w:t xml:space="preserve">.  </w:t>
      </w:r>
      <w:r w:rsidR="00460987" w:rsidRPr="00CB13FB">
        <w:t xml:space="preserve">On </w:t>
      </w:r>
      <w:r w:rsidR="00FC2C81">
        <w:t>December 2, 2015, PGW</w:t>
      </w:r>
      <w:r w:rsidR="00C34A69">
        <w:t xml:space="preserve"> filed an Answer</w:t>
      </w:r>
      <w:r w:rsidR="004B0E16" w:rsidRPr="00CB13FB">
        <w:t xml:space="preserve"> to the Complaint.  In its Answer, </w:t>
      </w:r>
      <w:r w:rsidR="00FC2C81">
        <w:t>PGW</w:t>
      </w:r>
      <w:r w:rsidR="00A428F9" w:rsidRPr="00CB13FB">
        <w:t xml:space="preserve"> admitted </w:t>
      </w:r>
      <w:r w:rsidR="00897C94" w:rsidRPr="00CB13FB">
        <w:t>that</w:t>
      </w:r>
      <w:r w:rsidR="00FC2C81">
        <w:t xml:space="preserve"> it had</w:t>
      </w:r>
      <w:r w:rsidR="00C34A69">
        <w:t xml:space="preserve"> terminat</w:t>
      </w:r>
      <w:r w:rsidR="00C96311">
        <w:t>e</w:t>
      </w:r>
      <w:r w:rsidR="00FC2C81">
        <w:t>d gas service to Mr. Carson for an unpaid balance of $4,033.47</w:t>
      </w:r>
      <w:r w:rsidR="00C34A69">
        <w:t xml:space="preserve">.    </w:t>
      </w:r>
      <w:r w:rsidR="00FC2C81">
        <w:t>PGW</w:t>
      </w:r>
      <w:r w:rsidR="0026695F">
        <w:t xml:space="preserve"> further </w:t>
      </w:r>
      <w:r w:rsidR="00D01F5E">
        <w:t>averred</w:t>
      </w:r>
      <w:r w:rsidR="00FC2C81">
        <w:t xml:space="preserve"> that Mr. Carson had broken two payment agreements made between the parties and had not made a payment on his account</w:t>
      </w:r>
      <w:r w:rsidR="00525A09">
        <w:t xml:space="preserve"> since April 5, 2013</w:t>
      </w:r>
      <w:r w:rsidR="00D01F5E">
        <w:t>.</w:t>
      </w:r>
      <w:r w:rsidR="004D3C9B">
        <w:t xml:space="preserve">  The company requested that the Commission deny the Complaint.</w:t>
      </w:r>
    </w:p>
    <w:p w:rsidR="00952C5D" w:rsidRDefault="008A6259" w:rsidP="00322912">
      <w:pPr>
        <w:spacing w:line="360" w:lineRule="auto"/>
        <w:ind w:firstLine="1440"/>
      </w:pPr>
      <w:r>
        <w:lastRenderedPageBreak/>
        <w:t>A Telephonic</w:t>
      </w:r>
      <w:r w:rsidR="004D733D" w:rsidRPr="00CB13FB">
        <w:t xml:space="preserve"> Hearing Notice dated </w:t>
      </w:r>
      <w:r w:rsidR="00806351">
        <w:t>December 11</w:t>
      </w:r>
      <w:r w:rsidR="00F87B49">
        <w:t>, 2015</w:t>
      </w:r>
      <w:r w:rsidR="004D733D" w:rsidRPr="00CB13FB">
        <w:t xml:space="preserve">, advised the parties that an initial telephonic hearing was scheduled for </w:t>
      </w:r>
      <w:r w:rsidR="00806351">
        <w:t>Thursday, January 7, 2016</w:t>
      </w:r>
      <w:r w:rsidR="004D733D" w:rsidRPr="00CB13FB">
        <w:t>, at 10:00 a.m.  The case was assigned to me, pu</w:t>
      </w:r>
      <w:r w:rsidR="00F87B49">
        <w:t xml:space="preserve">rsuant to 52 Pa. Code § 56.174.  </w:t>
      </w:r>
      <w:r w:rsidR="004D733D" w:rsidRPr="00CB13FB">
        <w:t xml:space="preserve">A Prehearing Order dated </w:t>
      </w:r>
      <w:r w:rsidR="00806351">
        <w:t>December 18</w:t>
      </w:r>
      <w:r w:rsidR="00F87B49">
        <w:t>, 2015</w:t>
      </w:r>
      <w:r w:rsidR="004D733D" w:rsidRPr="00CB13FB">
        <w:t>, advised the parties of the date and time of the scheduled hearing, and informed them of t</w:t>
      </w:r>
      <w:r>
        <w:t>he procedures applicable to the</w:t>
      </w:r>
      <w:r w:rsidR="004D733D" w:rsidRPr="00CB13FB">
        <w:t xml:space="preserve"> proceeding</w:t>
      </w:r>
      <w:r w:rsidR="00F87B49">
        <w:t xml:space="preserve">.  </w:t>
      </w:r>
      <w:r w:rsidR="00D54797" w:rsidRPr="00CB13FB">
        <w:t>In accordance with the provisions of the Prehearing Order, th</w:t>
      </w:r>
      <w:r w:rsidR="00F87B49">
        <w:t xml:space="preserve">e Respondent submitted four </w:t>
      </w:r>
      <w:r w:rsidR="00D54797" w:rsidRPr="00CB13FB">
        <w:t>proposed exhibits f</w:t>
      </w:r>
      <w:r w:rsidR="00F87B49">
        <w:t>or possible use at the hearing.</w:t>
      </w:r>
    </w:p>
    <w:p w:rsidR="00952C5D" w:rsidRPr="00CB13FB" w:rsidRDefault="00952C5D" w:rsidP="00E55020">
      <w:pPr>
        <w:spacing w:line="360" w:lineRule="auto"/>
      </w:pPr>
    </w:p>
    <w:p w:rsidR="00814E58" w:rsidRPr="00CB13FB" w:rsidRDefault="004D733D" w:rsidP="006D365F">
      <w:pPr>
        <w:spacing w:line="360" w:lineRule="auto"/>
        <w:ind w:firstLine="1440"/>
      </w:pPr>
      <w:r w:rsidRPr="00CB13FB">
        <w:t>The initial telephonic hearing convened as scheduled.</w:t>
      </w:r>
      <w:r w:rsidRPr="00CB13FB">
        <w:rPr>
          <w:rStyle w:val="FootnoteReference"/>
        </w:rPr>
        <w:footnoteReference w:id="1"/>
      </w:r>
      <w:r w:rsidRPr="00CB13FB">
        <w:t xml:space="preserve">  </w:t>
      </w:r>
      <w:r w:rsidR="00322912">
        <w:t>Mr. Carson</w:t>
      </w:r>
      <w:r w:rsidRPr="00CB13FB">
        <w:t xml:space="preserve"> appeared </w:t>
      </w:r>
      <w:r w:rsidRPr="00CB13FB">
        <w:rPr>
          <w:i/>
          <w:iCs/>
        </w:rPr>
        <w:t>pro se</w:t>
      </w:r>
      <w:r w:rsidRPr="00CB13FB">
        <w:t xml:space="preserve"> and testified on h</w:t>
      </w:r>
      <w:r w:rsidR="00322912">
        <w:t>is</w:t>
      </w:r>
      <w:r w:rsidRPr="00CB13FB">
        <w:t xml:space="preserve"> own behalf.  </w:t>
      </w:r>
      <w:r w:rsidR="00322912">
        <w:t xml:space="preserve"> Graciela Christlieb, Esq., counsel for </w:t>
      </w:r>
      <w:proofErr w:type="gramStart"/>
      <w:r w:rsidR="00322912">
        <w:t>PGW</w:t>
      </w:r>
      <w:r w:rsidRPr="00CB13FB">
        <w:t>,</w:t>
      </w:r>
      <w:proofErr w:type="gramEnd"/>
      <w:r w:rsidRPr="00CB13FB">
        <w:t xml:space="preserve"> </w:t>
      </w:r>
      <w:r w:rsidR="00322912">
        <w:t>appeared on behalf of the R</w:t>
      </w:r>
      <w:r w:rsidR="003C5B6A">
        <w:t xml:space="preserve">espondent and </w:t>
      </w:r>
      <w:r w:rsidRPr="00CB13FB">
        <w:t>pr</w:t>
      </w:r>
      <w:r w:rsidR="00F87B49">
        <w:t>esented the testimo</w:t>
      </w:r>
      <w:r w:rsidR="003C5B6A">
        <w:t>n</w:t>
      </w:r>
      <w:r w:rsidR="00322912">
        <w:t>y of one witness, Christine Jackson</w:t>
      </w:r>
      <w:r w:rsidRPr="00CB13FB">
        <w:t xml:space="preserve">, a </w:t>
      </w:r>
      <w:r w:rsidR="00322912">
        <w:t>customer review unit officer</w:t>
      </w:r>
      <w:r w:rsidRPr="00CB13FB">
        <w:t xml:space="preserve"> for Respondent, </w:t>
      </w:r>
      <w:r w:rsidR="00A16FE8" w:rsidRPr="00CB13FB">
        <w:t>who</w:t>
      </w:r>
      <w:r w:rsidRPr="00CB13FB">
        <w:t xml:space="preserve"> sponsored </w:t>
      </w:r>
      <w:r w:rsidR="00322912">
        <w:t>four</w:t>
      </w:r>
      <w:r w:rsidR="00F87B49">
        <w:t xml:space="preserve"> </w:t>
      </w:r>
      <w:r w:rsidRPr="00CB13FB">
        <w:t>exhibits</w:t>
      </w:r>
      <w:r w:rsidR="00322912">
        <w:t>.  All four</w:t>
      </w:r>
      <w:r w:rsidR="00F65891" w:rsidRPr="00CB13FB">
        <w:t xml:space="preserve"> exhibits </w:t>
      </w:r>
      <w:r w:rsidR="000D6CF2" w:rsidRPr="00CB13FB">
        <w:t>were admitted into the record.</w:t>
      </w:r>
      <w:r w:rsidR="00F87B49">
        <w:t xml:space="preserve">  </w:t>
      </w:r>
      <w:r w:rsidR="00322912">
        <w:t>On January 13, 2016, by Interim Order, Mr. Carson was directed to submit proof of the birth of an additional household member.  On January 22, 2016, Mr. Carson filed the requested information.  No objection to the exhibi</w:t>
      </w:r>
      <w:r w:rsidR="009C7C6D">
        <w:t>t was made by the Respondent and</w:t>
      </w:r>
      <w:r w:rsidR="00322912">
        <w:t xml:space="preserve"> the exhibit is admitted into the record.  </w:t>
      </w:r>
      <w:r w:rsidR="00F87B49">
        <w:t>T</w:t>
      </w:r>
      <w:r w:rsidR="00322912">
        <w:t xml:space="preserve">he record closed on </w:t>
      </w:r>
      <w:r w:rsidR="0008136A">
        <w:t>February</w:t>
      </w:r>
      <w:r w:rsidR="004535AA">
        <w:t xml:space="preserve"> 1, 2016</w:t>
      </w:r>
      <w:r w:rsidR="00322912">
        <w:t xml:space="preserve"> upon the expiration of time for PGW to file an objection to the Complainant’s late filed exhibit</w:t>
      </w:r>
      <w:r w:rsidR="00F65891" w:rsidRPr="00CB13FB">
        <w:t>.</w:t>
      </w:r>
    </w:p>
    <w:p w:rsidR="00853048" w:rsidRPr="00CB13FB" w:rsidRDefault="00853048" w:rsidP="00430F28">
      <w:pPr>
        <w:spacing w:line="360" w:lineRule="auto"/>
      </w:pPr>
    </w:p>
    <w:p w:rsidR="004D733D" w:rsidRPr="00CB13FB" w:rsidRDefault="004D733D" w:rsidP="00C96AF4">
      <w:pPr>
        <w:spacing w:line="360" w:lineRule="auto"/>
        <w:jc w:val="center"/>
        <w:rPr>
          <w:u w:val="single"/>
        </w:rPr>
      </w:pPr>
      <w:r w:rsidRPr="00CB13FB">
        <w:rPr>
          <w:u w:val="single"/>
        </w:rPr>
        <w:t>FINDINGS OF FACT</w:t>
      </w:r>
    </w:p>
    <w:p w:rsidR="004A14DE" w:rsidRPr="00CB13FB" w:rsidRDefault="004A14DE" w:rsidP="00B25FE0">
      <w:pPr>
        <w:spacing w:line="360" w:lineRule="auto"/>
        <w:rPr>
          <w:u w:val="single"/>
        </w:rPr>
      </w:pPr>
    </w:p>
    <w:p w:rsidR="003F428C" w:rsidRPr="00CB13FB" w:rsidRDefault="004D733D" w:rsidP="00B25FE0">
      <w:pPr>
        <w:pStyle w:val="ListParagraph"/>
        <w:numPr>
          <w:ilvl w:val="0"/>
          <w:numId w:val="1"/>
        </w:numPr>
        <w:spacing w:line="360" w:lineRule="auto"/>
        <w:ind w:left="0" w:firstLine="1440"/>
        <w:contextualSpacing/>
      </w:pPr>
      <w:r w:rsidRPr="00CB13FB">
        <w:t xml:space="preserve">The Complainant is </w:t>
      </w:r>
      <w:r w:rsidR="00322912">
        <w:t>Alonza Carson</w:t>
      </w:r>
      <w:r w:rsidR="005759B7" w:rsidRPr="00CB13FB">
        <w:t xml:space="preserve">, who </w:t>
      </w:r>
      <w:r w:rsidR="004D22BA">
        <w:t xml:space="preserve">resides </w:t>
      </w:r>
      <w:r w:rsidR="005759B7" w:rsidRPr="00CB13FB">
        <w:t xml:space="preserve">at </w:t>
      </w:r>
      <w:r w:rsidR="004D22BA">
        <w:t>5720 Malcolm St., Philadelphia</w:t>
      </w:r>
      <w:r w:rsidR="00F85697">
        <w:t>, PA</w:t>
      </w:r>
      <w:r w:rsidR="005759B7" w:rsidRPr="00CB13FB">
        <w:t>.</w:t>
      </w:r>
    </w:p>
    <w:p w:rsidR="004A14DE" w:rsidRPr="00CB13FB" w:rsidRDefault="004A14DE" w:rsidP="00B25FE0">
      <w:pPr>
        <w:pStyle w:val="ListParagraph"/>
        <w:spacing w:line="360" w:lineRule="auto"/>
        <w:ind w:left="0"/>
        <w:contextualSpacing/>
      </w:pPr>
    </w:p>
    <w:p w:rsidR="005759B7" w:rsidRDefault="004D22BA" w:rsidP="00B25FE0">
      <w:pPr>
        <w:pStyle w:val="ListParagraph"/>
        <w:numPr>
          <w:ilvl w:val="0"/>
          <w:numId w:val="1"/>
        </w:numPr>
        <w:spacing w:line="360" w:lineRule="auto"/>
        <w:ind w:left="0" w:firstLine="1440"/>
        <w:contextualSpacing/>
      </w:pPr>
      <w:r>
        <w:t>The Respondent is Philadelphia Gas Works</w:t>
      </w:r>
      <w:r w:rsidR="00DA641D" w:rsidRPr="00CB13FB">
        <w:t>.</w:t>
      </w:r>
    </w:p>
    <w:p w:rsidR="003B4B77" w:rsidRDefault="003B4B77" w:rsidP="00B25FE0">
      <w:pPr>
        <w:pStyle w:val="ListParagraph"/>
        <w:spacing w:line="360" w:lineRule="auto"/>
        <w:ind w:left="0"/>
        <w:contextualSpacing/>
      </w:pPr>
    </w:p>
    <w:p w:rsidR="0077772E" w:rsidRDefault="0077772E" w:rsidP="00B25FE0">
      <w:pPr>
        <w:pStyle w:val="ListParagraph"/>
        <w:numPr>
          <w:ilvl w:val="0"/>
          <w:numId w:val="1"/>
        </w:numPr>
        <w:spacing w:line="360" w:lineRule="auto"/>
        <w:ind w:left="0" w:firstLine="1440"/>
        <w:contextualSpacing/>
      </w:pPr>
      <w:r>
        <w:t>The Complainant resides at the service address w</w:t>
      </w:r>
      <w:r w:rsidR="004D57BF">
        <w:t>ith two other adults and an infant</w:t>
      </w:r>
      <w:r>
        <w:t xml:space="preserve"> child.</w:t>
      </w:r>
    </w:p>
    <w:p w:rsidR="005F5CDE" w:rsidRDefault="005F5CDE" w:rsidP="00B25FE0">
      <w:pPr>
        <w:pStyle w:val="ListParagraph"/>
        <w:spacing w:line="360" w:lineRule="auto"/>
        <w:ind w:left="0"/>
        <w:contextualSpacing/>
      </w:pPr>
    </w:p>
    <w:p w:rsidR="005F5CDE" w:rsidRDefault="005F5CDE" w:rsidP="00B25FE0">
      <w:pPr>
        <w:pStyle w:val="ListParagraph"/>
        <w:numPr>
          <w:ilvl w:val="0"/>
          <w:numId w:val="1"/>
        </w:numPr>
        <w:spacing w:line="360" w:lineRule="auto"/>
        <w:ind w:left="0" w:firstLine="1440"/>
        <w:contextualSpacing/>
      </w:pPr>
      <w:r>
        <w:t>Mr. Carson’s total household income is</w:t>
      </w:r>
      <w:r w:rsidR="006F4B51">
        <w:t xml:space="preserve"> equal to $2932 per month. </w:t>
      </w:r>
      <w:r>
        <w:t xml:space="preserve"> </w:t>
      </w:r>
    </w:p>
    <w:p w:rsidR="005F5CDE" w:rsidRDefault="005F5CDE" w:rsidP="00B25FE0">
      <w:pPr>
        <w:pStyle w:val="ListParagraph"/>
        <w:spacing w:line="360" w:lineRule="auto"/>
        <w:ind w:left="0"/>
        <w:contextualSpacing/>
      </w:pPr>
    </w:p>
    <w:p w:rsidR="005F5CDE" w:rsidRDefault="005F5CDE" w:rsidP="00B25FE0">
      <w:pPr>
        <w:pStyle w:val="ListParagraph"/>
        <w:numPr>
          <w:ilvl w:val="0"/>
          <w:numId w:val="1"/>
        </w:numPr>
        <w:spacing w:line="360" w:lineRule="auto"/>
        <w:ind w:left="0" w:firstLine="1440"/>
        <w:contextualSpacing/>
      </w:pPr>
      <w:r>
        <w:lastRenderedPageBreak/>
        <w:t xml:space="preserve">The household income is comprised of $1757 per month in social security for Mr. Carson, $981 per month in social security for his spouse, and $194 per month in food stamps for his adult daughter. </w:t>
      </w:r>
    </w:p>
    <w:p w:rsidR="005F5CDE" w:rsidRDefault="005F5CDE" w:rsidP="00B25FE0">
      <w:pPr>
        <w:pStyle w:val="ListParagraph"/>
        <w:spacing w:line="360" w:lineRule="auto"/>
        <w:ind w:left="0"/>
        <w:contextualSpacing/>
      </w:pPr>
    </w:p>
    <w:p w:rsidR="0077772E" w:rsidRDefault="0077772E" w:rsidP="00B25FE0">
      <w:pPr>
        <w:pStyle w:val="ListParagraph"/>
        <w:numPr>
          <w:ilvl w:val="0"/>
          <w:numId w:val="1"/>
        </w:numPr>
        <w:spacing w:line="360" w:lineRule="auto"/>
        <w:ind w:left="0" w:firstLine="1440"/>
        <w:contextualSpacing/>
      </w:pPr>
      <w:r>
        <w:t>Gas service to the service address was term</w:t>
      </w:r>
      <w:r w:rsidR="004D57BF">
        <w:t>inated on April 3, 2014 for non</w:t>
      </w:r>
      <w:r>
        <w:t>payment.</w:t>
      </w:r>
    </w:p>
    <w:p w:rsidR="003B4B77" w:rsidRDefault="003B4B77" w:rsidP="00B25FE0">
      <w:pPr>
        <w:pStyle w:val="ListParagraph"/>
        <w:spacing w:line="360" w:lineRule="auto"/>
        <w:ind w:left="0"/>
        <w:contextualSpacing/>
      </w:pPr>
    </w:p>
    <w:p w:rsidR="0077772E" w:rsidRDefault="0077772E" w:rsidP="00B25FE0">
      <w:pPr>
        <w:pStyle w:val="ListParagraph"/>
        <w:numPr>
          <w:ilvl w:val="0"/>
          <w:numId w:val="1"/>
        </w:numPr>
        <w:spacing w:line="360" w:lineRule="auto"/>
        <w:ind w:left="0" w:firstLine="1440"/>
        <w:contextualSpacing/>
      </w:pPr>
      <w:r>
        <w:t>As of the date of the hearing, Mr. Carson’s gas service was still off.</w:t>
      </w:r>
    </w:p>
    <w:p w:rsidR="003B4B77" w:rsidRDefault="003B4B77" w:rsidP="00B25FE0">
      <w:pPr>
        <w:pStyle w:val="ListParagraph"/>
        <w:spacing w:line="360" w:lineRule="auto"/>
        <w:ind w:left="0"/>
        <w:contextualSpacing/>
      </w:pPr>
    </w:p>
    <w:p w:rsidR="0077772E" w:rsidRDefault="0077772E" w:rsidP="00B25FE0">
      <w:pPr>
        <w:pStyle w:val="ListParagraph"/>
        <w:numPr>
          <w:ilvl w:val="0"/>
          <w:numId w:val="1"/>
        </w:numPr>
        <w:spacing w:line="360" w:lineRule="auto"/>
        <w:ind w:left="0" w:firstLine="1440"/>
        <w:contextualSpacing/>
      </w:pPr>
      <w:r>
        <w:t>The Complainant has defaulted on two payment arr</w:t>
      </w:r>
      <w:r w:rsidR="006F4B51">
        <w:t>angements negotiated with PGW; November 2007 and</w:t>
      </w:r>
      <w:r>
        <w:t xml:space="preserve"> April 2013.  PGW </w:t>
      </w:r>
      <w:proofErr w:type="spellStart"/>
      <w:r>
        <w:t>Exh</w:t>
      </w:r>
      <w:proofErr w:type="spellEnd"/>
      <w:r>
        <w:t>. 3.</w:t>
      </w:r>
    </w:p>
    <w:p w:rsidR="003B4B77" w:rsidRDefault="003B4B77" w:rsidP="00B25FE0">
      <w:pPr>
        <w:pStyle w:val="ListParagraph"/>
        <w:spacing w:line="360" w:lineRule="auto"/>
        <w:ind w:left="0"/>
        <w:contextualSpacing/>
      </w:pPr>
    </w:p>
    <w:p w:rsidR="0077772E" w:rsidRDefault="0077772E" w:rsidP="00B25FE0">
      <w:pPr>
        <w:pStyle w:val="ListParagraph"/>
        <w:numPr>
          <w:ilvl w:val="0"/>
          <w:numId w:val="1"/>
        </w:numPr>
        <w:spacing w:line="360" w:lineRule="auto"/>
        <w:ind w:left="0" w:firstLine="1440"/>
        <w:contextualSpacing/>
      </w:pPr>
      <w:r>
        <w:t>The Complainant made a t</w:t>
      </w:r>
      <w:r w:rsidR="007C167E">
        <w:t>otal of two payments in 2012,</w:t>
      </w:r>
      <w:r>
        <w:t xml:space="preserve"> a total of two payments in 2013</w:t>
      </w:r>
      <w:r w:rsidR="007C167E">
        <w:t>,</w:t>
      </w:r>
      <w:r w:rsidR="00DE1731">
        <w:t xml:space="preserve"> and none after his service was terminated</w:t>
      </w:r>
      <w:r>
        <w:t>.</w:t>
      </w:r>
    </w:p>
    <w:p w:rsidR="00873AC9" w:rsidRDefault="00873AC9" w:rsidP="00B25FE0">
      <w:pPr>
        <w:pStyle w:val="ListParagraph"/>
        <w:spacing w:line="360" w:lineRule="auto"/>
        <w:ind w:left="0"/>
        <w:contextualSpacing/>
      </w:pPr>
    </w:p>
    <w:p w:rsidR="00873AC9" w:rsidRDefault="00873AC9" w:rsidP="00B25FE0">
      <w:pPr>
        <w:pStyle w:val="ListParagraph"/>
        <w:numPr>
          <w:ilvl w:val="0"/>
          <w:numId w:val="1"/>
        </w:numPr>
        <w:spacing w:line="360" w:lineRule="auto"/>
        <w:ind w:left="0" w:firstLine="1440"/>
        <w:contextualSpacing/>
      </w:pPr>
      <w:r>
        <w:t xml:space="preserve">The Complainant has not </w:t>
      </w:r>
      <w:r w:rsidR="00E154EE">
        <w:t xml:space="preserve">previously </w:t>
      </w:r>
      <w:r>
        <w:t>been granted a payment arrangement by the Commission.</w:t>
      </w:r>
    </w:p>
    <w:p w:rsidR="007109F6" w:rsidRDefault="007109F6" w:rsidP="00B25FE0">
      <w:pPr>
        <w:pStyle w:val="ListParagraph"/>
        <w:spacing w:line="360" w:lineRule="auto"/>
        <w:ind w:left="0"/>
        <w:contextualSpacing/>
      </w:pPr>
    </w:p>
    <w:p w:rsidR="004B5BA7" w:rsidRPr="00BF7221" w:rsidRDefault="004D733D" w:rsidP="00BF7221">
      <w:pPr>
        <w:spacing w:line="360" w:lineRule="auto"/>
        <w:jc w:val="center"/>
        <w:rPr>
          <w:u w:val="single"/>
        </w:rPr>
      </w:pPr>
      <w:r w:rsidRPr="00CB13FB">
        <w:rPr>
          <w:u w:val="single"/>
        </w:rPr>
        <w:t>DISCUSSION</w:t>
      </w:r>
    </w:p>
    <w:p w:rsidR="00106FFD" w:rsidRDefault="00106FFD" w:rsidP="004F552C">
      <w:pPr>
        <w:spacing w:line="360" w:lineRule="auto"/>
      </w:pPr>
    </w:p>
    <w:p w:rsidR="000D1820" w:rsidRPr="00CB13FB" w:rsidRDefault="006B7E0B" w:rsidP="004F552C">
      <w:pPr>
        <w:spacing w:line="360" w:lineRule="auto"/>
      </w:pPr>
      <w:r>
        <w:tab/>
      </w:r>
      <w:r>
        <w:tab/>
      </w:r>
      <w:r w:rsidR="00B1404D">
        <w:t>At the hearing, Mr. Carson testified that he cannot afford the payment arrangement offered by PGW, that he has suspended his cable service and chose</w:t>
      </w:r>
      <w:r w:rsidR="00F77DF7">
        <w:t>n</w:t>
      </w:r>
      <w:r w:rsidR="00B1404D">
        <w:t xml:space="preserve"> an electric generation supplier in an effort to reduce his bills and pay PGW, and that he had not made a payment to PGW since April 5, 2013 because his service was off.  </w:t>
      </w:r>
      <w:r w:rsidR="00CE332B">
        <w:t>In addition, his daughter was expecting a baby in a few days</w:t>
      </w:r>
      <w:r w:rsidR="003E658A">
        <w:t xml:space="preserve">.  </w:t>
      </w:r>
      <w:r w:rsidR="00B1404D">
        <w:t xml:space="preserve">He requested a payment arrangement giving at least twelve months to pay his arrearage.  The Complainant also alleged that PGW had violated the federal poverty guidelines by not giving him a lower payment arrangement. </w:t>
      </w:r>
      <w:r w:rsidR="00C15144">
        <w:t xml:space="preserve"> In response, PGW presented evidence that Mr. Carson had made only four payments in total since the beginning of </w:t>
      </w:r>
      <w:proofErr w:type="gramStart"/>
      <w:r w:rsidR="00C15144">
        <w:t>2012</w:t>
      </w:r>
      <w:r w:rsidR="003E658A">
        <w:t>, that</w:t>
      </w:r>
      <w:proofErr w:type="gramEnd"/>
      <w:r w:rsidR="003E658A">
        <w:t xml:space="preserve"> his service had been terminated in April 2014 for nonpayment, and he had not made any payments on his account since April 2013</w:t>
      </w:r>
      <w:r w:rsidR="00C15144">
        <w:t xml:space="preserve">. </w:t>
      </w:r>
    </w:p>
    <w:p w:rsidR="000C73A2" w:rsidRPr="00CB13FB" w:rsidRDefault="000C73A2" w:rsidP="000C73A2">
      <w:pPr>
        <w:spacing w:line="360" w:lineRule="auto"/>
      </w:pPr>
    </w:p>
    <w:p w:rsidR="00EE37EA" w:rsidRDefault="00EE37EA" w:rsidP="00B25FE0">
      <w:pPr>
        <w:spacing w:line="360" w:lineRule="auto"/>
      </w:pPr>
      <w:r>
        <w:lastRenderedPageBreak/>
        <w:tab/>
      </w:r>
      <w:r>
        <w:tab/>
      </w:r>
      <w:r w:rsidR="00070F4A" w:rsidRPr="00CB13FB">
        <w:t>A</w:t>
      </w:r>
      <w:r w:rsidR="00726347" w:rsidRPr="00CB13FB">
        <w:t>s the party seeking affirmative relief from the Commission, the Complainant bears the burden of provin</w:t>
      </w:r>
      <w:r w:rsidR="00FC0B7B" w:rsidRPr="00CB13FB">
        <w:t xml:space="preserve">g by substantial evidence that </w:t>
      </w:r>
      <w:r w:rsidR="00271364">
        <w:t>he</w:t>
      </w:r>
      <w:r w:rsidR="00726347" w:rsidRPr="00CB13FB">
        <w:t xml:space="preserve"> is entitled to the requeste</w:t>
      </w:r>
      <w:r w:rsidR="0045113B" w:rsidRPr="00CB13FB">
        <w:t xml:space="preserve">d relief.  </w:t>
      </w:r>
      <w:proofErr w:type="gramStart"/>
      <w:r w:rsidR="0045113B" w:rsidRPr="00CB13FB">
        <w:t>66 Pa. C.S. § 332(a).</w:t>
      </w:r>
      <w:proofErr w:type="gramEnd"/>
      <w:r w:rsidR="0045113B" w:rsidRPr="00CB13FB">
        <w:t xml:space="preserve">  </w:t>
      </w:r>
      <w:r w:rsidR="004D733D" w:rsidRPr="00CB13FB">
        <w:t xml:space="preserve">To satisfy this burden, the Complainant must show that the named utility is responsible or accountable for the problem described in the Complaint.  </w:t>
      </w:r>
      <w:proofErr w:type="gramStart"/>
      <w:r w:rsidR="004D733D" w:rsidRPr="00C35DF4">
        <w:rPr>
          <w:i/>
        </w:rPr>
        <w:t>Patterson v. Bell Telephone Co. of Pa.</w:t>
      </w:r>
      <w:r w:rsidR="004D733D" w:rsidRPr="00CB13FB">
        <w:t xml:space="preserve">, 72 Pa. PUC 196 (1990); </w:t>
      </w:r>
      <w:r w:rsidR="004D733D" w:rsidRPr="00C35DF4">
        <w:rPr>
          <w:i/>
        </w:rPr>
        <w:t>Feinstein v. Philadelphia Suburban Water Co.</w:t>
      </w:r>
      <w:r w:rsidR="004D733D" w:rsidRPr="00CB13FB">
        <w:t>, 50 Pa. PUC 300 (1976).</w:t>
      </w:r>
      <w:proofErr w:type="gramEnd"/>
      <w:r w:rsidR="004D733D" w:rsidRPr="00CB13FB">
        <w:t xml:space="preserve">  This must be shown by a preponderance of the evidence, that is, by presenting evidence more convincing, by even the smallest amount, than that presented by the other party.  </w:t>
      </w:r>
      <w:proofErr w:type="gramStart"/>
      <w:r w:rsidR="004D733D" w:rsidRPr="00C35DF4">
        <w:rPr>
          <w:i/>
        </w:rPr>
        <w:t>Samuel J. Lansberry, Inc. v. Pa. Public Utility Comm</w:t>
      </w:r>
      <w:r w:rsidR="004D733D" w:rsidRPr="00C35DF4">
        <w:t>.,</w:t>
      </w:r>
      <w:r w:rsidR="004D733D" w:rsidRPr="00CB13FB">
        <w:t xml:space="preserve"> 578 A.2d 600 (Pa. Cmwlth. 1990), </w:t>
      </w:r>
      <w:r w:rsidR="004D733D" w:rsidRPr="00C35DF4">
        <w:rPr>
          <w:i/>
        </w:rPr>
        <w:t>alloc.</w:t>
      </w:r>
      <w:proofErr w:type="gramEnd"/>
      <w:r w:rsidR="004D733D" w:rsidRPr="00C35DF4">
        <w:rPr>
          <w:i/>
        </w:rPr>
        <w:t xml:space="preserve"> </w:t>
      </w:r>
      <w:proofErr w:type="gramStart"/>
      <w:r w:rsidR="004D733D" w:rsidRPr="00C35DF4">
        <w:rPr>
          <w:i/>
        </w:rPr>
        <w:t>den</w:t>
      </w:r>
      <w:r w:rsidR="004D733D" w:rsidRPr="00CB13FB">
        <w:rPr>
          <w:u w:val="single"/>
        </w:rPr>
        <w:t>.</w:t>
      </w:r>
      <w:r w:rsidR="004D733D" w:rsidRPr="00CB13FB">
        <w:t xml:space="preserve">, 602 A.2d 863 (Pa. 1992); </w:t>
      </w:r>
      <w:r w:rsidR="004D733D" w:rsidRPr="00C35DF4">
        <w:rPr>
          <w:i/>
        </w:rPr>
        <w:t xml:space="preserve">Se-Ling Hosiery v. </w:t>
      </w:r>
      <w:r w:rsidR="004D733D" w:rsidRPr="00C35DF4">
        <w:rPr>
          <w:i/>
          <w:spacing w:val="-3"/>
        </w:rPr>
        <w:t>Margulies</w:t>
      </w:r>
      <w:r w:rsidR="004D733D" w:rsidRPr="00CB13FB">
        <w:t>, 70 A.2d 854 (Pa. 1950).</w:t>
      </w:r>
      <w:proofErr w:type="gramEnd"/>
      <w:r w:rsidR="004D733D" w:rsidRPr="00CB13FB">
        <w:t xml:space="preserve">  Additionally, any finding of fact necessary to support the Commission’s adjudication must be based upon substantial evidence.  </w:t>
      </w:r>
      <w:proofErr w:type="gramStart"/>
      <w:r w:rsidR="004D733D" w:rsidRPr="00C35DF4">
        <w:rPr>
          <w:i/>
        </w:rPr>
        <w:t>Mill v. Pa. Public Utility Comm</w:t>
      </w:r>
      <w:r w:rsidR="004D733D" w:rsidRPr="00CB13FB">
        <w:rPr>
          <w:u w:val="single"/>
        </w:rPr>
        <w:t>.</w:t>
      </w:r>
      <w:r w:rsidR="004D733D" w:rsidRPr="00CB13FB">
        <w:t xml:space="preserve">, 447 A.2d 1100 (Pa. Cmwlth. 1982); </w:t>
      </w:r>
      <w:proofErr w:type="spellStart"/>
      <w:r w:rsidR="004D733D" w:rsidRPr="00C35DF4">
        <w:rPr>
          <w:i/>
        </w:rPr>
        <w:t>Edan</w:t>
      </w:r>
      <w:proofErr w:type="spellEnd"/>
      <w:r w:rsidR="004D733D" w:rsidRPr="00C35DF4">
        <w:rPr>
          <w:i/>
        </w:rPr>
        <w:t xml:space="preserve"> Transportation Corp. v. Pa. Public Utility Comm.</w:t>
      </w:r>
      <w:r w:rsidR="004D733D" w:rsidRPr="00CB13FB">
        <w:t>, 623 A.2d 6 (Pa. Cmwlth. 1993); 2 Pa. C.S.A. § 704.</w:t>
      </w:r>
      <w:proofErr w:type="gramEnd"/>
      <w:r w:rsidR="004D733D" w:rsidRPr="00CB13FB">
        <w:t xml:space="preserve">  More is required than a mere trace of evidence or a suspicion of the existence of a fact sought to be established.  </w:t>
      </w:r>
      <w:proofErr w:type="gramStart"/>
      <w:r w:rsidR="004D733D" w:rsidRPr="00C35DF4">
        <w:rPr>
          <w:i/>
        </w:rPr>
        <w:t>Norfolk and Western Ry. v. Pa. Public Utility Comm.</w:t>
      </w:r>
      <w:r w:rsidR="004D733D" w:rsidRPr="00CB13FB">
        <w:t xml:space="preserve">, 413 A.2d 1037 (Pa. 1980); </w:t>
      </w:r>
      <w:r w:rsidR="004D733D" w:rsidRPr="00C35DF4">
        <w:rPr>
          <w:i/>
        </w:rPr>
        <w:t>Erie Resistor Corp. v. Unemployment Compensation Bd. of Review</w:t>
      </w:r>
      <w:r w:rsidR="004D733D" w:rsidRPr="00CB13FB">
        <w:t xml:space="preserve">, 166 A.2d 96 (Pa. Super. 1960); </w:t>
      </w:r>
      <w:r w:rsidR="004D733D" w:rsidRPr="00C35DF4">
        <w:rPr>
          <w:i/>
        </w:rPr>
        <w:t>Murphy v. Dep’t.</w:t>
      </w:r>
      <w:proofErr w:type="gramEnd"/>
      <w:r w:rsidR="004D733D" w:rsidRPr="00C35DF4">
        <w:rPr>
          <w:i/>
        </w:rPr>
        <w:t xml:space="preserve"> </w:t>
      </w:r>
      <w:proofErr w:type="gramStart"/>
      <w:r w:rsidR="004D733D" w:rsidRPr="00C35DF4">
        <w:rPr>
          <w:i/>
        </w:rPr>
        <w:t>of</w:t>
      </w:r>
      <w:proofErr w:type="gramEnd"/>
      <w:r w:rsidR="004D733D" w:rsidRPr="00C35DF4">
        <w:rPr>
          <w:i/>
        </w:rPr>
        <w:t xml:space="preserve"> Public Welfare, White Haven Center</w:t>
      </w:r>
      <w:r w:rsidR="004D733D" w:rsidRPr="00CB13FB">
        <w:t>, 480 A.2d 382 (Pa. Cmwlth. 1984).</w:t>
      </w:r>
      <w:r>
        <w:t xml:space="preserve">                                               </w:t>
      </w:r>
    </w:p>
    <w:p w:rsidR="00EE37EA" w:rsidRDefault="00EE37EA" w:rsidP="00B25FE0">
      <w:pPr>
        <w:spacing w:line="360" w:lineRule="auto"/>
      </w:pPr>
    </w:p>
    <w:p w:rsidR="00EE37EA" w:rsidRDefault="00EE37EA" w:rsidP="00B25FE0">
      <w:pPr>
        <w:spacing w:line="360" w:lineRule="auto"/>
        <w:rPr>
          <w:u w:val="single"/>
        </w:rPr>
      </w:pPr>
      <w:r w:rsidRPr="00EE37EA">
        <w:rPr>
          <w:u w:val="single"/>
        </w:rPr>
        <w:t>Payment Arrangement</w:t>
      </w:r>
    </w:p>
    <w:p w:rsidR="00857DD5" w:rsidRPr="007C167E" w:rsidRDefault="00857DD5" w:rsidP="00B25FE0">
      <w:pPr>
        <w:spacing w:line="360" w:lineRule="auto"/>
        <w:rPr>
          <w:u w:val="single"/>
        </w:rPr>
      </w:pPr>
    </w:p>
    <w:p w:rsidR="00874BD7" w:rsidRDefault="00EE37EA" w:rsidP="00B25FE0">
      <w:pPr>
        <w:spacing w:line="360" w:lineRule="auto"/>
      </w:pPr>
      <w:r>
        <w:tab/>
      </w:r>
      <w:r>
        <w:tab/>
      </w:r>
      <w:r w:rsidR="00C35DF4" w:rsidRPr="006C6758">
        <w:t xml:space="preserve">The Responsible Utility Customer Protection Act, </w:t>
      </w:r>
      <w:proofErr w:type="gramStart"/>
      <w:r w:rsidR="00C35DF4" w:rsidRPr="006C6758">
        <w:t xml:space="preserve">66 </w:t>
      </w:r>
      <w:proofErr w:type="spellStart"/>
      <w:r w:rsidR="00C35DF4" w:rsidRPr="006C6758">
        <w:t>Pa.C.S</w:t>
      </w:r>
      <w:proofErr w:type="spellEnd"/>
      <w:proofErr w:type="gramEnd"/>
      <w:r w:rsidR="00C35DF4" w:rsidRPr="006C6758">
        <w:t xml:space="preserve">. § 1401, </w:t>
      </w:r>
      <w:proofErr w:type="gramStart"/>
      <w:r w:rsidR="00C35DF4" w:rsidRPr="006C6758">
        <w:rPr>
          <w:i/>
        </w:rPr>
        <w:t>et</w:t>
      </w:r>
      <w:proofErr w:type="gramEnd"/>
      <w:r w:rsidR="00C35DF4" w:rsidRPr="006C6758">
        <w:rPr>
          <w:i/>
        </w:rPr>
        <w:t xml:space="preserve"> </w:t>
      </w:r>
      <w:proofErr w:type="spellStart"/>
      <w:r w:rsidR="00C35DF4" w:rsidRPr="006C6758">
        <w:rPr>
          <w:i/>
        </w:rPr>
        <w:t>seq</w:t>
      </w:r>
      <w:proofErr w:type="spellEnd"/>
      <w:r w:rsidR="00C35DF4">
        <w:t xml:space="preserve"> (</w:t>
      </w:r>
      <w:r w:rsidR="00C35DF4" w:rsidRPr="006C6758">
        <w:t>Chapter 14) applies to complaints alleging inability to pay and requests for Commission-issued payment</w:t>
      </w:r>
      <w:r w:rsidR="006E68F2">
        <w:t xml:space="preserve"> arrangements</w:t>
      </w:r>
      <w:r w:rsidR="00C35DF4">
        <w:t>.  This law authorizes the Commission to establish payment arrangements between a public utility and its customers</w:t>
      </w:r>
      <w:r w:rsidR="00595AD7">
        <w:t>, as well as</w:t>
      </w:r>
      <w:r w:rsidR="007D7809">
        <w:t xml:space="preserve"> applicants</w:t>
      </w:r>
      <w:r w:rsidR="00595AD7">
        <w:t xml:space="preserve"> for service,</w:t>
      </w:r>
      <w:r w:rsidR="00C35DF4">
        <w:t xml:space="preserve"> within prescribed limits</w:t>
      </w:r>
      <w:r w:rsidR="00C35DF4" w:rsidRPr="006C6758">
        <w:t xml:space="preserve"> that the Commission must follow.</w:t>
      </w:r>
      <w:r w:rsidR="00C35DF4">
        <w:t xml:space="preserve">  </w:t>
      </w:r>
      <w:proofErr w:type="gramStart"/>
      <w:r w:rsidR="00C35DF4" w:rsidRPr="006C6758">
        <w:t xml:space="preserve">66 </w:t>
      </w:r>
      <w:proofErr w:type="spellStart"/>
      <w:r w:rsidR="00C35DF4" w:rsidRPr="006C6758">
        <w:t>Pa.</w:t>
      </w:r>
      <w:r w:rsidR="00C35DF4">
        <w:t>C.S</w:t>
      </w:r>
      <w:proofErr w:type="spellEnd"/>
      <w:r w:rsidR="00C35DF4">
        <w:t>.</w:t>
      </w:r>
      <w:proofErr w:type="gramEnd"/>
      <w:r w:rsidR="00C35DF4">
        <w:t xml:space="preserve"> § 1405(a</w:t>
      </w:r>
      <w:r w:rsidR="00C35DF4" w:rsidRPr="006C6758">
        <w:t>).</w:t>
      </w:r>
      <w:r w:rsidR="00815ED8">
        <w:t xml:space="preserve"> </w:t>
      </w:r>
      <w:r w:rsidR="007F1369">
        <w:t xml:space="preserve">  </w:t>
      </w:r>
      <w:r w:rsidR="00A11DB5">
        <w:t>I</w:t>
      </w:r>
      <w:r w:rsidR="00137821">
        <w:t xml:space="preserve">n cases where the Commission is authorized by law to establish a payment arrangement between a customer and a utility, </w:t>
      </w:r>
      <w:r w:rsidR="006711BB">
        <w:rPr>
          <w:rFonts w:ascii="Times New (W1)" w:eastAsia="Times New Roman" w:hAnsi="Times New (W1)"/>
          <w:sz w:val="26"/>
          <w:szCs w:val="26"/>
        </w:rPr>
        <w:t xml:space="preserve">it </w:t>
      </w:r>
      <w:r w:rsidR="00A11DB5">
        <w:t>has the</w:t>
      </w:r>
      <w:r w:rsidR="006711BB" w:rsidRPr="006711BB">
        <w:t xml:space="preserve"> responsibility to exercise its authority very judiciously </w:t>
      </w:r>
      <w:r w:rsidR="00A11DB5">
        <w:t>where</w:t>
      </w:r>
      <w:r w:rsidR="006711BB" w:rsidRPr="006711BB">
        <w:t xml:space="preserve"> a utility has lawfully terminated a customer for</w:t>
      </w:r>
      <w:r w:rsidR="006711BB">
        <w:t xml:space="preserve"> nonpayment.  Specifically, the</w:t>
      </w:r>
      <w:r w:rsidR="006711BB" w:rsidRPr="006711BB">
        <w:t xml:space="preserve"> Commission should exercise its discretion </w:t>
      </w:r>
      <w:r w:rsidR="00B56418">
        <w:t>to issue</w:t>
      </w:r>
      <w:r w:rsidR="006711BB">
        <w:t xml:space="preserve"> payment arrangement</w:t>
      </w:r>
      <w:r w:rsidR="00B56418">
        <w:t>s</w:t>
      </w:r>
      <w:r w:rsidR="006711BB">
        <w:t xml:space="preserve"> </w:t>
      </w:r>
      <w:r w:rsidR="006711BB" w:rsidRPr="006711BB">
        <w:t xml:space="preserve">only on behalf of customers who have demonstrated some evidence </w:t>
      </w:r>
      <w:proofErr w:type="gramStart"/>
      <w:r w:rsidR="006711BB" w:rsidRPr="006711BB">
        <w:t>of</w:t>
      </w:r>
      <w:r w:rsidR="006711BB">
        <w:t xml:space="preserve"> </w:t>
      </w:r>
      <w:r w:rsidR="007C167E">
        <w:t xml:space="preserve"> </w:t>
      </w:r>
      <w:r w:rsidR="006711BB" w:rsidRPr="006711BB">
        <w:t>good</w:t>
      </w:r>
      <w:proofErr w:type="gramEnd"/>
      <w:r w:rsidR="006711BB" w:rsidRPr="006711BB">
        <w:t xml:space="preserve"> faith eff</w:t>
      </w:r>
      <w:r w:rsidR="006711BB">
        <w:t>ort to pay their utility bills</w:t>
      </w:r>
      <w:r w:rsidR="00A11DB5">
        <w:t xml:space="preserve"> or who have experienced a significant change of </w:t>
      </w:r>
      <w:r w:rsidR="00A11DB5">
        <w:lastRenderedPageBreak/>
        <w:t>circumstances beyond their control</w:t>
      </w:r>
      <w:r w:rsidR="006711BB">
        <w:t xml:space="preserve">.  </w:t>
      </w:r>
      <w:r w:rsidR="006711BB" w:rsidRPr="006711BB">
        <w:rPr>
          <w:i/>
        </w:rPr>
        <w:t>George Crawford v. National Fuel Gas Distribution Corp</w:t>
      </w:r>
      <w:r w:rsidR="006711BB" w:rsidRPr="006711BB">
        <w:t>., C-20066348 (</w:t>
      </w:r>
      <w:r w:rsidR="002828C2">
        <w:t xml:space="preserve">Opinion and Order </w:t>
      </w:r>
      <w:r w:rsidR="006711BB" w:rsidRPr="006711BB">
        <w:t>entered December 6, 2007</w:t>
      </w:r>
      <w:r w:rsidR="003400C9">
        <w:t>)</w:t>
      </w:r>
      <w:r w:rsidR="00A11DB5">
        <w:t xml:space="preserve">.  </w:t>
      </w:r>
    </w:p>
    <w:p w:rsidR="00874BD7" w:rsidRDefault="00874BD7" w:rsidP="00B25FE0">
      <w:pPr>
        <w:spacing w:line="360" w:lineRule="auto"/>
      </w:pPr>
    </w:p>
    <w:p w:rsidR="00605B22" w:rsidRPr="00605B22" w:rsidRDefault="00874BD7" w:rsidP="00B25FE0">
      <w:pPr>
        <w:spacing w:line="360" w:lineRule="auto"/>
      </w:pPr>
      <w:r>
        <w:tab/>
      </w:r>
      <w:r>
        <w:tab/>
        <w:t xml:space="preserve">In determining what is considered a “significant change of circumstances,” </w:t>
      </w:r>
      <w:r w:rsidR="005A1E48">
        <w:t xml:space="preserve">Chapter 14 </w:t>
      </w:r>
      <w:r>
        <w:t>is instructive.  A</w:t>
      </w:r>
      <w:r w:rsidR="005A1E48">
        <w:t xml:space="preserve"> significant change in circumstance</w:t>
      </w:r>
      <w:r>
        <w:t xml:space="preserve"> is defined</w:t>
      </w:r>
      <w:r w:rsidR="005A1E48">
        <w:t xml:space="preserve"> to include, </w:t>
      </w:r>
      <w:r w:rsidR="005A1E48" w:rsidRPr="005A1E48">
        <w:rPr>
          <w:i/>
        </w:rPr>
        <w:t>inter alia</w:t>
      </w:r>
      <w:r w:rsidR="005A1E48">
        <w:t xml:space="preserve">, an increase in the customer’s number of dependents in the household for customers with a household income less than 300% of the federal poverty level.  </w:t>
      </w:r>
      <w:proofErr w:type="gramStart"/>
      <w:r w:rsidR="005A1E48">
        <w:t xml:space="preserve">66 </w:t>
      </w:r>
      <w:proofErr w:type="spellStart"/>
      <w:r w:rsidR="005A1E48">
        <w:t>Pa.C.S</w:t>
      </w:r>
      <w:proofErr w:type="spellEnd"/>
      <w:r w:rsidR="005A1E48">
        <w:t>.</w:t>
      </w:r>
      <w:proofErr w:type="gramEnd"/>
      <w:r w:rsidR="005A1E48">
        <w:t xml:space="preserve"> § 1403.</w:t>
      </w:r>
      <w:r>
        <w:t xml:space="preserve">  While I note that Section 1403 applies to customers and Mr. Carson is an applicant for service, the Commission in </w:t>
      </w:r>
      <w:r w:rsidRPr="00874BD7">
        <w:rPr>
          <w:i/>
        </w:rPr>
        <w:t>Crawford</w:t>
      </w:r>
      <w:r>
        <w:t xml:space="preserve"> chose to use a ter</w:t>
      </w:r>
      <w:r w:rsidR="005200AE">
        <w:t>m almost identical to the term</w:t>
      </w:r>
      <w:r>
        <w:t xml:space="preserve"> defined in Chapter 14 and apply it to a si</w:t>
      </w:r>
      <w:r w:rsidR="00170983">
        <w:t>tuation where an applicant sought</w:t>
      </w:r>
      <w:r>
        <w:t xml:space="preserve"> a payment arrangement.</w:t>
      </w:r>
      <w:r w:rsidR="0003207C">
        <w:rPr>
          <w:rStyle w:val="FootnoteReference"/>
        </w:rPr>
        <w:footnoteReference w:id="2"/>
      </w:r>
      <w:r>
        <w:t xml:space="preserve">  </w:t>
      </w:r>
    </w:p>
    <w:p w:rsidR="002828C2" w:rsidRDefault="002828C2" w:rsidP="00B25FE0">
      <w:pPr>
        <w:spacing w:line="360" w:lineRule="auto"/>
        <w:ind w:firstLine="1354"/>
      </w:pPr>
    </w:p>
    <w:p w:rsidR="00BF3DBB" w:rsidRDefault="00292048" w:rsidP="00B25FE0">
      <w:pPr>
        <w:spacing w:line="360" w:lineRule="auto"/>
        <w:ind w:firstLine="1354"/>
      </w:pPr>
      <w:r>
        <w:t xml:space="preserve">In </w:t>
      </w:r>
      <w:r w:rsidRPr="003272C7">
        <w:rPr>
          <w:i/>
        </w:rPr>
        <w:t>Crawford</w:t>
      </w:r>
      <w:r>
        <w:t xml:space="preserve">, the Commission declined to set a payment arrangement </w:t>
      </w:r>
      <w:r w:rsidR="008B0C89">
        <w:t xml:space="preserve">for a </w:t>
      </w:r>
      <w:r w:rsidR="0016190B">
        <w:t>customer who</w:t>
      </w:r>
      <w:r w:rsidR="00885FA1">
        <w:t xml:space="preserve"> had been terminated for non-payment based on his</w:t>
      </w:r>
      <w:r>
        <w:t xml:space="preserve"> payment history even though the Commission had not previously established a payment arrangement on his behalf.  The Commission not</w:t>
      </w:r>
      <w:r w:rsidR="003272C7">
        <w:t>ed that in the eighteen months prior to receiving a termination notice from the utility, the Complainant had paid only 6.6% of his bills despite having an income of $2,408 a month.</w:t>
      </w:r>
      <w:r w:rsidR="00FF7421">
        <w:t xml:space="preserve">  Additionally, the Complainant</w:t>
      </w:r>
      <w:r w:rsidR="00B4650E">
        <w:t xml:space="preserve"> in </w:t>
      </w:r>
      <w:r w:rsidR="00B4650E" w:rsidRPr="00B4650E">
        <w:rPr>
          <w:i/>
        </w:rPr>
        <w:t>Crawford</w:t>
      </w:r>
      <w:r w:rsidR="00FF7421">
        <w:t xml:space="preserve"> had been granted a payment arrangement after filing an informal complaint and his service </w:t>
      </w:r>
      <w:r w:rsidR="008F481D">
        <w:t xml:space="preserve">had been </w:t>
      </w:r>
      <w:r w:rsidR="00FF7421">
        <w:t>restored yet</w:t>
      </w:r>
      <w:r w:rsidR="008F481D">
        <w:t>,</w:t>
      </w:r>
      <w:r w:rsidR="00FF7421">
        <w:t xml:space="preserve"> instead of his past due balance decreasing, it grew. </w:t>
      </w:r>
      <w:r w:rsidR="003272C7">
        <w:t xml:space="preserve"> </w:t>
      </w:r>
      <w:r w:rsidR="00BA3C02">
        <w:t xml:space="preserve">Furthermore, he did not present any evidence of a significant change in circumstances.  </w:t>
      </w:r>
      <w:proofErr w:type="gramStart"/>
      <w:r w:rsidR="003272C7" w:rsidRPr="003272C7">
        <w:rPr>
          <w:i/>
        </w:rPr>
        <w:t>Crawford</w:t>
      </w:r>
      <w:r w:rsidR="003272C7">
        <w:t xml:space="preserve"> at 15.</w:t>
      </w:r>
      <w:proofErr w:type="gramEnd"/>
      <w:r w:rsidR="003272C7">
        <w:t xml:space="preserve">  </w:t>
      </w:r>
      <w:r w:rsidR="006E6BBB">
        <w:t xml:space="preserve"> </w:t>
      </w:r>
    </w:p>
    <w:p w:rsidR="0003207C" w:rsidRDefault="0003207C" w:rsidP="00B25FE0">
      <w:pPr>
        <w:spacing w:line="360" w:lineRule="auto"/>
        <w:ind w:firstLine="1354"/>
      </w:pPr>
    </w:p>
    <w:p w:rsidR="003E3D32" w:rsidRDefault="00FF7421" w:rsidP="00B25FE0">
      <w:pPr>
        <w:spacing w:line="360" w:lineRule="auto"/>
        <w:ind w:firstLine="1354"/>
      </w:pPr>
      <w:r>
        <w:t xml:space="preserve">In this case, Mr. Carson has made a total of four payments in four years despite having a household income of almost $3000 per month. </w:t>
      </w:r>
      <w:r w:rsidR="00D14676">
        <w:t xml:space="preserve"> His service was terminated a full year after he made his last payment.  </w:t>
      </w:r>
      <w:r>
        <w:t xml:space="preserve"> Although he has filed two informal complaints with the Commission requesting a payment arran</w:t>
      </w:r>
      <w:r w:rsidR="00F137CC">
        <w:t>gement, he has not made a</w:t>
      </w:r>
      <w:r>
        <w:t xml:space="preserve"> payment toward his arrearages.</w:t>
      </w:r>
      <w:r w:rsidR="00D14676">
        <w:t xml:space="preserve">  </w:t>
      </w:r>
      <w:r w:rsidR="002C1558">
        <w:t xml:space="preserve">However, despite his lack of good faith effort to pay his bills, </w:t>
      </w:r>
      <w:r w:rsidR="008001CF">
        <w:t xml:space="preserve">I will grant the Complainant a payment arrangement for the reasons that follow.  </w:t>
      </w:r>
      <w:r w:rsidR="002C1558">
        <w:t>Mr. Carson’</w:t>
      </w:r>
      <w:r w:rsidR="00874BD7">
        <w:t>s household has experienced an</w:t>
      </w:r>
      <w:r w:rsidR="002C1558">
        <w:t xml:space="preserve"> increase in the numbe</w:t>
      </w:r>
      <w:r w:rsidR="00BA3C02">
        <w:t>r of dependents</w:t>
      </w:r>
      <w:r w:rsidR="002C1558">
        <w:t xml:space="preserve"> with the recent birth of his gran</w:t>
      </w:r>
      <w:r w:rsidR="00BF3DBB">
        <w:t>d</w:t>
      </w:r>
      <w:r w:rsidR="002C1558">
        <w:t>child</w:t>
      </w:r>
      <w:r w:rsidR="008001CF">
        <w:t xml:space="preserve"> and</w:t>
      </w:r>
      <w:r w:rsidR="00BF3DBB">
        <w:t xml:space="preserve"> </w:t>
      </w:r>
      <w:r w:rsidR="008001CF">
        <w:t>his</w:t>
      </w:r>
      <w:r w:rsidR="00874BD7">
        <w:t xml:space="preserve"> household income is below 150% of the federal poverty level. </w:t>
      </w:r>
      <w:r w:rsidR="00BA3C02">
        <w:t xml:space="preserve"> </w:t>
      </w:r>
      <w:r w:rsidR="008001CF">
        <w:t xml:space="preserve">Additionally, in </w:t>
      </w:r>
      <w:r w:rsidR="008001CF" w:rsidRPr="008001CF">
        <w:rPr>
          <w:i/>
        </w:rPr>
        <w:t>Crawford</w:t>
      </w:r>
      <w:r w:rsidR="008001CF">
        <w:t xml:space="preserve">, the </w:t>
      </w:r>
      <w:r w:rsidR="008001CF">
        <w:lastRenderedPageBreak/>
        <w:t xml:space="preserve">Commission, in determining that the complainant was not to receive a payment </w:t>
      </w:r>
      <w:proofErr w:type="gramStart"/>
      <w:r w:rsidR="008001CF">
        <w:t>arrangement,</w:t>
      </w:r>
      <w:proofErr w:type="gramEnd"/>
      <w:r w:rsidR="008001CF">
        <w:t xml:space="preserve"> relied in part on the fact that BCS had given him a payment arrangement and his arrearage continued to grow.  </w:t>
      </w:r>
      <w:proofErr w:type="gramStart"/>
      <w:r w:rsidR="008001CF" w:rsidRPr="008001CF">
        <w:rPr>
          <w:i/>
        </w:rPr>
        <w:t>Id</w:t>
      </w:r>
      <w:r w:rsidR="008001CF">
        <w:t xml:space="preserve"> at 15.</w:t>
      </w:r>
      <w:proofErr w:type="gramEnd"/>
      <w:r w:rsidR="008001CF">
        <w:t xml:space="preserve"> </w:t>
      </w:r>
      <w:r w:rsidR="004C410A">
        <w:t xml:space="preserve"> In contrast, </w:t>
      </w:r>
      <w:r w:rsidR="008001CF">
        <w:t xml:space="preserve">Mr. Carson has not </w:t>
      </w:r>
      <w:r w:rsidR="00C2389D">
        <w:t xml:space="preserve">yet </w:t>
      </w:r>
      <w:r w:rsidR="008001CF">
        <w:t>been given a payment arra</w:t>
      </w:r>
      <w:r w:rsidR="00390194">
        <w:t>ngement</w:t>
      </w:r>
      <w:r w:rsidR="00C2389D">
        <w:t xml:space="preserve"> nor did the Respondent object</w:t>
      </w:r>
      <w:r w:rsidR="00F137CC">
        <w:t xml:space="preserve"> at the hearing</w:t>
      </w:r>
      <w:r w:rsidR="00C2389D">
        <w:t xml:space="preserve"> to a Commission ordered payment </w:t>
      </w:r>
      <w:r w:rsidR="00F137CC">
        <w:t>arrangement</w:t>
      </w:r>
      <w:r w:rsidR="00390194">
        <w:t>.</w:t>
      </w:r>
      <w:r w:rsidR="004C410A">
        <w:t xml:space="preserve"> </w:t>
      </w:r>
      <w:r w:rsidR="00BA3C02">
        <w:t>As the Complainant has experienced a significant change in circumstances</w:t>
      </w:r>
      <w:r w:rsidR="004C410A">
        <w:t xml:space="preserve"> and has not previously been granted a payment arrangement by the Commission</w:t>
      </w:r>
      <w:r w:rsidR="00BA3C02">
        <w:t>, he will be granted a payment agreement according to the terms set forth below.</w:t>
      </w:r>
    </w:p>
    <w:p w:rsidR="00BA3C02" w:rsidRDefault="00BA3C02" w:rsidP="00B25FE0">
      <w:pPr>
        <w:spacing w:line="360" w:lineRule="auto"/>
        <w:ind w:firstLine="1354"/>
      </w:pPr>
    </w:p>
    <w:p w:rsidR="00BA3C02" w:rsidRDefault="00BA3C02" w:rsidP="00B25FE0">
      <w:pPr>
        <w:spacing w:line="360" w:lineRule="auto"/>
        <w:ind w:firstLine="1354"/>
      </w:pPr>
      <w:r w:rsidRPr="00BA3C02">
        <w:t xml:space="preserve">The maximum length of time to resolve an unpaid balance the Commission is authorized to allow depends upon the Complainant’s gross monthly household income as follows:  (1) Five years for customers with an income not exceeding 150% of the federal poverty level; (2) three years for customers with an income exceeding 150% of the federal poverty level but not by more than 250%; (3) one year for customers with an income exceeding 250% of the federal poverty level but not by more than 300%; and (4) six months for customers with an income exceeding 300% of the federal poverty level.  </w:t>
      </w:r>
      <w:proofErr w:type="gramStart"/>
      <w:r w:rsidRPr="00BA3C02">
        <w:t xml:space="preserve">66 </w:t>
      </w:r>
      <w:proofErr w:type="spellStart"/>
      <w:r w:rsidRPr="00BA3C02">
        <w:t>Pa.C.S</w:t>
      </w:r>
      <w:proofErr w:type="spellEnd"/>
      <w:r w:rsidRPr="00BA3C02">
        <w:t>.</w:t>
      </w:r>
      <w:proofErr w:type="gramEnd"/>
      <w:r w:rsidRPr="00BA3C02">
        <w:t xml:space="preserve"> § 1405(b).</w:t>
      </w:r>
      <w:r>
        <w:t xml:space="preserve">  </w:t>
      </w:r>
    </w:p>
    <w:p w:rsidR="00BA3C02" w:rsidRDefault="00BA3C02" w:rsidP="00B25FE0">
      <w:pPr>
        <w:spacing w:line="360" w:lineRule="auto"/>
        <w:ind w:firstLine="1354"/>
      </w:pPr>
    </w:p>
    <w:p w:rsidR="00390194" w:rsidRDefault="00BA3C02" w:rsidP="00B25FE0">
      <w:pPr>
        <w:spacing w:line="360" w:lineRule="auto"/>
        <w:ind w:firstLine="1354"/>
      </w:pPr>
      <w:r>
        <w:t>The Complainant testified that his household income is $2932 per month f</w:t>
      </w:r>
      <w:r w:rsidR="00E74F34">
        <w:t xml:space="preserve">or four people which </w:t>
      </w:r>
      <w:proofErr w:type="gramStart"/>
      <w:r w:rsidR="00E74F34">
        <w:t>places</w:t>
      </w:r>
      <w:proofErr w:type="gramEnd"/>
      <w:r w:rsidR="00E74F34">
        <w:t xml:space="preserve"> his income</w:t>
      </w:r>
      <w:r>
        <w:t xml:space="preserve"> below 150% of the federal poverty level.  As a level one customer under Chapter 14, Mr. Carson is allowed sixty months to reconcile his past due balance.  </w:t>
      </w:r>
      <w:proofErr w:type="gramStart"/>
      <w:r w:rsidRPr="00BA3C02">
        <w:t xml:space="preserve">66 </w:t>
      </w:r>
      <w:proofErr w:type="spellStart"/>
      <w:r w:rsidRPr="00BA3C02">
        <w:t>Pa.C.S</w:t>
      </w:r>
      <w:proofErr w:type="spellEnd"/>
      <w:r w:rsidRPr="00BA3C02">
        <w:t>.</w:t>
      </w:r>
      <w:proofErr w:type="gramEnd"/>
      <w:r w:rsidRPr="00BA3C02">
        <w:t xml:space="preserve"> § 1405(b</w:t>
      </w:r>
      <w:proofErr w:type="gramStart"/>
      <w:r w:rsidRPr="00BA3C02">
        <w:t>)(</w:t>
      </w:r>
      <w:proofErr w:type="gramEnd"/>
      <w:r>
        <w:t>1</w:t>
      </w:r>
      <w:r w:rsidRPr="00BA3C02">
        <w:t xml:space="preserve">).  </w:t>
      </w:r>
      <w:r w:rsidR="00390194">
        <w:t xml:space="preserve">The Complainant is cautioned that should he fail to keep the terms of this payment arrangement, the Commission is without authority to issue another except in very limited circumstances. </w:t>
      </w:r>
      <w:r w:rsidR="005543C5">
        <w:t xml:space="preserve">  I note that it is the Commission’s duty to balance the needs of the customer and the utility.  While I am granting a payment arrangement to a customer who has experienced a significant change of circumstances, the addition of an infant to the household, Mr. Carson is required to pay any reconnection fee and security deposit required by PGW in accordance with Chapter 14 before his service is reconnected.</w:t>
      </w:r>
    </w:p>
    <w:p w:rsidR="00493171" w:rsidRDefault="00493171" w:rsidP="00B25FE0">
      <w:pPr>
        <w:spacing w:line="360" w:lineRule="auto"/>
      </w:pPr>
    </w:p>
    <w:p w:rsidR="00493171" w:rsidRPr="00493171" w:rsidRDefault="00493171" w:rsidP="00B25FE0">
      <w:pPr>
        <w:spacing w:line="360" w:lineRule="auto"/>
        <w:rPr>
          <w:u w:val="single"/>
        </w:rPr>
      </w:pPr>
      <w:r>
        <w:rPr>
          <w:u w:val="single"/>
        </w:rPr>
        <w:t>Federal Poverty Level</w:t>
      </w:r>
    </w:p>
    <w:p w:rsidR="00493171" w:rsidRDefault="00493171" w:rsidP="00B25FE0">
      <w:pPr>
        <w:spacing w:line="360" w:lineRule="auto"/>
      </w:pPr>
    </w:p>
    <w:p w:rsidR="00C02594" w:rsidRDefault="00493171" w:rsidP="00B25FE0">
      <w:pPr>
        <w:spacing w:line="360" w:lineRule="auto"/>
      </w:pPr>
      <w:r>
        <w:tab/>
      </w:r>
      <w:r w:rsidR="000F1693">
        <w:tab/>
      </w:r>
      <w:r>
        <w:t>In his Complaint, Mr. Carson alleged that PGW violated the “rule” of the federal poverty level.  This allegation was renewed at the hearing.  The federal poverty level</w:t>
      </w:r>
      <w:r w:rsidR="000F1693">
        <w:t xml:space="preserve"> is a </w:t>
      </w:r>
      <w:r w:rsidR="000F1693">
        <w:lastRenderedPageBreak/>
        <w:t>measure of income issued annually by the federal Department of Health and Human Services and is used by the federal government to determine a person’s eligibility for certain programs.  Although Chapter 14 of</w:t>
      </w:r>
      <w:r w:rsidR="00FB64BE">
        <w:t xml:space="preserve"> the Pennsylvania Code also relies on</w:t>
      </w:r>
      <w:r w:rsidR="000F1693">
        <w:t xml:space="preserve"> the federal poverty level</w:t>
      </w:r>
      <w:r w:rsidR="00FB64BE">
        <w:t xml:space="preserve"> criteria</w:t>
      </w:r>
      <w:r w:rsidR="000F1693">
        <w:t xml:space="preserve"> to determine the length of a payment arrangement, it is not a rule that can be violated.  This allegation is therefore dismissed.</w:t>
      </w:r>
    </w:p>
    <w:p w:rsidR="00E95342" w:rsidRPr="000F1693" w:rsidRDefault="00E95342" w:rsidP="00B25FE0">
      <w:pPr>
        <w:spacing w:line="360" w:lineRule="auto"/>
      </w:pPr>
    </w:p>
    <w:p w:rsidR="00002380" w:rsidRPr="00CB13FB" w:rsidRDefault="00002380" w:rsidP="00002380">
      <w:pPr>
        <w:spacing w:line="360" w:lineRule="auto"/>
        <w:jc w:val="center"/>
        <w:rPr>
          <w:u w:val="single"/>
        </w:rPr>
      </w:pPr>
      <w:r w:rsidRPr="00CB13FB">
        <w:rPr>
          <w:u w:val="single"/>
        </w:rPr>
        <w:t>CONCLUSIONS OF LAW</w:t>
      </w:r>
    </w:p>
    <w:p w:rsidR="00002380" w:rsidRPr="00CB13FB" w:rsidRDefault="00002380" w:rsidP="002F560F">
      <w:pPr>
        <w:spacing w:line="360" w:lineRule="auto"/>
        <w:rPr>
          <w:u w:val="single"/>
        </w:rPr>
      </w:pPr>
    </w:p>
    <w:p w:rsidR="00002380" w:rsidRPr="00CB13FB" w:rsidRDefault="00002380" w:rsidP="002F560F">
      <w:pPr>
        <w:numPr>
          <w:ilvl w:val="0"/>
          <w:numId w:val="5"/>
        </w:numPr>
        <w:tabs>
          <w:tab w:val="clear" w:pos="900"/>
          <w:tab w:val="num" w:pos="2160"/>
        </w:tabs>
        <w:spacing w:line="360" w:lineRule="auto"/>
        <w:ind w:left="0" w:firstLine="1440"/>
      </w:pPr>
      <w:r w:rsidRPr="00CB13FB">
        <w:t>The Commission has jurisdiction over the parties and the subject matter of this proceeding.  66 Pa. C.S.A. §</w:t>
      </w:r>
      <w:r w:rsidR="004D1B6D">
        <w:t xml:space="preserve"> </w:t>
      </w:r>
      <w:r w:rsidRPr="00CB13FB">
        <w:t>701.</w:t>
      </w:r>
    </w:p>
    <w:p w:rsidR="00002380" w:rsidRPr="00CB13FB" w:rsidRDefault="00002380" w:rsidP="002F560F">
      <w:pPr>
        <w:tabs>
          <w:tab w:val="num" w:pos="2160"/>
        </w:tabs>
        <w:spacing w:line="360" w:lineRule="auto"/>
        <w:ind w:firstLine="1260"/>
      </w:pPr>
    </w:p>
    <w:p w:rsidR="00002380" w:rsidRPr="00CB13FB" w:rsidRDefault="00002380" w:rsidP="002F560F">
      <w:pPr>
        <w:pStyle w:val="FootnoteText"/>
        <w:spacing w:line="360" w:lineRule="auto"/>
        <w:rPr>
          <w:sz w:val="24"/>
          <w:szCs w:val="24"/>
        </w:rPr>
      </w:pPr>
      <w:r w:rsidRPr="00CB13FB">
        <w:rPr>
          <w:sz w:val="24"/>
          <w:szCs w:val="24"/>
        </w:rPr>
        <w:tab/>
      </w:r>
      <w:r w:rsidRPr="00CB13FB">
        <w:rPr>
          <w:sz w:val="24"/>
          <w:szCs w:val="24"/>
        </w:rPr>
        <w:tab/>
        <w:t>2.</w:t>
      </w:r>
      <w:r w:rsidRPr="00CB13FB">
        <w:rPr>
          <w:sz w:val="24"/>
          <w:szCs w:val="24"/>
        </w:rPr>
        <w:tab/>
        <w:t xml:space="preserve">The Complainant had the burden of proof.  </w:t>
      </w:r>
      <w:proofErr w:type="gramStart"/>
      <w:r w:rsidRPr="00CB13FB">
        <w:rPr>
          <w:sz w:val="24"/>
          <w:szCs w:val="24"/>
        </w:rPr>
        <w:t>66 Pa. C.S.A. § 332(a).</w:t>
      </w:r>
      <w:proofErr w:type="gramEnd"/>
    </w:p>
    <w:p w:rsidR="00002380" w:rsidRPr="00CB13FB" w:rsidRDefault="00002380" w:rsidP="002F560F">
      <w:pPr>
        <w:pStyle w:val="FootnoteText"/>
        <w:spacing w:line="360" w:lineRule="auto"/>
        <w:rPr>
          <w:sz w:val="24"/>
          <w:szCs w:val="24"/>
        </w:rPr>
      </w:pPr>
    </w:p>
    <w:p w:rsidR="00002380" w:rsidRPr="00CB13FB" w:rsidRDefault="00002380" w:rsidP="002F560F">
      <w:pPr>
        <w:spacing w:line="360" w:lineRule="auto"/>
      </w:pPr>
      <w:r w:rsidRPr="00CB13FB">
        <w:tab/>
      </w:r>
      <w:r w:rsidRPr="00CB13FB">
        <w:tab/>
        <w:t>3.</w:t>
      </w:r>
      <w:r w:rsidRPr="00CB13FB">
        <w:tab/>
        <w:t>The Responsible Utility Customer Protection Act, 66 Pa. C.S.A. §</w:t>
      </w:r>
      <w:r w:rsidR="00251C0A" w:rsidRPr="00CB13FB">
        <w:t>§</w:t>
      </w:r>
      <w:r w:rsidRPr="00CB13FB">
        <w:t xml:space="preserve"> 1401, </w:t>
      </w:r>
      <w:r w:rsidRPr="00CB13FB">
        <w:rPr>
          <w:i/>
          <w:iCs/>
        </w:rPr>
        <w:t>et seq</w:t>
      </w:r>
      <w:r w:rsidRPr="00CB13FB">
        <w:t>., applies to this proceeding.</w:t>
      </w:r>
    </w:p>
    <w:p w:rsidR="00002380" w:rsidRPr="00CB13FB" w:rsidRDefault="00002380" w:rsidP="002F560F">
      <w:pPr>
        <w:spacing w:line="360" w:lineRule="auto"/>
      </w:pPr>
      <w:r w:rsidRPr="00CB13FB">
        <w:tab/>
      </w:r>
    </w:p>
    <w:p w:rsidR="00002380" w:rsidRPr="00CB13FB" w:rsidRDefault="00002380" w:rsidP="002F560F">
      <w:pPr>
        <w:spacing w:line="360" w:lineRule="auto"/>
      </w:pPr>
      <w:r w:rsidRPr="00CB13FB">
        <w:tab/>
      </w:r>
      <w:r w:rsidRPr="00CB13FB">
        <w:tab/>
        <w:t>4.</w:t>
      </w:r>
      <w:r w:rsidRPr="00CB13FB">
        <w:tab/>
      </w:r>
      <w:r w:rsidR="004D6E4B" w:rsidRPr="00CB13FB">
        <w:t>The Commission is authorized to establish a payment arrangement between a public utility and a customer</w:t>
      </w:r>
      <w:r w:rsidR="00B0754C">
        <w:t xml:space="preserve"> within prescribed limits</w:t>
      </w:r>
      <w:r w:rsidR="004D6E4B" w:rsidRPr="00CB13FB">
        <w:t xml:space="preserve">.  </w:t>
      </w:r>
      <w:proofErr w:type="gramStart"/>
      <w:r w:rsidR="004D6E4B" w:rsidRPr="00CB13FB">
        <w:t>66 Pa. C.S. § 1405(a).</w:t>
      </w:r>
      <w:proofErr w:type="gramEnd"/>
    </w:p>
    <w:p w:rsidR="004D6E4B" w:rsidRPr="00CB13FB" w:rsidRDefault="004D6E4B" w:rsidP="002F560F">
      <w:pPr>
        <w:spacing w:line="360" w:lineRule="auto"/>
      </w:pPr>
    </w:p>
    <w:p w:rsidR="002F560F" w:rsidRDefault="004D6E4B" w:rsidP="002F560F">
      <w:pPr>
        <w:spacing w:line="360" w:lineRule="auto"/>
      </w:pPr>
      <w:r w:rsidRPr="00CB13FB">
        <w:tab/>
      </w:r>
      <w:r w:rsidRPr="00CB13FB">
        <w:tab/>
      </w:r>
      <w:r w:rsidR="00AB77C6">
        <w:t>5.</w:t>
      </w:r>
      <w:r w:rsidR="00AB77C6">
        <w:tab/>
      </w:r>
      <w:r w:rsidR="00B0754C" w:rsidRPr="00B0754C">
        <w:t xml:space="preserve">The Commission will not issue a </w:t>
      </w:r>
      <w:r w:rsidR="00B0754C" w:rsidRPr="00B0754C">
        <w:rPr>
          <w:bCs/>
        </w:rPr>
        <w:t>payment</w:t>
      </w:r>
      <w:r w:rsidR="00B0754C" w:rsidRPr="00B0754C">
        <w:t xml:space="preserve"> arrangement to a complainant when the record demonstrates a lack of good faith effort on the part of the customer to pay the utility bills</w:t>
      </w:r>
      <w:r w:rsidR="00E74F34">
        <w:t xml:space="preserve"> or the lack of a significant change in circumstances beyond the </w:t>
      </w:r>
      <w:r w:rsidR="00390194">
        <w:t>customer’s</w:t>
      </w:r>
      <w:r w:rsidR="00E74F34">
        <w:t xml:space="preserve"> control</w:t>
      </w:r>
      <w:r w:rsidR="00B0754C" w:rsidRPr="00B0754C">
        <w:t xml:space="preserve">. </w:t>
      </w:r>
      <w:r w:rsidR="00B0754C" w:rsidRPr="00B0754C">
        <w:rPr>
          <w:i/>
          <w:iCs/>
        </w:rPr>
        <w:t xml:space="preserve">George </w:t>
      </w:r>
      <w:r w:rsidR="00B0754C" w:rsidRPr="00B0754C">
        <w:rPr>
          <w:bCs/>
          <w:i/>
          <w:iCs/>
        </w:rPr>
        <w:t>Crawford</w:t>
      </w:r>
      <w:r w:rsidR="00B0754C" w:rsidRPr="00B0754C">
        <w:rPr>
          <w:i/>
          <w:iCs/>
        </w:rPr>
        <w:t xml:space="preserve"> v. National Fuel Gas Distribution Corporation</w:t>
      </w:r>
      <w:r w:rsidR="00B0754C" w:rsidRPr="00B0754C">
        <w:t>, Docket Number C-20066348 (Final Order entered December 6, 2007).</w:t>
      </w:r>
    </w:p>
    <w:p w:rsidR="00D332CD" w:rsidRDefault="00D332CD" w:rsidP="002F560F">
      <w:pPr>
        <w:spacing w:line="360" w:lineRule="auto"/>
      </w:pPr>
    </w:p>
    <w:p w:rsidR="002F4EC2" w:rsidRDefault="00D332CD" w:rsidP="002E6897">
      <w:pPr>
        <w:spacing w:line="360" w:lineRule="auto"/>
      </w:pPr>
      <w:r>
        <w:tab/>
      </w:r>
      <w:r>
        <w:tab/>
        <w:t xml:space="preserve">6. </w:t>
      </w:r>
      <w:r>
        <w:tab/>
      </w:r>
      <w:r w:rsidR="00E74F34" w:rsidRPr="00E74F34">
        <w:t>A significant change in circumstance is defined to include</w:t>
      </w:r>
      <w:r w:rsidR="00E74F34">
        <w:t xml:space="preserve"> </w:t>
      </w:r>
      <w:r w:rsidR="00E74F34" w:rsidRPr="00E74F34">
        <w:t xml:space="preserve">an increase in the customer’s number of dependents in the household for customers with a household income less than 300% of the federal poverty level.  </w:t>
      </w:r>
      <w:proofErr w:type="gramStart"/>
      <w:r w:rsidR="00E74F34" w:rsidRPr="00E74F34">
        <w:t xml:space="preserve">66 </w:t>
      </w:r>
      <w:proofErr w:type="spellStart"/>
      <w:r w:rsidR="00E74F34" w:rsidRPr="00E74F34">
        <w:t>Pa.C.S</w:t>
      </w:r>
      <w:proofErr w:type="spellEnd"/>
      <w:r w:rsidR="00E74F34" w:rsidRPr="00E74F34">
        <w:t>.</w:t>
      </w:r>
      <w:proofErr w:type="gramEnd"/>
      <w:r w:rsidR="00E74F34" w:rsidRPr="00E74F34">
        <w:t xml:space="preserve"> § 1403.</w:t>
      </w:r>
    </w:p>
    <w:p w:rsidR="002F4EC2" w:rsidRDefault="002F4EC2" w:rsidP="002F560F">
      <w:pPr>
        <w:spacing w:line="360" w:lineRule="auto"/>
      </w:pPr>
    </w:p>
    <w:p w:rsidR="0010208B" w:rsidRDefault="002F4EC2" w:rsidP="008A6917">
      <w:pPr>
        <w:tabs>
          <w:tab w:val="left" w:pos="720"/>
          <w:tab w:val="left" w:pos="1440"/>
        </w:tabs>
        <w:spacing w:line="360" w:lineRule="auto"/>
      </w:pPr>
      <w:r>
        <w:tab/>
      </w:r>
      <w:r>
        <w:tab/>
        <w:t xml:space="preserve">9. </w:t>
      </w:r>
      <w:r>
        <w:tab/>
      </w:r>
      <w:r w:rsidR="00B62F40" w:rsidRPr="00B62F40">
        <w:t>The</w:t>
      </w:r>
      <w:r w:rsidR="00E74F34">
        <w:t xml:space="preserve"> Complainant has carried</w:t>
      </w:r>
      <w:r w:rsidR="00B62F40" w:rsidRPr="00B62F40">
        <w:t xml:space="preserve"> his burden of proving that he</w:t>
      </w:r>
      <w:r w:rsidR="005A672A">
        <w:t xml:space="preserve"> is eligible for a payment </w:t>
      </w:r>
      <w:r w:rsidR="00D76F5C">
        <w:t>arrangement</w:t>
      </w:r>
      <w:r w:rsidR="00B62F40" w:rsidRPr="00B62F40">
        <w:t>.</w:t>
      </w:r>
    </w:p>
    <w:p w:rsidR="00002380" w:rsidRPr="006E68F2" w:rsidRDefault="00002380" w:rsidP="00002380">
      <w:pPr>
        <w:spacing w:line="360" w:lineRule="auto"/>
        <w:jc w:val="center"/>
        <w:outlineLvl w:val="0"/>
      </w:pPr>
      <w:bookmarkStart w:id="0" w:name="_GoBack"/>
      <w:bookmarkEnd w:id="0"/>
      <w:r w:rsidRPr="00CB13FB">
        <w:rPr>
          <w:u w:val="single"/>
        </w:rPr>
        <w:lastRenderedPageBreak/>
        <w:t>ORDER</w:t>
      </w:r>
    </w:p>
    <w:p w:rsidR="00002380" w:rsidRDefault="00002380" w:rsidP="002F560F">
      <w:pPr>
        <w:tabs>
          <w:tab w:val="num" w:pos="2160"/>
        </w:tabs>
        <w:spacing w:line="360" w:lineRule="auto"/>
        <w:jc w:val="center"/>
        <w:rPr>
          <w:u w:val="single"/>
        </w:rPr>
      </w:pPr>
    </w:p>
    <w:p w:rsidR="00B25FE0" w:rsidRPr="00CB13FB" w:rsidRDefault="00B25FE0" w:rsidP="002F560F">
      <w:pPr>
        <w:tabs>
          <w:tab w:val="num" w:pos="2160"/>
        </w:tabs>
        <w:spacing w:line="360" w:lineRule="auto"/>
        <w:jc w:val="center"/>
        <w:rPr>
          <w:u w:val="single"/>
        </w:rPr>
      </w:pPr>
    </w:p>
    <w:p w:rsidR="00002380" w:rsidRPr="00CB13FB" w:rsidRDefault="00002380" w:rsidP="00002380">
      <w:pPr>
        <w:tabs>
          <w:tab w:val="num" w:pos="2160"/>
        </w:tabs>
        <w:spacing w:line="360" w:lineRule="auto"/>
        <w:ind w:firstLine="1440"/>
      </w:pPr>
      <w:r w:rsidRPr="00CB13FB">
        <w:t xml:space="preserve">THEREFORE, </w:t>
      </w:r>
    </w:p>
    <w:p w:rsidR="00002380" w:rsidRPr="00CB13FB" w:rsidRDefault="00002380" w:rsidP="00002380">
      <w:pPr>
        <w:tabs>
          <w:tab w:val="num" w:pos="2160"/>
        </w:tabs>
        <w:spacing w:line="360" w:lineRule="auto"/>
      </w:pPr>
    </w:p>
    <w:p w:rsidR="00D76F5C" w:rsidRDefault="00002380" w:rsidP="00D76F5C">
      <w:pPr>
        <w:tabs>
          <w:tab w:val="num" w:pos="2160"/>
        </w:tabs>
        <w:spacing w:line="360" w:lineRule="auto"/>
        <w:ind w:firstLine="1440"/>
        <w:outlineLvl w:val="0"/>
      </w:pPr>
      <w:r w:rsidRPr="00CB13FB">
        <w:t>IT IS ORDERED:</w:t>
      </w:r>
    </w:p>
    <w:p w:rsidR="00D76F5C" w:rsidRPr="006C6758" w:rsidRDefault="00D76F5C" w:rsidP="00B25FE0">
      <w:pPr>
        <w:tabs>
          <w:tab w:val="num" w:pos="2160"/>
        </w:tabs>
        <w:spacing w:line="360" w:lineRule="auto"/>
        <w:ind w:firstLine="1440"/>
      </w:pPr>
    </w:p>
    <w:p w:rsidR="00D76F5C" w:rsidRDefault="00D76F5C" w:rsidP="00B25FE0">
      <w:pPr>
        <w:spacing w:line="360" w:lineRule="auto"/>
        <w:ind w:firstLine="1440"/>
      </w:pPr>
      <w:r>
        <w:t>1</w:t>
      </w:r>
      <w:r w:rsidRPr="006C6758">
        <w:t>.</w:t>
      </w:r>
      <w:r w:rsidRPr="006C6758">
        <w:tab/>
        <w:t xml:space="preserve">That the Formal Complaint filed by </w:t>
      </w:r>
      <w:proofErr w:type="spellStart"/>
      <w:r>
        <w:t>Alonza</w:t>
      </w:r>
      <w:proofErr w:type="spellEnd"/>
      <w:r>
        <w:t xml:space="preserve"> Carson</w:t>
      </w:r>
      <w:r w:rsidRPr="006C6758">
        <w:t xml:space="preserve"> against </w:t>
      </w:r>
      <w:r>
        <w:t xml:space="preserve">Philadelphia Gas Works </w:t>
      </w:r>
      <w:r w:rsidRPr="006C6758">
        <w:t>at Docket No.</w:t>
      </w:r>
      <w:r>
        <w:t xml:space="preserve"> </w:t>
      </w:r>
      <w:r w:rsidRPr="00D76F5C">
        <w:t>C-2015-2512849</w:t>
      </w:r>
      <w:r w:rsidRPr="00EC0391">
        <w:t xml:space="preserve"> </w:t>
      </w:r>
      <w:r w:rsidRPr="006C6758">
        <w:t>is sust</w:t>
      </w:r>
      <w:r>
        <w:t>ained</w:t>
      </w:r>
      <w:r w:rsidRPr="006C6758">
        <w:t>.</w:t>
      </w:r>
    </w:p>
    <w:p w:rsidR="00D76F5C" w:rsidRPr="006C6758" w:rsidRDefault="00D76F5C" w:rsidP="00B25FE0">
      <w:pPr>
        <w:spacing w:line="360" w:lineRule="auto"/>
        <w:ind w:firstLine="1440"/>
      </w:pPr>
    </w:p>
    <w:p w:rsidR="00D76F5C" w:rsidRPr="006C6758" w:rsidRDefault="00D76F5C" w:rsidP="00B25FE0">
      <w:pPr>
        <w:spacing w:line="360" w:lineRule="auto"/>
        <w:ind w:firstLine="1440"/>
      </w:pPr>
      <w:r>
        <w:t>2</w:t>
      </w:r>
      <w:r w:rsidRPr="006C6758">
        <w:t>.</w:t>
      </w:r>
      <w:r w:rsidRPr="006C6758">
        <w:tab/>
      </w:r>
      <w:r>
        <w:t xml:space="preserve">That </w:t>
      </w:r>
      <w:proofErr w:type="spellStart"/>
      <w:r>
        <w:t>Alonza</w:t>
      </w:r>
      <w:proofErr w:type="spellEnd"/>
      <w:r>
        <w:t xml:space="preserve"> Carson’s request for a payment arrangement is granted.</w:t>
      </w:r>
    </w:p>
    <w:p w:rsidR="00D76F5C" w:rsidRPr="006C6758" w:rsidRDefault="00D76F5C" w:rsidP="00B25FE0">
      <w:pPr>
        <w:spacing w:line="360" w:lineRule="auto"/>
        <w:ind w:firstLine="1440"/>
      </w:pPr>
    </w:p>
    <w:p w:rsidR="00D76F5C" w:rsidRDefault="00D76F5C" w:rsidP="00B25FE0">
      <w:pPr>
        <w:spacing w:line="360" w:lineRule="auto"/>
        <w:ind w:firstLine="1440"/>
      </w:pPr>
      <w:r>
        <w:t>3.</w:t>
      </w:r>
      <w:r>
        <w:tab/>
        <w:t xml:space="preserve">That </w:t>
      </w:r>
      <w:proofErr w:type="spellStart"/>
      <w:r>
        <w:t>Alonza</w:t>
      </w:r>
      <w:proofErr w:type="spellEnd"/>
      <w:r>
        <w:t xml:space="preserve"> Carson</w:t>
      </w:r>
      <w:r w:rsidRPr="006C6758">
        <w:t xml:space="preserve"> shall make mo</w:t>
      </w:r>
      <w:r>
        <w:t>nthly payments consisting of his</w:t>
      </w:r>
      <w:r w:rsidRPr="006C6758">
        <w:t xml:space="preserve"> c</w:t>
      </w:r>
      <w:r>
        <w:t>urrent charges plus one sixtieth of the balance accrued on his</w:t>
      </w:r>
      <w:r w:rsidRPr="006C6758">
        <w:t xml:space="preserve"> account, beginning with the first billing due date following the entry of a final Commission Order in this case.</w:t>
      </w:r>
    </w:p>
    <w:p w:rsidR="00B91E2F" w:rsidRDefault="00B91E2F" w:rsidP="00B25FE0">
      <w:pPr>
        <w:spacing w:line="360" w:lineRule="auto"/>
        <w:ind w:firstLine="1440"/>
      </w:pPr>
    </w:p>
    <w:p w:rsidR="00B91E2F" w:rsidRPr="006C6758" w:rsidRDefault="00B91E2F" w:rsidP="00B25FE0">
      <w:pPr>
        <w:spacing w:line="360" w:lineRule="auto"/>
        <w:ind w:firstLine="1440"/>
      </w:pPr>
      <w:r>
        <w:t>4.</w:t>
      </w:r>
      <w:r>
        <w:tab/>
        <w:t xml:space="preserve">That </w:t>
      </w:r>
      <w:proofErr w:type="spellStart"/>
      <w:r>
        <w:t>Alonza</w:t>
      </w:r>
      <w:proofErr w:type="spellEnd"/>
      <w:r>
        <w:t xml:space="preserve"> Carson must pay a security deposit and reconnection fee as required by Philadelphia Gas Works in accordance with the provisions in Chapter 14</w:t>
      </w:r>
      <w:r w:rsidR="00034691">
        <w:t xml:space="preserve"> before his service is reconnected</w:t>
      </w:r>
      <w:r>
        <w:t>.</w:t>
      </w:r>
    </w:p>
    <w:p w:rsidR="00D76F5C" w:rsidRPr="006C6758" w:rsidRDefault="00D76F5C" w:rsidP="00B25FE0">
      <w:pPr>
        <w:spacing w:line="360" w:lineRule="auto"/>
        <w:ind w:firstLine="1440"/>
      </w:pPr>
    </w:p>
    <w:p w:rsidR="00D76F5C" w:rsidRPr="006C6758" w:rsidRDefault="00B91E2F" w:rsidP="00B25FE0">
      <w:pPr>
        <w:pStyle w:val="ListParagraph"/>
        <w:spacing w:line="360" w:lineRule="auto"/>
        <w:ind w:left="0" w:firstLine="1440"/>
      </w:pPr>
      <w:r>
        <w:t>5</w:t>
      </w:r>
      <w:r w:rsidR="00D76F5C">
        <w:t>.</w:t>
      </w:r>
      <w:r w:rsidR="00D76F5C">
        <w:tab/>
      </w:r>
      <w:r w:rsidR="00D76F5C" w:rsidRPr="006C6758">
        <w:t>That as lon</w:t>
      </w:r>
      <w:r w:rsidR="00D76F5C">
        <w:t xml:space="preserve">g as </w:t>
      </w:r>
      <w:proofErr w:type="spellStart"/>
      <w:r w:rsidR="00D76F5C">
        <w:t>Alonza</w:t>
      </w:r>
      <w:proofErr w:type="spellEnd"/>
      <w:r w:rsidR="00D76F5C">
        <w:t xml:space="preserve"> Carson</w:t>
      </w:r>
      <w:r w:rsidR="00D76F5C" w:rsidRPr="006C6758">
        <w:t xml:space="preserve"> keeps the payment schedule stated in this O</w:t>
      </w:r>
      <w:r w:rsidR="00D76F5C">
        <w:t>rder, Philadelphia Gas Works</w:t>
      </w:r>
      <w:r w:rsidR="00D76F5C" w:rsidRPr="006C6758">
        <w:t xml:space="preserve"> sh</w:t>
      </w:r>
      <w:r w:rsidR="00D76F5C">
        <w:t>all not suspend or terminate his</w:t>
      </w:r>
      <w:r w:rsidR="00D76F5C" w:rsidRPr="006C6758">
        <w:t xml:space="preserve"> utility service except for valid safety or emergency reasons or assess late payment</w:t>
      </w:r>
      <w:r w:rsidR="00D76F5C">
        <w:t>s or finance charges against his</w:t>
      </w:r>
      <w:r w:rsidR="00D76F5C" w:rsidRPr="006C6758">
        <w:t xml:space="preserve"> account.</w:t>
      </w:r>
    </w:p>
    <w:p w:rsidR="00D76F5C" w:rsidRPr="006C6758" w:rsidRDefault="00D76F5C" w:rsidP="00B25FE0">
      <w:pPr>
        <w:pStyle w:val="ListParagraph"/>
        <w:spacing w:line="360" w:lineRule="auto"/>
        <w:ind w:left="0"/>
      </w:pPr>
    </w:p>
    <w:p w:rsidR="00D76F5C" w:rsidRPr="006C6758" w:rsidRDefault="00B91E2F" w:rsidP="00B25FE0">
      <w:pPr>
        <w:pStyle w:val="ListParagraph"/>
        <w:spacing w:line="360" w:lineRule="auto"/>
        <w:ind w:left="0" w:firstLine="1440"/>
      </w:pPr>
      <w:r>
        <w:t>6</w:t>
      </w:r>
      <w:r w:rsidR="00D76F5C">
        <w:t>.</w:t>
      </w:r>
      <w:r w:rsidR="00D76F5C">
        <w:tab/>
        <w:t xml:space="preserve">That if </w:t>
      </w:r>
      <w:proofErr w:type="spellStart"/>
      <w:r w:rsidR="00D76F5C">
        <w:t>Alonza</w:t>
      </w:r>
      <w:proofErr w:type="spellEnd"/>
      <w:r w:rsidR="00D76F5C">
        <w:t xml:space="preserve"> Carson</w:t>
      </w:r>
      <w:r w:rsidR="00D76F5C" w:rsidRPr="006C6758">
        <w:t xml:space="preserve"> does not keep the payment schedule stated in this O</w:t>
      </w:r>
      <w:r w:rsidR="00D76F5C">
        <w:t xml:space="preserve">rder, Philadelphia Gas Works </w:t>
      </w:r>
      <w:r w:rsidR="00D76F5C" w:rsidRPr="006C6758">
        <w:t>is author</w:t>
      </w:r>
      <w:r w:rsidR="00D76F5C">
        <w:t>ized to suspend or terminate his</w:t>
      </w:r>
      <w:r w:rsidR="00D76F5C" w:rsidRPr="006C6758">
        <w:t xml:space="preserve"> utility service in accordance with the Commission’s statute and regulations.</w:t>
      </w:r>
    </w:p>
    <w:p w:rsidR="00D76F5C" w:rsidRDefault="00D76F5C" w:rsidP="00B25FE0">
      <w:pPr>
        <w:spacing w:line="360" w:lineRule="auto"/>
        <w:ind w:firstLine="1440"/>
      </w:pPr>
    </w:p>
    <w:p w:rsidR="00D76F5C" w:rsidRDefault="00B91E2F" w:rsidP="00B25FE0">
      <w:pPr>
        <w:spacing w:line="360" w:lineRule="auto"/>
        <w:ind w:firstLine="1440"/>
      </w:pPr>
      <w:r>
        <w:t>7</w:t>
      </w:r>
      <w:r w:rsidR="00D76F5C" w:rsidRPr="006C6758">
        <w:t>.</w:t>
      </w:r>
      <w:r w:rsidR="00D76F5C" w:rsidRPr="006C6758">
        <w:tab/>
        <w:t xml:space="preserve">That the Secretary </w:t>
      </w:r>
      <w:proofErr w:type="gramStart"/>
      <w:r w:rsidR="00D76F5C" w:rsidRPr="006C6758">
        <w:t>mark</w:t>
      </w:r>
      <w:proofErr w:type="gramEnd"/>
      <w:r w:rsidR="00D76F5C" w:rsidRPr="006C6758">
        <w:t xml:space="preserve"> this docket closed.</w:t>
      </w:r>
    </w:p>
    <w:p w:rsidR="00D76F5C" w:rsidRDefault="00D76F5C" w:rsidP="00B25FE0">
      <w:pPr>
        <w:spacing w:line="360" w:lineRule="auto"/>
        <w:ind w:firstLine="1440"/>
      </w:pPr>
    </w:p>
    <w:p w:rsidR="00D76F5C" w:rsidRDefault="00D76F5C" w:rsidP="000F347A">
      <w:pPr>
        <w:spacing w:line="360" w:lineRule="auto"/>
        <w:ind w:firstLine="1440"/>
      </w:pPr>
    </w:p>
    <w:p w:rsidR="00941EE4" w:rsidRPr="006C6758" w:rsidRDefault="00941EE4" w:rsidP="00941EE4">
      <w:pPr>
        <w:tabs>
          <w:tab w:val="num" w:pos="2160"/>
          <w:tab w:val="left" w:pos="5048"/>
        </w:tabs>
        <w:rPr>
          <w:u w:val="single"/>
        </w:rPr>
      </w:pPr>
      <w:r w:rsidRPr="006C6758">
        <w:lastRenderedPageBreak/>
        <w:t xml:space="preserve">Date: </w:t>
      </w:r>
      <w:r w:rsidR="000F347A">
        <w:rPr>
          <w:u w:val="single"/>
        </w:rPr>
        <w:t>February 26, 2016</w:t>
      </w:r>
      <w:r w:rsidRPr="006C6758">
        <w:t xml:space="preserve"> </w:t>
      </w:r>
      <w:r w:rsidRPr="006C6758">
        <w:tab/>
      </w:r>
      <w:r w:rsidRPr="006C6758">
        <w:rPr>
          <w:u w:val="single"/>
        </w:rPr>
        <w:tab/>
      </w:r>
      <w:r w:rsidRPr="006C6758">
        <w:rPr>
          <w:u w:val="single"/>
        </w:rPr>
        <w:tab/>
        <w:t>/s/</w:t>
      </w:r>
      <w:r w:rsidRPr="006C6758">
        <w:rPr>
          <w:u w:val="single"/>
        </w:rPr>
        <w:tab/>
      </w:r>
      <w:r w:rsidRPr="006C6758">
        <w:rPr>
          <w:u w:val="single"/>
        </w:rPr>
        <w:tab/>
      </w:r>
      <w:r w:rsidRPr="006C6758">
        <w:rPr>
          <w:u w:val="single"/>
        </w:rPr>
        <w:tab/>
      </w:r>
    </w:p>
    <w:p w:rsidR="00941EE4" w:rsidRPr="006C6758" w:rsidRDefault="00941EE4" w:rsidP="00941EE4">
      <w:pPr>
        <w:tabs>
          <w:tab w:val="num" w:pos="2160"/>
          <w:tab w:val="left" w:pos="5048"/>
        </w:tabs>
      </w:pPr>
      <w:r>
        <w:tab/>
      </w:r>
      <w:r>
        <w:tab/>
        <w:t>Rebecca Waldemar</w:t>
      </w:r>
    </w:p>
    <w:p w:rsidR="00002380" w:rsidRPr="00CB13FB" w:rsidRDefault="00941EE4" w:rsidP="00941EE4">
      <w:pPr>
        <w:spacing w:line="360" w:lineRule="auto"/>
        <w:ind w:firstLine="1440"/>
      </w:pPr>
      <w:r w:rsidRPr="006C6758">
        <w:tab/>
      </w:r>
      <w:r w:rsidRPr="006C6758">
        <w:tab/>
      </w:r>
      <w:r w:rsidRPr="006C6758">
        <w:tab/>
      </w:r>
      <w:r w:rsidRPr="006C6758">
        <w:tab/>
      </w:r>
      <w:r w:rsidRPr="006C6758">
        <w:tab/>
        <w:t>Special Agent</w:t>
      </w:r>
    </w:p>
    <w:sectPr w:rsidR="00002380" w:rsidRPr="00CB13FB" w:rsidSect="00B25FE0">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80" w:rsidRDefault="002E0680" w:rsidP="009A46FF">
      <w:r>
        <w:separator/>
      </w:r>
    </w:p>
  </w:endnote>
  <w:endnote w:type="continuationSeparator" w:id="0">
    <w:p w:rsidR="002E0680" w:rsidRDefault="002E0680"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94" w:rsidRDefault="00390194"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8A6917">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80" w:rsidRDefault="002E0680" w:rsidP="009A46FF">
      <w:r>
        <w:separator/>
      </w:r>
    </w:p>
  </w:footnote>
  <w:footnote w:type="continuationSeparator" w:id="0">
    <w:p w:rsidR="002E0680" w:rsidRDefault="002E0680" w:rsidP="009A46FF">
      <w:r>
        <w:continuationSeparator/>
      </w:r>
    </w:p>
  </w:footnote>
  <w:footnote w:id="1">
    <w:p w:rsidR="00390194" w:rsidRPr="002772FA" w:rsidRDefault="00390194"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390194" w:rsidRDefault="00390194">
      <w:pPr>
        <w:pStyle w:val="FootnoteText"/>
      </w:pPr>
      <w:r>
        <w:rPr>
          <w:rStyle w:val="FootnoteReference"/>
        </w:rPr>
        <w:footnoteRef/>
      </w:r>
      <w:r>
        <w:t xml:space="preserve"> </w:t>
      </w:r>
      <w:r>
        <w:tab/>
        <w:t xml:space="preserve">The termed defined in </w:t>
      </w:r>
      <w:r w:rsidRPr="00BF1CC7">
        <w:t xml:space="preserve">66 </w:t>
      </w:r>
      <w:proofErr w:type="spellStart"/>
      <w:r w:rsidRPr="00BF1CC7">
        <w:t>Pa.C.S</w:t>
      </w:r>
      <w:proofErr w:type="spellEnd"/>
      <w:r w:rsidRPr="00BF1CC7">
        <w:t>. § 1403</w:t>
      </w:r>
      <w:r>
        <w:t xml:space="preserve"> is “significant change </w:t>
      </w:r>
      <w:r w:rsidRPr="00BF1CC7">
        <w:rPr>
          <w:b/>
        </w:rPr>
        <w:t>in</w:t>
      </w:r>
      <w:r>
        <w:t xml:space="preserve"> circumstance.”  In </w:t>
      </w:r>
      <w:r w:rsidRPr="00F137CC">
        <w:rPr>
          <w:i/>
        </w:rPr>
        <w:t>Crawford</w:t>
      </w:r>
      <w:r>
        <w:t xml:space="preserve">, the Commission used the term “significant change </w:t>
      </w:r>
      <w:r w:rsidRPr="00BF1CC7">
        <w:rPr>
          <w:b/>
        </w:rPr>
        <w:t>of</w:t>
      </w:r>
      <w:r>
        <w:t xml:space="preserve"> circumstance.”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A10714E"/>
    <w:multiLevelType w:val="hybridMultilevel"/>
    <w:tmpl w:val="CFB83E0C"/>
    <w:lvl w:ilvl="0" w:tplc="C896ADCA">
      <w:start w:val="1"/>
      <w:numFmt w:val="decimal"/>
      <w:lvlText w:val="%1."/>
      <w:lvlJc w:val="left"/>
      <w:pPr>
        <w:ind w:left="225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1CF12CF"/>
    <w:multiLevelType w:val="hybridMultilevel"/>
    <w:tmpl w:val="CFB83E0C"/>
    <w:lvl w:ilvl="0" w:tplc="C896ADCA">
      <w:start w:val="1"/>
      <w:numFmt w:val="decimal"/>
      <w:lvlText w:val="%1."/>
      <w:lvlJc w:val="left"/>
      <w:pPr>
        <w:ind w:left="225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45326F"/>
    <w:multiLevelType w:val="hybridMultilevel"/>
    <w:tmpl w:val="CFB83E0C"/>
    <w:lvl w:ilvl="0" w:tplc="C896ADCA">
      <w:start w:val="1"/>
      <w:numFmt w:val="decimal"/>
      <w:lvlText w:val="%1."/>
      <w:lvlJc w:val="left"/>
      <w:pPr>
        <w:ind w:left="225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3"/>
  </w:num>
  <w:num w:numId="11">
    <w:abstractNumId w:val="8"/>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163BA"/>
    <w:rsid w:val="000165D6"/>
    <w:rsid w:val="00016B64"/>
    <w:rsid w:val="00022021"/>
    <w:rsid w:val="000235B7"/>
    <w:rsid w:val="0003207C"/>
    <w:rsid w:val="00034691"/>
    <w:rsid w:val="00046411"/>
    <w:rsid w:val="000500D9"/>
    <w:rsid w:val="00053BE9"/>
    <w:rsid w:val="000558F8"/>
    <w:rsid w:val="00057417"/>
    <w:rsid w:val="0006192C"/>
    <w:rsid w:val="00066402"/>
    <w:rsid w:val="00066508"/>
    <w:rsid w:val="00070F4A"/>
    <w:rsid w:val="0007462A"/>
    <w:rsid w:val="000753B8"/>
    <w:rsid w:val="0008136A"/>
    <w:rsid w:val="000835AC"/>
    <w:rsid w:val="00083E33"/>
    <w:rsid w:val="0008793D"/>
    <w:rsid w:val="00090BAF"/>
    <w:rsid w:val="00091A92"/>
    <w:rsid w:val="00094B1D"/>
    <w:rsid w:val="00097E78"/>
    <w:rsid w:val="000A01DE"/>
    <w:rsid w:val="000A29ED"/>
    <w:rsid w:val="000B08FC"/>
    <w:rsid w:val="000B1F3C"/>
    <w:rsid w:val="000B27F4"/>
    <w:rsid w:val="000B2BB2"/>
    <w:rsid w:val="000B5CEF"/>
    <w:rsid w:val="000B6190"/>
    <w:rsid w:val="000C53E3"/>
    <w:rsid w:val="000C623C"/>
    <w:rsid w:val="000C65BC"/>
    <w:rsid w:val="000C73A2"/>
    <w:rsid w:val="000D1820"/>
    <w:rsid w:val="000D352F"/>
    <w:rsid w:val="000D6CF2"/>
    <w:rsid w:val="000D7A8B"/>
    <w:rsid w:val="000E2AC2"/>
    <w:rsid w:val="000E39AE"/>
    <w:rsid w:val="000F1693"/>
    <w:rsid w:val="000F347A"/>
    <w:rsid w:val="000F7109"/>
    <w:rsid w:val="0010031A"/>
    <w:rsid w:val="001005F5"/>
    <w:rsid w:val="00100637"/>
    <w:rsid w:val="00100701"/>
    <w:rsid w:val="00100FD6"/>
    <w:rsid w:val="0010208B"/>
    <w:rsid w:val="00105320"/>
    <w:rsid w:val="001058F4"/>
    <w:rsid w:val="00106FFD"/>
    <w:rsid w:val="0011031B"/>
    <w:rsid w:val="00110FDC"/>
    <w:rsid w:val="00112816"/>
    <w:rsid w:val="00114D0E"/>
    <w:rsid w:val="0012210F"/>
    <w:rsid w:val="00122A2E"/>
    <w:rsid w:val="00124455"/>
    <w:rsid w:val="00124841"/>
    <w:rsid w:val="00126110"/>
    <w:rsid w:val="001272B5"/>
    <w:rsid w:val="00127A4C"/>
    <w:rsid w:val="00130EB8"/>
    <w:rsid w:val="001347C7"/>
    <w:rsid w:val="0013536B"/>
    <w:rsid w:val="001359FB"/>
    <w:rsid w:val="0013760A"/>
    <w:rsid w:val="00137821"/>
    <w:rsid w:val="0014108F"/>
    <w:rsid w:val="00141A89"/>
    <w:rsid w:val="00141F11"/>
    <w:rsid w:val="00142D33"/>
    <w:rsid w:val="001439A5"/>
    <w:rsid w:val="00144D15"/>
    <w:rsid w:val="00150FAF"/>
    <w:rsid w:val="00151198"/>
    <w:rsid w:val="00151440"/>
    <w:rsid w:val="00152FB4"/>
    <w:rsid w:val="00154881"/>
    <w:rsid w:val="00154CB3"/>
    <w:rsid w:val="0015592A"/>
    <w:rsid w:val="001567B1"/>
    <w:rsid w:val="00156A78"/>
    <w:rsid w:val="0016012A"/>
    <w:rsid w:val="0016190B"/>
    <w:rsid w:val="00162A30"/>
    <w:rsid w:val="00163CB2"/>
    <w:rsid w:val="0016642F"/>
    <w:rsid w:val="00166E37"/>
    <w:rsid w:val="00166FDE"/>
    <w:rsid w:val="0016729B"/>
    <w:rsid w:val="00170418"/>
    <w:rsid w:val="00170983"/>
    <w:rsid w:val="00171746"/>
    <w:rsid w:val="00172610"/>
    <w:rsid w:val="00172876"/>
    <w:rsid w:val="00177B3D"/>
    <w:rsid w:val="00183014"/>
    <w:rsid w:val="001842D1"/>
    <w:rsid w:val="00185220"/>
    <w:rsid w:val="00185CAB"/>
    <w:rsid w:val="001930E6"/>
    <w:rsid w:val="001961AF"/>
    <w:rsid w:val="001A0DAD"/>
    <w:rsid w:val="001A184D"/>
    <w:rsid w:val="001A29B5"/>
    <w:rsid w:val="001A4B3C"/>
    <w:rsid w:val="001A5AD2"/>
    <w:rsid w:val="001B13AB"/>
    <w:rsid w:val="001B1B20"/>
    <w:rsid w:val="001B1DFC"/>
    <w:rsid w:val="001B30EA"/>
    <w:rsid w:val="001B34EF"/>
    <w:rsid w:val="001B45A0"/>
    <w:rsid w:val="001B4C29"/>
    <w:rsid w:val="001B4E78"/>
    <w:rsid w:val="001B57DC"/>
    <w:rsid w:val="001C016B"/>
    <w:rsid w:val="001C06AE"/>
    <w:rsid w:val="001C191D"/>
    <w:rsid w:val="001C4707"/>
    <w:rsid w:val="001D56D5"/>
    <w:rsid w:val="001D702C"/>
    <w:rsid w:val="001E2481"/>
    <w:rsid w:val="001F2DCC"/>
    <w:rsid w:val="001F3603"/>
    <w:rsid w:val="001F3CB8"/>
    <w:rsid w:val="001F7512"/>
    <w:rsid w:val="002005D8"/>
    <w:rsid w:val="002060D8"/>
    <w:rsid w:val="00206D62"/>
    <w:rsid w:val="002114A2"/>
    <w:rsid w:val="002123E3"/>
    <w:rsid w:val="002144B2"/>
    <w:rsid w:val="002147CF"/>
    <w:rsid w:val="002149C9"/>
    <w:rsid w:val="002216BA"/>
    <w:rsid w:val="00222C1D"/>
    <w:rsid w:val="00224BA2"/>
    <w:rsid w:val="00224EDA"/>
    <w:rsid w:val="0022763F"/>
    <w:rsid w:val="00233A0F"/>
    <w:rsid w:val="002341EC"/>
    <w:rsid w:val="00236847"/>
    <w:rsid w:val="00236A43"/>
    <w:rsid w:val="00237575"/>
    <w:rsid w:val="002458A5"/>
    <w:rsid w:val="002477AC"/>
    <w:rsid w:val="002478B3"/>
    <w:rsid w:val="00251C0A"/>
    <w:rsid w:val="0025589D"/>
    <w:rsid w:val="00260976"/>
    <w:rsid w:val="002642D6"/>
    <w:rsid w:val="0026695F"/>
    <w:rsid w:val="00270BA7"/>
    <w:rsid w:val="00271364"/>
    <w:rsid w:val="00274D49"/>
    <w:rsid w:val="00275C45"/>
    <w:rsid w:val="00276AD4"/>
    <w:rsid w:val="002772FA"/>
    <w:rsid w:val="0028057D"/>
    <w:rsid w:val="00281258"/>
    <w:rsid w:val="002828C2"/>
    <w:rsid w:val="00291494"/>
    <w:rsid w:val="00292048"/>
    <w:rsid w:val="00295B6E"/>
    <w:rsid w:val="002A0AD8"/>
    <w:rsid w:val="002A1471"/>
    <w:rsid w:val="002A1728"/>
    <w:rsid w:val="002A2ABC"/>
    <w:rsid w:val="002B08FC"/>
    <w:rsid w:val="002B27B2"/>
    <w:rsid w:val="002B5A30"/>
    <w:rsid w:val="002B7903"/>
    <w:rsid w:val="002C1558"/>
    <w:rsid w:val="002C1B1B"/>
    <w:rsid w:val="002C7961"/>
    <w:rsid w:val="002C7AE1"/>
    <w:rsid w:val="002D303B"/>
    <w:rsid w:val="002D697B"/>
    <w:rsid w:val="002D7A7D"/>
    <w:rsid w:val="002E0680"/>
    <w:rsid w:val="002E401E"/>
    <w:rsid w:val="002E5F93"/>
    <w:rsid w:val="002E6685"/>
    <w:rsid w:val="002E6897"/>
    <w:rsid w:val="002F3AC8"/>
    <w:rsid w:val="002F4A8F"/>
    <w:rsid w:val="002F4AC4"/>
    <w:rsid w:val="002F4E51"/>
    <w:rsid w:val="002F4EC2"/>
    <w:rsid w:val="002F560F"/>
    <w:rsid w:val="002F68C1"/>
    <w:rsid w:val="00302D68"/>
    <w:rsid w:val="0030489F"/>
    <w:rsid w:val="003112B1"/>
    <w:rsid w:val="00311607"/>
    <w:rsid w:val="0031175E"/>
    <w:rsid w:val="003152D4"/>
    <w:rsid w:val="00315F0E"/>
    <w:rsid w:val="0032077E"/>
    <w:rsid w:val="00322912"/>
    <w:rsid w:val="00322E74"/>
    <w:rsid w:val="0032688F"/>
    <w:rsid w:val="00326A93"/>
    <w:rsid w:val="003272C7"/>
    <w:rsid w:val="00327539"/>
    <w:rsid w:val="00327F56"/>
    <w:rsid w:val="003302C3"/>
    <w:rsid w:val="003311BB"/>
    <w:rsid w:val="00332730"/>
    <w:rsid w:val="00333490"/>
    <w:rsid w:val="00333619"/>
    <w:rsid w:val="00336994"/>
    <w:rsid w:val="003400C9"/>
    <w:rsid w:val="003414EA"/>
    <w:rsid w:val="00342E64"/>
    <w:rsid w:val="00346CFB"/>
    <w:rsid w:val="00346EB9"/>
    <w:rsid w:val="00351325"/>
    <w:rsid w:val="0035325B"/>
    <w:rsid w:val="003557A7"/>
    <w:rsid w:val="00360FDB"/>
    <w:rsid w:val="0036231A"/>
    <w:rsid w:val="003629B6"/>
    <w:rsid w:val="00365784"/>
    <w:rsid w:val="0037124A"/>
    <w:rsid w:val="00371544"/>
    <w:rsid w:val="00374091"/>
    <w:rsid w:val="003817B8"/>
    <w:rsid w:val="00383471"/>
    <w:rsid w:val="003875F1"/>
    <w:rsid w:val="00390194"/>
    <w:rsid w:val="003A45E9"/>
    <w:rsid w:val="003A47FA"/>
    <w:rsid w:val="003A7CCC"/>
    <w:rsid w:val="003B0825"/>
    <w:rsid w:val="003B3113"/>
    <w:rsid w:val="003B4B77"/>
    <w:rsid w:val="003B5E8A"/>
    <w:rsid w:val="003B6B5E"/>
    <w:rsid w:val="003B7858"/>
    <w:rsid w:val="003C53BD"/>
    <w:rsid w:val="003C5B6A"/>
    <w:rsid w:val="003C685F"/>
    <w:rsid w:val="003C6C56"/>
    <w:rsid w:val="003D2170"/>
    <w:rsid w:val="003D3686"/>
    <w:rsid w:val="003D40DB"/>
    <w:rsid w:val="003D4F04"/>
    <w:rsid w:val="003D5A7C"/>
    <w:rsid w:val="003D6CB6"/>
    <w:rsid w:val="003E133E"/>
    <w:rsid w:val="003E3884"/>
    <w:rsid w:val="003E3D32"/>
    <w:rsid w:val="003E509E"/>
    <w:rsid w:val="003E658A"/>
    <w:rsid w:val="003F0F08"/>
    <w:rsid w:val="003F2C26"/>
    <w:rsid w:val="003F428C"/>
    <w:rsid w:val="00400CAC"/>
    <w:rsid w:val="00405203"/>
    <w:rsid w:val="0040663C"/>
    <w:rsid w:val="00406EF4"/>
    <w:rsid w:val="00406FF6"/>
    <w:rsid w:val="00407582"/>
    <w:rsid w:val="004116D5"/>
    <w:rsid w:val="0041171F"/>
    <w:rsid w:val="00417F8D"/>
    <w:rsid w:val="004206BD"/>
    <w:rsid w:val="004216E2"/>
    <w:rsid w:val="0042298A"/>
    <w:rsid w:val="004242F5"/>
    <w:rsid w:val="00430F28"/>
    <w:rsid w:val="004407E1"/>
    <w:rsid w:val="0044322F"/>
    <w:rsid w:val="00443E32"/>
    <w:rsid w:val="00450322"/>
    <w:rsid w:val="0045113B"/>
    <w:rsid w:val="00451BB8"/>
    <w:rsid w:val="004521C8"/>
    <w:rsid w:val="00453130"/>
    <w:rsid w:val="004535AA"/>
    <w:rsid w:val="00454421"/>
    <w:rsid w:val="00457949"/>
    <w:rsid w:val="00460987"/>
    <w:rsid w:val="00464756"/>
    <w:rsid w:val="00467931"/>
    <w:rsid w:val="004705D7"/>
    <w:rsid w:val="00471E0B"/>
    <w:rsid w:val="00473024"/>
    <w:rsid w:val="00474454"/>
    <w:rsid w:val="00477590"/>
    <w:rsid w:val="004823D0"/>
    <w:rsid w:val="004849A9"/>
    <w:rsid w:val="00493171"/>
    <w:rsid w:val="00493181"/>
    <w:rsid w:val="004971CA"/>
    <w:rsid w:val="00497278"/>
    <w:rsid w:val="004A0EE8"/>
    <w:rsid w:val="004A14DE"/>
    <w:rsid w:val="004A1923"/>
    <w:rsid w:val="004A22C6"/>
    <w:rsid w:val="004A2524"/>
    <w:rsid w:val="004A3C11"/>
    <w:rsid w:val="004A4234"/>
    <w:rsid w:val="004A4939"/>
    <w:rsid w:val="004A5035"/>
    <w:rsid w:val="004A6A88"/>
    <w:rsid w:val="004B08DA"/>
    <w:rsid w:val="004B0E16"/>
    <w:rsid w:val="004B5BA7"/>
    <w:rsid w:val="004B60B4"/>
    <w:rsid w:val="004B6931"/>
    <w:rsid w:val="004B7364"/>
    <w:rsid w:val="004C05F5"/>
    <w:rsid w:val="004C0B58"/>
    <w:rsid w:val="004C2A04"/>
    <w:rsid w:val="004C3D9F"/>
    <w:rsid w:val="004C410A"/>
    <w:rsid w:val="004C5FF1"/>
    <w:rsid w:val="004C6DE7"/>
    <w:rsid w:val="004C7BDF"/>
    <w:rsid w:val="004D1B6D"/>
    <w:rsid w:val="004D22BA"/>
    <w:rsid w:val="004D3C9B"/>
    <w:rsid w:val="004D43CD"/>
    <w:rsid w:val="004D57BF"/>
    <w:rsid w:val="004D6E4B"/>
    <w:rsid w:val="004D7133"/>
    <w:rsid w:val="004D733D"/>
    <w:rsid w:val="004E1448"/>
    <w:rsid w:val="004E4C8B"/>
    <w:rsid w:val="004E6FDD"/>
    <w:rsid w:val="004E792D"/>
    <w:rsid w:val="004F1AAC"/>
    <w:rsid w:val="004F552C"/>
    <w:rsid w:val="0050071D"/>
    <w:rsid w:val="0050123F"/>
    <w:rsid w:val="0050427D"/>
    <w:rsid w:val="005200AE"/>
    <w:rsid w:val="00525A09"/>
    <w:rsid w:val="00532CAB"/>
    <w:rsid w:val="00534F42"/>
    <w:rsid w:val="00536552"/>
    <w:rsid w:val="00540749"/>
    <w:rsid w:val="00542320"/>
    <w:rsid w:val="00547A6F"/>
    <w:rsid w:val="00550EFA"/>
    <w:rsid w:val="0055111B"/>
    <w:rsid w:val="005543C5"/>
    <w:rsid w:val="00554B63"/>
    <w:rsid w:val="00570C7C"/>
    <w:rsid w:val="00573E22"/>
    <w:rsid w:val="005759B7"/>
    <w:rsid w:val="005779CA"/>
    <w:rsid w:val="00577F45"/>
    <w:rsid w:val="0058122A"/>
    <w:rsid w:val="005823D9"/>
    <w:rsid w:val="00582E52"/>
    <w:rsid w:val="005830F7"/>
    <w:rsid w:val="005842A0"/>
    <w:rsid w:val="005843FA"/>
    <w:rsid w:val="0058571E"/>
    <w:rsid w:val="00586511"/>
    <w:rsid w:val="00595AD7"/>
    <w:rsid w:val="005963CD"/>
    <w:rsid w:val="005A0448"/>
    <w:rsid w:val="005A1E48"/>
    <w:rsid w:val="005A2D09"/>
    <w:rsid w:val="005A58DD"/>
    <w:rsid w:val="005A672A"/>
    <w:rsid w:val="005A6F5F"/>
    <w:rsid w:val="005B0870"/>
    <w:rsid w:val="005B3608"/>
    <w:rsid w:val="005B48BC"/>
    <w:rsid w:val="005B7784"/>
    <w:rsid w:val="005C0825"/>
    <w:rsid w:val="005C15EE"/>
    <w:rsid w:val="005C1A6B"/>
    <w:rsid w:val="005C1D75"/>
    <w:rsid w:val="005C6035"/>
    <w:rsid w:val="005C655F"/>
    <w:rsid w:val="005D514D"/>
    <w:rsid w:val="005D5522"/>
    <w:rsid w:val="005E0189"/>
    <w:rsid w:val="005F5CDE"/>
    <w:rsid w:val="005F5CE9"/>
    <w:rsid w:val="00600D9F"/>
    <w:rsid w:val="00605B22"/>
    <w:rsid w:val="006067EE"/>
    <w:rsid w:val="00606FEC"/>
    <w:rsid w:val="00611229"/>
    <w:rsid w:val="00611CCF"/>
    <w:rsid w:val="00615E02"/>
    <w:rsid w:val="00617019"/>
    <w:rsid w:val="00617F03"/>
    <w:rsid w:val="00620167"/>
    <w:rsid w:val="00620E90"/>
    <w:rsid w:val="006226D0"/>
    <w:rsid w:val="00630305"/>
    <w:rsid w:val="00632E24"/>
    <w:rsid w:val="00634A89"/>
    <w:rsid w:val="00634FF3"/>
    <w:rsid w:val="00636FF3"/>
    <w:rsid w:val="00640C7B"/>
    <w:rsid w:val="00641797"/>
    <w:rsid w:val="00642164"/>
    <w:rsid w:val="00642F88"/>
    <w:rsid w:val="00644E8C"/>
    <w:rsid w:val="00647703"/>
    <w:rsid w:val="00647EC8"/>
    <w:rsid w:val="00650E74"/>
    <w:rsid w:val="006529D5"/>
    <w:rsid w:val="0065434C"/>
    <w:rsid w:val="006543E7"/>
    <w:rsid w:val="00654F7C"/>
    <w:rsid w:val="00656E4C"/>
    <w:rsid w:val="00657ABC"/>
    <w:rsid w:val="0066145E"/>
    <w:rsid w:val="00667033"/>
    <w:rsid w:val="00670EF7"/>
    <w:rsid w:val="006711BB"/>
    <w:rsid w:val="0067384E"/>
    <w:rsid w:val="00673C90"/>
    <w:rsid w:val="00674497"/>
    <w:rsid w:val="00675EBD"/>
    <w:rsid w:val="0067641B"/>
    <w:rsid w:val="00677EBD"/>
    <w:rsid w:val="00680BB3"/>
    <w:rsid w:val="006813C9"/>
    <w:rsid w:val="00692195"/>
    <w:rsid w:val="00697270"/>
    <w:rsid w:val="00697869"/>
    <w:rsid w:val="006A021C"/>
    <w:rsid w:val="006A08AA"/>
    <w:rsid w:val="006A1A38"/>
    <w:rsid w:val="006A44C5"/>
    <w:rsid w:val="006A451F"/>
    <w:rsid w:val="006B0CC2"/>
    <w:rsid w:val="006B3B09"/>
    <w:rsid w:val="006B4CCF"/>
    <w:rsid w:val="006B7E0B"/>
    <w:rsid w:val="006C5555"/>
    <w:rsid w:val="006D365F"/>
    <w:rsid w:val="006D3AD9"/>
    <w:rsid w:val="006D5911"/>
    <w:rsid w:val="006E3049"/>
    <w:rsid w:val="006E548D"/>
    <w:rsid w:val="006E68F2"/>
    <w:rsid w:val="006E6BBB"/>
    <w:rsid w:val="006F4B51"/>
    <w:rsid w:val="006F78EE"/>
    <w:rsid w:val="00701809"/>
    <w:rsid w:val="0070315D"/>
    <w:rsid w:val="00703E98"/>
    <w:rsid w:val="007043D0"/>
    <w:rsid w:val="007109F6"/>
    <w:rsid w:val="00712056"/>
    <w:rsid w:val="007140EF"/>
    <w:rsid w:val="00715518"/>
    <w:rsid w:val="007229D0"/>
    <w:rsid w:val="0072470A"/>
    <w:rsid w:val="00726347"/>
    <w:rsid w:val="00727D92"/>
    <w:rsid w:val="007321BC"/>
    <w:rsid w:val="00733FDD"/>
    <w:rsid w:val="00734F71"/>
    <w:rsid w:val="007372DB"/>
    <w:rsid w:val="007412CE"/>
    <w:rsid w:val="00742744"/>
    <w:rsid w:val="00742B92"/>
    <w:rsid w:val="00745471"/>
    <w:rsid w:val="00753598"/>
    <w:rsid w:val="0075535B"/>
    <w:rsid w:val="00760E29"/>
    <w:rsid w:val="00762FCF"/>
    <w:rsid w:val="00764309"/>
    <w:rsid w:val="007667EC"/>
    <w:rsid w:val="0077135F"/>
    <w:rsid w:val="00771424"/>
    <w:rsid w:val="00777047"/>
    <w:rsid w:val="0077772E"/>
    <w:rsid w:val="0078142E"/>
    <w:rsid w:val="00781FA9"/>
    <w:rsid w:val="00782F03"/>
    <w:rsid w:val="00784470"/>
    <w:rsid w:val="00786D77"/>
    <w:rsid w:val="00791303"/>
    <w:rsid w:val="0079458F"/>
    <w:rsid w:val="00797587"/>
    <w:rsid w:val="007A1155"/>
    <w:rsid w:val="007A2D78"/>
    <w:rsid w:val="007A3422"/>
    <w:rsid w:val="007A5AEF"/>
    <w:rsid w:val="007A5F63"/>
    <w:rsid w:val="007A64A8"/>
    <w:rsid w:val="007B05E2"/>
    <w:rsid w:val="007B2564"/>
    <w:rsid w:val="007B2DD4"/>
    <w:rsid w:val="007B46CD"/>
    <w:rsid w:val="007B5EC8"/>
    <w:rsid w:val="007C036B"/>
    <w:rsid w:val="007C167E"/>
    <w:rsid w:val="007C62C4"/>
    <w:rsid w:val="007C7D1E"/>
    <w:rsid w:val="007D353D"/>
    <w:rsid w:val="007D5505"/>
    <w:rsid w:val="007D7263"/>
    <w:rsid w:val="007D7809"/>
    <w:rsid w:val="007E06B4"/>
    <w:rsid w:val="007E1086"/>
    <w:rsid w:val="007E2A6D"/>
    <w:rsid w:val="007F12F4"/>
    <w:rsid w:val="007F1369"/>
    <w:rsid w:val="007F1ABD"/>
    <w:rsid w:val="007F3B66"/>
    <w:rsid w:val="007F738E"/>
    <w:rsid w:val="008001CF"/>
    <w:rsid w:val="00802B3B"/>
    <w:rsid w:val="0080527C"/>
    <w:rsid w:val="00806351"/>
    <w:rsid w:val="00807DE9"/>
    <w:rsid w:val="008129A2"/>
    <w:rsid w:val="00814E58"/>
    <w:rsid w:val="00815ED8"/>
    <w:rsid w:val="0081789A"/>
    <w:rsid w:val="00817E9A"/>
    <w:rsid w:val="008250EA"/>
    <w:rsid w:val="00827799"/>
    <w:rsid w:val="00827A8B"/>
    <w:rsid w:val="008316D6"/>
    <w:rsid w:val="00833DF8"/>
    <w:rsid w:val="008366DE"/>
    <w:rsid w:val="00846DD9"/>
    <w:rsid w:val="008520D1"/>
    <w:rsid w:val="00853048"/>
    <w:rsid w:val="00857DD5"/>
    <w:rsid w:val="00860EDE"/>
    <w:rsid w:val="00861944"/>
    <w:rsid w:val="00861E00"/>
    <w:rsid w:val="0086362C"/>
    <w:rsid w:val="00866C78"/>
    <w:rsid w:val="008706C8"/>
    <w:rsid w:val="00873AC9"/>
    <w:rsid w:val="00874BD7"/>
    <w:rsid w:val="00874F9C"/>
    <w:rsid w:val="008753CA"/>
    <w:rsid w:val="00876B2E"/>
    <w:rsid w:val="008771E3"/>
    <w:rsid w:val="00877402"/>
    <w:rsid w:val="0088078B"/>
    <w:rsid w:val="00881236"/>
    <w:rsid w:val="0088377E"/>
    <w:rsid w:val="00883A74"/>
    <w:rsid w:val="00883ACF"/>
    <w:rsid w:val="00884FCA"/>
    <w:rsid w:val="00885FA1"/>
    <w:rsid w:val="00890162"/>
    <w:rsid w:val="00890A70"/>
    <w:rsid w:val="00890BBB"/>
    <w:rsid w:val="00891E79"/>
    <w:rsid w:val="00894F52"/>
    <w:rsid w:val="008971CB"/>
    <w:rsid w:val="00897C94"/>
    <w:rsid w:val="008A6259"/>
    <w:rsid w:val="008A66F1"/>
    <w:rsid w:val="008A6917"/>
    <w:rsid w:val="008A70E9"/>
    <w:rsid w:val="008B0C89"/>
    <w:rsid w:val="008B333B"/>
    <w:rsid w:val="008B63D2"/>
    <w:rsid w:val="008C0668"/>
    <w:rsid w:val="008C22DB"/>
    <w:rsid w:val="008C324C"/>
    <w:rsid w:val="008C55A6"/>
    <w:rsid w:val="008D27A8"/>
    <w:rsid w:val="008D2FC7"/>
    <w:rsid w:val="008E0472"/>
    <w:rsid w:val="008E10B7"/>
    <w:rsid w:val="008E14F0"/>
    <w:rsid w:val="008E210F"/>
    <w:rsid w:val="008E413A"/>
    <w:rsid w:val="008E53AE"/>
    <w:rsid w:val="008E6B92"/>
    <w:rsid w:val="008E709D"/>
    <w:rsid w:val="008F481D"/>
    <w:rsid w:val="008F558E"/>
    <w:rsid w:val="008F5709"/>
    <w:rsid w:val="008F7A4C"/>
    <w:rsid w:val="0090668D"/>
    <w:rsid w:val="00911A87"/>
    <w:rsid w:val="00911B5F"/>
    <w:rsid w:val="0091353E"/>
    <w:rsid w:val="00915BB6"/>
    <w:rsid w:val="009165E0"/>
    <w:rsid w:val="009237DD"/>
    <w:rsid w:val="00923CDC"/>
    <w:rsid w:val="00924D50"/>
    <w:rsid w:val="009263D4"/>
    <w:rsid w:val="0093126A"/>
    <w:rsid w:val="00931DEB"/>
    <w:rsid w:val="00936935"/>
    <w:rsid w:val="009370F3"/>
    <w:rsid w:val="0093780C"/>
    <w:rsid w:val="00941EE4"/>
    <w:rsid w:val="00952C5D"/>
    <w:rsid w:val="009531CC"/>
    <w:rsid w:val="00955407"/>
    <w:rsid w:val="00956175"/>
    <w:rsid w:val="009569EE"/>
    <w:rsid w:val="0095718E"/>
    <w:rsid w:val="009620F6"/>
    <w:rsid w:val="00962267"/>
    <w:rsid w:val="009657D0"/>
    <w:rsid w:val="009668CD"/>
    <w:rsid w:val="009674E2"/>
    <w:rsid w:val="009706BB"/>
    <w:rsid w:val="009738E3"/>
    <w:rsid w:val="00976E1D"/>
    <w:rsid w:val="009823D8"/>
    <w:rsid w:val="00982527"/>
    <w:rsid w:val="00984A1D"/>
    <w:rsid w:val="00985869"/>
    <w:rsid w:val="00987692"/>
    <w:rsid w:val="00990ED2"/>
    <w:rsid w:val="009A1482"/>
    <w:rsid w:val="009A2E45"/>
    <w:rsid w:val="009A3595"/>
    <w:rsid w:val="009A35CB"/>
    <w:rsid w:val="009A46FF"/>
    <w:rsid w:val="009A76EE"/>
    <w:rsid w:val="009A7B0D"/>
    <w:rsid w:val="009B3269"/>
    <w:rsid w:val="009B5415"/>
    <w:rsid w:val="009C4684"/>
    <w:rsid w:val="009C7C6D"/>
    <w:rsid w:val="009D4DE0"/>
    <w:rsid w:val="009D6B4E"/>
    <w:rsid w:val="009D7AF9"/>
    <w:rsid w:val="009E1CE5"/>
    <w:rsid w:val="009E4F70"/>
    <w:rsid w:val="009F0D3C"/>
    <w:rsid w:val="009F286D"/>
    <w:rsid w:val="009F348A"/>
    <w:rsid w:val="009F7511"/>
    <w:rsid w:val="00A06838"/>
    <w:rsid w:val="00A076DA"/>
    <w:rsid w:val="00A11DB5"/>
    <w:rsid w:val="00A16116"/>
    <w:rsid w:val="00A16FE8"/>
    <w:rsid w:val="00A205F0"/>
    <w:rsid w:val="00A20791"/>
    <w:rsid w:val="00A22941"/>
    <w:rsid w:val="00A25D6C"/>
    <w:rsid w:val="00A32397"/>
    <w:rsid w:val="00A3295F"/>
    <w:rsid w:val="00A336FF"/>
    <w:rsid w:val="00A405F1"/>
    <w:rsid w:val="00A428F9"/>
    <w:rsid w:val="00A45444"/>
    <w:rsid w:val="00A543C1"/>
    <w:rsid w:val="00A545E4"/>
    <w:rsid w:val="00A559A8"/>
    <w:rsid w:val="00A70713"/>
    <w:rsid w:val="00A70E08"/>
    <w:rsid w:val="00A715AD"/>
    <w:rsid w:val="00A71861"/>
    <w:rsid w:val="00A741C3"/>
    <w:rsid w:val="00A76432"/>
    <w:rsid w:val="00A7650F"/>
    <w:rsid w:val="00A77AF2"/>
    <w:rsid w:val="00A77DA1"/>
    <w:rsid w:val="00A80B87"/>
    <w:rsid w:val="00A80FDF"/>
    <w:rsid w:val="00A93B92"/>
    <w:rsid w:val="00A949F3"/>
    <w:rsid w:val="00A9553D"/>
    <w:rsid w:val="00A97666"/>
    <w:rsid w:val="00AA3976"/>
    <w:rsid w:val="00AA7BEB"/>
    <w:rsid w:val="00AA7DA9"/>
    <w:rsid w:val="00AB1E17"/>
    <w:rsid w:val="00AB3DA4"/>
    <w:rsid w:val="00AB77C6"/>
    <w:rsid w:val="00AB7D27"/>
    <w:rsid w:val="00AC290A"/>
    <w:rsid w:val="00AC39F0"/>
    <w:rsid w:val="00AC59E9"/>
    <w:rsid w:val="00AC617F"/>
    <w:rsid w:val="00AD3D37"/>
    <w:rsid w:val="00AD6095"/>
    <w:rsid w:val="00AE2797"/>
    <w:rsid w:val="00AE362D"/>
    <w:rsid w:val="00AE3B60"/>
    <w:rsid w:val="00AE41A1"/>
    <w:rsid w:val="00AE5460"/>
    <w:rsid w:val="00AE6ABF"/>
    <w:rsid w:val="00AF0427"/>
    <w:rsid w:val="00AF518A"/>
    <w:rsid w:val="00B057B0"/>
    <w:rsid w:val="00B0754C"/>
    <w:rsid w:val="00B0775F"/>
    <w:rsid w:val="00B07DA7"/>
    <w:rsid w:val="00B10C67"/>
    <w:rsid w:val="00B10E42"/>
    <w:rsid w:val="00B13C7B"/>
    <w:rsid w:val="00B1404D"/>
    <w:rsid w:val="00B14AF1"/>
    <w:rsid w:val="00B16538"/>
    <w:rsid w:val="00B21E4D"/>
    <w:rsid w:val="00B21FF8"/>
    <w:rsid w:val="00B25C8B"/>
    <w:rsid w:val="00B25EEE"/>
    <w:rsid w:val="00B25FE0"/>
    <w:rsid w:val="00B311B1"/>
    <w:rsid w:val="00B349E1"/>
    <w:rsid w:val="00B3536D"/>
    <w:rsid w:val="00B36754"/>
    <w:rsid w:val="00B4093A"/>
    <w:rsid w:val="00B41298"/>
    <w:rsid w:val="00B4325D"/>
    <w:rsid w:val="00B4650E"/>
    <w:rsid w:val="00B467FB"/>
    <w:rsid w:val="00B47583"/>
    <w:rsid w:val="00B5167C"/>
    <w:rsid w:val="00B527C3"/>
    <w:rsid w:val="00B52C06"/>
    <w:rsid w:val="00B53331"/>
    <w:rsid w:val="00B53755"/>
    <w:rsid w:val="00B55B2F"/>
    <w:rsid w:val="00B56418"/>
    <w:rsid w:val="00B6255C"/>
    <w:rsid w:val="00B62F40"/>
    <w:rsid w:val="00B63D0F"/>
    <w:rsid w:val="00B642AD"/>
    <w:rsid w:val="00B677CF"/>
    <w:rsid w:val="00B70C02"/>
    <w:rsid w:val="00B734BB"/>
    <w:rsid w:val="00B74909"/>
    <w:rsid w:val="00B74DC0"/>
    <w:rsid w:val="00B76FE6"/>
    <w:rsid w:val="00B8110D"/>
    <w:rsid w:val="00B83DAF"/>
    <w:rsid w:val="00B847EC"/>
    <w:rsid w:val="00B84D63"/>
    <w:rsid w:val="00B85875"/>
    <w:rsid w:val="00B870AF"/>
    <w:rsid w:val="00B870B7"/>
    <w:rsid w:val="00B91E2F"/>
    <w:rsid w:val="00B92F22"/>
    <w:rsid w:val="00B95796"/>
    <w:rsid w:val="00BA038C"/>
    <w:rsid w:val="00BA1B1A"/>
    <w:rsid w:val="00BA3C02"/>
    <w:rsid w:val="00BA6ADF"/>
    <w:rsid w:val="00BA76D6"/>
    <w:rsid w:val="00BA7FB1"/>
    <w:rsid w:val="00BB099A"/>
    <w:rsid w:val="00BB5AD8"/>
    <w:rsid w:val="00BB6A19"/>
    <w:rsid w:val="00BC2AC6"/>
    <w:rsid w:val="00BC32CC"/>
    <w:rsid w:val="00BC3C65"/>
    <w:rsid w:val="00BC4CBB"/>
    <w:rsid w:val="00BC6BDC"/>
    <w:rsid w:val="00BD05BE"/>
    <w:rsid w:val="00BD228B"/>
    <w:rsid w:val="00BD43A3"/>
    <w:rsid w:val="00BD50FB"/>
    <w:rsid w:val="00BD76AF"/>
    <w:rsid w:val="00BE3D29"/>
    <w:rsid w:val="00BF0378"/>
    <w:rsid w:val="00BF0591"/>
    <w:rsid w:val="00BF0E98"/>
    <w:rsid w:val="00BF1783"/>
    <w:rsid w:val="00BF1CC7"/>
    <w:rsid w:val="00BF3DBB"/>
    <w:rsid w:val="00BF7221"/>
    <w:rsid w:val="00C02594"/>
    <w:rsid w:val="00C13F99"/>
    <w:rsid w:val="00C15144"/>
    <w:rsid w:val="00C1687D"/>
    <w:rsid w:val="00C16A6C"/>
    <w:rsid w:val="00C2389D"/>
    <w:rsid w:val="00C244F0"/>
    <w:rsid w:val="00C26851"/>
    <w:rsid w:val="00C34A69"/>
    <w:rsid w:val="00C35DF4"/>
    <w:rsid w:val="00C36C7B"/>
    <w:rsid w:val="00C37F01"/>
    <w:rsid w:val="00C40304"/>
    <w:rsid w:val="00C40666"/>
    <w:rsid w:val="00C42967"/>
    <w:rsid w:val="00C42BD8"/>
    <w:rsid w:val="00C45536"/>
    <w:rsid w:val="00C52F57"/>
    <w:rsid w:val="00C53086"/>
    <w:rsid w:val="00C55235"/>
    <w:rsid w:val="00C6273D"/>
    <w:rsid w:val="00C63819"/>
    <w:rsid w:val="00C63E64"/>
    <w:rsid w:val="00C70DCE"/>
    <w:rsid w:val="00C74CB1"/>
    <w:rsid w:val="00C7558E"/>
    <w:rsid w:val="00C76674"/>
    <w:rsid w:val="00C815D3"/>
    <w:rsid w:val="00C82A08"/>
    <w:rsid w:val="00C90104"/>
    <w:rsid w:val="00C9051B"/>
    <w:rsid w:val="00C9228A"/>
    <w:rsid w:val="00C96311"/>
    <w:rsid w:val="00C96465"/>
    <w:rsid w:val="00C96AF4"/>
    <w:rsid w:val="00C96DF5"/>
    <w:rsid w:val="00CA26CF"/>
    <w:rsid w:val="00CB0D66"/>
    <w:rsid w:val="00CB13FB"/>
    <w:rsid w:val="00CB5925"/>
    <w:rsid w:val="00CB5B10"/>
    <w:rsid w:val="00CB6CB2"/>
    <w:rsid w:val="00CC13A0"/>
    <w:rsid w:val="00CC5EA5"/>
    <w:rsid w:val="00CD014B"/>
    <w:rsid w:val="00CD179F"/>
    <w:rsid w:val="00CD5304"/>
    <w:rsid w:val="00CD76BA"/>
    <w:rsid w:val="00CE114B"/>
    <w:rsid w:val="00CE332B"/>
    <w:rsid w:val="00CE5D96"/>
    <w:rsid w:val="00CF3294"/>
    <w:rsid w:val="00CF4650"/>
    <w:rsid w:val="00CF770C"/>
    <w:rsid w:val="00D01A64"/>
    <w:rsid w:val="00D01F5E"/>
    <w:rsid w:val="00D02D62"/>
    <w:rsid w:val="00D03592"/>
    <w:rsid w:val="00D14676"/>
    <w:rsid w:val="00D166B7"/>
    <w:rsid w:val="00D230AF"/>
    <w:rsid w:val="00D241A6"/>
    <w:rsid w:val="00D24EF2"/>
    <w:rsid w:val="00D25744"/>
    <w:rsid w:val="00D304B1"/>
    <w:rsid w:val="00D332CD"/>
    <w:rsid w:val="00D335F3"/>
    <w:rsid w:val="00D34A42"/>
    <w:rsid w:val="00D34E38"/>
    <w:rsid w:val="00D36F6B"/>
    <w:rsid w:val="00D37C16"/>
    <w:rsid w:val="00D37DEA"/>
    <w:rsid w:val="00D4070B"/>
    <w:rsid w:val="00D46E75"/>
    <w:rsid w:val="00D52FA6"/>
    <w:rsid w:val="00D54797"/>
    <w:rsid w:val="00D5578E"/>
    <w:rsid w:val="00D5583E"/>
    <w:rsid w:val="00D6061F"/>
    <w:rsid w:val="00D6444A"/>
    <w:rsid w:val="00D674EA"/>
    <w:rsid w:val="00D67D35"/>
    <w:rsid w:val="00D74200"/>
    <w:rsid w:val="00D75422"/>
    <w:rsid w:val="00D76A8E"/>
    <w:rsid w:val="00D76F5C"/>
    <w:rsid w:val="00D77665"/>
    <w:rsid w:val="00D80EAA"/>
    <w:rsid w:val="00D84444"/>
    <w:rsid w:val="00D90E63"/>
    <w:rsid w:val="00D92E8F"/>
    <w:rsid w:val="00D94B4B"/>
    <w:rsid w:val="00DA2A10"/>
    <w:rsid w:val="00DA641D"/>
    <w:rsid w:val="00DA7354"/>
    <w:rsid w:val="00DB0902"/>
    <w:rsid w:val="00DB3BC1"/>
    <w:rsid w:val="00DC34AC"/>
    <w:rsid w:val="00DC5B8C"/>
    <w:rsid w:val="00DC5F99"/>
    <w:rsid w:val="00DC7C9E"/>
    <w:rsid w:val="00DD06A4"/>
    <w:rsid w:val="00DD154D"/>
    <w:rsid w:val="00DD3376"/>
    <w:rsid w:val="00DD4014"/>
    <w:rsid w:val="00DD5AE5"/>
    <w:rsid w:val="00DD5B29"/>
    <w:rsid w:val="00DE0002"/>
    <w:rsid w:val="00DE1731"/>
    <w:rsid w:val="00DE1D09"/>
    <w:rsid w:val="00DE5BE9"/>
    <w:rsid w:val="00DE5F5B"/>
    <w:rsid w:val="00DF4267"/>
    <w:rsid w:val="00DF58ED"/>
    <w:rsid w:val="00E019F4"/>
    <w:rsid w:val="00E02A72"/>
    <w:rsid w:val="00E050B3"/>
    <w:rsid w:val="00E067C0"/>
    <w:rsid w:val="00E07BFB"/>
    <w:rsid w:val="00E12C61"/>
    <w:rsid w:val="00E14031"/>
    <w:rsid w:val="00E154EE"/>
    <w:rsid w:val="00E17C01"/>
    <w:rsid w:val="00E2351B"/>
    <w:rsid w:val="00E25C53"/>
    <w:rsid w:val="00E2724A"/>
    <w:rsid w:val="00E3198B"/>
    <w:rsid w:val="00E32FDC"/>
    <w:rsid w:val="00E40A22"/>
    <w:rsid w:val="00E41484"/>
    <w:rsid w:val="00E41D9A"/>
    <w:rsid w:val="00E44E3C"/>
    <w:rsid w:val="00E44F90"/>
    <w:rsid w:val="00E466F1"/>
    <w:rsid w:val="00E46F15"/>
    <w:rsid w:val="00E51058"/>
    <w:rsid w:val="00E5195E"/>
    <w:rsid w:val="00E52005"/>
    <w:rsid w:val="00E5394B"/>
    <w:rsid w:val="00E53B70"/>
    <w:rsid w:val="00E54969"/>
    <w:rsid w:val="00E55020"/>
    <w:rsid w:val="00E5531D"/>
    <w:rsid w:val="00E615F9"/>
    <w:rsid w:val="00E62770"/>
    <w:rsid w:val="00E6373D"/>
    <w:rsid w:val="00E64717"/>
    <w:rsid w:val="00E648AB"/>
    <w:rsid w:val="00E648EE"/>
    <w:rsid w:val="00E64D4D"/>
    <w:rsid w:val="00E67636"/>
    <w:rsid w:val="00E7094A"/>
    <w:rsid w:val="00E70990"/>
    <w:rsid w:val="00E7185A"/>
    <w:rsid w:val="00E71F50"/>
    <w:rsid w:val="00E74F34"/>
    <w:rsid w:val="00E77854"/>
    <w:rsid w:val="00E810C0"/>
    <w:rsid w:val="00E81EDD"/>
    <w:rsid w:val="00E842CF"/>
    <w:rsid w:val="00E844A1"/>
    <w:rsid w:val="00E85C16"/>
    <w:rsid w:val="00E86D7F"/>
    <w:rsid w:val="00E900B7"/>
    <w:rsid w:val="00E95342"/>
    <w:rsid w:val="00E961F5"/>
    <w:rsid w:val="00EA22D6"/>
    <w:rsid w:val="00EA7102"/>
    <w:rsid w:val="00EA7749"/>
    <w:rsid w:val="00EB0005"/>
    <w:rsid w:val="00EB2973"/>
    <w:rsid w:val="00EB32DE"/>
    <w:rsid w:val="00EB5E0A"/>
    <w:rsid w:val="00EB6268"/>
    <w:rsid w:val="00EB7A2C"/>
    <w:rsid w:val="00EC2330"/>
    <w:rsid w:val="00EC2DE7"/>
    <w:rsid w:val="00EC5E0B"/>
    <w:rsid w:val="00EC6F22"/>
    <w:rsid w:val="00ED145D"/>
    <w:rsid w:val="00ED1A82"/>
    <w:rsid w:val="00ED29DB"/>
    <w:rsid w:val="00ED2A3C"/>
    <w:rsid w:val="00ED504B"/>
    <w:rsid w:val="00ED506B"/>
    <w:rsid w:val="00ED622D"/>
    <w:rsid w:val="00EE318C"/>
    <w:rsid w:val="00EE37EA"/>
    <w:rsid w:val="00EE7545"/>
    <w:rsid w:val="00F037C1"/>
    <w:rsid w:val="00F05C59"/>
    <w:rsid w:val="00F07A8B"/>
    <w:rsid w:val="00F10AF8"/>
    <w:rsid w:val="00F10FC3"/>
    <w:rsid w:val="00F137CC"/>
    <w:rsid w:val="00F13FC0"/>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CD"/>
    <w:rsid w:val="00F56121"/>
    <w:rsid w:val="00F568F6"/>
    <w:rsid w:val="00F574D7"/>
    <w:rsid w:val="00F65891"/>
    <w:rsid w:val="00F676A4"/>
    <w:rsid w:val="00F67836"/>
    <w:rsid w:val="00F712CD"/>
    <w:rsid w:val="00F7249E"/>
    <w:rsid w:val="00F72D2C"/>
    <w:rsid w:val="00F74D1B"/>
    <w:rsid w:val="00F76C66"/>
    <w:rsid w:val="00F76E1D"/>
    <w:rsid w:val="00F77DF7"/>
    <w:rsid w:val="00F83277"/>
    <w:rsid w:val="00F85697"/>
    <w:rsid w:val="00F87B49"/>
    <w:rsid w:val="00F90027"/>
    <w:rsid w:val="00F963A9"/>
    <w:rsid w:val="00FA0618"/>
    <w:rsid w:val="00FA0906"/>
    <w:rsid w:val="00FA3EF1"/>
    <w:rsid w:val="00FA4EBA"/>
    <w:rsid w:val="00FB3E32"/>
    <w:rsid w:val="00FB64BE"/>
    <w:rsid w:val="00FC0B7B"/>
    <w:rsid w:val="00FC2C81"/>
    <w:rsid w:val="00FC49F7"/>
    <w:rsid w:val="00FC57F3"/>
    <w:rsid w:val="00FC5943"/>
    <w:rsid w:val="00FD4107"/>
    <w:rsid w:val="00FD4113"/>
    <w:rsid w:val="00FE0E22"/>
    <w:rsid w:val="00FE12EB"/>
    <w:rsid w:val="00FE4FEA"/>
    <w:rsid w:val="00FE54EA"/>
    <w:rsid w:val="00FF292A"/>
    <w:rsid w:val="00FF4139"/>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character" w:styleId="Hyperlink">
    <w:name w:val="Hyperlink"/>
    <w:basedOn w:val="DefaultParagraphFont"/>
    <w:uiPriority w:val="99"/>
    <w:unhideWhenUsed/>
    <w:rsid w:val="00D332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character" w:styleId="Hyperlink">
    <w:name w:val="Hyperlink"/>
    <w:basedOn w:val="DefaultParagraphFont"/>
    <w:uiPriority w:val="99"/>
    <w:unhideWhenUsed/>
    <w:rsid w:val="00D33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303123324">
      <w:bodyDiv w:val="1"/>
      <w:marLeft w:val="0"/>
      <w:marRight w:val="0"/>
      <w:marTop w:val="0"/>
      <w:marBottom w:val="0"/>
      <w:divBdr>
        <w:top w:val="none" w:sz="0" w:space="0" w:color="auto"/>
        <w:left w:val="none" w:sz="0" w:space="0" w:color="auto"/>
        <w:bottom w:val="none" w:sz="0" w:space="0" w:color="auto"/>
        <w:right w:val="none" w:sz="0" w:space="0" w:color="auto"/>
      </w:divBdr>
      <w:divsChild>
        <w:div w:id="258608438">
          <w:marLeft w:val="0"/>
          <w:marRight w:val="0"/>
          <w:marTop w:val="0"/>
          <w:marBottom w:val="0"/>
          <w:divBdr>
            <w:top w:val="none" w:sz="0" w:space="0" w:color="auto"/>
            <w:left w:val="none" w:sz="0" w:space="0" w:color="auto"/>
            <w:bottom w:val="none" w:sz="0" w:space="0" w:color="auto"/>
            <w:right w:val="none" w:sz="0" w:space="0" w:color="auto"/>
          </w:divBdr>
          <w:divsChild>
            <w:div w:id="2081322963">
              <w:marLeft w:val="0"/>
              <w:marRight w:val="0"/>
              <w:marTop w:val="0"/>
              <w:marBottom w:val="0"/>
              <w:divBdr>
                <w:top w:val="none" w:sz="0" w:space="0" w:color="auto"/>
                <w:left w:val="none" w:sz="0" w:space="0" w:color="auto"/>
                <w:bottom w:val="none" w:sz="0" w:space="0" w:color="auto"/>
                <w:right w:val="none" w:sz="0" w:space="0" w:color="auto"/>
              </w:divBdr>
              <w:divsChild>
                <w:div w:id="1933974456">
                  <w:marLeft w:val="0"/>
                  <w:marRight w:val="0"/>
                  <w:marTop w:val="0"/>
                  <w:marBottom w:val="0"/>
                  <w:divBdr>
                    <w:top w:val="none" w:sz="0" w:space="0" w:color="auto"/>
                    <w:left w:val="none" w:sz="0" w:space="0" w:color="auto"/>
                    <w:bottom w:val="none" w:sz="0" w:space="0" w:color="auto"/>
                    <w:right w:val="none" w:sz="0" w:space="0" w:color="auto"/>
                  </w:divBdr>
                  <w:divsChild>
                    <w:div w:id="1514299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A15C-EFC4-4549-8BA9-E28C1D12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Rebecca Waldemar</cp:lastModifiedBy>
  <cp:revision>9</cp:revision>
  <cp:lastPrinted>2016-02-26T18:07:00Z</cp:lastPrinted>
  <dcterms:created xsi:type="dcterms:W3CDTF">2016-04-07T14:52:00Z</dcterms:created>
  <dcterms:modified xsi:type="dcterms:W3CDTF">2016-04-20T16:16:00Z</dcterms:modified>
</cp:coreProperties>
</file>