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A4" w:rsidRDefault="009E2EA4" w:rsidP="00691032">
      <w:pPr>
        <w:pStyle w:val="Title"/>
        <w:tabs>
          <w:tab w:val="clear" w:pos="360"/>
          <w:tab w:val="left" w:pos="0"/>
          <w:tab w:val="left" w:pos="720"/>
        </w:tabs>
        <w:spacing w:line="240" w:lineRule="auto"/>
      </w:pPr>
      <w:r>
        <w:t>BEFORE THE</w:t>
      </w:r>
    </w:p>
    <w:p w:rsidR="009E2EA4" w:rsidRDefault="009E2EA4" w:rsidP="009E2EA4">
      <w:pPr>
        <w:tabs>
          <w:tab w:val="left" w:pos="0"/>
        </w:tabs>
        <w:spacing w:before="0" w:after="0" w:line="240" w:lineRule="auto"/>
        <w:jc w:val="center"/>
        <w:rPr>
          <w:b/>
        </w:rPr>
      </w:pPr>
      <w:r>
        <w:rPr>
          <w:b/>
        </w:rPr>
        <w:t>PENNSYLVANIA PUBLIC UTILITY COMMISSION</w:t>
      </w: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E2EA4" w:rsidRDefault="009E2EA4" w:rsidP="009E2EA4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>
        <w:t xml:space="preserve">Tonia Scott </w:t>
      </w:r>
      <w:r>
        <w:tab/>
      </w:r>
      <w:r>
        <w:tab/>
        <w:t>:</w:t>
      </w:r>
    </w:p>
    <w:p w:rsidR="009E2EA4" w:rsidRPr="00560DC5" w:rsidRDefault="009E2EA4" w:rsidP="009E2EA4">
      <w:pPr>
        <w:tabs>
          <w:tab w:val="left" w:pos="0"/>
        </w:tabs>
        <w:spacing w:before="0"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9E2EA4" w:rsidRPr="003B279A" w:rsidRDefault="009E2EA4" w:rsidP="00691032">
      <w:pPr>
        <w:tabs>
          <w:tab w:val="left" w:pos="0"/>
          <w:tab w:val="left" w:pos="720"/>
        </w:tabs>
        <w:spacing w:before="0"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 w:rsidR="00691032"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>
        <w:t>C-2016-2529902</w:t>
      </w:r>
    </w:p>
    <w:p w:rsidR="009E2EA4" w:rsidRPr="00560DC5" w:rsidRDefault="009E2EA4" w:rsidP="009E2EA4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</w:pPr>
      <w:r>
        <w:t>Pennsylvania-American Water Company</w:t>
      </w:r>
      <w:r>
        <w:tab/>
      </w:r>
      <w:r>
        <w:tab/>
      </w:r>
      <w:r w:rsidRPr="00560DC5">
        <w:t>:</w:t>
      </w: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E2EA4" w:rsidRDefault="009E2EA4" w:rsidP="009E2EA4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4A67E6" w:rsidRPr="004A67E6" w:rsidRDefault="004A67E6" w:rsidP="004A67E6">
      <w:pPr>
        <w:spacing w:before="0" w:after="0" w:line="240" w:lineRule="auto"/>
        <w:jc w:val="center"/>
        <w:rPr>
          <w:b/>
        </w:rPr>
      </w:pPr>
      <w:r w:rsidRPr="004A67E6">
        <w:rPr>
          <w:b/>
        </w:rPr>
        <w:t>INTERIM ORDER</w:t>
      </w:r>
    </w:p>
    <w:p w:rsidR="004A67E6" w:rsidRDefault="004A67E6" w:rsidP="004A67E6">
      <w:pPr>
        <w:spacing w:before="0" w:after="0" w:line="240" w:lineRule="auto"/>
        <w:jc w:val="center"/>
        <w:rPr>
          <w:b/>
          <w:u w:val="single"/>
        </w:rPr>
      </w:pPr>
      <w:r w:rsidRPr="004A67E6">
        <w:rPr>
          <w:b/>
          <w:u w:val="single"/>
        </w:rPr>
        <w:t>CANCELLING HEARING</w:t>
      </w:r>
    </w:p>
    <w:p w:rsidR="006A6D32" w:rsidRDefault="006A6D32" w:rsidP="006A6D32">
      <w:pPr>
        <w:spacing w:before="0" w:after="0"/>
        <w:jc w:val="center"/>
        <w:rPr>
          <w:b/>
          <w:u w:val="single"/>
        </w:rPr>
      </w:pPr>
    </w:p>
    <w:p w:rsidR="004A67E6" w:rsidRDefault="004A67E6" w:rsidP="006A6D32">
      <w:pPr>
        <w:spacing w:before="0" w:after="0"/>
      </w:pPr>
      <w:r>
        <w:tab/>
        <w:t>On February 18, 2016 the Complainant, Tonia Scott, filed a formal complaint against Pennsylvania</w:t>
      </w:r>
      <w:r w:rsidR="00691032">
        <w:t>-</w:t>
      </w:r>
      <w:r>
        <w:t xml:space="preserve">American Water Company (PAWC), challenging the termination of her water service and PAWC’s refusal to accept a “negotiable instrument” as payment.  PAWC filed an answer on March 2, 2016.  PAWC also filed preliminary objections which seek dismissal of the complaint based on the doctrine of </w:t>
      </w:r>
      <w:r w:rsidRPr="004A67E6">
        <w:rPr>
          <w:i/>
        </w:rPr>
        <w:t>res judicata</w:t>
      </w:r>
      <w:r>
        <w:t>.  To date, no response to the preliminary objection has been filed.</w:t>
      </w:r>
    </w:p>
    <w:p w:rsidR="009E2EA4" w:rsidRDefault="009E2EA4" w:rsidP="009E2EA4">
      <w:pPr>
        <w:spacing w:before="0" w:after="0"/>
      </w:pPr>
    </w:p>
    <w:p w:rsidR="004A67E6" w:rsidRDefault="004A67E6" w:rsidP="009E2EA4">
      <w:pPr>
        <w:spacing w:before="0" w:after="0"/>
      </w:pPr>
      <w:r>
        <w:tab/>
        <w:t>By hearing notice dated April 28, 2016, the complaint was assigned to me for disposition and scheduled for a hearing on June 8, 2016.  After reviewing the file, it appears that the outstanding preliminary objections cannot be resolved in time for the parties to adequately prepare for a hearing on June 8, 2016.</w:t>
      </w:r>
    </w:p>
    <w:p w:rsidR="009E2EA4" w:rsidRDefault="009E2EA4" w:rsidP="009E2EA4">
      <w:pPr>
        <w:spacing w:before="0" w:after="0"/>
      </w:pPr>
    </w:p>
    <w:p w:rsidR="004A67E6" w:rsidRDefault="009E2EA4" w:rsidP="009E2EA4">
      <w:pPr>
        <w:spacing w:before="0" w:after="0"/>
      </w:pPr>
      <w:r>
        <w:tab/>
      </w:r>
      <w:r w:rsidR="004A67E6">
        <w:t>THEREFORE</w:t>
      </w:r>
    </w:p>
    <w:p w:rsidR="009E2EA4" w:rsidRDefault="009E2EA4" w:rsidP="009E2EA4">
      <w:pPr>
        <w:spacing w:before="0" w:after="0"/>
      </w:pPr>
    </w:p>
    <w:p w:rsidR="004A67E6" w:rsidRDefault="009E2EA4" w:rsidP="009E2EA4">
      <w:pPr>
        <w:spacing w:before="0" w:after="0"/>
      </w:pPr>
      <w:r>
        <w:tab/>
      </w:r>
      <w:r w:rsidR="004A67E6">
        <w:t>IT IS ORDERED:</w:t>
      </w:r>
    </w:p>
    <w:p w:rsidR="009E2EA4" w:rsidRDefault="009E2EA4" w:rsidP="009E2EA4">
      <w:pPr>
        <w:spacing w:before="0" w:after="0"/>
      </w:pPr>
    </w:p>
    <w:p w:rsidR="0091612D" w:rsidRDefault="004A67E6" w:rsidP="009E2EA4">
      <w:pPr>
        <w:spacing w:before="0" w:after="0"/>
      </w:pPr>
      <w:r>
        <w:tab/>
        <w:t xml:space="preserve">1. </w:t>
      </w:r>
      <w:r>
        <w:tab/>
        <w:t>That the hearing scheduled for June 8, 2016, shall be cancelled.</w:t>
      </w:r>
      <w:r w:rsidR="0091612D">
        <w:br w:type="page"/>
      </w:r>
    </w:p>
    <w:p w:rsidR="004A67E6" w:rsidRDefault="004A67E6" w:rsidP="009E2EA4">
      <w:pPr>
        <w:spacing w:before="0" w:after="0"/>
      </w:pPr>
      <w:r>
        <w:lastRenderedPageBreak/>
        <w:tab/>
        <w:t>2.</w:t>
      </w:r>
      <w:r>
        <w:tab/>
        <w:t>That if a hearing is necessary, it shall be scheduled for an available date following the decision on the preliminary objections.</w:t>
      </w:r>
    </w:p>
    <w:p w:rsidR="0091612D" w:rsidRDefault="0091612D" w:rsidP="009E2EA4">
      <w:pPr>
        <w:spacing w:before="0" w:after="0"/>
      </w:pPr>
    </w:p>
    <w:p w:rsidR="0091612D" w:rsidRDefault="0091612D" w:rsidP="009E2EA4">
      <w:pPr>
        <w:spacing w:before="0" w:after="0"/>
      </w:pPr>
    </w:p>
    <w:p w:rsidR="0091612D" w:rsidRDefault="0091612D" w:rsidP="00CB011A">
      <w:pPr>
        <w:tabs>
          <w:tab w:val="left" w:pos="0"/>
          <w:tab w:val="left" w:pos="5040"/>
        </w:tabs>
        <w:spacing w:before="0" w:after="0" w:line="240" w:lineRule="auto"/>
        <w:jc w:val="both"/>
      </w:pPr>
      <w:r>
        <w:t xml:space="preserve">Date:  </w:t>
      </w:r>
      <w:r>
        <w:rPr>
          <w:u w:val="single"/>
        </w:rPr>
        <w:t>May 3, 2016</w:t>
      </w:r>
      <w:r>
        <w:tab/>
        <w:t>___________________________________</w:t>
      </w:r>
      <w:r>
        <w:tab/>
      </w:r>
      <w:r>
        <w:tab/>
      </w:r>
      <w:r>
        <w:tab/>
        <w:t>Mary D. Long</w:t>
      </w:r>
    </w:p>
    <w:p w:rsidR="00CB011A" w:rsidRDefault="0091612D" w:rsidP="0091612D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CB011A" w:rsidRDefault="00CB011A" w:rsidP="0091612D">
      <w:pPr>
        <w:tabs>
          <w:tab w:val="left" w:pos="0"/>
        </w:tabs>
        <w:spacing w:before="0" w:after="0" w:line="240" w:lineRule="auto"/>
        <w:jc w:val="both"/>
      </w:pPr>
    </w:p>
    <w:p w:rsidR="00CB011A" w:rsidRDefault="00CB011A" w:rsidP="0091612D">
      <w:pPr>
        <w:tabs>
          <w:tab w:val="left" w:pos="0"/>
        </w:tabs>
        <w:spacing w:before="0" w:after="0" w:line="240" w:lineRule="auto"/>
        <w:jc w:val="both"/>
        <w:sectPr w:rsidR="00CB011A" w:rsidSect="0091612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F5006" w:rsidRPr="00BF5006" w:rsidRDefault="00BF5006" w:rsidP="00BF5006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BF500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C-2016-2529902 - TONIA SCOTT v. PENNSYLVANIA </w:t>
      </w:r>
      <w:r w:rsidR="00691032">
        <w:rPr>
          <w:rFonts w:ascii="Microsoft Sans Serif" w:eastAsiaTheme="minorEastAsia" w:hAnsiTheme="minorHAnsi" w:cstheme="minorBidi"/>
          <w:b/>
          <w:szCs w:val="22"/>
          <w:u w:val="single"/>
        </w:rPr>
        <w:t>-</w:t>
      </w:r>
      <w:r w:rsidRPr="00BF5006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AMERICAN WATER </w:t>
      </w:r>
      <w:bookmarkStart w:id="0" w:name="_GoBack"/>
      <w:bookmarkEnd w:id="0"/>
      <w:r w:rsidRPr="00BF5006">
        <w:rPr>
          <w:rFonts w:ascii="Microsoft Sans Serif" w:eastAsiaTheme="minorEastAsia" w:hAnsiTheme="minorHAnsi" w:cstheme="minorBidi"/>
          <w:b/>
          <w:szCs w:val="22"/>
          <w:u w:val="single"/>
        </w:rPr>
        <w:t>COMPANY</w:t>
      </w:r>
      <w:r w:rsidRPr="00BF500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F5006">
        <w:rPr>
          <w:rFonts w:ascii="Microsoft Sans Serif" w:eastAsiaTheme="minorEastAsia" w:hAnsiTheme="minorHAnsi" w:cstheme="minorBidi"/>
          <w:szCs w:val="22"/>
        </w:rPr>
        <w:cr/>
        <w:t>TONIA SCOTT</w:t>
      </w:r>
      <w:r w:rsidRPr="00BF5006">
        <w:rPr>
          <w:rFonts w:ascii="Microsoft Sans Serif" w:eastAsiaTheme="minorEastAsia" w:hAnsiTheme="minorHAnsi" w:cstheme="minorBidi"/>
          <w:szCs w:val="22"/>
        </w:rPr>
        <w:cr/>
        <w:t>4110 WINCHESTER WAY</w:t>
      </w:r>
      <w:r w:rsidRPr="00BF5006">
        <w:rPr>
          <w:rFonts w:ascii="Microsoft Sans Serif" w:eastAsiaTheme="minorEastAsia" w:hAnsiTheme="minorHAnsi" w:cstheme="minorBidi"/>
          <w:szCs w:val="22"/>
        </w:rPr>
        <w:cr/>
        <w:t>BUSHKILL PA  18324</w:t>
      </w:r>
      <w:r w:rsidRPr="00BF5006">
        <w:rPr>
          <w:rFonts w:ascii="Microsoft Sans Serif" w:eastAsiaTheme="minorEastAsia" w:hAnsiTheme="minorHAnsi" w:cstheme="minorBidi"/>
          <w:szCs w:val="22"/>
        </w:rPr>
        <w:cr/>
      </w:r>
      <w:r w:rsidRPr="00BF5006">
        <w:rPr>
          <w:rFonts w:ascii="Microsoft Sans Serif" w:eastAsiaTheme="minorEastAsia" w:hAnsiTheme="minorHAnsi" w:cstheme="minorBidi"/>
          <w:b/>
          <w:szCs w:val="22"/>
        </w:rPr>
        <w:t>570.994.1931</w:t>
      </w:r>
      <w:r w:rsidRPr="00BF5006">
        <w:rPr>
          <w:rFonts w:ascii="Microsoft Sans Serif" w:eastAsiaTheme="minorEastAsia" w:hAnsiTheme="minorHAnsi" w:cstheme="minorBidi"/>
          <w:b/>
          <w:szCs w:val="22"/>
        </w:rPr>
        <w:cr/>
      </w:r>
      <w:r w:rsidRPr="00BF500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F5006">
        <w:rPr>
          <w:rFonts w:ascii="Microsoft Sans Serif" w:eastAsiaTheme="minorEastAsia" w:hAnsiTheme="minorHAnsi" w:cstheme="minorBidi"/>
          <w:szCs w:val="22"/>
        </w:rPr>
        <w:t>MICHAEL A GRUIN ESQUIRE</w:t>
      </w:r>
      <w:r w:rsidRPr="00BF5006">
        <w:rPr>
          <w:rFonts w:ascii="Microsoft Sans Serif" w:eastAsiaTheme="minorEastAsia" w:hAnsiTheme="minorHAnsi" w:cstheme="minorBidi"/>
          <w:szCs w:val="22"/>
        </w:rPr>
        <w:cr/>
        <w:t>STEVENS &amp; LEE</w:t>
      </w:r>
      <w:r w:rsidRPr="00BF5006">
        <w:rPr>
          <w:rFonts w:ascii="Microsoft Sans Serif" w:eastAsiaTheme="minorEastAsia" w:hAnsiTheme="minorHAnsi" w:cstheme="minorBidi"/>
          <w:szCs w:val="22"/>
        </w:rPr>
        <w:cr/>
        <w:t>16TH FLOOR</w:t>
      </w:r>
      <w:r w:rsidRPr="00BF5006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BF5006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BF5006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BF5006">
        <w:rPr>
          <w:rFonts w:ascii="Microsoft Sans Serif" w:eastAsiaTheme="minorEastAsia" w:hAnsiTheme="minorHAnsi" w:cstheme="minorBidi"/>
          <w:szCs w:val="22"/>
        </w:rPr>
        <w:cr/>
      </w:r>
      <w:r w:rsidRPr="00BF5006">
        <w:rPr>
          <w:rFonts w:ascii="Microsoft Sans Serif" w:eastAsiaTheme="minorEastAsia" w:hAnsiTheme="minorHAnsi" w:cstheme="minorBidi"/>
          <w:b/>
          <w:szCs w:val="22"/>
        </w:rPr>
        <w:t>717.255.7365</w:t>
      </w:r>
    </w:p>
    <w:p w:rsidR="00BF5006" w:rsidRPr="00BF5006" w:rsidRDefault="00BF5006" w:rsidP="00BF5006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BF5006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BF5006" w:rsidRPr="00BF5006" w:rsidRDefault="00BF5006" w:rsidP="00BF5006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F5006">
        <w:rPr>
          <w:rFonts w:ascii="Microsoft Sans Serif" w:eastAsiaTheme="minorEastAsia" w:hAnsiTheme="minorHAnsi" w:cstheme="minorBidi"/>
          <w:i/>
          <w:szCs w:val="22"/>
        </w:rPr>
        <w:t>Representing Pennsylvania-American Water Company</w:t>
      </w:r>
      <w:r w:rsidRPr="00BF5006">
        <w:rPr>
          <w:rFonts w:ascii="Microsoft Sans Serif" w:eastAsiaTheme="minorEastAsia" w:hAnsiTheme="minorHAnsi" w:cstheme="minorBidi"/>
          <w:i/>
          <w:szCs w:val="22"/>
        </w:rPr>
        <w:cr/>
      </w:r>
    </w:p>
    <w:p w:rsidR="0091612D" w:rsidRDefault="0091612D" w:rsidP="0091612D">
      <w:pPr>
        <w:tabs>
          <w:tab w:val="left" w:pos="0"/>
        </w:tabs>
        <w:spacing w:before="0" w:after="0" w:line="240" w:lineRule="auto"/>
        <w:jc w:val="both"/>
      </w:pPr>
      <w:r>
        <w:tab/>
      </w:r>
    </w:p>
    <w:p w:rsidR="0091612D" w:rsidRDefault="0091612D" w:rsidP="009E2EA4">
      <w:pPr>
        <w:spacing w:before="0" w:after="0"/>
      </w:pPr>
    </w:p>
    <w:sectPr w:rsidR="0091612D" w:rsidSect="0091612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16" w:rsidRDefault="00E77D16" w:rsidP="0091612D">
      <w:pPr>
        <w:spacing w:before="0" w:after="0" w:line="240" w:lineRule="auto"/>
      </w:pPr>
      <w:r>
        <w:separator/>
      </w:r>
    </w:p>
  </w:endnote>
  <w:endnote w:type="continuationSeparator" w:id="0">
    <w:p w:rsidR="00E77D16" w:rsidRDefault="00E77D16" w:rsidP="009161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013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612D" w:rsidRDefault="00916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0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16" w:rsidRDefault="00E77D16" w:rsidP="0091612D">
      <w:pPr>
        <w:spacing w:before="0" w:after="0" w:line="240" w:lineRule="auto"/>
      </w:pPr>
      <w:r>
        <w:separator/>
      </w:r>
    </w:p>
  </w:footnote>
  <w:footnote w:type="continuationSeparator" w:id="0">
    <w:p w:rsidR="00E77D16" w:rsidRDefault="00E77D16" w:rsidP="009161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43A5"/>
    <w:multiLevelType w:val="hybridMultilevel"/>
    <w:tmpl w:val="818C50FE"/>
    <w:lvl w:ilvl="0" w:tplc="935A75F4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20"/>
  </w:num>
  <w:num w:numId="5">
    <w:abstractNumId w:val="6"/>
  </w:num>
  <w:num w:numId="6">
    <w:abstractNumId w:val="4"/>
  </w:num>
  <w:num w:numId="7">
    <w:abstractNumId w:val="3"/>
  </w:num>
  <w:num w:numId="8">
    <w:abstractNumId w:val="19"/>
  </w:num>
  <w:num w:numId="9">
    <w:abstractNumId w:val="1"/>
  </w:num>
  <w:num w:numId="10">
    <w:abstractNumId w:val="13"/>
  </w:num>
  <w:num w:numId="11">
    <w:abstractNumId w:val="15"/>
  </w:num>
  <w:num w:numId="12">
    <w:abstractNumId w:val="9"/>
  </w:num>
  <w:num w:numId="13">
    <w:abstractNumId w:val="14"/>
  </w:num>
  <w:num w:numId="14">
    <w:abstractNumId w:val="17"/>
  </w:num>
  <w:num w:numId="15">
    <w:abstractNumId w:val="0"/>
  </w:num>
  <w:num w:numId="16">
    <w:abstractNumId w:val="12"/>
  </w:num>
  <w:num w:numId="17">
    <w:abstractNumId w:val="12"/>
  </w:num>
  <w:num w:numId="18">
    <w:abstractNumId w:val="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88"/>
    <w:rsid w:val="00004C37"/>
    <w:rsid w:val="000E3EDE"/>
    <w:rsid w:val="001A21B6"/>
    <w:rsid w:val="001B1CBA"/>
    <w:rsid w:val="001D2AF7"/>
    <w:rsid w:val="00213167"/>
    <w:rsid w:val="002512F9"/>
    <w:rsid w:val="003145FA"/>
    <w:rsid w:val="00367A41"/>
    <w:rsid w:val="00393C92"/>
    <w:rsid w:val="004A67E6"/>
    <w:rsid w:val="004D523C"/>
    <w:rsid w:val="005A1C17"/>
    <w:rsid w:val="005A2ABA"/>
    <w:rsid w:val="005E7B69"/>
    <w:rsid w:val="0061775F"/>
    <w:rsid w:val="00691032"/>
    <w:rsid w:val="00696C0D"/>
    <w:rsid w:val="006A6D32"/>
    <w:rsid w:val="006F0329"/>
    <w:rsid w:val="00700807"/>
    <w:rsid w:val="00712E58"/>
    <w:rsid w:val="00713FCE"/>
    <w:rsid w:val="00792796"/>
    <w:rsid w:val="007E6779"/>
    <w:rsid w:val="00820B4C"/>
    <w:rsid w:val="008529D2"/>
    <w:rsid w:val="0091612D"/>
    <w:rsid w:val="009E2EA4"/>
    <w:rsid w:val="00A47096"/>
    <w:rsid w:val="00AA2EC5"/>
    <w:rsid w:val="00AB4C73"/>
    <w:rsid w:val="00AE17F3"/>
    <w:rsid w:val="00AE6F47"/>
    <w:rsid w:val="00B91E47"/>
    <w:rsid w:val="00BC6B21"/>
    <w:rsid w:val="00BF5006"/>
    <w:rsid w:val="00C87E57"/>
    <w:rsid w:val="00CB011A"/>
    <w:rsid w:val="00D13988"/>
    <w:rsid w:val="00DD5C37"/>
    <w:rsid w:val="00E4239A"/>
    <w:rsid w:val="00E77D16"/>
    <w:rsid w:val="00EA31EB"/>
    <w:rsid w:val="00EB719B"/>
    <w:rsid w:val="00EC1CBA"/>
    <w:rsid w:val="00EE7801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47096"/>
    <w:pPr>
      <w:numPr>
        <w:numId w:val="23"/>
      </w:numPr>
      <w:spacing w:before="240" w:after="240"/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Title">
    <w:name w:val="Title"/>
    <w:basedOn w:val="Normal"/>
    <w:link w:val="TitleChar"/>
    <w:qFormat/>
    <w:rsid w:val="009E2EA4"/>
    <w:pPr>
      <w:tabs>
        <w:tab w:val="clear" w:pos="1440"/>
        <w:tab w:val="left" w:pos="360"/>
      </w:tabs>
      <w:spacing w:before="0"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E2EA4"/>
    <w:rPr>
      <w:rFonts w:ascii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612D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2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1612D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2D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47096"/>
    <w:pPr>
      <w:numPr>
        <w:numId w:val="23"/>
      </w:numPr>
      <w:spacing w:before="240" w:after="240"/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Title">
    <w:name w:val="Title"/>
    <w:basedOn w:val="Normal"/>
    <w:link w:val="TitleChar"/>
    <w:qFormat/>
    <w:rsid w:val="009E2EA4"/>
    <w:pPr>
      <w:tabs>
        <w:tab w:val="clear" w:pos="1440"/>
        <w:tab w:val="left" w:pos="360"/>
      </w:tabs>
      <w:spacing w:before="0"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E2EA4"/>
    <w:rPr>
      <w:rFonts w:ascii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612D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2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1612D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2D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Blanton, Leah</cp:lastModifiedBy>
  <cp:revision>6</cp:revision>
  <dcterms:created xsi:type="dcterms:W3CDTF">2016-05-03T16:37:00Z</dcterms:created>
  <dcterms:modified xsi:type="dcterms:W3CDTF">2016-05-03T17:48:00Z</dcterms:modified>
</cp:coreProperties>
</file>