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52C" w:rsidRPr="00DD652C" w:rsidRDefault="00DD652C" w:rsidP="00DD652C">
      <w:pPr>
        <w:tabs>
          <w:tab w:val="center" w:pos="4680"/>
        </w:tabs>
        <w:suppressAutoHyphens/>
        <w:spacing w:line="240" w:lineRule="auto"/>
        <w:jc w:val="center"/>
        <w:rPr>
          <w:b/>
          <w:szCs w:val="26"/>
        </w:rPr>
      </w:pPr>
      <w:r w:rsidRPr="00DD652C">
        <w:rPr>
          <w:b/>
          <w:szCs w:val="26"/>
        </w:rPr>
        <w:t>PENNSYLVANIA</w:t>
      </w:r>
    </w:p>
    <w:p w:rsidR="00DD652C" w:rsidRPr="00DD652C" w:rsidRDefault="00DD652C" w:rsidP="00DD652C">
      <w:pPr>
        <w:tabs>
          <w:tab w:val="center" w:pos="4680"/>
        </w:tabs>
        <w:suppressAutoHyphens/>
        <w:spacing w:line="240" w:lineRule="auto"/>
        <w:jc w:val="center"/>
        <w:rPr>
          <w:szCs w:val="26"/>
        </w:rPr>
      </w:pPr>
      <w:r w:rsidRPr="00DD652C">
        <w:rPr>
          <w:b/>
          <w:szCs w:val="26"/>
        </w:rPr>
        <w:t>PUBLIC UTILITY COMMISSION</w:t>
      </w:r>
    </w:p>
    <w:p w:rsidR="00DD652C" w:rsidRPr="00DD652C" w:rsidRDefault="00DD652C" w:rsidP="00DD652C">
      <w:pPr>
        <w:tabs>
          <w:tab w:val="center" w:pos="4680"/>
        </w:tabs>
        <w:suppressAutoHyphens/>
        <w:spacing w:line="240" w:lineRule="auto"/>
        <w:jc w:val="center"/>
        <w:rPr>
          <w:szCs w:val="26"/>
        </w:rPr>
      </w:pPr>
      <w:r w:rsidRPr="00DD652C">
        <w:rPr>
          <w:b/>
          <w:szCs w:val="26"/>
        </w:rPr>
        <w:t>Harrisburg, PA 17105-3265</w:t>
      </w:r>
    </w:p>
    <w:p w:rsidR="00DD652C" w:rsidRPr="00DD652C" w:rsidRDefault="00DD652C" w:rsidP="00DD652C">
      <w:pPr>
        <w:spacing w:line="24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D652C" w:rsidRPr="00DD652C" w:rsidTr="00FD43DE">
        <w:tc>
          <w:tcPr>
            <w:tcW w:w="5058" w:type="dxa"/>
          </w:tcPr>
          <w:p w:rsidR="00DD652C" w:rsidRPr="00DD652C" w:rsidRDefault="00DD652C" w:rsidP="00A72BE1">
            <w:pPr>
              <w:spacing w:line="240" w:lineRule="auto"/>
              <w:ind w:left="-720"/>
              <w:rPr>
                <w:rFonts w:ascii="Times New Roman" w:hAnsi="Times New Roman" w:cs="Times New Roman"/>
                <w:szCs w:val="26"/>
              </w:rPr>
            </w:pPr>
          </w:p>
        </w:tc>
        <w:tc>
          <w:tcPr>
            <w:tcW w:w="4428" w:type="dxa"/>
          </w:tcPr>
          <w:p w:rsidR="00DD652C" w:rsidRPr="00DD652C" w:rsidRDefault="00DD652C" w:rsidP="00222029">
            <w:pPr>
              <w:spacing w:line="240" w:lineRule="auto"/>
              <w:ind w:right="-720"/>
              <w:jc w:val="center"/>
              <w:rPr>
                <w:rFonts w:ascii="Times New Roman" w:hAnsi="Times New Roman" w:cs="Times New Roman"/>
                <w:szCs w:val="26"/>
              </w:rPr>
            </w:pPr>
            <w:r w:rsidRPr="00DD652C">
              <w:rPr>
                <w:rFonts w:ascii="Times New Roman" w:hAnsi="Times New Roman" w:cs="Times New Roman"/>
                <w:szCs w:val="26"/>
              </w:rPr>
              <w:t xml:space="preserve">Public Meeting held </w:t>
            </w:r>
            <w:r w:rsidR="0084478F">
              <w:rPr>
                <w:rFonts w:ascii="Times New Roman" w:hAnsi="Times New Roman" w:cs="Times New Roman"/>
                <w:szCs w:val="26"/>
              </w:rPr>
              <w:t>May 5</w:t>
            </w:r>
            <w:r w:rsidR="00823694">
              <w:rPr>
                <w:rFonts w:ascii="Times New Roman" w:hAnsi="Times New Roman" w:cs="Times New Roman"/>
                <w:szCs w:val="26"/>
              </w:rPr>
              <w:t>, 2016</w:t>
            </w:r>
          </w:p>
          <w:p w:rsidR="00DD652C" w:rsidRPr="00DD652C" w:rsidRDefault="00DD652C" w:rsidP="00DD652C">
            <w:pPr>
              <w:spacing w:line="240" w:lineRule="auto"/>
              <w:rPr>
                <w:rFonts w:ascii="Times New Roman" w:hAnsi="Times New Roman" w:cs="Times New Roman"/>
                <w:szCs w:val="26"/>
              </w:rPr>
            </w:pPr>
          </w:p>
        </w:tc>
      </w:tr>
      <w:tr w:rsidR="00DD652C" w:rsidRPr="00DD652C" w:rsidTr="00FD43DE">
        <w:tc>
          <w:tcPr>
            <w:tcW w:w="5058" w:type="dxa"/>
          </w:tcPr>
          <w:p w:rsidR="00DD652C" w:rsidRPr="00DD652C" w:rsidRDefault="00DD652C" w:rsidP="00DD652C">
            <w:pPr>
              <w:spacing w:line="240" w:lineRule="auto"/>
              <w:rPr>
                <w:rFonts w:ascii="Times New Roman" w:hAnsi="Times New Roman" w:cs="Times New Roman"/>
                <w:szCs w:val="26"/>
              </w:rPr>
            </w:pPr>
            <w:r w:rsidRPr="00DD652C">
              <w:rPr>
                <w:rFonts w:ascii="Times New Roman" w:hAnsi="Times New Roman" w:cs="Times New Roman"/>
                <w:szCs w:val="26"/>
              </w:rPr>
              <w:t>Commissioners Present:</w:t>
            </w:r>
          </w:p>
          <w:p w:rsidR="00DD652C" w:rsidRPr="00DD652C" w:rsidRDefault="00DD652C" w:rsidP="00DD652C">
            <w:pPr>
              <w:spacing w:line="240" w:lineRule="auto"/>
              <w:rPr>
                <w:rFonts w:ascii="Times New Roman" w:hAnsi="Times New Roman" w:cs="Times New Roman"/>
                <w:szCs w:val="26"/>
              </w:rPr>
            </w:pPr>
          </w:p>
          <w:p w:rsidR="003D522A" w:rsidRPr="00C5628D" w:rsidRDefault="003D522A" w:rsidP="003D522A">
            <w:pPr>
              <w:tabs>
                <w:tab w:val="left" w:pos="705"/>
              </w:tabs>
              <w:spacing w:line="240" w:lineRule="auto"/>
              <w:ind w:firstLine="720"/>
              <w:rPr>
                <w:rFonts w:ascii="Times New Roman" w:hAnsi="Times New Roman" w:cs="Times New Roman"/>
                <w:spacing w:val="-3"/>
                <w:szCs w:val="26"/>
              </w:rPr>
            </w:pPr>
            <w:r w:rsidRPr="00C5628D">
              <w:rPr>
                <w:rFonts w:ascii="Times New Roman" w:hAnsi="Times New Roman" w:cs="Times New Roman"/>
                <w:spacing w:val="-3"/>
                <w:szCs w:val="26"/>
              </w:rPr>
              <w:t>Gladys M. Brown, Chairman</w:t>
            </w:r>
          </w:p>
          <w:p w:rsidR="003D522A" w:rsidRPr="00C5628D" w:rsidRDefault="003D522A" w:rsidP="003D522A">
            <w:pPr>
              <w:tabs>
                <w:tab w:val="left" w:pos="705"/>
              </w:tabs>
              <w:spacing w:line="240" w:lineRule="auto"/>
              <w:ind w:firstLine="720"/>
              <w:rPr>
                <w:rFonts w:ascii="Times New Roman" w:hAnsi="Times New Roman" w:cs="Times New Roman"/>
                <w:spacing w:val="-3"/>
                <w:szCs w:val="26"/>
              </w:rPr>
            </w:pPr>
            <w:r w:rsidRPr="00C5628D">
              <w:rPr>
                <w:rFonts w:ascii="Times New Roman" w:hAnsi="Times New Roman" w:cs="Times New Roman"/>
                <w:spacing w:val="-3"/>
                <w:szCs w:val="26"/>
              </w:rPr>
              <w:t>Andrew G. Place</w:t>
            </w:r>
            <w:r w:rsidR="00557BCB">
              <w:rPr>
                <w:rFonts w:ascii="Times New Roman" w:hAnsi="Times New Roman" w:cs="Times New Roman"/>
                <w:spacing w:val="-3"/>
                <w:szCs w:val="26"/>
              </w:rPr>
              <w:t>,</w:t>
            </w:r>
            <w:r w:rsidR="0006185E">
              <w:rPr>
                <w:rFonts w:ascii="Times New Roman" w:hAnsi="Times New Roman" w:cs="Times New Roman"/>
                <w:spacing w:val="-3"/>
                <w:szCs w:val="26"/>
              </w:rPr>
              <w:t xml:space="preserve"> </w:t>
            </w:r>
            <w:r w:rsidRPr="00C5628D">
              <w:rPr>
                <w:rFonts w:ascii="Times New Roman" w:hAnsi="Times New Roman" w:cs="Times New Roman"/>
                <w:spacing w:val="-3"/>
                <w:szCs w:val="26"/>
              </w:rPr>
              <w:t>Vice Chairman</w:t>
            </w:r>
          </w:p>
          <w:p w:rsidR="003D522A" w:rsidRPr="00C5628D" w:rsidRDefault="003D522A" w:rsidP="003D522A">
            <w:pPr>
              <w:tabs>
                <w:tab w:val="left" w:pos="705"/>
              </w:tabs>
              <w:spacing w:line="240" w:lineRule="auto"/>
              <w:ind w:firstLine="720"/>
              <w:rPr>
                <w:rFonts w:ascii="Times New Roman" w:hAnsi="Times New Roman" w:cs="Times New Roman"/>
                <w:spacing w:val="-3"/>
                <w:szCs w:val="26"/>
              </w:rPr>
            </w:pPr>
            <w:r w:rsidRPr="00C5628D">
              <w:rPr>
                <w:rFonts w:ascii="Times New Roman" w:hAnsi="Times New Roman" w:cs="Times New Roman"/>
                <w:spacing w:val="-3"/>
                <w:szCs w:val="26"/>
              </w:rPr>
              <w:t>John F. Coleman</w:t>
            </w:r>
            <w:r w:rsidR="00557BCB" w:rsidRPr="00C5628D">
              <w:rPr>
                <w:rFonts w:ascii="Times New Roman" w:hAnsi="Times New Roman" w:cs="Times New Roman"/>
                <w:spacing w:val="-3"/>
                <w:szCs w:val="26"/>
              </w:rPr>
              <w:t>, Jr.</w:t>
            </w:r>
          </w:p>
          <w:p w:rsidR="003D522A" w:rsidRPr="00C5628D" w:rsidRDefault="003D522A" w:rsidP="003D522A">
            <w:pPr>
              <w:tabs>
                <w:tab w:val="left" w:pos="705"/>
              </w:tabs>
              <w:spacing w:line="240" w:lineRule="auto"/>
              <w:ind w:firstLine="720"/>
              <w:rPr>
                <w:rFonts w:ascii="Times New Roman" w:hAnsi="Times New Roman" w:cs="Times New Roman"/>
                <w:spacing w:val="-3"/>
                <w:szCs w:val="26"/>
              </w:rPr>
            </w:pPr>
            <w:r w:rsidRPr="00C5628D">
              <w:rPr>
                <w:rFonts w:ascii="Times New Roman" w:hAnsi="Times New Roman" w:cs="Times New Roman"/>
                <w:spacing w:val="-3"/>
                <w:szCs w:val="26"/>
              </w:rPr>
              <w:t>Robert F. Powelson</w:t>
            </w:r>
          </w:p>
          <w:p w:rsidR="00DD652C" w:rsidRPr="00DD652C" w:rsidRDefault="00DD652C" w:rsidP="00DD652C">
            <w:pPr>
              <w:spacing w:line="240" w:lineRule="auto"/>
              <w:rPr>
                <w:rFonts w:ascii="Times New Roman" w:hAnsi="Times New Roman" w:cs="Times New Roman"/>
                <w:szCs w:val="26"/>
              </w:rPr>
            </w:pPr>
          </w:p>
          <w:p w:rsidR="00DD652C" w:rsidRPr="00DD652C" w:rsidRDefault="00DD652C" w:rsidP="00DD652C">
            <w:pPr>
              <w:spacing w:line="240" w:lineRule="auto"/>
              <w:rPr>
                <w:rFonts w:ascii="Times New Roman" w:hAnsi="Times New Roman" w:cs="Times New Roman"/>
                <w:szCs w:val="26"/>
              </w:rPr>
            </w:pPr>
          </w:p>
        </w:tc>
        <w:tc>
          <w:tcPr>
            <w:tcW w:w="4428" w:type="dxa"/>
          </w:tcPr>
          <w:p w:rsidR="00DD652C" w:rsidRPr="00DD652C" w:rsidRDefault="00DD652C" w:rsidP="00DD652C">
            <w:pPr>
              <w:spacing w:line="240" w:lineRule="auto"/>
              <w:rPr>
                <w:rFonts w:ascii="Times New Roman" w:hAnsi="Times New Roman" w:cs="Times New Roman"/>
                <w:szCs w:val="26"/>
              </w:rPr>
            </w:pPr>
          </w:p>
          <w:p w:rsidR="00DD652C" w:rsidRPr="00DD652C" w:rsidRDefault="00DD652C" w:rsidP="00DD652C">
            <w:pPr>
              <w:spacing w:line="240" w:lineRule="auto"/>
              <w:rPr>
                <w:rFonts w:ascii="Times New Roman" w:hAnsi="Times New Roman" w:cs="Times New Roman"/>
                <w:szCs w:val="26"/>
              </w:rPr>
            </w:pPr>
          </w:p>
        </w:tc>
      </w:tr>
    </w:tbl>
    <w:p w:rsidR="00DD652C" w:rsidRPr="003739E7" w:rsidRDefault="00DD652C" w:rsidP="00DD652C">
      <w:pPr>
        <w:spacing w:line="240" w:lineRule="auto"/>
        <w:rPr>
          <w:szCs w:val="26"/>
        </w:rPr>
      </w:pPr>
      <w:r w:rsidRPr="003739E7">
        <w:rPr>
          <w:szCs w:val="26"/>
        </w:rPr>
        <w:t>Stephanie Hallman</w:t>
      </w:r>
      <w:r>
        <w:rPr>
          <w:szCs w:val="26"/>
        </w:rPr>
        <w:t xml:space="preserve">                                   </w:t>
      </w:r>
      <w:r w:rsidRPr="00DD652C">
        <w:rPr>
          <w:bCs/>
          <w:szCs w:val="26"/>
        </w:rPr>
        <w:t xml:space="preserve"> </w:t>
      </w:r>
      <w:r w:rsidRPr="00DD652C">
        <w:rPr>
          <w:bCs/>
          <w:szCs w:val="26"/>
        </w:rPr>
        <w:tab/>
      </w:r>
      <w:r w:rsidRPr="00DD652C">
        <w:rPr>
          <w:bCs/>
          <w:szCs w:val="26"/>
        </w:rPr>
        <w:tab/>
        <w:t xml:space="preserve">                </w:t>
      </w:r>
      <w:r w:rsidR="00912C7F">
        <w:rPr>
          <w:bCs/>
          <w:szCs w:val="26"/>
        </w:rPr>
        <w:t xml:space="preserve">            </w:t>
      </w:r>
      <w:r w:rsidRPr="003739E7">
        <w:rPr>
          <w:szCs w:val="26"/>
        </w:rPr>
        <w:t>F-2013-2393373</w:t>
      </w:r>
    </w:p>
    <w:p w:rsidR="00DD652C" w:rsidRPr="00DD652C" w:rsidRDefault="00DD652C" w:rsidP="00DD652C">
      <w:pPr>
        <w:adjustRightInd w:val="0"/>
        <w:spacing w:line="240" w:lineRule="auto"/>
        <w:rPr>
          <w:bCs/>
          <w:szCs w:val="26"/>
        </w:rPr>
      </w:pP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p>
    <w:p w:rsidR="00DD652C" w:rsidRDefault="00DD652C" w:rsidP="00DD652C">
      <w:pPr>
        <w:adjustRightInd w:val="0"/>
        <w:spacing w:line="240" w:lineRule="auto"/>
        <w:rPr>
          <w:bCs/>
          <w:szCs w:val="26"/>
        </w:rPr>
      </w:pPr>
      <w:r w:rsidRPr="00DD652C">
        <w:rPr>
          <w:bCs/>
          <w:szCs w:val="26"/>
        </w:rPr>
        <w:tab/>
      </w:r>
      <w:r w:rsidR="00F45DAF">
        <w:rPr>
          <w:bCs/>
          <w:szCs w:val="26"/>
        </w:rPr>
        <w:t xml:space="preserve">    </w:t>
      </w:r>
      <w:r w:rsidRPr="00DD652C">
        <w:rPr>
          <w:bCs/>
          <w:szCs w:val="26"/>
        </w:rPr>
        <w:t>v.</w:t>
      </w:r>
    </w:p>
    <w:p w:rsidR="00DD652C" w:rsidRDefault="00DD652C" w:rsidP="00DD652C">
      <w:pPr>
        <w:adjustRightInd w:val="0"/>
        <w:spacing w:line="240" w:lineRule="auto"/>
        <w:rPr>
          <w:bCs/>
          <w:szCs w:val="26"/>
        </w:rPr>
      </w:pP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t xml:space="preserve">    </w:t>
      </w:r>
      <w:r w:rsidRPr="00DD652C">
        <w:rPr>
          <w:bCs/>
          <w:szCs w:val="26"/>
        </w:rPr>
        <w:tab/>
      </w:r>
    </w:p>
    <w:p w:rsidR="00DD652C" w:rsidRPr="00DD652C" w:rsidRDefault="00DD652C" w:rsidP="00DD652C">
      <w:pPr>
        <w:adjustRightInd w:val="0"/>
        <w:spacing w:line="240" w:lineRule="auto"/>
        <w:rPr>
          <w:bCs/>
          <w:szCs w:val="26"/>
        </w:rPr>
      </w:pPr>
      <w:r w:rsidRPr="003739E7">
        <w:rPr>
          <w:szCs w:val="26"/>
        </w:rPr>
        <w:t>PECO Energy Company</w:t>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p>
    <w:p w:rsidR="00DD652C" w:rsidRDefault="00DD652C" w:rsidP="00DD652C">
      <w:pPr>
        <w:adjustRightInd w:val="0"/>
        <w:spacing w:line="240" w:lineRule="auto"/>
        <w:rPr>
          <w:bCs/>
          <w:szCs w:val="26"/>
        </w:rPr>
      </w:pPr>
      <w:r w:rsidRPr="00DD652C">
        <w:rPr>
          <w:bCs/>
          <w:szCs w:val="26"/>
        </w:rPr>
        <w:tab/>
      </w:r>
      <w:r w:rsidRPr="00973E75">
        <w:rPr>
          <w:bCs/>
          <w:szCs w:val="26"/>
        </w:rPr>
        <w:tab/>
      </w:r>
      <w:r w:rsidRPr="00973E75">
        <w:rPr>
          <w:bCs/>
          <w:szCs w:val="26"/>
        </w:rPr>
        <w:tab/>
      </w:r>
      <w:r w:rsidRPr="00973E75">
        <w:rPr>
          <w:bCs/>
          <w:szCs w:val="26"/>
        </w:rPr>
        <w:tab/>
      </w:r>
    </w:p>
    <w:p w:rsidR="00F36C04" w:rsidRPr="00DD652C" w:rsidRDefault="00F36C04" w:rsidP="00DD652C">
      <w:pPr>
        <w:adjustRightInd w:val="0"/>
        <w:spacing w:line="240" w:lineRule="auto"/>
        <w:rPr>
          <w:bCs/>
          <w:szCs w:val="26"/>
        </w:rPr>
      </w:pPr>
    </w:p>
    <w:p w:rsidR="00FF29E1" w:rsidRDefault="00DD652C" w:rsidP="00DD652C">
      <w:pPr>
        <w:jc w:val="center"/>
        <w:rPr>
          <w:b/>
          <w:szCs w:val="26"/>
        </w:rPr>
      </w:pPr>
      <w:r w:rsidRPr="00973E75">
        <w:rPr>
          <w:b/>
          <w:szCs w:val="26"/>
        </w:rPr>
        <w:t>OPINION AND</w:t>
      </w:r>
      <w:r>
        <w:rPr>
          <w:b/>
          <w:szCs w:val="26"/>
        </w:rPr>
        <w:t xml:space="preserve"> ORDER</w:t>
      </w:r>
    </w:p>
    <w:p w:rsidR="00DD652C" w:rsidRPr="00F514FB" w:rsidRDefault="00DD652C" w:rsidP="00DD652C">
      <w:pPr>
        <w:jc w:val="center"/>
        <w:rPr>
          <w:b/>
          <w:szCs w:val="26"/>
        </w:rPr>
      </w:pPr>
    </w:p>
    <w:p w:rsidR="00DD652C" w:rsidRPr="00F514FB" w:rsidRDefault="00DD652C" w:rsidP="00DD652C">
      <w:pPr>
        <w:rPr>
          <w:b/>
          <w:szCs w:val="26"/>
        </w:rPr>
      </w:pPr>
      <w:r w:rsidRPr="00F514FB">
        <w:rPr>
          <w:b/>
          <w:szCs w:val="26"/>
        </w:rPr>
        <w:t>BY THE COMMISSION:</w:t>
      </w:r>
    </w:p>
    <w:p w:rsidR="00DD652C" w:rsidRPr="00F514FB" w:rsidRDefault="00DD652C" w:rsidP="00DD652C">
      <w:pPr>
        <w:rPr>
          <w:szCs w:val="26"/>
        </w:rPr>
      </w:pPr>
    </w:p>
    <w:p w:rsidR="006547BB" w:rsidRDefault="006547BB" w:rsidP="00F36C04">
      <w:pPr>
        <w:pStyle w:val="FootnoteText"/>
        <w:spacing w:line="360" w:lineRule="auto"/>
        <w:ind w:firstLine="1440"/>
        <w:rPr>
          <w:sz w:val="26"/>
          <w:szCs w:val="26"/>
        </w:rPr>
      </w:pPr>
      <w:r w:rsidRPr="006547BB">
        <w:rPr>
          <w:sz w:val="26"/>
          <w:szCs w:val="26"/>
        </w:rPr>
        <w:t xml:space="preserve">Before the Pennsylvania Public Utility Commission (Commission) for consideration and disposition </w:t>
      </w:r>
      <w:r w:rsidRPr="006547BB">
        <w:rPr>
          <w:color w:val="000000"/>
          <w:sz w:val="26"/>
          <w:szCs w:val="26"/>
        </w:rPr>
        <w:t xml:space="preserve">are the Exceptions of PECO Energy Company (PECO or Respondent) filed on August 4, 2014, to the Initial Decision (I.D.) of Administrative Law Judge (ALJ) Katrina L. Dunderdale, issued on July 15, 2014, and </w:t>
      </w:r>
      <w:r w:rsidR="00DD652C" w:rsidRPr="006547BB">
        <w:rPr>
          <w:color w:val="000000"/>
          <w:sz w:val="26"/>
          <w:szCs w:val="26"/>
        </w:rPr>
        <w:t xml:space="preserve">the </w:t>
      </w:r>
      <w:r w:rsidRPr="006547BB">
        <w:rPr>
          <w:color w:val="000000"/>
          <w:sz w:val="26"/>
          <w:szCs w:val="26"/>
        </w:rPr>
        <w:t xml:space="preserve">Supplemental </w:t>
      </w:r>
      <w:r w:rsidR="00DD652C" w:rsidRPr="006547BB">
        <w:rPr>
          <w:color w:val="000000"/>
          <w:sz w:val="26"/>
          <w:szCs w:val="26"/>
        </w:rPr>
        <w:t>Exceptions</w:t>
      </w:r>
      <w:r w:rsidRPr="006547BB">
        <w:rPr>
          <w:color w:val="000000"/>
          <w:sz w:val="26"/>
          <w:szCs w:val="26"/>
        </w:rPr>
        <w:t xml:space="preserve"> of </w:t>
      </w:r>
      <w:r w:rsidR="000E2E0C" w:rsidRPr="006547BB">
        <w:rPr>
          <w:color w:val="000000"/>
          <w:sz w:val="26"/>
          <w:szCs w:val="26"/>
        </w:rPr>
        <w:t xml:space="preserve">PECO </w:t>
      </w:r>
      <w:r w:rsidRPr="006547BB">
        <w:rPr>
          <w:color w:val="000000"/>
          <w:sz w:val="26"/>
          <w:szCs w:val="26"/>
        </w:rPr>
        <w:t>f</w:t>
      </w:r>
      <w:r w:rsidR="00DD652C" w:rsidRPr="006547BB">
        <w:rPr>
          <w:color w:val="000000"/>
          <w:sz w:val="26"/>
          <w:szCs w:val="26"/>
        </w:rPr>
        <w:t>iled on</w:t>
      </w:r>
      <w:r w:rsidR="002006C3" w:rsidRPr="006547BB">
        <w:rPr>
          <w:color w:val="000000"/>
          <w:sz w:val="26"/>
          <w:szCs w:val="26"/>
        </w:rPr>
        <w:t xml:space="preserve"> July 15, 2015,</w:t>
      </w:r>
      <w:r w:rsidR="00DD652C" w:rsidRPr="006547BB">
        <w:rPr>
          <w:color w:val="000000"/>
          <w:sz w:val="26"/>
          <w:szCs w:val="26"/>
        </w:rPr>
        <w:t xml:space="preserve"> to the </w:t>
      </w:r>
      <w:r w:rsidR="002006C3" w:rsidRPr="006547BB">
        <w:rPr>
          <w:color w:val="000000"/>
          <w:sz w:val="26"/>
          <w:szCs w:val="26"/>
        </w:rPr>
        <w:t xml:space="preserve">Supplemental </w:t>
      </w:r>
      <w:r w:rsidR="00DD652C" w:rsidRPr="006547BB">
        <w:rPr>
          <w:color w:val="000000"/>
          <w:sz w:val="26"/>
          <w:szCs w:val="26"/>
        </w:rPr>
        <w:t>Initial Decision (</w:t>
      </w:r>
      <w:r w:rsidR="002006C3" w:rsidRPr="006547BB">
        <w:rPr>
          <w:color w:val="000000"/>
          <w:sz w:val="26"/>
          <w:szCs w:val="26"/>
        </w:rPr>
        <w:t xml:space="preserve">Supp. </w:t>
      </w:r>
      <w:r w:rsidR="00DD652C" w:rsidRPr="006547BB">
        <w:rPr>
          <w:color w:val="000000"/>
          <w:sz w:val="26"/>
          <w:szCs w:val="26"/>
        </w:rPr>
        <w:t>I.D.) of ALJ</w:t>
      </w:r>
      <w:r w:rsidR="000E2E0C" w:rsidRPr="006547BB">
        <w:rPr>
          <w:color w:val="000000"/>
          <w:sz w:val="26"/>
          <w:szCs w:val="26"/>
        </w:rPr>
        <w:t xml:space="preserve"> Dunderdale</w:t>
      </w:r>
      <w:r w:rsidR="00DD652C" w:rsidRPr="006547BB">
        <w:rPr>
          <w:color w:val="000000"/>
          <w:sz w:val="26"/>
          <w:szCs w:val="26"/>
        </w:rPr>
        <w:t xml:space="preserve">, </w:t>
      </w:r>
      <w:r w:rsidRPr="006547BB">
        <w:rPr>
          <w:color w:val="000000"/>
          <w:sz w:val="26"/>
          <w:szCs w:val="26"/>
        </w:rPr>
        <w:t xml:space="preserve">which was </w:t>
      </w:r>
      <w:r w:rsidR="00DD652C" w:rsidRPr="006547BB">
        <w:rPr>
          <w:color w:val="000000"/>
          <w:sz w:val="26"/>
          <w:szCs w:val="26"/>
        </w:rPr>
        <w:t>issued on</w:t>
      </w:r>
      <w:r w:rsidR="002006C3" w:rsidRPr="006547BB">
        <w:rPr>
          <w:color w:val="000000"/>
          <w:sz w:val="26"/>
          <w:szCs w:val="26"/>
        </w:rPr>
        <w:t xml:space="preserve"> June 25, 2015</w:t>
      </w:r>
      <w:r w:rsidR="00DD652C" w:rsidRPr="006547BB">
        <w:rPr>
          <w:color w:val="000000"/>
          <w:sz w:val="26"/>
          <w:szCs w:val="26"/>
        </w:rPr>
        <w:t xml:space="preserve">. </w:t>
      </w:r>
      <w:r w:rsidR="00600041" w:rsidRPr="006547BB">
        <w:rPr>
          <w:color w:val="000000"/>
          <w:sz w:val="26"/>
          <w:szCs w:val="26"/>
        </w:rPr>
        <w:t xml:space="preserve"> </w:t>
      </w:r>
      <w:r w:rsidR="000E2E0C" w:rsidRPr="006547BB">
        <w:rPr>
          <w:color w:val="000000"/>
          <w:sz w:val="26"/>
          <w:szCs w:val="26"/>
        </w:rPr>
        <w:t xml:space="preserve">No </w:t>
      </w:r>
      <w:r w:rsidR="00DD652C" w:rsidRPr="006547BB">
        <w:rPr>
          <w:color w:val="000000"/>
          <w:sz w:val="26"/>
          <w:szCs w:val="26"/>
        </w:rPr>
        <w:t xml:space="preserve">Replies to </w:t>
      </w:r>
      <w:r w:rsidR="007D6E52" w:rsidRPr="006547BB">
        <w:rPr>
          <w:color w:val="000000"/>
          <w:sz w:val="26"/>
          <w:szCs w:val="26"/>
        </w:rPr>
        <w:t xml:space="preserve">the </w:t>
      </w:r>
      <w:r w:rsidR="00DD652C" w:rsidRPr="006547BB">
        <w:rPr>
          <w:color w:val="000000"/>
          <w:sz w:val="26"/>
          <w:szCs w:val="26"/>
        </w:rPr>
        <w:t xml:space="preserve">Exceptions </w:t>
      </w:r>
      <w:r w:rsidRPr="006547BB">
        <w:rPr>
          <w:color w:val="000000"/>
          <w:sz w:val="26"/>
          <w:szCs w:val="26"/>
        </w:rPr>
        <w:t xml:space="preserve">or Supplemental Exceptions </w:t>
      </w:r>
      <w:r w:rsidR="00DD652C" w:rsidRPr="006547BB">
        <w:rPr>
          <w:color w:val="000000"/>
          <w:sz w:val="26"/>
          <w:szCs w:val="26"/>
        </w:rPr>
        <w:t>were filed.</w:t>
      </w:r>
      <w:r w:rsidRPr="006547BB">
        <w:rPr>
          <w:color w:val="000000"/>
          <w:sz w:val="26"/>
          <w:szCs w:val="26"/>
        </w:rPr>
        <w:t xml:space="preserve"> </w:t>
      </w:r>
      <w:r w:rsidR="00DD652C" w:rsidRPr="006547BB">
        <w:rPr>
          <w:color w:val="000000"/>
          <w:sz w:val="26"/>
          <w:szCs w:val="26"/>
        </w:rPr>
        <w:t xml:space="preserve"> </w:t>
      </w:r>
      <w:r w:rsidR="00DD652C" w:rsidRPr="006547BB">
        <w:rPr>
          <w:sz w:val="26"/>
          <w:szCs w:val="26"/>
        </w:rPr>
        <w:t xml:space="preserve">For the reasons stated below, we </w:t>
      </w:r>
      <w:r w:rsidR="007236DD" w:rsidRPr="006547BB">
        <w:rPr>
          <w:sz w:val="26"/>
          <w:szCs w:val="26"/>
        </w:rPr>
        <w:t xml:space="preserve">shall </w:t>
      </w:r>
      <w:r w:rsidR="002006C3" w:rsidRPr="006547BB">
        <w:rPr>
          <w:sz w:val="26"/>
          <w:szCs w:val="26"/>
        </w:rPr>
        <w:t xml:space="preserve">adopt the </w:t>
      </w:r>
      <w:r w:rsidR="001708D4">
        <w:rPr>
          <w:sz w:val="26"/>
          <w:szCs w:val="26"/>
        </w:rPr>
        <w:t xml:space="preserve">Initial Decision and the </w:t>
      </w:r>
      <w:r w:rsidR="002006C3" w:rsidRPr="006547BB">
        <w:rPr>
          <w:sz w:val="26"/>
          <w:szCs w:val="26"/>
        </w:rPr>
        <w:t>Supp</w:t>
      </w:r>
      <w:r w:rsidR="009E2000">
        <w:rPr>
          <w:sz w:val="26"/>
          <w:szCs w:val="26"/>
        </w:rPr>
        <w:t>lemental</w:t>
      </w:r>
      <w:r w:rsidR="002006C3" w:rsidRPr="006547BB">
        <w:rPr>
          <w:sz w:val="26"/>
          <w:szCs w:val="26"/>
        </w:rPr>
        <w:t xml:space="preserve"> I</w:t>
      </w:r>
      <w:r w:rsidR="009E2000">
        <w:rPr>
          <w:sz w:val="26"/>
          <w:szCs w:val="26"/>
        </w:rPr>
        <w:t xml:space="preserve">nitial </w:t>
      </w:r>
      <w:r w:rsidR="002006C3" w:rsidRPr="006547BB">
        <w:rPr>
          <w:sz w:val="26"/>
          <w:szCs w:val="26"/>
        </w:rPr>
        <w:t>D</w:t>
      </w:r>
      <w:r w:rsidR="009E2000">
        <w:rPr>
          <w:sz w:val="26"/>
          <w:szCs w:val="26"/>
        </w:rPr>
        <w:t>ecision, as modified,</w:t>
      </w:r>
      <w:r w:rsidR="002006C3" w:rsidRPr="006547BB">
        <w:rPr>
          <w:sz w:val="26"/>
          <w:szCs w:val="26"/>
        </w:rPr>
        <w:t xml:space="preserve"> and deny the Exceptions </w:t>
      </w:r>
      <w:r w:rsidR="000B49DD">
        <w:rPr>
          <w:sz w:val="26"/>
          <w:szCs w:val="26"/>
        </w:rPr>
        <w:t xml:space="preserve">and Supplemental Exceptions </w:t>
      </w:r>
      <w:r w:rsidR="002006C3" w:rsidRPr="006547BB">
        <w:rPr>
          <w:sz w:val="26"/>
          <w:szCs w:val="26"/>
        </w:rPr>
        <w:t>of PECO</w:t>
      </w:r>
      <w:r>
        <w:rPr>
          <w:sz w:val="26"/>
          <w:szCs w:val="26"/>
        </w:rPr>
        <w:t>, consistent with the discussion</w:t>
      </w:r>
      <w:r w:rsidR="00197AF9">
        <w:rPr>
          <w:sz w:val="26"/>
          <w:szCs w:val="26"/>
        </w:rPr>
        <w:t xml:space="preserve"> herein</w:t>
      </w:r>
      <w:r w:rsidR="00E6332A" w:rsidRPr="006547BB">
        <w:rPr>
          <w:sz w:val="26"/>
          <w:szCs w:val="26"/>
        </w:rPr>
        <w:t>.</w:t>
      </w:r>
      <w:r w:rsidRPr="006547BB">
        <w:rPr>
          <w:sz w:val="26"/>
          <w:szCs w:val="26"/>
        </w:rPr>
        <w:t xml:space="preserve"> </w:t>
      </w:r>
      <w:bookmarkStart w:id="0" w:name="OLE_LINK1"/>
      <w:bookmarkStart w:id="1" w:name="OLE_LINK2"/>
    </w:p>
    <w:p w:rsidR="001708D4" w:rsidRPr="006547BB" w:rsidRDefault="001708D4" w:rsidP="00F36C04">
      <w:pPr>
        <w:pStyle w:val="FootnoteText"/>
        <w:spacing w:line="360" w:lineRule="auto"/>
        <w:ind w:firstLine="1440"/>
        <w:rPr>
          <w:sz w:val="26"/>
          <w:szCs w:val="26"/>
        </w:rPr>
      </w:pPr>
    </w:p>
    <w:p w:rsidR="00DD652C" w:rsidRDefault="000F06BA" w:rsidP="00DD652C">
      <w:pPr>
        <w:jc w:val="center"/>
        <w:rPr>
          <w:b/>
          <w:szCs w:val="26"/>
        </w:rPr>
      </w:pPr>
      <w:r>
        <w:rPr>
          <w:b/>
          <w:szCs w:val="26"/>
        </w:rPr>
        <w:lastRenderedPageBreak/>
        <w:t xml:space="preserve">Background and </w:t>
      </w:r>
      <w:r w:rsidR="00DD652C" w:rsidRPr="00CA43A5">
        <w:rPr>
          <w:b/>
          <w:szCs w:val="26"/>
        </w:rPr>
        <w:t>History of the Proceeding</w:t>
      </w:r>
    </w:p>
    <w:p w:rsidR="002631BC" w:rsidRPr="00CA43A5" w:rsidRDefault="002631BC" w:rsidP="00DD652C">
      <w:pPr>
        <w:jc w:val="center"/>
        <w:rPr>
          <w:b/>
          <w:szCs w:val="26"/>
        </w:rPr>
      </w:pPr>
    </w:p>
    <w:bookmarkEnd w:id="0"/>
    <w:bookmarkEnd w:id="1"/>
    <w:p w:rsidR="006547BB" w:rsidRDefault="006547BB" w:rsidP="006547BB">
      <w:pPr>
        <w:ind w:firstLine="1440"/>
        <w:rPr>
          <w:szCs w:val="26"/>
        </w:rPr>
      </w:pPr>
      <w:r w:rsidRPr="000218B1">
        <w:rPr>
          <w:szCs w:val="26"/>
        </w:rPr>
        <w:t>This matter is the Formal Complaint (Complaint) of Stephanie Hallman (Complainant or Ms. Hallman) filed against PECO on November 8, 2013.</w:t>
      </w:r>
      <w:r w:rsidRPr="005E1EAA">
        <w:rPr>
          <w:rStyle w:val="FootnoteReference"/>
          <w:szCs w:val="26"/>
        </w:rPr>
        <w:footnoteReference w:id="1"/>
      </w:r>
      <w:r w:rsidRPr="005E1EAA">
        <w:rPr>
          <w:szCs w:val="26"/>
        </w:rPr>
        <w:t xml:space="preserve"> </w:t>
      </w:r>
      <w:r w:rsidRPr="000218B1">
        <w:rPr>
          <w:szCs w:val="26"/>
        </w:rPr>
        <w:t xml:space="preserve"> </w:t>
      </w:r>
    </w:p>
    <w:p w:rsidR="00531B68" w:rsidRDefault="006547BB" w:rsidP="006547BB">
      <w:pPr>
        <w:rPr>
          <w:szCs w:val="26"/>
        </w:rPr>
      </w:pPr>
      <w:r w:rsidRPr="000218B1">
        <w:rPr>
          <w:szCs w:val="26"/>
        </w:rPr>
        <w:t>Ms. Hallman’s Complaint alleged that PECO want</w:t>
      </w:r>
      <w:r>
        <w:rPr>
          <w:szCs w:val="26"/>
        </w:rPr>
        <w:t>ed</w:t>
      </w:r>
      <w:r w:rsidRPr="000218B1">
        <w:rPr>
          <w:szCs w:val="26"/>
        </w:rPr>
        <w:t xml:space="preserve"> her to pay for an unpaid utility account balance for service rendered to an address where </w:t>
      </w:r>
      <w:r>
        <w:rPr>
          <w:szCs w:val="26"/>
        </w:rPr>
        <w:t xml:space="preserve">she </w:t>
      </w:r>
      <w:r w:rsidRPr="000218B1">
        <w:rPr>
          <w:szCs w:val="26"/>
        </w:rPr>
        <w:t>never lived and for which she was never responsible.</w:t>
      </w:r>
      <w:r w:rsidR="00B42144">
        <w:rPr>
          <w:szCs w:val="26"/>
        </w:rPr>
        <w:t xml:space="preserve">  An Initial Decision was </w:t>
      </w:r>
      <w:r w:rsidR="0092015F">
        <w:rPr>
          <w:szCs w:val="26"/>
        </w:rPr>
        <w:t>issued</w:t>
      </w:r>
      <w:r w:rsidR="00B42144">
        <w:rPr>
          <w:szCs w:val="26"/>
        </w:rPr>
        <w:t xml:space="preserve"> in this proceeding, </w:t>
      </w:r>
    </w:p>
    <w:p w:rsidR="00F36C04" w:rsidRDefault="00B42144" w:rsidP="006547BB">
      <w:pPr>
        <w:rPr>
          <w:szCs w:val="26"/>
        </w:rPr>
      </w:pPr>
      <w:r>
        <w:rPr>
          <w:szCs w:val="26"/>
        </w:rPr>
        <w:t xml:space="preserve">July 15, 2014.  The July 15, 2014 Initial Decision recommended </w:t>
      </w:r>
      <w:r w:rsidR="00F36C04">
        <w:rPr>
          <w:szCs w:val="26"/>
        </w:rPr>
        <w:t>that</w:t>
      </w:r>
      <w:r>
        <w:rPr>
          <w:szCs w:val="26"/>
        </w:rPr>
        <w:t xml:space="preserve"> the Complaint </w:t>
      </w:r>
      <w:r w:rsidR="00F36C04">
        <w:rPr>
          <w:szCs w:val="26"/>
        </w:rPr>
        <w:t>be sustained and found that Complainant was not responsible for the unpaid utility account balance.  The July 15, 2014 Initial Decision</w:t>
      </w:r>
      <w:r>
        <w:rPr>
          <w:szCs w:val="26"/>
        </w:rPr>
        <w:t xml:space="preserve"> further recommended the imposition of a civil penalty against PECO for a violation of Section 1501 of the Public Utility Code</w:t>
      </w:r>
      <w:r w:rsidR="000B49DD">
        <w:rPr>
          <w:szCs w:val="26"/>
        </w:rPr>
        <w:t xml:space="preserve"> (Code)</w:t>
      </w:r>
      <w:r>
        <w:rPr>
          <w:szCs w:val="26"/>
        </w:rPr>
        <w:t>, 66 Pa. C.S. § 1501.  Exceptions were duly filed to the July 15, 201</w:t>
      </w:r>
      <w:r w:rsidR="00531B68">
        <w:rPr>
          <w:szCs w:val="26"/>
        </w:rPr>
        <w:t>4</w:t>
      </w:r>
      <w:r>
        <w:rPr>
          <w:szCs w:val="26"/>
        </w:rPr>
        <w:t xml:space="preserve"> Initial Decision by PECO.</w:t>
      </w:r>
      <w:r w:rsidR="006547BB" w:rsidRPr="000218B1">
        <w:rPr>
          <w:szCs w:val="26"/>
        </w:rPr>
        <w:t xml:space="preserve">  </w:t>
      </w:r>
    </w:p>
    <w:p w:rsidR="00F36C04" w:rsidRDefault="00F36C04" w:rsidP="006547BB">
      <w:pPr>
        <w:rPr>
          <w:szCs w:val="26"/>
        </w:rPr>
      </w:pPr>
    </w:p>
    <w:p w:rsidR="006547BB" w:rsidRDefault="00B42144" w:rsidP="00F36C04">
      <w:pPr>
        <w:ind w:firstLine="1440"/>
        <w:rPr>
          <w:szCs w:val="26"/>
        </w:rPr>
      </w:pPr>
      <w:r>
        <w:rPr>
          <w:szCs w:val="26"/>
        </w:rPr>
        <w:t>By Order entered April 9, 2015</w:t>
      </w:r>
      <w:r w:rsidR="00764911">
        <w:rPr>
          <w:szCs w:val="26"/>
        </w:rPr>
        <w:t xml:space="preserve"> (</w:t>
      </w:r>
      <w:r w:rsidR="00764911">
        <w:rPr>
          <w:i/>
          <w:szCs w:val="26"/>
        </w:rPr>
        <w:t>April 2015 Order</w:t>
      </w:r>
      <w:r w:rsidR="00764911">
        <w:rPr>
          <w:szCs w:val="26"/>
        </w:rPr>
        <w:t>)</w:t>
      </w:r>
      <w:r>
        <w:rPr>
          <w:szCs w:val="26"/>
        </w:rPr>
        <w:t xml:space="preserve">, we </w:t>
      </w:r>
      <w:r w:rsidR="00F36C04">
        <w:rPr>
          <w:szCs w:val="26"/>
        </w:rPr>
        <w:t xml:space="preserve">considered the Exceptions of PECO </w:t>
      </w:r>
      <w:r w:rsidR="00304EFE">
        <w:rPr>
          <w:szCs w:val="26"/>
        </w:rPr>
        <w:t xml:space="preserve">(Exc.) </w:t>
      </w:r>
      <w:r w:rsidR="00F36C04">
        <w:rPr>
          <w:szCs w:val="26"/>
        </w:rPr>
        <w:t xml:space="preserve">to the July 15, 2014 Initial Decision and </w:t>
      </w:r>
      <w:r>
        <w:rPr>
          <w:szCs w:val="26"/>
        </w:rPr>
        <w:t>directed the issuance of a Supplemental Initial Decision</w:t>
      </w:r>
      <w:r w:rsidR="000B49DD">
        <w:rPr>
          <w:szCs w:val="26"/>
        </w:rPr>
        <w:t xml:space="preserve"> in this matter</w:t>
      </w:r>
      <w:r>
        <w:rPr>
          <w:szCs w:val="26"/>
        </w:rPr>
        <w:t xml:space="preserve">.  </w:t>
      </w:r>
      <w:r w:rsidR="006547BB">
        <w:rPr>
          <w:szCs w:val="26"/>
        </w:rPr>
        <w:t>The Supp</w:t>
      </w:r>
      <w:r w:rsidR="00764911">
        <w:rPr>
          <w:szCs w:val="26"/>
        </w:rPr>
        <w:t>lemental</w:t>
      </w:r>
      <w:r w:rsidR="006547BB">
        <w:rPr>
          <w:szCs w:val="26"/>
        </w:rPr>
        <w:t xml:space="preserve"> I</w:t>
      </w:r>
      <w:r w:rsidR="00764911">
        <w:rPr>
          <w:szCs w:val="26"/>
        </w:rPr>
        <w:t xml:space="preserve">nitial </w:t>
      </w:r>
      <w:r w:rsidR="006547BB">
        <w:rPr>
          <w:szCs w:val="26"/>
        </w:rPr>
        <w:t>D</w:t>
      </w:r>
      <w:r w:rsidR="00764911">
        <w:rPr>
          <w:szCs w:val="26"/>
        </w:rPr>
        <w:t>ecision</w:t>
      </w:r>
      <w:r w:rsidR="000B49DD">
        <w:rPr>
          <w:szCs w:val="26"/>
        </w:rPr>
        <w:t xml:space="preserve">, </w:t>
      </w:r>
      <w:r w:rsidR="0054307C">
        <w:rPr>
          <w:szCs w:val="26"/>
        </w:rPr>
        <w:t>issued</w:t>
      </w:r>
      <w:r w:rsidR="000B49DD">
        <w:rPr>
          <w:szCs w:val="26"/>
        </w:rPr>
        <w:t xml:space="preserve"> June 25, 2015,</w:t>
      </w:r>
      <w:r w:rsidR="006547BB">
        <w:rPr>
          <w:szCs w:val="26"/>
        </w:rPr>
        <w:t xml:space="preserve"> has been</w:t>
      </w:r>
      <w:r w:rsidR="0054307C">
        <w:rPr>
          <w:szCs w:val="26"/>
        </w:rPr>
        <w:t xml:space="preserve"> completed</w:t>
      </w:r>
      <w:r w:rsidR="006547BB">
        <w:rPr>
          <w:szCs w:val="26"/>
        </w:rPr>
        <w:t xml:space="preserve"> in response to </w:t>
      </w:r>
      <w:r>
        <w:rPr>
          <w:szCs w:val="26"/>
        </w:rPr>
        <w:t xml:space="preserve">the </w:t>
      </w:r>
      <w:r w:rsidR="006547BB">
        <w:rPr>
          <w:szCs w:val="26"/>
        </w:rPr>
        <w:t>directives contained in the Commission’s Opinion and Order entered April 9, 2015.</w:t>
      </w:r>
    </w:p>
    <w:p w:rsidR="006547BB" w:rsidRDefault="006547BB" w:rsidP="006547BB">
      <w:pPr>
        <w:ind w:firstLine="1440"/>
        <w:rPr>
          <w:szCs w:val="26"/>
        </w:rPr>
      </w:pPr>
    </w:p>
    <w:p w:rsidR="006547BB" w:rsidRDefault="006547BB" w:rsidP="00531B68">
      <w:pPr>
        <w:ind w:firstLine="1440"/>
        <w:rPr>
          <w:szCs w:val="26"/>
        </w:rPr>
      </w:pPr>
      <w:r>
        <w:rPr>
          <w:szCs w:val="26"/>
        </w:rPr>
        <w:t xml:space="preserve">In the </w:t>
      </w:r>
      <w:r>
        <w:rPr>
          <w:i/>
          <w:szCs w:val="26"/>
        </w:rPr>
        <w:t>April 2015 Order</w:t>
      </w:r>
      <w:r>
        <w:rPr>
          <w:szCs w:val="26"/>
        </w:rPr>
        <w:t>, we granted PECO Exception #1 and deferred our disposition of PECO’s remaining Exceptions</w:t>
      </w:r>
      <w:r w:rsidR="00EE0EF7">
        <w:rPr>
          <w:szCs w:val="26"/>
        </w:rPr>
        <w:t xml:space="preserve"> to the July 15, 2014 Initial Decision</w:t>
      </w:r>
      <w:r>
        <w:rPr>
          <w:szCs w:val="26"/>
        </w:rPr>
        <w:t xml:space="preserve">, pending our consideration of </w:t>
      </w:r>
      <w:r w:rsidR="00EE0EF7">
        <w:rPr>
          <w:szCs w:val="26"/>
        </w:rPr>
        <w:t>the</w:t>
      </w:r>
      <w:r>
        <w:rPr>
          <w:szCs w:val="26"/>
        </w:rPr>
        <w:t xml:space="preserve"> Supplemental Initial Decision.  In its Exception #1, PECO advised that it was not provided with certain of the Complainant’s late-filed Exhibits </w:t>
      </w:r>
      <w:r w:rsidR="00F36C04">
        <w:rPr>
          <w:szCs w:val="26"/>
        </w:rPr>
        <w:t xml:space="preserve">which were </w:t>
      </w:r>
      <w:r>
        <w:rPr>
          <w:szCs w:val="26"/>
        </w:rPr>
        <w:t xml:space="preserve">referenced in </w:t>
      </w:r>
      <w:r w:rsidR="00531B68">
        <w:rPr>
          <w:szCs w:val="26"/>
        </w:rPr>
        <w:t xml:space="preserve">presiding </w:t>
      </w:r>
      <w:r>
        <w:rPr>
          <w:szCs w:val="26"/>
        </w:rPr>
        <w:t xml:space="preserve">ALJ Dunderdale’s Second Post-Hearing Order.  </w:t>
      </w:r>
      <w:r>
        <w:rPr>
          <w:i/>
          <w:szCs w:val="26"/>
        </w:rPr>
        <w:t xml:space="preserve">See </w:t>
      </w:r>
      <w:r>
        <w:rPr>
          <w:szCs w:val="26"/>
        </w:rPr>
        <w:t xml:space="preserve">Exc. at 5.  Based on the foregoing, we directed a remand of this proceeding so </w:t>
      </w:r>
      <w:r>
        <w:rPr>
          <w:szCs w:val="26"/>
        </w:rPr>
        <w:lastRenderedPageBreak/>
        <w:t xml:space="preserve">as to preserve the due process opportunity of PECO to confront evidence which was included in the record in the form of the late-filed, Complainant Exhibits.  The </w:t>
      </w:r>
      <w:r w:rsidR="00422957">
        <w:rPr>
          <w:szCs w:val="26"/>
        </w:rPr>
        <w:t>e</w:t>
      </w:r>
      <w:r>
        <w:rPr>
          <w:szCs w:val="26"/>
        </w:rPr>
        <w:t>xhibits were considered</w:t>
      </w:r>
      <w:r w:rsidR="000B49DD">
        <w:rPr>
          <w:szCs w:val="26"/>
        </w:rPr>
        <w:t xml:space="preserve"> </w:t>
      </w:r>
      <w:r>
        <w:rPr>
          <w:szCs w:val="26"/>
        </w:rPr>
        <w:t>by the presiding ALJ in the deliberations that resulted in the July 1</w:t>
      </w:r>
      <w:r w:rsidR="00531B68">
        <w:rPr>
          <w:szCs w:val="26"/>
        </w:rPr>
        <w:t>5</w:t>
      </w:r>
      <w:r>
        <w:rPr>
          <w:szCs w:val="26"/>
        </w:rPr>
        <w:t>, 2014 Initial Decision.</w:t>
      </w:r>
      <w:r>
        <w:rPr>
          <w:rStyle w:val="FootnoteReference"/>
          <w:szCs w:val="26"/>
        </w:rPr>
        <w:footnoteReference w:id="2"/>
      </w:r>
      <w:r>
        <w:rPr>
          <w:szCs w:val="26"/>
        </w:rPr>
        <w:t xml:space="preserve"> </w:t>
      </w:r>
    </w:p>
    <w:p w:rsidR="0092015F" w:rsidRDefault="0092015F" w:rsidP="00531B68">
      <w:pPr>
        <w:ind w:firstLine="1440"/>
        <w:rPr>
          <w:szCs w:val="26"/>
        </w:rPr>
      </w:pPr>
    </w:p>
    <w:p w:rsidR="006547BB" w:rsidRPr="006547BB" w:rsidRDefault="006547BB" w:rsidP="006547BB">
      <w:pPr>
        <w:ind w:firstLine="1440"/>
        <w:rPr>
          <w:i/>
          <w:szCs w:val="26"/>
        </w:rPr>
      </w:pPr>
      <w:r>
        <w:rPr>
          <w:szCs w:val="26"/>
        </w:rPr>
        <w:t xml:space="preserve">The </w:t>
      </w:r>
      <w:r>
        <w:rPr>
          <w:i/>
          <w:szCs w:val="26"/>
        </w:rPr>
        <w:t xml:space="preserve">April 2015 Order </w:t>
      </w:r>
      <w:r>
        <w:rPr>
          <w:szCs w:val="26"/>
        </w:rPr>
        <w:t>observed, “</w:t>
      </w:r>
      <w:r w:rsidRPr="00CA43A5">
        <w:rPr>
          <w:szCs w:val="26"/>
        </w:rPr>
        <w:t xml:space="preserve">For the reasons stated below, we </w:t>
      </w:r>
      <w:r>
        <w:rPr>
          <w:szCs w:val="26"/>
        </w:rPr>
        <w:t xml:space="preserve">shall grant PECO’s Exception #1, in part, for the purpose of directing a limited remand of this matter to the Office of Administrative Law Judge for such further proceedings as are necessary, and the issuance of a Supplemental Initial Decision.”  </w:t>
      </w:r>
      <w:r>
        <w:rPr>
          <w:i/>
          <w:szCs w:val="26"/>
        </w:rPr>
        <w:t>April 2015 Order</w:t>
      </w:r>
      <w:r>
        <w:rPr>
          <w:szCs w:val="26"/>
        </w:rPr>
        <w:t xml:space="preserve"> at 1.</w:t>
      </w:r>
    </w:p>
    <w:p w:rsidR="00EF65CB" w:rsidRDefault="00EF65CB" w:rsidP="006547BB">
      <w:pPr>
        <w:rPr>
          <w:szCs w:val="26"/>
        </w:rPr>
      </w:pPr>
    </w:p>
    <w:p w:rsidR="00333336" w:rsidRDefault="00333336" w:rsidP="00333336">
      <w:pPr>
        <w:ind w:firstLine="1440"/>
        <w:rPr>
          <w:szCs w:val="26"/>
        </w:rPr>
      </w:pPr>
      <w:r>
        <w:rPr>
          <w:szCs w:val="26"/>
        </w:rPr>
        <w:t xml:space="preserve">The directives of the </w:t>
      </w:r>
      <w:r>
        <w:rPr>
          <w:i/>
          <w:szCs w:val="26"/>
        </w:rPr>
        <w:t>April 2015 Order</w:t>
      </w:r>
      <w:r>
        <w:rPr>
          <w:szCs w:val="26"/>
        </w:rPr>
        <w:t xml:space="preserve"> are reprinted below:</w:t>
      </w:r>
    </w:p>
    <w:p w:rsidR="00333336" w:rsidRDefault="00333336" w:rsidP="00333336">
      <w:pPr>
        <w:rPr>
          <w:szCs w:val="26"/>
        </w:rPr>
      </w:pPr>
    </w:p>
    <w:p w:rsidR="00333336" w:rsidRPr="005E1EAA"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That Exception #1 of PECO Energy is granted, in part, consistent with this Opinion and Order.</w:t>
      </w:r>
      <w:r>
        <w:rPr>
          <w:rStyle w:val="FootnoteReference"/>
          <w:szCs w:val="26"/>
        </w:rPr>
        <w:footnoteReference w:id="3"/>
      </w:r>
    </w:p>
    <w:p w:rsidR="00333336" w:rsidRPr="005E1EAA" w:rsidRDefault="00333336" w:rsidP="00333336">
      <w:pPr>
        <w:widowControl w:val="0"/>
        <w:spacing w:line="240" w:lineRule="auto"/>
        <w:ind w:left="1440" w:right="1440"/>
        <w:rPr>
          <w:szCs w:val="26"/>
        </w:rPr>
      </w:pPr>
    </w:p>
    <w:p w:rsidR="00333336" w:rsidRPr="005E1EAA"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That the Initial Decision of Administrative Law Judge Katrina L. Dunderdale is deferred for disposition, consistent with this Opinion and Order.</w:t>
      </w:r>
    </w:p>
    <w:p w:rsidR="00333336" w:rsidRPr="005E1EAA" w:rsidRDefault="00333336" w:rsidP="00333336">
      <w:pPr>
        <w:pStyle w:val="ListParagraph"/>
        <w:spacing w:line="240" w:lineRule="auto"/>
        <w:ind w:left="1440" w:right="1440"/>
        <w:rPr>
          <w:szCs w:val="26"/>
        </w:rPr>
      </w:pPr>
    </w:p>
    <w:p w:rsidR="00333336" w:rsidRPr="005E1EAA"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That the Commission’s Secretary’s Bureau shall cause to be served upon the Parties (a) a copy of the Complainant’s late-filed exhibits, and (2) a copy of the April 23, 2014, Second Post-Hearing Order.</w:t>
      </w:r>
    </w:p>
    <w:p w:rsidR="00333336" w:rsidRPr="005E1EAA" w:rsidRDefault="00333336" w:rsidP="00333336">
      <w:pPr>
        <w:pStyle w:val="ListParagraph"/>
        <w:spacing w:line="240" w:lineRule="auto"/>
        <w:ind w:left="1440" w:right="1440"/>
        <w:rPr>
          <w:szCs w:val="26"/>
        </w:rPr>
      </w:pPr>
    </w:p>
    <w:p w:rsidR="00333336" w:rsidRPr="005E1EAA"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 xml:space="preserve"> That PECO Energy Company shall have ten days from the date of service of the items listed in Ordering Paragraph No. 3, in which to indicate in writing if PECO objects to the admission into the hearing record of any </w:t>
      </w:r>
      <w:r w:rsidRPr="005E1EAA">
        <w:rPr>
          <w:szCs w:val="26"/>
        </w:rPr>
        <w:lastRenderedPageBreak/>
        <w:t>documentation submitted by Complainant.  A copy of this notice shall be served on all Parties, the Administrative Law Judge, and the Secretary’s Bureau.</w:t>
      </w:r>
    </w:p>
    <w:p w:rsidR="00333336" w:rsidRPr="005E1EAA" w:rsidRDefault="00333336" w:rsidP="00333336">
      <w:pPr>
        <w:widowControl w:val="0"/>
        <w:spacing w:line="240" w:lineRule="auto"/>
        <w:ind w:left="1440" w:right="1440"/>
        <w:rPr>
          <w:szCs w:val="26"/>
        </w:rPr>
      </w:pPr>
    </w:p>
    <w:p w:rsidR="00333336" w:rsidRPr="005E1EAA"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That PECO Energy Company shall have ten days from the date of service of the items listed in Ordering Paragraph No. 3, in which to indicate in writing if any additional hearing is needed for the sole purpose of cross-examining Complainant about the contents of the documentation.  A copy of this notice shall be served on all Parties, the Administrative Law Judge, and the Secretary’s Bureau.</w:t>
      </w:r>
    </w:p>
    <w:p w:rsidR="00333336" w:rsidRPr="005E1EAA" w:rsidRDefault="00333336" w:rsidP="00333336">
      <w:pPr>
        <w:widowControl w:val="0"/>
        <w:spacing w:line="240" w:lineRule="auto"/>
        <w:ind w:left="1440" w:right="1440"/>
        <w:rPr>
          <w:szCs w:val="26"/>
        </w:rPr>
      </w:pPr>
    </w:p>
    <w:p w:rsidR="00333336" w:rsidRDefault="00333336" w:rsidP="00333336">
      <w:pPr>
        <w:widowControl w:val="0"/>
        <w:numPr>
          <w:ilvl w:val="0"/>
          <w:numId w:val="17"/>
        </w:numPr>
        <w:tabs>
          <w:tab w:val="clear" w:pos="2160"/>
          <w:tab w:val="num" w:pos="0"/>
        </w:tabs>
        <w:spacing w:line="240" w:lineRule="auto"/>
        <w:ind w:left="1440" w:right="1440" w:firstLine="0"/>
        <w:rPr>
          <w:szCs w:val="26"/>
        </w:rPr>
      </w:pPr>
      <w:r w:rsidRPr="005E1EAA">
        <w:rPr>
          <w:szCs w:val="26"/>
        </w:rPr>
        <w:t>That this proceeding is remanded to the Office of Administrative Law Judge for such further proceedings as may be necessary and the issuance of a Supplemental Initial Decision.</w:t>
      </w:r>
    </w:p>
    <w:p w:rsidR="00333336" w:rsidRDefault="00333336" w:rsidP="00333336">
      <w:pPr>
        <w:widowControl w:val="0"/>
        <w:spacing w:line="240" w:lineRule="auto"/>
        <w:ind w:right="1440"/>
        <w:rPr>
          <w:szCs w:val="26"/>
        </w:rPr>
      </w:pPr>
    </w:p>
    <w:p w:rsidR="00333336" w:rsidRDefault="00333336" w:rsidP="00333336">
      <w:pPr>
        <w:widowControl w:val="0"/>
        <w:spacing w:line="240" w:lineRule="auto"/>
        <w:ind w:right="1440"/>
        <w:rPr>
          <w:i/>
          <w:szCs w:val="26"/>
        </w:rPr>
      </w:pPr>
    </w:p>
    <w:p w:rsidR="00333336" w:rsidRDefault="00333336" w:rsidP="0070748A">
      <w:pPr>
        <w:widowControl w:val="0"/>
        <w:ind w:right="1440"/>
        <w:rPr>
          <w:szCs w:val="26"/>
        </w:rPr>
      </w:pPr>
      <w:r>
        <w:rPr>
          <w:i/>
          <w:szCs w:val="26"/>
        </w:rPr>
        <w:t xml:space="preserve">April 2015 Order </w:t>
      </w:r>
      <w:r>
        <w:rPr>
          <w:szCs w:val="26"/>
        </w:rPr>
        <w:t>at 17-18.</w:t>
      </w:r>
    </w:p>
    <w:p w:rsidR="0092015F" w:rsidRDefault="0092015F" w:rsidP="00EF65CB">
      <w:pPr>
        <w:ind w:firstLine="1440"/>
        <w:rPr>
          <w:szCs w:val="26"/>
        </w:rPr>
      </w:pPr>
    </w:p>
    <w:p w:rsidR="00333336" w:rsidRDefault="00333336" w:rsidP="00EF65CB">
      <w:pPr>
        <w:ind w:firstLine="1440"/>
        <w:rPr>
          <w:szCs w:val="26"/>
        </w:rPr>
      </w:pPr>
      <w:r>
        <w:rPr>
          <w:szCs w:val="26"/>
        </w:rPr>
        <w:t xml:space="preserve">The presiding ALJ duly conducted proceedings consistent with the </w:t>
      </w:r>
      <w:r>
        <w:rPr>
          <w:i/>
          <w:szCs w:val="26"/>
        </w:rPr>
        <w:t xml:space="preserve">April 2015 Order’s </w:t>
      </w:r>
      <w:r>
        <w:rPr>
          <w:szCs w:val="26"/>
        </w:rPr>
        <w:t>directives</w:t>
      </w:r>
      <w:r w:rsidR="008E2B70">
        <w:rPr>
          <w:szCs w:val="26"/>
        </w:rPr>
        <w:t xml:space="preserve"> and the Supplemental Initial Decision was issued pursuant to those directives</w:t>
      </w:r>
      <w:r w:rsidR="00183F4F">
        <w:rPr>
          <w:szCs w:val="26"/>
        </w:rPr>
        <w:t>.</w:t>
      </w:r>
      <w:r>
        <w:rPr>
          <w:szCs w:val="26"/>
        </w:rPr>
        <w:t xml:space="preserve"> </w:t>
      </w:r>
      <w:r w:rsidR="00183F4F">
        <w:rPr>
          <w:szCs w:val="26"/>
        </w:rPr>
        <w:t xml:space="preserve"> </w:t>
      </w:r>
      <w:r>
        <w:rPr>
          <w:szCs w:val="26"/>
        </w:rPr>
        <w:t xml:space="preserve">  </w:t>
      </w:r>
    </w:p>
    <w:p w:rsidR="00333336" w:rsidRDefault="00333336" w:rsidP="00EF65CB">
      <w:pPr>
        <w:ind w:firstLine="1440"/>
        <w:rPr>
          <w:szCs w:val="26"/>
        </w:rPr>
      </w:pPr>
    </w:p>
    <w:p w:rsidR="00EF65CB" w:rsidRPr="0006185E" w:rsidRDefault="00EF65CB" w:rsidP="00EF65CB">
      <w:pPr>
        <w:ind w:firstLine="1440"/>
        <w:rPr>
          <w:szCs w:val="26"/>
        </w:rPr>
      </w:pPr>
      <w:r>
        <w:rPr>
          <w:szCs w:val="26"/>
        </w:rPr>
        <w:t xml:space="preserve">We </w:t>
      </w:r>
      <w:r w:rsidR="0045796E">
        <w:rPr>
          <w:szCs w:val="26"/>
        </w:rPr>
        <w:t>reprint the pertinent portions of</w:t>
      </w:r>
      <w:r>
        <w:rPr>
          <w:szCs w:val="26"/>
        </w:rPr>
        <w:t xml:space="preserve"> the History of the Proceeding and Background from the </w:t>
      </w:r>
      <w:r>
        <w:rPr>
          <w:i/>
          <w:szCs w:val="26"/>
        </w:rPr>
        <w:t>April 2015 Order</w:t>
      </w:r>
      <w:r w:rsidR="0006185E">
        <w:rPr>
          <w:szCs w:val="26"/>
        </w:rPr>
        <w:t>:</w:t>
      </w:r>
    </w:p>
    <w:p w:rsidR="00EF65CB" w:rsidRDefault="00EF65CB" w:rsidP="00EF65CB">
      <w:pPr>
        <w:rPr>
          <w:szCs w:val="26"/>
        </w:rPr>
      </w:pPr>
    </w:p>
    <w:p w:rsidR="00EF65CB" w:rsidRPr="005E1EAA" w:rsidRDefault="00EF65CB" w:rsidP="006547BB">
      <w:pPr>
        <w:spacing w:line="240" w:lineRule="auto"/>
        <w:ind w:left="1440" w:right="1440" w:firstLine="1440"/>
        <w:rPr>
          <w:szCs w:val="26"/>
        </w:rPr>
      </w:pPr>
      <w:r w:rsidRPr="005E1EAA">
        <w:rPr>
          <w:szCs w:val="26"/>
        </w:rPr>
        <w:t xml:space="preserve">This matter is the Formal Complaint (Complaint) of Stephanie Hallman (Complainant or Ms. Hallman) filed against PECO on November 8, 2013.  Ms. Hallman’s Complaint alleged that PECO wants her to pay for an unpaid utility account balance for service rendered to an address where Ms. Hallman never lived and for which she was never responsible.  </w:t>
      </w:r>
      <w:r w:rsidRPr="005E1EAA">
        <w:rPr>
          <w:i/>
          <w:szCs w:val="26"/>
        </w:rPr>
        <w:t>See</w:t>
      </w:r>
      <w:r w:rsidRPr="005E1EAA">
        <w:rPr>
          <w:szCs w:val="26"/>
        </w:rPr>
        <w:t xml:space="preserve"> I.D. at 1.  The service location address is 133 Carre Avenue, Essington, Pennsylvania.  The disputed service period is August 29, 2009 to April 16, 2013.  </w:t>
      </w:r>
      <w:r w:rsidRPr="005E1EAA">
        <w:rPr>
          <w:i/>
          <w:szCs w:val="26"/>
        </w:rPr>
        <w:t>See</w:t>
      </w:r>
      <w:r w:rsidRPr="005E1EAA">
        <w:rPr>
          <w:szCs w:val="26"/>
        </w:rPr>
        <w:t xml:space="preserve"> Finding of Fact #3; PECO Exceptions (Exc.) at 1.  A final </w:t>
      </w:r>
      <w:r w:rsidRPr="005E1EAA">
        <w:rPr>
          <w:szCs w:val="26"/>
        </w:rPr>
        <w:lastRenderedPageBreak/>
        <w:t xml:space="preserve">bill balance on the disputed account is $1,321.97.  </w:t>
      </w:r>
      <w:r w:rsidRPr="005E1EAA">
        <w:rPr>
          <w:i/>
          <w:szCs w:val="26"/>
        </w:rPr>
        <w:t>See</w:t>
      </w:r>
      <w:r w:rsidRPr="005E1EAA">
        <w:rPr>
          <w:szCs w:val="26"/>
        </w:rPr>
        <w:t xml:space="preserve"> PECO Exhibit (Exh.) 1; Exc. at 3.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Ms. Hallman alleged in her Complaint that the service address to which the unpaid final bill balance pertains is an address where her former boyfriend lived.  The landlords who provided PECO with statements that Ms. Hallman lived at the service address are the former boyfriend’s mother and step-father.  I.D. at 1.  For relief, the Complainant requested that the Commission order PECO to stop pursuing her for payment for service provided at the service address.  </w:t>
      </w:r>
      <w:r w:rsidRPr="005E1EAA">
        <w:rPr>
          <w:i/>
          <w:szCs w:val="26"/>
        </w:rPr>
        <w:t>Id</w:t>
      </w:r>
      <w:r w:rsidRPr="005E1EAA">
        <w:rPr>
          <w:szCs w:val="26"/>
        </w:rPr>
        <w:t xml:space="preserve">.  </w:t>
      </w:r>
    </w:p>
    <w:p w:rsidR="00EF65CB" w:rsidRPr="005E1EAA" w:rsidRDefault="00EF65CB" w:rsidP="006547BB">
      <w:pPr>
        <w:spacing w:line="240" w:lineRule="auto"/>
        <w:ind w:left="1440" w:right="1440" w:firstLine="1440"/>
        <w:rPr>
          <w:szCs w:val="26"/>
        </w:rPr>
      </w:pPr>
    </w:p>
    <w:p w:rsidR="00EF65CB" w:rsidRPr="005E1EAA" w:rsidRDefault="0092015F" w:rsidP="006547BB">
      <w:pPr>
        <w:spacing w:line="240" w:lineRule="auto"/>
        <w:ind w:left="1440" w:right="1440" w:firstLine="1440"/>
        <w:rPr>
          <w:szCs w:val="26"/>
        </w:rPr>
      </w:pPr>
      <w:r>
        <w:rPr>
          <w:szCs w:val="26"/>
        </w:rPr>
        <w:t xml:space="preserve">. . .  </w:t>
      </w:r>
      <w:r w:rsidR="00EF65CB" w:rsidRPr="005E1EAA">
        <w:rPr>
          <w:szCs w:val="26"/>
        </w:rPr>
        <w:t xml:space="preserve">In its Answer, PECO admitted and denied the material averments of the Complaint.  Specifically, PECO admitted that it was holding Ms. Hallman responsible for the outstanding balance for utility charges that accrued at the service location for the disputed service period.  </w:t>
      </w:r>
      <w:r w:rsidR="00EF65CB" w:rsidRPr="005E1EAA">
        <w:rPr>
          <w:i/>
          <w:szCs w:val="26"/>
        </w:rPr>
        <w:t>See</w:t>
      </w:r>
      <w:r w:rsidR="00EF65CB" w:rsidRPr="005E1EAA">
        <w:rPr>
          <w:szCs w:val="26"/>
        </w:rPr>
        <w:t xml:space="preserve"> Answer at 2.  By way of further response, PECO replied that its business records reflect that Ms. Hallman contacted the Company on May 13, 2013, to dispute the final bill at the service location.  Answer at 3.  PECO acknowledged that Ms. Hallman alleged that she never resided at the service location and that her ex-boyfriend established service in her name without her consent.  </w:t>
      </w:r>
      <w:r w:rsidR="00EF65CB" w:rsidRPr="005E1EAA">
        <w:rPr>
          <w:i/>
          <w:szCs w:val="26"/>
        </w:rPr>
        <w:t>Id</w:t>
      </w:r>
      <w:r w:rsidR="00EF65CB" w:rsidRPr="005E1EAA">
        <w:rPr>
          <w:szCs w:val="26"/>
        </w:rPr>
        <w:t xml:space="preserve">.  PECO conducted a former address investigation and based on that investigation determined to hold Ms. Hallman responsible for the unpaid bill for the account.  PECO’s decision was based on: (1) Hallman’s contacts with PECO regarding the account at the service location over the service period; (2) statements of the owners of the service location that Ms. Hallman resided at the address during the service period, and (3) the lack of any documentation reflecting that Ms. Hallman’s address during the service period was different than the service location address.  </w:t>
      </w:r>
      <w:r w:rsidR="00EF65CB" w:rsidRPr="005E1EAA">
        <w:rPr>
          <w:i/>
          <w:szCs w:val="26"/>
        </w:rPr>
        <w:t>Id</w:t>
      </w:r>
      <w:r w:rsidR="00EF65CB" w:rsidRPr="005E1EAA">
        <w:rPr>
          <w:szCs w:val="26"/>
        </w:rPr>
        <w:t xml:space="preserve">.  </w:t>
      </w:r>
      <w:r w:rsidR="00EF65CB">
        <w:rPr>
          <w:szCs w:val="26"/>
        </w:rPr>
        <w:t xml:space="preserve"> </w:t>
      </w:r>
    </w:p>
    <w:p w:rsidR="00EF65CB" w:rsidRPr="005E1EAA" w:rsidRDefault="00EF65CB" w:rsidP="006547BB">
      <w:pPr>
        <w:spacing w:line="240" w:lineRule="auto"/>
        <w:ind w:left="1440" w:right="1440" w:firstLine="1440"/>
        <w:rPr>
          <w:szCs w:val="26"/>
        </w:rPr>
      </w:pPr>
    </w:p>
    <w:p w:rsidR="00EF65CB" w:rsidRPr="000E728E" w:rsidRDefault="00EF65CB" w:rsidP="006547BB">
      <w:pPr>
        <w:spacing w:line="240" w:lineRule="auto"/>
        <w:jc w:val="center"/>
        <w:rPr>
          <w:szCs w:val="26"/>
        </w:rPr>
      </w:pPr>
      <w:r>
        <w:rPr>
          <w:szCs w:val="26"/>
        </w:rPr>
        <w:t>*          *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At the Initial Hearing, the Complainant testified that she sent various types of documents to PECO as proof that she resided at an address other than the service address since 2006.  PECO, however, alleged that it never received the documents sent or, if received, the documentation was </w:t>
      </w:r>
      <w:r w:rsidRPr="005E1EAA">
        <w:rPr>
          <w:szCs w:val="26"/>
        </w:rPr>
        <w:lastRenderedPageBreak/>
        <w:t xml:space="preserve">illegible or outside the time frame when the disputed energy charges were incurred.  I.D. at 2.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Also at the Initial Hearing, PECO and the Complainant discussed the various documents the Complainant possessed and which she testified were sent to PECO.  PECO requested that Ms. Hallman file a Motion to Admit Late-Filed Exhibits and the Presiding Officer agreed.  Ms. Hallman was given the opportunity to submit the documentation.  I.D. at 2.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On March 20, 2014, the ALJ issued the First Post-Hearing Order in which the Complainant was directed to submit the proposed, late-filed exhibits on or before March 31, 2014.   I.D. at 2.  PECO was provided with an opportunity to submit any objections to the exhibits in writing and/or to request a second day of hearings at which to cross-examine the Complainant about the proposed exhibits, provided </w:t>
      </w:r>
      <w:r w:rsidR="009A52D5">
        <w:rPr>
          <w:szCs w:val="26"/>
        </w:rPr>
        <w:t>[</w:t>
      </w:r>
      <w:r w:rsidRPr="005E1EAA">
        <w:rPr>
          <w:szCs w:val="26"/>
        </w:rPr>
        <w:t>th</w:t>
      </w:r>
      <w:r w:rsidR="009A52D5">
        <w:rPr>
          <w:szCs w:val="26"/>
        </w:rPr>
        <w:t>at]</w:t>
      </w:r>
      <w:r w:rsidRPr="005E1EAA">
        <w:rPr>
          <w:szCs w:val="26"/>
        </w:rPr>
        <w:t xml:space="preserve"> any such objection and/or request was submitted prior to April 10, 2014.  </w:t>
      </w:r>
      <w:r w:rsidRPr="005E1EAA">
        <w:rPr>
          <w:i/>
          <w:szCs w:val="26"/>
        </w:rPr>
        <w:t>Id</w:t>
      </w:r>
      <w:r w:rsidRPr="005E1EAA">
        <w:rPr>
          <w:szCs w:val="26"/>
        </w:rPr>
        <w:t xml:space="preserve">.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On March 24, 2014, the Complainant submitted a copy of seven proposed exhibits to the ALJ.  I.D. at 2.  The Presiding Officer noted that PECO did not submit any objection to the admission of the proposed exhibits or request a second day of hearing.  </w:t>
      </w:r>
      <w:r w:rsidRPr="005E1EAA">
        <w:rPr>
          <w:i/>
          <w:szCs w:val="26"/>
        </w:rPr>
        <w:t>Id</w:t>
      </w:r>
      <w:r w:rsidRPr="005E1EAA">
        <w:rPr>
          <w:szCs w:val="26"/>
        </w:rPr>
        <w:t xml:space="preserve">.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On April 9, 2014, the transcript from the March 19, 2014, Initial Hearing was received.  The transcript contains eighty-eight (88) pages of notes of transcribed testimony.  On April 21, 2014, the ALJ closed the hearing record by Interim Order Closing the Hearing Record.  I.D. at 2.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 xml:space="preserve">On April 23, 2014, the ALJ issued a Second Post-Hearing Order.  This Order reopened the hearing record for the purpose of admitting into evidence the Complainant’s post-hearing exhibits.  I.D. at 3.  By the same Order, the Presiding Officer provided two copies of the exhibits to the Secretary’s Bureau for filing, and closed the hearing record.  </w:t>
      </w:r>
      <w:r w:rsidRPr="005E1EAA">
        <w:rPr>
          <w:i/>
          <w:szCs w:val="26"/>
        </w:rPr>
        <w:t>Id</w:t>
      </w:r>
      <w:r w:rsidRPr="005E1EAA">
        <w:rPr>
          <w:szCs w:val="26"/>
        </w:rPr>
        <w:t xml:space="preserve">.  </w:t>
      </w:r>
    </w:p>
    <w:p w:rsidR="00EF65CB" w:rsidRPr="005E1EAA" w:rsidRDefault="00EF65CB" w:rsidP="006547BB">
      <w:pPr>
        <w:spacing w:line="240" w:lineRule="auto"/>
        <w:ind w:left="1440" w:right="1440" w:firstLine="1440"/>
        <w:rPr>
          <w:szCs w:val="26"/>
        </w:rPr>
      </w:pPr>
    </w:p>
    <w:p w:rsidR="00EF65CB" w:rsidRPr="005E1EAA" w:rsidRDefault="00EF65CB" w:rsidP="006547BB">
      <w:pPr>
        <w:pStyle w:val="FootnoteText"/>
        <w:ind w:left="1440" w:right="1440" w:firstLine="1440"/>
        <w:rPr>
          <w:sz w:val="26"/>
          <w:szCs w:val="26"/>
        </w:rPr>
      </w:pPr>
      <w:r w:rsidRPr="005E1EAA">
        <w:rPr>
          <w:sz w:val="26"/>
          <w:szCs w:val="26"/>
        </w:rPr>
        <w:lastRenderedPageBreak/>
        <w:t xml:space="preserve">The April 23, 2014, Second Post-Hearing Order reopened the hearing record and admitted the following exhibits: Complainant Exh. #1 – Six residential Leases from June 21, 2008 through June 20, 2014, between Steven Sundstrom and Jerry Truong Chau for 327 Seneca Street, Essington, PA 199029, listing the Complainant as a minor child in the household from June 21, 2008 through June 20, 2012; Complainant Exh. #2 – Copies of four (4) “FAX” cover sheets dated June 29, 2013, July 11, 2013 (three (3) faxes), respectively; Complainant Exh. #4 – BCS Decision with cover letter dated October 4, 2013, at BCS No. 3121814, with written comments in the margins; and Complainant Exh. #7 – Tinicum Township Police Department report concerning a complaint filed by Complainant listing her as residing at 327 Seneca Street, Essington, PA against Michael Treichel listing him as residing at 133 Carre Avenue, Essington, PA dated June 18, 2013.  </w:t>
      </w:r>
      <w:r w:rsidRPr="005E1EAA">
        <w:rPr>
          <w:i/>
          <w:sz w:val="26"/>
          <w:szCs w:val="26"/>
        </w:rPr>
        <w:t>See</w:t>
      </w:r>
      <w:r w:rsidRPr="005E1EAA">
        <w:rPr>
          <w:sz w:val="26"/>
          <w:szCs w:val="26"/>
        </w:rPr>
        <w:t xml:space="preserve"> April 23 Second Post-Hearing Order at 2-3.  Complainant Exhibits #3, 5, and 6 were not admitted into the record.  </w:t>
      </w:r>
      <w:r w:rsidRPr="005E1EAA">
        <w:rPr>
          <w:i/>
          <w:sz w:val="26"/>
          <w:szCs w:val="26"/>
        </w:rPr>
        <w:t xml:space="preserve">See </w:t>
      </w:r>
      <w:r w:rsidRPr="005E1EAA">
        <w:rPr>
          <w:sz w:val="26"/>
          <w:szCs w:val="26"/>
        </w:rPr>
        <w:t xml:space="preserve">Order at 4. </w:t>
      </w:r>
    </w:p>
    <w:p w:rsidR="00EF65CB" w:rsidRPr="005E1EAA" w:rsidRDefault="00EF65CB" w:rsidP="006547BB">
      <w:pPr>
        <w:spacing w:line="240" w:lineRule="auto"/>
        <w:ind w:left="1440" w:right="1440" w:firstLine="1440"/>
        <w:rPr>
          <w:szCs w:val="26"/>
        </w:rPr>
      </w:pPr>
      <w:r w:rsidRPr="005E1EAA">
        <w:rPr>
          <w:szCs w:val="26"/>
        </w:rPr>
        <w:t xml:space="preserve">       </w:t>
      </w:r>
    </w:p>
    <w:p w:rsidR="00EF65CB" w:rsidRPr="005E1EAA" w:rsidRDefault="00EF65CB" w:rsidP="006547BB">
      <w:pPr>
        <w:spacing w:line="240" w:lineRule="auto"/>
        <w:ind w:left="1440" w:right="1440" w:firstLine="1440"/>
        <w:rPr>
          <w:szCs w:val="26"/>
        </w:rPr>
      </w:pPr>
      <w:r w:rsidRPr="005E1EAA">
        <w:rPr>
          <w:szCs w:val="26"/>
        </w:rPr>
        <w:t xml:space="preserve">As noted, the Initial Decision was issued July 15, 2014.  On consideration of the testimony and exhibits, ALJ Dunderdale sustained the Complaint and granted the Complainant’s request to require PECO to reflect in its records that the Complainant is not responsible to pay for service provided at the service address.  ALJ Dunderdale further recommended the imposition of a civil penalty against PECO for its failure to provide reasonable and adequate customer service.  I.D. at 1. </w:t>
      </w:r>
    </w:p>
    <w:p w:rsidR="00EF65CB" w:rsidRPr="005E1EAA" w:rsidRDefault="00EF65CB" w:rsidP="006547BB">
      <w:pPr>
        <w:spacing w:line="240" w:lineRule="auto"/>
        <w:ind w:left="1440" w:right="1440" w:firstLine="1440"/>
        <w:rPr>
          <w:szCs w:val="26"/>
        </w:rPr>
      </w:pPr>
    </w:p>
    <w:p w:rsidR="00EF65CB" w:rsidRPr="005E1EAA" w:rsidRDefault="00EF65CB" w:rsidP="006547BB">
      <w:pPr>
        <w:spacing w:line="240" w:lineRule="auto"/>
        <w:ind w:left="1440" w:right="1440" w:firstLine="1440"/>
        <w:rPr>
          <w:szCs w:val="26"/>
        </w:rPr>
      </w:pPr>
      <w:r w:rsidRPr="005E1EAA">
        <w:rPr>
          <w:szCs w:val="26"/>
        </w:rPr>
        <w:t>As stated above, PECO filed Exceptions to the Initial Decision on August 4, 2014.  No Replies to Exceptions are noted in the record.</w:t>
      </w:r>
    </w:p>
    <w:p w:rsidR="00EF65CB" w:rsidRDefault="00EF65CB" w:rsidP="00EF65CB">
      <w:pPr>
        <w:spacing w:line="240" w:lineRule="auto"/>
        <w:ind w:left="1440" w:right="1440"/>
        <w:rPr>
          <w:sz w:val="28"/>
          <w:szCs w:val="28"/>
        </w:rPr>
      </w:pPr>
    </w:p>
    <w:p w:rsidR="00EF65CB" w:rsidRDefault="00EF65CB" w:rsidP="00EF65CB">
      <w:pPr>
        <w:spacing w:line="240" w:lineRule="auto"/>
        <w:rPr>
          <w:szCs w:val="26"/>
        </w:rPr>
      </w:pPr>
    </w:p>
    <w:p w:rsidR="00EF65CB" w:rsidRDefault="00EF65CB" w:rsidP="00EF65CB">
      <w:pPr>
        <w:rPr>
          <w:szCs w:val="26"/>
        </w:rPr>
      </w:pPr>
      <w:r w:rsidRPr="00EF65CB">
        <w:rPr>
          <w:i/>
          <w:szCs w:val="26"/>
        </w:rPr>
        <w:t>April 2015 Order</w:t>
      </w:r>
      <w:r>
        <w:rPr>
          <w:szCs w:val="26"/>
        </w:rPr>
        <w:t xml:space="preserve"> at </w:t>
      </w:r>
      <w:r w:rsidR="00632718">
        <w:rPr>
          <w:szCs w:val="26"/>
        </w:rPr>
        <w:t>2-5.</w:t>
      </w:r>
      <w:r>
        <w:rPr>
          <w:szCs w:val="26"/>
        </w:rPr>
        <w:t xml:space="preserve"> </w:t>
      </w:r>
    </w:p>
    <w:p w:rsidR="00EF65CB" w:rsidRDefault="00EF65CB" w:rsidP="00B23F6F">
      <w:pPr>
        <w:spacing w:line="240" w:lineRule="auto"/>
        <w:rPr>
          <w:szCs w:val="26"/>
        </w:rPr>
      </w:pPr>
    </w:p>
    <w:p w:rsidR="00DF0BCB" w:rsidRDefault="007C11C4" w:rsidP="007C11C4">
      <w:pPr>
        <w:ind w:firstLine="1440"/>
        <w:rPr>
          <w:szCs w:val="26"/>
        </w:rPr>
      </w:pPr>
      <w:r>
        <w:rPr>
          <w:szCs w:val="26"/>
        </w:rPr>
        <w:t>As noted, t</w:t>
      </w:r>
      <w:r w:rsidR="002E4642">
        <w:rPr>
          <w:szCs w:val="26"/>
        </w:rPr>
        <w:t xml:space="preserve">he Supplemental Initial Decision </w:t>
      </w:r>
      <w:r w:rsidR="00632B5F">
        <w:rPr>
          <w:szCs w:val="26"/>
        </w:rPr>
        <w:t xml:space="preserve">was issued June 25, 2015. </w:t>
      </w:r>
      <w:r w:rsidR="002E4642">
        <w:rPr>
          <w:szCs w:val="26"/>
        </w:rPr>
        <w:t xml:space="preserve"> </w:t>
      </w:r>
      <w:r w:rsidR="00632B5F">
        <w:rPr>
          <w:szCs w:val="26"/>
        </w:rPr>
        <w:t xml:space="preserve">PECO’s </w:t>
      </w:r>
      <w:r w:rsidR="002E4642">
        <w:rPr>
          <w:szCs w:val="26"/>
        </w:rPr>
        <w:t>Supplemental Exceptions were</w:t>
      </w:r>
      <w:r w:rsidR="00632B5F">
        <w:rPr>
          <w:szCs w:val="26"/>
        </w:rPr>
        <w:t xml:space="preserve"> filed</w:t>
      </w:r>
      <w:r w:rsidR="002E4642">
        <w:rPr>
          <w:szCs w:val="26"/>
        </w:rPr>
        <w:t>, thereafter.</w:t>
      </w:r>
    </w:p>
    <w:p w:rsidR="007C11C4" w:rsidRPr="007C11C4" w:rsidRDefault="007C11C4" w:rsidP="007C11C4">
      <w:pPr>
        <w:ind w:firstLine="1440"/>
        <w:rPr>
          <w:szCs w:val="26"/>
        </w:rPr>
      </w:pPr>
    </w:p>
    <w:p w:rsidR="00DF0BCB" w:rsidRDefault="00DF0BCB" w:rsidP="00333336">
      <w:pPr>
        <w:spacing w:line="240" w:lineRule="auto"/>
        <w:jc w:val="center"/>
        <w:rPr>
          <w:b/>
          <w:szCs w:val="26"/>
        </w:rPr>
      </w:pPr>
    </w:p>
    <w:p w:rsidR="00333336" w:rsidRDefault="00333336" w:rsidP="00C51F81">
      <w:pPr>
        <w:jc w:val="center"/>
        <w:rPr>
          <w:b/>
          <w:szCs w:val="26"/>
        </w:rPr>
      </w:pPr>
      <w:r w:rsidRPr="00333336">
        <w:rPr>
          <w:b/>
          <w:szCs w:val="26"/>
        </w:rPr>
        <w:lastRenderedPageBreak/>
        <w:t>D</w:t>
      </w:r>
      <w:r w:rsidR="00632B5F">
        <w:rPr>
          <w:b/>
          <w:szCs w:val="26"/>
        </w:rPr>
        <w:t>iscussion</w:t>
      </w:r>
    </w:p>
    <w:p w:rsidR="00632B5F" w:rsidRDefault="00632B5F" w:rsidP="00C51F81">
      <w:pPr>
        <w:jc w:val="center"/>
        <w:rPr>
          <w:szCs w:val="26"/>
        </w:rPr>
      </w:pPr>
    </w:p>
    <w:p w:rsidR="003F0447" w:rsidRDefault="003F0447" w:rsidP="003F0447">
      <w:pPr>
        <w:ind w:firstLine="1440"/>
        <w:rPr>
          <w:szCs w:val="26"/>
        </w:rPr>
      </w:pPr>
      <w:r>
        <w:rPr>
          <w:szCs w:val="26"/>
        </w:rPr>
        <w:t xml:space="preserve">In the Supplemental Initial Decision, </w:t>
      </w:r>
      <w:r w:rsidRPr="00CA43A5">
        <w:rPr>
          <w:szCs w:val="26"/>
        </w:rPr>
        <w:t>ALJ</w:t>
      </w:r>
      <w:r>
        <w:rPr>
          <w:szCs w:val="26"/>
        </w:rPr>
        <w:t xml:space="preserve"> Dunderdale made seventeen (17)</w:t>
      </w:r>
      <w:r w:rsidRPr="00CA43A5">
        <w:rPr>
          <w:szCs w:val="26"/>
        </w:rPr>
        <w:t xml:space="preserve"> Findings of Fact</w:t>
      </w:r>
      <w:r>
        <w:rPr>
          <w:szCs w:val="26"/>
        </w:rPr>
        <w:t xml:space="preserve"> and drew five (5) Conclusions of Law.  </w:t>
      </w:r>
      <w:r>
        <w:rPr>
          <w:i/>
          <w:szCs w:val="26"/>
        </w:rPr>
        <w:t xml:space="preserve">See </w:t>
      </w:r>
      <w:r>
        <w:rPr>
          <w:szCs w:val="26"/>
        </w:rPr>
        <w:t>Supp. I.D. at 4-6; 18.  These findings and conclusions are substantially the same as were set forth in the July 14, 2014 Initial Decision.  We, hereby, adopt and incorporate t</w:t>
      </w:r>
      <w:r w:rsidRPr="00CA43A5">
        <w:rPr>
          <w:szCs w:val="26"/>
        </w:rPr>
        <w:t>he</w:t>
      </w:r>
      <w:r>
        <w:rPr>
          <w:szCs w:val="26"/>
        </w:rPr>
        <w:t xml:space="preserve"> said</w:t>
      </w:r>
      <w:r w:rsidRPr="00CA43A5">
        <w:rPr>
          <w:szCs w:val="26"/>
        </w:rPr>
        <w:t xml:space="preserve"> Findings of Fact and Conclusions of Law by reference </w:t>
      </w:r>
      <w:r>
        <w:rPr>
          <w:szCs w:val="26"/>
        </w:rPr>
        <w:t xml:space="preserve">into our disposition </w:t>
      </w:r>
      <w:r w:rsidRPr="00CA43A5">
        <w:rPr>
          <w:szCs w:val="26"/>
        </w:rPr>
        <w:t xml:space="preserve">without </w:t>
      </w:r>
      <w:r>
        <w:rPr>
          <w:szCs w:val="26"/>
        </w:rPr>
        <w:t xml:space="preserve">further </w:t>
      </w:r>
      <w:r w:rsidRPr="00CA43A5">
        <w:rPr>
          <w:szCs w:val="26"/>
        </w:rPr>
        <w:t>comment</w:t>
      </w:r>
      <w:r>
        <w:rPr>
          <w:szCs w:val="26"/>
        </w:rPr>
        <w:t>,</w:t>
      </w:r>
      <w:r w:rsidRPr="00CA43A5">
        <w:rPr>
          <w:szCs w:val="26"/>
        </w:rPr>
        <w:t xml:space="preserve"> unless expressly </w:t>
      </w:r>
      <w:r>
        <w:rPr>
          <w:szCs w:val="26"/>
        </w:rPr>
        <w:t xml:space="preserve">rejected </w:t>
      </w:r>
      <w:r w:rsidRPr="00CA43A5">
        <w:rPr>
          <w:szCs w:val="26"/>
        </w:rPr>
        <w:t xml:space="preserve">or </w:t>
      </w:r>
      <w:r>
        <w:rPr>
          <w:szCs w:val="26"/>
        </w:rPr>
        <w:t xml:space="preserve">rejected </w:t>
      </w:r>
      <w:r w:rsidRPr="00CA43A5">
        <w:rPr>
          <w:szCs w:val="26"/>
        </w:rPr>
        <w:t>by necessary implication</w:t>
      </w:r>
      <w:r>
        <w:rPr>
          <w:szCs w:val="26"/>
        </w:rPr>
        <w:t>, in this Opi</w:t>
      </w:r>
      <w:r w:rsidRPr="00CA43A5">
        <w:rPr>
          <w:szCs w:val="26"/>
        </w:rPr>
        <w:t>nion and Order.</w:t>
      </w:r>
    </w:p>
    <w:p w:rsidR="002859DB" w:rsidRDefault="002859DB" w:rsidP="003F0447">
      <w:pPr>
        <w:ind w:firstLine="1440"/>
        <w:rPr>
          <w:szCs w:val="26"/>
        </w:rPr>
      </w:pPr>
    </w:p>
    <w:p w:rsidR="002859DB" w:rsidRPr="008A4783" w:rsidRDefault="002859DB" w:rsidP="00C51F81">
      <w:pPr>
        <w:ind w:firstLine="1440"/>
        <w:rPr>
          <w:szCs w:val="26"/>
        </w:rPr>
      </w:pPr>
      <w:r>
        <w:t>We expressly</w:t>
      </w:r>
      <w:r w:rsidRPr="002A6750">
        <w:rPr>
          <w:szCs w:val="26"/>
        </w:rPr>
        <w:t xml:space="preserve"> note that any issue or Exception that we do not specifically delineate shall be deemed to have been duly considered and denied without further discussion.</w:t>
      </w:r>
      <w:r>
        <w:rPr>
          <w:szCs w:val="26"/>
        </w:rPr>
        <w:t xml:space="preserve">  </w:t>
      </w:r>
      <w:r>
        <w:rPr>
          <w:i/>
          <w:szCs w:val="26"/>
        </w:rPr>
        <w:t>See</w:t>
      </w:r>
      <w:r w:rsidRPr="002A6750">
        <w:rPr>
          <w:szCs w:val="26"/>
        </w:rPr>
        <w:t xml:space="preserve"> </w:t>
      </w:r>
      <w:hyperlink r:id="rId9" w:history="1">
        <w:r w:rsidRPr="008A4783">
          <w:rPr>
            <w:rStyle w:val="Emphasis"/>
            <w:color w:val="000000"/>
            <w:szCs w:val="26"/>
          </w:rPr>
          <w:t xml:space="preserve">Consolidated Rail Corp. v. Pa. PUC, </w:t>
        </w:r>
        <w:r w:rsidRPr="00BE1838">
          <w:rPr>
            <w:rStyle w:val="Hyperlink"/>
            <w:color w:val="000000"/>
            <w:szCs w:val="26"/>
            <w:u w:val="none"/>
          </w:rPr>
          <w:t>625 A.2d 741 (Pa. Cmwlth. 1993);</w:t>
        </w:r>
      </w:hyperlink>
      <w:r w:rsidRPr="008A4783">
        <w:rPr>
          <w:color w:val="000000"/>
          <w:szCs w:val="26"/>
        </w:rPr>
        <w:t xml:space="preserve"> </w:t>
      </w:r>
      <w:r w:rsidRPr="008A4783">
        <w:rPr>
          <w:i/>
          <w:color w:val="000000"/>
          <w:szCs w:val="26"/>
        </w:rPr>
        <w:t>also</w:t>
      </w:r>
      <w:r w:rsidRPr="00FF1A43">
        <w:rPr>
          <w:rStyle w:val="Emphasis"/>
          <w:color w:val="000000"/>
          <w:szCs w:val="26"/>
        </w:rPr>
        <w:t xml:space="preserve">, </w:t>
      </w:r>
      <w:hyperlink r:id="rId10" w:history="1">
        <w:r w:rsidRPr="008A4783">
          <w:rPr>
            <w:rStyle w:val="Emphasis"/>
            <w:color w:val="000000"/>
            <w:szCs w:val="26"/>
          </w:rPr>
          <w:t>Univ</w:t>
        </w:r>
        <w:r>
          <w:rPr>
            <w:rStyle w:val="Emphasis"/>
            <w:color w:val="000000"/>
            <w:szCs w:val="26"/>
          </w:rPr>
          <w:t>.</w:t>
        </w:r>
        <w:r w:rsidRPr="008A4783">
          <w:rPr>
            <w:rStyle w:val="Emphasis"/>
            <w:color w:val="000000"/>
            <w:szCs w:val="26"/>
          </w:rPr>
          <w:t xml:space="preserve"> of P</w:t>
        </w:r>
        <w:r>
          <w:rPr>
            <w:rStyle w:val="Emphasis"/>
            <w:color w:val="000000"/>
            <w:szCs w:val="26"/>
          </w:rPr>
          <w:t>a.</w:t>
        </w:r>
        <w:r w:rsidRPr="008A4783">
          <w:rPr>
            <w:rStyle w:val="Emphasis"/>
            <w:color w:val="000000"/>
            <w:szCs w:val="26"/>
          </w:rPr>
          <w:t> v. Pa. PUC</w:t>
        </w:r>
        <w:r w:rsidRPr="00BE1838">
          <w:rPr>
            <w:rStyle w:val="Hyperlink"/>
            <w:color w:val="000000"/>
            <w:szCs w:val="26"/>
            <w:u w:val="none"/>
          </w:rPr>
          <w:t>, 485 A.2d 1217 (Pa. Cmwlth. 1984).</w:t>
        </w:r>
      </w:hyperlink>
      <w:r w:rsidRPr="008A4783">
        <w:rPr>
          <w:szCs w:val="26"/>
        </w:rPr>
        <w:t xml:space="preserve"> </w:t>
      </w:r>
    </w:p>
    <w:p w:rsidR="003F0447" w:rsidRDefault="003F0447" w:rsidP="00C51F81">
      <w:pPr>
        <w:rPr>
          <w:szCs w:val="26"/>
        </w:rPr>
      </w:pPr>
    </w:p>
    <w:p w:rsidR="00B817ED" w:rsidRPr="00BE1838" w:rsidRDefault="00B817ED" w:rsidP="00DE3D04">
      <w:pPr>
        <w:rPr>
          <w:b/>
          <w:szCs w:val="26"/>
        </w:rPr>
      </w:pPr>
      <w:r w:rsidRPr="00BE1838">
        <w:rPr>
          <w:b/>
          <w:szCs w:val="26"/>
        </w:rPr>
        <w:t>Legal Standards</w:t>
      </w:r>
    </w:p>
    <w:p w:rsidR="00B817ED" w:rsidRDefault="00B817ED" w:rsidP="00B817ED">
      <w:pPr>
        <w:ind w:firstLine="1440"/>
        <w:rPr>
          <w:szCs w:val="26"/>
        </w:rPr>
      </w:pPr>
    </w:p>
    <w:p w:rsidR="00B817ED" w:rsidRDefault="00B817ED" w:rsidP="00B817ED">
      <w:pPr>
        <w:ind w:firstLine="1440"/>
        <w:rPr>
          <w:szCs w:val="26"/>
        </w:rPr>
      </w:pPr>
      <w:r>
        <w:rPr>
          <w:szCs w:val="26"/>
        </w:rPr>
        <w:t xml:space="preserve">Ms. Hallman is </w:t>
      </w:r>
      <w:r w:rsidRPr="00CA43A5">
        <w:rPr>
          <w:szCs w:val="26"/>
        </w:rPr>
        <w:t>the proponent of a rule or order</w:t>
      </w:r>
      <w:r>
        <w:rPr>
          <w:szCs w:val="26"/>
        </w:rPr>
        <w:t xml:space="preserve"> from this Commission that she does not have financial responsibility for utility services rendered by PECO to an account at </w:t>
      </w:r>
      <w:r w:rsidRPr="00371FF2">
        <w:rPr>
          <w:szCs w:val="26"/>
        </w:rPr>
        <w:t>133 Carre Avenue, Essington, Delaware County, Pennsylvania (</w:t>
      </w:r>
      <w:r>
        <w:rPr>
          <w:szCs w:val="26"/>
        </w:rPr>
        <w:t>S</w:t>
      </w:r>
      <w:r w:rsidRPr="00371FF2">
        <w:rPr>
          <w:szCs w:val="26"/>
        </w:rPr>
        <w:t xml:space="preserve">ervice </w:t>
      </w:r>
      <w:r>
        <w:rPr>
          <w:szCs w:val="26"/>
        </w:rPr>
        <w:t>A</w:t>
      </w:r>
      <w:r w:rsidRPr="00371FF2">
        <w:rPr>
          <w:szCs w:val="26"/>
        </w:rPr>
        <w:t>ddress) from August 29, 2009 to April 16, 2013</w:t>
      </w:r>
      <w:r>
        <w:rPr>
          <w:szCs w:val="26"/>
        </w:rPr>
        <w:t xml:space="preserve">.  </w:t>
      </w:r>
      <w:r>
        <w:rPr>
          <w:i/>
          <w:szCs w:val="26"/>
        </w:rPr>
        <w:t xml:space="preserve">See </w:t>
      </w:r>
      <w:r>
        <w:rPr>
          <w:szCs w:val="26"/>
        </w:rPr>
        <w:t>Finding of Fact #3.</w:t>
      </w:r>
      <w:r>
        <w:rPr>
          <w:rStyle w:val="FootnoteReference"/>
          <w:szCs w:val="26"/>
        </w:rPr>
        <w:footnoteReference w:id="4"/>
      </w:r>
      <w:r>
        <w:rPr>
          <w:szCs w:val="26"/>
        </w:rPr>
        <w:t xml:space="preserve"> </w:t>
      </w:r>
      <w:r w:rsidR="00BA6C50">
        <w:rPr>
          <w:szCs w:val="26"/>
        </w:rPr>
        <w:t xml:space="preserve"> As the proponent of a rule or</w:t>
      </w:r>
      <w:r>
        <w:rPr>
          <w:szCs w:val="26"/>
        </w:rPr>
        <w:t xml:space="preserve"> order from the Commission, C</w:t>
      </w:r>
      <w:r w:rsidRPr="00CA43A5">
        <w:rPr>
          <w:szCs w:val="26"/>
        </w:rPr>
        <w:t>omplainant bears the burden of proof</w:t>
      </w:r>
      <w:r>
        <w:rPr>
          <w:szCs w:val="26"/>
        </w:rPr>
        <w:t xml:space="preserve">.  </w:t>
      </w:r>
      <w:r w:rsidRPr="001B176C">
        <w:rPr>
          <w:i/>
          <w:szCs w:val="26"/>
        </w:rPr>
        <w:t>See</w:t>
      </w:r>
      <w:r>
        <w:rPr>
          <w:szCs w:val="26"/>
        </w:rPr>
        <w:t xml:space="preserve"> </w:t>
      </w:r>
      <w:r w:rsidRPr="00CA43A5">
        <w:rPr>
          <w:szCs w:val="26"/>
        </w:rPr>
        <w:t xml:space="preserve">66 Pa. C.S. § 332(a).  </w:t>
      </w:r>
    </w:p>
    <w:p w:rsidR="00B817ED" w:rsidRDefault="00B817ED" w:rsidP="00B817ED">
      <w:pPr>
        <w:ind w:firstLine="1440"/>
        <w:rPr>
          <w:szCs w:val="26"/>
        </w:rPr>
      </w:pPr>
    </w:p>
    <w:p w:rsidR="00B817ED" w:rsidRDefault="00B817ED" w:rsidP="00B817ED">
      <w:pPr>
        <w:ind w:firstLine="1440"/>
        <w:rPr>
          <w:szCs w:val="26"/>
        </w:rPr>
      </w:pPr>
      <w:r>
        <w:rPr>
          <w:szCs w:val="26"/>
        </w:rPr>
        <w:t>When the term, “burden of proof,” is used, this means that the party upon whom such burden is placed, is required t</w:t>
      </w:r>
      <w:r w:rsidRPr="00CA43A5">
        <w:rPr>
          <w:szCs w:val="26"/>
        </w:rPr>
        <w:t xml:space="preserve">o establish a sufficient case and show that the </w:t>
      </w:r>
      <w:r>
        <w:rPr>
          <w:szCs w:val="26"/>
        </w:rPr>
        <w:t>utility/respondent</w:t>
      </w:r>
      <w:r w:rsidRPr="00CA43A5">
        <w:rPr>
          <w:szCs w:val="26"/>
        </w:rPr>
        <w:t xml:space="preserve"> is responsible or accountable for the problem described in the Complaint.  </w:t>
      </w:r>
      <w:r w:rsidRPr="00CA43A5">
        <w:rPr>
          <w:i/>
          <w:szCs w:val="26"/>
        </w:rPr>
        <w:t xml:space="preserve">Patterson v. </w:t>
      </w:r>
      <w:r>
        <w:rPr>
          <w:i/>
          <w:szCs w:val="26"/>
        </w:rPr>
        <w:t xml:space="preserve">The </w:t>
      </w:r>
      <w:r w:rsidRPr="00CA43A5">
        <w:rPr>
          <w:i/>
          <w:szCs w:val="26"/>
        </w:rPr>
        <w:t>Bell Telephone Company of P</w:t>
      </w:r>
      <w:r>
        <w:rPr>
          <w:i/>
          <w:szCs w:val="26"/>
        </w:rPr>
        <w:t>a.</w:t>
      </w:r>
      <w:r w:rsidRPr="00CA43A5">
        <w:rPr>
          <w:szCs w:val="26"/>
        </w:rPr>
        <w:t xml:space="preserve">, 72 Pa. P.U.C. 196 (1990).  </w:t>
      </w:r>
      <w:r w:rsidRPr="00CA43A5">
        <w:rPr>
          <w:szCs w:val="26"/>
        </w:rPr>
        <w:lastRenderedPageBreak/>
        <w:t xml:space="preserve">Such a showing must be </w:t>
      </w:r>
      <w:r>
        <w:rPr>
          <w:szCs w:val="26"/>
        </w:rPr>
        <w:t xml:space="preserve">made </w:t>
      </w:r>
      <w:r w:rsidRPr="00CA43A5">
        <w:rPr>
          <w:szCs w:val="26"/>
        </w:rPr>
        <w:t xml:space="preserve">by a preponderance of the evidence.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w:t>
      </w:r>
      <w:r>
        <w:rPr>
          <w:szCs w:val="26"/>
        </w:rPr>
        <w:t>The preponderance of the evidence standard means</w:t>
      </w:r>
      <w:r w:rsidRPr="00CA43A5">
        <w:rPr>
          <w:szCs w:val="26"/>
        </w:rPr>
        <w:t xml:space="preserve"> </w:t>
      </w:r>
      <w:r>
        <w:rPr>
          <w:szCs w:val="26"/>
        </w:rPr>
        <w:t>that a</w:t>
      </w:r>
      <w:r w:rsidRPr="00CA43A5">
        <w:rPr>
          <w:szCs w:val="26"/>
        </w:rPr>
        <w:t xml:space="preserve"> </w:t>
      </w:r>
      <w:r>
        <w:rPr>
          <w:szCs w:val="26"/>
        </w:rPr>
        <w:t>c</w:t>
      </w:r>
      <w:r w:rsidRPr="00CA43A5">
        <w:rPr>
          <w:szCs w:val="26"/>
        </w:rPr>
        <w:t>omplainant’s evidence must be more convincing, by even the smallest amount, th</w:t>
      </w:r>
      <w:r>
        <w:rPr>
          <w:szCs w:val="26"/>
        </w:rPr>
        <w:t>an that presented by the respondent</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w:t>
      </w:r>
    </w:p>
    <w:p w:rsidR="00B817ED" w:rsidRDefault="00B817ED" w:rsidP="00B817ED">
      <w:pPr>
        <w:ind w:firstLine="1440"/>
        <w:rPr>
          <w:szCs w:val="26"/>
        </w:rPr>
      </w:pPr>
    </w:p>
    <w:p w:rsidR="00B817ED" w:rsidRDefault="00B817ED" w:rsidP="00B817ED">
      <w:pPr>
        <w:ind w:firstLine="1440"/>
        <w:rPr>
          <w:szCs w:val="26"/>
        </w:rPr>
      </w:pPr>
      <w:r w:rsidRPr="00CA43A5">
        <w:rPr>
          <w:szCs w:val="26"/>
        </w:rPr>
        <w:t xml:space="preserve">Additionally, this Commission’s decision must be supported by substantial evidence in the record.  More is required than a mere trace of evidence or a suspicion of the existence of a fact sought to be established.  </w:t>
      </w:r>
      <w:r w:rsidRPr="00CA43A5">
        <w:rPr>
          <w:i/>
          <w:szCs w:val="26"/>
        </w:rPr>
        <w:t xml:space="preserve">Norfolk &amp; Western Ry. Co. v. Pa. PUC, </w:t>
      </w:r>
      <w:r w:rsidRPr="00CA43A5">
        <w:rPr>
          <w:szCs w:val="26"/>
        </w:rPr>
        <w:t>489 Pa. 109, 413 A.2d 1037 (1980).</w:t>
      </w:r>
    </w:p>
    <w:p w:rsidR="00B817ED" w:rsidRPr="00CA43A5" w:rsidRDefault="00B817ED" w:rsidP="00B817ED">
      <w:pPr>
        <w:rPr>
          <w:szCs w:val="26"/>
        </w:rPr>
      </w:pPr>
    </w:p>
    <w:p w:rsidR="00B817ED" w:rsidRPr="00CC1FD7" w:rsidRDefault="00B817ED" w:rsidP="00B817ED">
      <w:pPr>
        <w:ind w:firstLine="1440"/>
        <w:rPr>
          <w:rFonts w:ascii="Times New (W1)" w:hAnsi="Times New (W1)"/>
          <w:i/>
        </w:rPr>
      </w:pPr>
      <w:r w:rsidRPr="00472547">
        <w:t>Upon the presentation by a complainant of evidence sufficient to initially satisfy the</w:t>
      </w:r>
      <w:r>
        <w:t xml:space="preserve"> burden of proof, the burden </w:t>
      </w:r>
      <w:r w:rsidRPr="00472547">
        <w:t>of g</w:t>
      </w:r>
      <w:r>
        <w:t xml:space="preserve">oing forward with evidence </w:t>
      </w:r>
      <w:r w:rsidRPr="00472547">
        <w:t>to rebut the evidence of the customer</w:t>
      </w:r>
      <w:r>
        <w:t>-complainant, shifts</w:t>
      </w:r>
      <w:r w:rsidRPr="00472547">
        <w:t xml:space="preserve"> to the respondent</w:t>
      </w:r>
      <w:r>
        <w:t>-utility</w:t>
      </w:r>
      <w:r w:rsidRPr="00472547">
        <w:t xml:space="preserve">. </w:t>
      </w:r>
      <w:r>
        <w:t xml:space="preserve"> </w:t>
      </w:r>
      <w:r w:rsidRPr="00472547">
        <w:t xml:space="preserve">If the evidence presented by the </w:t>
      </w:r>
      <w:r>
        <w:t>r</w:t>
      </w:r>
      <w:r w:rsidRPr="00472547">
        <w:t>esp</w:t>
      </w:r>
      <w:r>
        <w:t>ondent-utility is of co-equal value or “</w:t>
      </w:r>
      <w:r w:rsidRPr="00472547">
        <w:t>weight,</w:t>
      </w:r>
      <w:r>
        <w:t>”</w:t>
      </w:r>
      <w:r w:rsidRPr="00472547">
        <w:t xml:space="preserve"> the</w:t>
      </w:r>
      <w:r>
        <w:t xml:space="preserve"> burden of proof </w:t>
      </w:r>
      <w:r w:rsidRPr="00472547">
        <w:t xml:space="preserve">has not been satisfied. </w:t>
      </w:r>
      <w:r>
        <w:t xml:space="preserve"> </w:t>
      </w:r>
      <w:r w:rsidRPr="00472547">
        <w:t xml:space="preserve">The </w:t>
      </w:r>
      <w:r>
        <w:t>c</w:t>
      </w:r>
      <w:r w:rsidRPr="00472547">
        <w:t>omplainant now has to provide some additional evidence to rebut that of the respondent</w:t>
      </w:r>
      <w:r>
        <w:t xml:space="preserve">. </w:t>
      </w:r>
      <w:r w:rsidRPr="00195F2E">
        <w:rPr>
          <w:iCs/>
        </w:rPr>
        <w:t xml:space="preserve"> </w:t>
      </w:r>
      <w:hyperlink r:id="rId11" w:history="1">
        <w:r w:rsidRPr="00C60CEB">
          <w:rPr>
            <w:rStyle w:val="Hyperlink"/>
            <w:i/>
            <w:iCs/>
            <w:color w:val="auto"/>
            <w:u w:val="none"/>
          </w:rPr>
          <w:t>Burleson v. Pa. PUC,</w:t>
        </w:r>
        <w:r w:rsidRPr="00C60CEB">
          <w:rPr>
            <w:rStyle w:val="Hyperlink"/>
            <w:iCs/>
            <w:color w:val="auto"/>
            <w:u w:val="none"/>
          </w:rPr>
          <w:t xml:space="preserve"> 443 A.2d 1373 (Pa. Cmwlth. 1982), </w:t>
        </w:r>
        <w:r w:rsidRPr="00C60CEB">
          <w:rPr>
            <w:rStyle w:val="Hyperlink"/>
            <w:i/>
            <w:iCs/>
            <w:color w:val="auto"/>
            <w:u w:val="none"/>
          </w:rPr>
          <w:t>aff’d,</w:t>
        </w:r>
        <w:r w:rsidRPr="00C60CEB">
          <w:rPr>
            <w:rStyle w:val="Hyperlink"/>
            <w:iCs/>
            <w:color w:val="auto"/>
            <w:u w:val="none"/>
          </w:rPr>
          <w:t xml:space="preserve"> 501 Pa. 433, 461 A.2d 1234 (1983)</w:t>
        </w:r>
        <w:r>
          <w:rPr>
            <w:rStyle w:val="Hyperlink"/>
            <w:iCs/>
            <w:color w:val="auto"/>
            <w:u w:val="none"/>
          </w:rPr>
          <w:t xml:space="preserve"> (</w:t>
        </w:r>
        <w:r>
          <w:rPr>
            <w:rStyle w:val="Hyperlink"/>
            <w:i/>
            <w:iCs/>
            <w:color w:val="auto"/>
            <w:u w:val="none"/>
          </w:rPr>
          <w:t>Burleson</w:t>
        </w:r>
        <w:r>
          <w:rPr>
            <w:rStyle w:val="Hyperlink"/>
            <w:iCs/>
            <w:color w:val="auto"/>
            <w:u w:val="none"/>
          </w:rPr>
          <w:t>)</w:t>
        </w:r>
        <w:r w:rsidRPr="00C60CEB">
          <w:rPr>
            <w:rStyle w:val="Hyperlink"/>
            <w:iCs/>
            <w:color w:val="auto"/>
            <w:u w:val="none"/>
          </w:rPr>
          <w:t>.</w:t>
        </w:r>
      </w:hyperlink>
    </w:p>
    <w:p w:rsidR="00B817ED" w:rsidRPr="00182752" w:rsidRDefault="00B817ED" w:rsidP="00B817ED">
      <w:pPr>
        <w:ind w:firstLine="1440"/>
      </w:pPr>
    </w:p>
    <w:p w:rsidR="00B817ED" w:rsidRDefault="00B817ED" w:rsidP="00C51F81">
      <w:pPr>
        <w:ind w:firstLine="1440"/>
        <w:rPr>
          <w:b/>
          <w:szCs w:val="26"/>
        </w:rPr>
      </w:pPr>
      <w:r w:rsidRPr="00182752">
        <w:t xml:space="preserve">While the burden of </w:t>
      </w:r>
      <w:r>
        <w:t>going forward with the evidence</w:t>
      </w:r>
      <w:r w:rsidRPr="00182752">
        <w:t xml:space="preserve"> may </w:t>
      </w:r>
      <w:r w:rsidRPr="00C60CEB">
        <w:rPr>
          <w:rStyle w:val="term1"/>
          <w:b w:val="0"/>
        </w:rPr>
        <w:t>shift</w:t>
      </w:r>
      <w:r w:rsidRPr="008F16A1">
        <w:t xml:space="preserve"> back and forth during a proceeding, the </w:t>
      </w:r>
      <w:r w:rsidRPr="00C60CEB">
        <w:rPr>
          <w:rStyle w:val="term1"/>
          <w:b w:val="0"/>
        </w:rPr>
        <w:t>burden of proof</w:t>
      </w:r>
      <w:r w:rsidRPr="008F16A1">
        <w:t xml:space="preserve"> never </w:t>
      </w:r>
      <w:r w:rsidRPr="00C60CEB">
        <w:rPr>
          <w:rStyle w:val="term1"/>
          <w:b w:val="0"/>
        </w:rPr>
        <w:t>shifts.</w:t>
      </w:r>
      <w:r w:rsidRPr="008F16A1">
        <w:rPr>
          <w:rStyle w:val="term1"/>
        </w:rPr>
        <w:t xml:space="preserve"> </w:t>
      </w:r>
      <w:r>
        <w:rPr>
          <w:rStyle w:val="term1"/>
        </w:rPr>
        <w:t xml:space="preserve"> </w:t>
      </w:r>
      <w:r w:rsidRPr="00C60CEB">
        <w:rPr>
          <w:rStyle w:val="term1"/>
          <w:b w:val="0"/>
        </w:rPr>
        <w:t>The burden of proof</w:t>
      </w:r>
      <w:r w:rsidRPr="008F16A1">
        <w:t xml:space="preserve"> always remains on the party seeking affirmative relief from the Commission.</w:t>
      </w:r>
      <w:r>
        <w:t xml:space="preserve"> </w:t>
      </w:r>
      <w:r w:rsidRPr="008F16A1">
        <w:t xml:space="preserve"> </w:t>
      </w:r>
      <w:r>
        <w:rPr>
          <w:i/>
        </w:rPr>
        <w:t xml:space="preserve">Milkie v. Pa. PUC, </w:t>
      </w:r>
      <w:r>
        <w:t>768 A.2d 1217 (Pa. Cmwlth. 2001).</w:t>
      </w:r>
    </w:p>
    <w:p w:rsidR="00B817ED" w:rsidRDefault="00B817ED" w:rsidP="00E9240A">
      <w:pPr>
        <w:rPr>
          <w:b/>
          <w:szCs w:val="26"/>
        </w:rPr>
      </w:pPr>
    </w:p>
    <w:p w:rsidR="00EF65CB" w:rsidRPr="00EF65CB" w:rsidRDefault="00333336" w:rsidP="00E9240A">
      <w:pPr>
        <w:rPr>
          <w:szCs w:val="26"/>
        </w:rPr>
      </w:pPr>
      <w:r>
        <w:rPr>
          <w:b/>
          <w:szCs w:val="26"/>
        </w:rPr>
        <w:t>ALJ</w:t>
      </w:r>
      <w:r w:rsidR="005D5DCA">
        <w:rPr>
          <w:b/>
          <w:szCs w:val="26"/>
        </w:rPr>
        <w:t>’s</w:t>
      </w:r>
      <w:r>
        <w:rPr>
          <w:b/>
          <w:szCs w:val="26"/>
        </w:rPr>
        <w:t xml:space="preserve"> Supplemental Initial Decision</w:t>
      </w:r>
    </w:p>
    <w:p w:rsidR="00AE4A1D" w:rsidRDefault="00AE4A1D" w:rsidP="00E9240A">
      <w:pPr>
        <w:ind w:firstLine="1440"/>
        <w:rPr>
          <w:szCs w:val="26"/>
        </w:rPr>
      </w:pPr>
    </w:p>
    <w:p w:rsidR="00E9240A" w:rsidRDefault="00FF01EA" w:rsidP="00E9240A">
      <w:pPr>
        <w:ind w:firstLine="1440"/>
        <w:rPr>
          <w:szCs w:val="26"/>
        </w:rPr>
      </w:pPr>
      <w:r>
        <w:rPr>
          <w:szCs w:val="26"/>
        </w:rPr>
        <w:t xml:space="preserve">In </w:t>
      </w:r>
      <w:r w:rsidR="00632B5F">
        <w:rPr>
          <w:szCs w:val="26"/>
        </w:rPr>
        <w:t>the</w:t>
      </w:r>
      <w:r>
        <w:rPr>
          <w:szCs w:val="26"/>
        </w:rPr>
        <w:t xml:space="preserve"> proceedings upon remand, o</w:t>
      </w:r>
      <w:r w:rsidR="00E9240A" w:rsidRPr="00B23C70">
        <w:rPr>
          <w:szCs w:val="26"/>
        </w:rPr>
        <w:t xml:space="preserve">n April 20, 2015, PECO filed a letter with the Commission </w:t>
      </w:r>
      <w:r w:rsidR="00E9240A">
        <w:rPr>
          <w:szCs w:val="26"/>
        </w:rPr>
        <w:t xml:space="preserve">that was responsive to </w:t>
      </w:r>
      <w:r>
        <w:rPr>
          <w:szCs w:val="26"/>
        </w:rPr>
        <w:t>the</w:t>
      </w:r>
      <w:r w:rsidR="00E9240A">
        <w:rPr>
          <w:szCs w:val="26"/>
        </w:rPr>
        <w:t xml:space="preserve"> </w:t>
      </w:r>
      <w:r w:rsidR="00E9240A">
        <w:rPr>
          <w:i/>
          <w:szCs w:val="26"/>
        </w:rPr>
        <w:t>April 2015 Order</w:t>
      </w:r>
      <w:r w:rsidR="001C6209">
        <w:rPr>
          <w:szCs w:val="26"/>
        </w:rPr>
        <w:t xml:space="preserve">.  </w:t>
      </w:r>
      <w:r w:rsidR="00DB0BC3">
        <w:rPr>
          <w:szCs w:val="26"/>
        </w:rPr>
        <w:t xml:space="preserve"> </w:t>
      </w:r>
      <w:r w:rsidR="001C6209">
        <w:rPr>
          <w:szCs w:val="26"/>
        </w:rPr>
        <w:t>In the letter, PECO</w:t>
      </w:r>
      <w:r w:rsidR="00E9240A">
        <w:rPr>
          <w:szCs w:val="26"/>
        </w:rPr>
        <w:t xml:space="preserve"> represented that it did not have any </w:t>
      </w:r>
      <w:r w:rsidR="00E9240A" w:rsidRPr="00B23C70">
        <w:rPr>
          <w:szCs w:val="26"/>
        </w:rPr>
        <w:t>objection</w:t>
      </w:r>
      <w:r w:rsidR="00333336">
        <w:rPr>
          <w:szCs w:val="26"/>
        </w:rPr>
        <w:t>s</w:t>
      </w:r>
      <w:r w:rsidR="00E9240A" w:rsidRPr="00B23C70">
        <w:rPr>
          <w:szCs w:val="26"/>
        </w:rPr>
        <w:t xml:space="preserve"> to the Complainant’s late-filed </w:t>
      </w:r>
      <w:r w:rsidR="00333336">
        <w:rPr>
          <w:szCs w:val="26"/>
        </w:rPr>
        <w:t>E</w:t>
      </w:r>
      <w:r w:rsidR="00E9240A" w:rsidRPr="00B23C70">
        <w:rPr>
          <w:szCs w:val="26"/>
        </w:rPr>
        <w:t xml:space="preserve">xhibits </w:t>
      </w:r>
      <w:r w:rsidR="00E9240A" w:rsidRPr="00B23C70">
        <w:rPr>
          <w:szCs w:val="26"/>
        </w:rPr>
        <w:lastRenderedPageBreak/>
        <w:t xml:space="preserve">and </w:t>
      </w:r>
      <w:r w:rsidR="00E9240A">
        <w:rPr>
          <w:szCs w:val="26"/>
        </w:rPr>
        <w:t xml:space="preserve">that </w:t>
      </w:r>
      <w:r w:rsidR="00E9240A" w:rsidRPr="00B23C70">
        <w:rPr>
          <w:szCs w:val="26"/>
        </w:rPr>
        <w:t xml:space="preserve">a further hearing </w:t>
      </w:r>
      <w:r w:rsidR="00E9240A">
        <w:rPr>
          <w:szCs w:val="26"/>
        </w:rPr>
        <w:t>would</w:t>
      </w:r>
      <w:r w:rsidR="00E9240A" w:rsidRPr="00B23C70">
        <w:rPr>
          <w:szCs w:val="26"/>
        </w:rPr>
        <w:t xml:space="preserve"> not </w:t>
      </w:r>
      <w:r w:rsidR="00E9240A">
        <w:rPr>
          <w:szCs w:val="26"/>
        </w:rPr>
        <w:t xml:space="preserve">be </w:t>
      </w:r>
      <w:r w:rsidR="00E9240A" w:rsidRPr="00B23C70">
        <w:rPr>
          <w:szCs w:val="26"/>
        </w:rPr>
        <w:t>required to cross-examin</w:t>
      </w:r>
      <w:r w:rsidR="00E9240A">
        <w:rPr>
          <w:szCs w:val="26"/>
        </w:rPr>
        <w:t>e</w:t>
      </w:r>
      <w:r w:rsidR="00E9240A" w:rsidRPr="00B23C70">
        <w:rPr>
          <w:szCs w:val="26"/>
        </w:rPr>
        <w:t xml:space="preserve"> </w:t>
      </w:r>
      <w:r w:rsidR="00E9240A">
        <w:rPr>
          <w:szCs w:val="26"/>
        </w:rPr>
        <w:t xml:space="preserve">the </w:t>
      </w:r>
      <w:r w:rsidR="00E9240A" w:rsidRPr="00B23C70">
        <w:rPr>
          <w:szCs w:val="26"/>
        </w:rPr>
        <w:t>Complainant regarding the</w:t>
      </w:r>
      <w:r>
        <w:rPr>
          <w:szCs w:val="26"/>
        </w:rPr>
        <w:t>se</w:t>
      </w:r>
      <w:r w:rsidR="00E9240A" w:rsidRPr="00B23C70">
        <w:rPr>
          <w:szCs w:val="26"/>
        </w:rPr>
        <w:t xml:space="preserve"> exhibits.</w:t>
      </w:r>
      <w:r w:rsidR="00E9240A">
        <w:rPr>
          <w:szCs w:val="26"/>
        </w:rPr>
        <w:t xml:space="preserve">  </w:t>
      </w:r>
      <w:r w:rsidR="00E9240A">
        <w:rPr>
          <w:i/>
          <w:szCs w:val="26"/>
        </w:rPr>
        <w:t xml:space="preserve">See </w:t>
      </w:r>
      <w:r w:rsidR="00E9240A">
        <w:rPr>
          <w:szCs w:val="26"/>
        </w:rPr>
        <w:t xml:space="preserve">Supp. I.D. at 4.  </w:t>
      </w:r>
    </w:p>
    <w:p w:rsidR="002E4642" w:rsidRDefault="002E4642" w:rsidP="001C6209">
      <w:pPr>
        <w:rPr>
          <w:szCs w:val="26"/>
        </w:rPr>
      </w:pPr>
    </w:p>
    <w:p w:rsidR="0070748A" w:rsidRDefault="0070748A" w:rsidP="0070748A">
      <w:pPr>
        <w:ind w:firstLine="1440"/>
        <w:rPr>
          <w:szCs w:val="26"/>
        </w:rPr>
      </w:pPr>
      <w:r>
        <w:rPr>
          <w:szCs w:val="26"/>
        </w:rPr>
        <w:t>In the Supplemental Initial Decision, ALJ Dunderdale, after consideration of the record and the positions of the Parties,</w:t>
      </w:r>
      <w:r w:rsidRPr="003739E7">
        <w:rPr>
          <w:szCs w:val="26"/>
        </w:rPr>
        <w:t xml:space="preserve"> sustain</w:t>
      </w:r>
      <w:r>
        <w:rPr>
          <w:szCs w:val="26"/>
        </w:rPr>
        <w:t>ed</w:t>
      </w:r>
      <w:r w:rsidRPr="003739E7">
        <w:rPr>
          <w:szCs w:val="26"/>
        </w:rPr>
        <w:t xml:space="preserve"> the </w:t>
      </w:r>
      <w:r>
        <w:rPr>
          <w:szCs w:val="26"/>
        </w:rPr>
        <w:t>C</w:t>
      </w:r>
      <w:r w:rsidRPr="003739E7">
        <w:rPr>
          <w:szCs w:val="26"/>
        </w:rPr>
        <w:t>omplaint</w:t>
      </w:r>
      <w:r>
        <w:rPr>
          <w:szCs w:val="26"/>
        </w:rPr>
        <w:t xml:space="preserve"> of Ms. Hallman.  The presiding ALJ concluded that the Complainant met her burden of proving that she was not responsible for the utility service rendered to the Service Address for any period of time.  The pertinent reasoning is reprinted below:</w:t>
      </w:r>
    </w:p>
    <w:p w:rsidR="0070748A" w:rsidRDefault="0070748A" w:rsidP="0070748A">
      <w:pPr>
        <w:ind w:firstLine="1440"/>
        <w:rPr>
          <w:szCs w:val="26"/>
        </w:rPr>
      </w:pPr>
    </w:p>
    <w:p w:rsidR="0070748A" w:rsidRPr="00CE3D8D" w:rsidRDefault="0070748A" w:rsidP="0070748A">
      <w:pPr>
        <w:spacing w:line="240" w:lineRule="auto"/>
        <w:ind w:left="1440" w:right="1440" w:firstLine="1440"/>
        <w:rPr>
          <w:szCs w:val="26"/>
        </w:rPr>
      </w:pPr>
      <w:r w:rsidRPr="00CE3D8D">
        <w:rPr>
          <w:szCs w:val="26"/>
        </w:rPr>
        <w:t xml:space="preserve">The evidence provided in this proceeding consisted of Complainant’s credible testimony that she lived with her parents since 2006.  Most importantly, Complainant’s Exhibit 1 shows leases which reflect Complainant resided with her parents from at least 2008 and, having presented that exhibit, Respondent needed to provide contrary evidence that would outweigh the strength of the evidence in the leases Complainant provided.  Respondent could have provided the testimony of the landlords or Respondent could have provided a copy of the lease which PECO alleged showed Complainant’s signature on a lease for the service address and which PECO used as justification for its continued insistence that Complainant resided at the service address until 2013.  </w:t>
      </w:r>
    </w:p>
    <w:p w:rsidR="0070748A" w:rsidRPr="00CE3D8D" w:rsidRDefault="0070748A" w:rsidP="0070748A">
      <w:pPr>
        <w:spacing w:line="240" w:lineRule="auto"/>
        <w:ind w:left="1440" w:right="1440" w:firstLine="1440"/>
        <w:rPr>
          <w:szCs w:val="26"/>
        </w:rPr>
      </w:pPr>
    </w:p>
    <w:p w:rsidR="0070748A" w:rsidRPr="00CE3D8D" w:rsidRDefault="0070748A" w:rsidP="0070748A">
      <w:pPr>
        <w:spacing w:line="240" w:lineRule="auto"/>
        <w:ind w:left="1440" w:right="1440" w:firstLine="1440"/>
        <w:rPr>
          <w:szCs w:val="26"/>
        </w:rPr>
      </w:pPr>
      <w:r w:rsidRPr="00CE3D8D">
        <w:rPr>
          <w:szCs w:val="26"/>
        </w:rPr>
        <w:t xml:space="preserve">The formal complaint clearly shows Complainant contested PECO’s insistence it had evidence showing she lived at the service address.  Consequently, PECO was on notice evidence would be needed to contradict Complainant’s allegations.  None of the evidence provided by PECO showed Complainant’s signature or anything which would tie Complainant to the service address.  No evidence PECO provided at the hearing showed Complainant benefitted personally from the provision of electric and natural gas service by PECO as either the ratepayer of record or as an adult occupant.  The extent of PECO’s contradictory evidence is mere hearsay, consisting primarily of statements made to PECO’s call center or to BCS from the landlords and </w:t>
      </w:r>
      <w:r w:rsidRPr="00CE3D8D">
        <w:rPr>
          <w:szCs w:val="26"/>
        </w:rPr>
        <w:lastRenderedPageBreak/>
        <w:t>statements made by a female individual calling into PECO’s call center, alleging the caller was Complainant.</w:t>
      </w:r>
    </w:p>
    <w:p w:rsidR="0070748A" w:rsidRPr="00CE3D8D" w:rsidRDefault="0070748A" w:rsidP="0070748A">
      <w:pPr>
        <w:spacing w:line="240" w:lineRule="auto"/>
        <w:ind w:left="1440" w:right="1440" w:firstLine="1440"/>
        <w:rPr>
          <w:szCs w:val="26"/>
        </w:rPr>
      </w:pPr>
    </w:p>
    <w:p w:rsidR="0070748A" w:rsidRPr="00CE3D8D" w:rsidRDefault="0070748A" w:rsidP="0070748A">
      <w:pPr>
        <w:spacing w:line="240" w:lineRule="auto"/>
        <w:ind w:left="1440" w:right="1440" w:firstLine="1440"/>
        <w:rPr>
          <w:szCs w:val="26"/>
        </w:rPr>
      </w:pPr>
      <w:r w:rsidRPr="00CE3D8D">
        <w:rPr>
          <w:szCs w:val="26"/>
        </w:rPr>
        <w:t xml:space="preserve">The evidence proves PECO was in error to hold Complainant responsible for utility services provided at the service address.  In addition, PECO was in error to file negative reports with the credit reporting agencies, averring Complainant owes over $1,800 in unpaid and uncollected debt.  Complainant met her burden of proof in this proceeding pursuant to 66 Pa.C.S.A. § 332(a).  </w:t>
      </w:r>
    </w:p>
    <w:p w:rsidR="0070748A" w:rsidRPr="00CE3D8D" w:rsidRDefault="0070748A" w:rsidP="0070748A">
      <w:pPr>
        <w:spacing w:line="240" w:lineRule="auto"/>
        <w:ind w:left="1440" w:right="1440" w:firstLine="1440"/>
        <w:rPr>
          <w:szCs w:val="26"/>
        </w:rPr>
      </w:pPr>
    </w:p>
    <w:p w:rsidR="0070748A" w:rsidRPr="00CE3D8D" w:rsidRDefault="0070748A" w:rsidP="0070748A">
      <w:pPr>
        <w:spacing w:line="240" w:lineRule="auto"/>
        <w:ind w:left="1440" w:right="1440" w:firstLine="1440"/>
        <w:rPr>
          <w:szCs w:val="26"/>
        </w:rPr>
      </w:pPr>
      <w:r w:rsidRPr="00CE3D8D">
        <w:rPr>
          <w:szCs w:val="26"/>
        </w:rPr>
        <w:t>In the ordering paragraphs to follow, the formal complaint is sustained because Respondent, as a public utility, is charged with providing “adequate, efficient, safe, and reasonable service” to its ratepayers.  In this proceeding, PECO failed to provide reasonable and adequate customer service when it failed to use reliable evidence that Complainant lived at the service address before opening an account in her name.  PECO was also in error to file a negative report against Complainant with the credit reporting agencies.  Accordingly, PECO will be required to remove all negative reports concerning the unpaid balance for the service address.  Furthermore, a civil penalty is appropriate and will be discussed below.</w:t>
      </w:r>
    </w:p>
    <w:p w:rsidR="0070748A" w:rsidRPr="003739E7" w:rsidRDefault="0070748A" w:rsidP="0070748A">
      <w:pPr>
        <w:spacing w:line="240" w:lineRule="auto"/>
        <w:rPr>
          <w:szCs w:val="26"/>
        </w:rPr>
      </w:pPr>
      <w:r>
        <w:rPr>
          <w:szCs w:val="26"/>
        </w:rPr>
        <w:t xml:space="preserve">   </w:t>
      </w:r>
    </w:p>
    <w:p w:rsidR="0070748A" w:rsidRDefault="0070748A" w:rsidP="00222029">
      <w:pPr>
        <w:spacing w:line="240" w:lineRule="auto"/>
        <w:ind w:firstLine="1440"/>
        <w:rPr>
          <w:szCs w:val="26"/>
        </w:rPr>
      </w:pPr>
    </w:p>
    <w:p w:rsidR="0070748A" w:rsidRDefault="0070748A" w:rsidP="0070748A">
      <w:pPr>
        <w:rPr>
          <w:szCs w:val="26"/>
        </w:rPr>
      </w:pPr>
      <w:r>
        <w:rPr>
          <w:szCs w:val="26"/>
        </w:rPr>
        <w:t>Supp. I.D. at 13-14 (notes omitted).</w:t>
      </w:r>
    </w:p>
    <w:p w:rsidR="0070748A" w:rsidRDefault="0070748A" w:rsidP="0070748A">
      <w:pPr>
        <w:rPr>
          <w:szCs w:val="26"/>
        </w:rPr>
      </w:pPr>
    </w:p>
    <w:p w:rsidR="0070748A" w:rsidRPr="007D4DBD" w:rsidRDefault="0070748A" w:rsidP="0070748A">
      <w:pPr>
        <w:ind w:firstLine="1440"/>
        <w:rPr>
          <w:szCs w:val="26"/>
        </w:rPr>
      </w:pPr>
      <w:r>
        <w:rPr>
          <w:szCs w:val="26"/>
        </w:rPr>
        <w:t xml:space="preserve">The ALJ, after applying the criteria of the </w:t>
      </w:r>
      <w:r w:rsidRPr="003739E7">
        <w:rPr>
          <w:szCs w:val="26"/>
        </w:rPr>
        <w:t>Commission’s Policy Statement</w:t>
      </w:r>
      <w:r>
        <w:rPr>
          <w:szCs w:val="26"/>
        </w:rPr>
        <w:t xml:space="preserve"> </w:t>
      </w:r>
      <w:r w:rsidRPr="003739E7">
        <w:rPr>
          <w:szCs w:val="26"/>
        </w:rPr>
        <w:t>published at 52 Pa.</w:t>
      </w:r>
      <w:r>
        <w:rPr>
          <w:szCs w:val="26"/>
        </w:rPr>
        <w:t xml:space="preserve"> </w:t>
      </w:r>
      <w:r w:rsidRPr="003739E7">
        <w:rPr>
          <w:szCs w:val="26"/>
        </w:rPr>
        <w:t>Code § 69.1201</w:t>
      </w:r>
      <w:r>
        <w:rPr>
          <w:szCs w:val="26"/>
        </w:rPr>
        <w:t xml:space="preserve"> (first</w:t>
      </w:r>
      <w:r w:rsidRPr="003739E7">
        <w:rPr>
          <w:szCs w:val="26"/>
        </w:rPr>
        <w:t xml:space="preserve"> articulated in </w:t>
      </w:r>
      <w:r w:rsidRPr="007D4DBD">
        <w:rPr>
          <w:i/>
          <w:szCs w:val="26"/>
        </w:rPr>
        <w:t>Joseph A. Rosi v. Bell Atlantic-Pa., Inc. and Sprint Communica</w:t>
      </w:r>
      <w:r w:rsidRPr="007D4DBD">
        <w:rPr>
          <w:i/>
          <w:szCs w:val="26"/>
        </w:rPr>
        <w:softHyphen/>
        <w:t>tions Company,</w:t>
      </w:r>
      <w:r w:rsidRPr="003739E7">
        <w:rPr>
          <w:szCs w:val="26"/>
        </w:rPr>
        <w:t xml:space="preserve"> Docket No. C</w:t>
      </w:r>
      <w:r w:rsidRPr="003739E7">
        <w:rPr>
          <w:szCs w:val="26"/>
        </w:rPr>
        <w:noBreakHyphen/>
        <w:t>00992409 (Order entered February 10, 2000) (</w:t>
      </w:r>
      <w:r w:rsidRPr="007D4DBD">
        <w:rPr>
          <w:i/>
          <w:szCs w:val="26"/>
        </w:rPr>
        <w:t>Rosi</w:t>
      </w:r>
      <w:r w:rsidRPr="003739E7">
        <w:rPr>
          <w:szCs w:val="26"/>
        </w:rPr>
        <w:t>)</w:t>
      </w:r>
      <w:r>
        <w:rPr>
          <w:szCs w:val="26"/>
        </w:rPr>
        <w:t>),</w:t>
      </w:r>
      <w:r w:rsidRPr="003739E7">
        <w:rPr>
          <w:szCs w:val="26"/>
        </w:rPr>
        <w:t xml:space="preserve"> </w:t>
      </w:r>
      <w:r>
        <w:rPr>
          <w:szCs w:val="26"/>
        </w:rPr>
        <w:t xml:space="preserve">recommended the imposition of a civil penalty against PECO in the amount of one thousand dollars ($1,000) for a violation of Section 1501 of the Code.  Supp. I.D. at 17-18; Conclusion of Law #5; Ordering Paragraph #2.  </w:t>
      </w:r>
      <w:r>
        <w:rPr>
          <w:i/>
          <w:szCs w:val="26"/>
        </w:rPr>
        <w:t xml:space="preserve">See </w:t>
      </w:r>
      <w:r>
        <w:rPr>
          <w:szCs w:val="26"/>
        </w:rPr>
        <w:t xml:space="preserve">66 Pa. C.S. § 3301. </w:t>
      </w:r>
    </w:p>
    <w:p w:rsidR="0070748A" w:rsidRDefault="0070748A" w:rsidP="001C6209">
      <w:pPr>
        <w:rPr>
          <w:szCs w:val="26"/>
        </w:rPr>
      </w:pPr>
    </w:p>
    <w:p w:rsidR="0070748A" w:rsidRDefault="0070748A" w:rsidP="001C6209">
      <w:pPr>
        <w:rPr>
          <w:szCs w:val="26"/>
        </w:rPr>
      </w:pPr>
    </w:p>
    <w:p w:rsidR="00AE4A1D" w:rsidRDefault="00AE4A1D" w:rsidP="00222029">
      <w:pPr>
        <w:rPr>
          <w:b/>
          <w:szCs w:val="26"/>
        </w:rPr>
      </w:pPr>
      <w:r w:rsidRPr="00AE4A1D">
        <w:rPr>
          <w:b/>
          <w:szCs w:val="26"/>
        </w:rPr>
        <w:lastRenderedPageBreak/>
        <w:t>Proposed Stipulation Agreement</w:t>
      </w:r>
    </w:p>
    <w:p w:rsidR="00AE4A1D" w:rsidRPr="00AE4A1D" w:rsidRDefault="00AE4A1D" w:rsidP="001C6209">
      <w:pPr>
        <w:rPr>
          <w:b/>
          <w:szCs w:val="26"/>
        </w:rPr>
      </w:pPr>
    </w:p>
    <w:p w:rsidR="00E9240A" w:rsidRDefault="00E9240A" w:rsidP="00E9240A">
      <w:pPr>
        <w:ind w:firstLine="1440"/>
        <w:rPr>
          <w:szCs w:val="26"/>
        </w:rPr>
      </w:pPr>
      <w:r w:rsidRPr="00E9240A">
        <w:rPr>
          <w:szCs w:val="26"/>
        </w:rPr>
        <w:t xml:space="preserve">In addition to </w:t>
      </w:r>
      <w:r w:rsidR="000F06BA">
        <w:rPr>
          <w:szCs w:val="26"/>
        </w:rPr>
        <w:t>r</w:t>
      </w:r>
      <w:r w:rsidRPr="00E9240A">
        <w:rPr>
          <w:szCs w:val="26"/>
        </w:rPr>
        <w:t>espon</w:t>
      </w:r>
      <w:r w:rsidR="000F06BA">
        <w:rPr>
          <w:szCs w:val="26"/>
        </w:rPr>
        <w:t>ding</w:t>
      </w:r>
      <w:r w:rsidRPr="00E9240A">
        <w:rPr>
          <w:szCs w:val="26"/>
        </w:rPr>
        <w:t xml:space="preserve"> </w:t>
      </w:r>
      <w:r w:rsidR="000F06BA">
        <w:rPr>
          <w:szCs w:val="26"/>
        </w:rPr>
        <w:t>to</w:t>
      </w:r>
      <w:r w:rsidRPr="00E9240A">
        <w:rPr>
          <w:szCs w:val="26"/>
        </w:rPr>
        <w:t xml:space="preserve"> </w:t>
      </w:r>
      <w:r w:rsidR="008F03F7">
        <w:rPr>
          <w:szCs w:val="26"/>
        </w:rPr>
        <w:t xml:space="preserve">the </w:t>
      </w:r>
      <w:r w:rsidR="0094347C">
        <w:rPr>
          <w:i/>
          <w:szCs w:val="26"/>
        </w:rPr>
        <w:t xml:space="preserve">April 2015 Order’s </w:t>
      </w:r>
      <w:r w:rsidR="0094347C">
        <w:rPr>
          <w:szCs w:val="26"/>
        </w:rPr>
        <w:t xml:space="preserve">directives regarding </w:t>
      </w:r>
      <w:r w:rsidR="003B0F1D">
        <w:rPr>
          <w:szCs w:val="26"/>
        </w:rPr>
        <w:t xml:space="preserve">PECO’s position </w:t>
      </w:r>
      <w:r w:rsidR="00766DDC">
        <w:rPr>
          <w:szCs w:val="26"/>
        </w:rPr>
        <w:t>on the</w:t>
      </w:r>
      <w:r w:rsidRPr="00E9240A">
        <w:rPr>
          <w:szCs w:val="26"/>
        </w:rPr>
        <w:t xml:space="preserve"> </w:t>
      </w:r>
      <w:r w:rsidR="000F06BA">
        <w:rPr>
          <w:szCs w:val="26"/>
        </w:rPr>
        <w:t xml:space="preserve">inclusion of the </w:t>
      </w:r>
      <w:r w:rsidRPr="00E9240A">
        <w:rPr>
          <w:szCs w:val="26"/>
        </w:rPr>
        <w:t>late-filed Complainant Exhibits</w:t>
      </w:r>
      <w:r w:rsidR="000F06BA">
        <w:rPr>
          <w:szCs w:val="26"/>
        </w:rPr>
        <w:t xml:space="preserve"> as part of the record</w:t>
      </w:r>
      <w:r w:rsidRPr="00E9240A">
        <w:rPr>
          <w:szCs w:val="26"/>
        </w:rPr>
        <w:t xml:space="preserve">, </w:t>
      </w:r>
      <w:r w:rsidR="001C6209">
        <w:rPr>
          <w:szCs w:val="26"/>
        </w:rPr>
        <w:t xml:space="preserve">PECO, </w:t>
      </w:r>
      <w:r w:rsidRPr="00E9240A">
        <w:rPr>
          <w:szCs w:val="26"/>
        </w:rPr>
        <w:t xml:space="preserve">on </w:t>
      </w:r>
      <w:r w:rsidR="001C6209">
        <w:rPr>
          <w:szCs w:val="26"/>
        </w:rPr>
        <w:t>A</w:t>
      </w:r>
      <w:r w:rsidRPr="00E9240A">
        <w:rPr>
          <w:szCs w:val="26"/>
        </w:rPr>
        <w:t>pril 21, 2015,</w:t>
      </w:r>
      <w:r w:rsidR="001C6209">
        <w:rPr>
          <w:szCs w:val="26"/>
        </w:rPr>
        <w:t xml:space="preserve"> </w:t>
      </w:r>
      <w:r w:rsidR="00512DBD">
        <w:rPr>
          <w:szCs w:val="26"/>
        </w:rPr>
        <w:t xml:space="preserve">separately </w:t>
      </w:r>
      <w:r w:rsidR="001C6209">
        <w:rPr>
          <w:szCs w:val="26"/>
        </w:rPr>
        <w:t>fi</w:t>
      </w:r>
      <w:r w:rsidRPr="00E9240A">
        <w:rPr>
          <w:szCs w:val="26"/>
        </w:rPr>
        <w:t xml:space="preserve">led a document entitled </w:t>
      </w:r>
      <w:r w:rsidR="001C6209">
        <w:rPr>
          <w:szCs w:val="26"/>
        </w:rPr>
        <w:t>“Stipulation of Agreement”</w:t>
      </w:r>
      <w:r w:rsidR="003B0F1D">
        <w:rPr>
          <w:szCs w:val="26"/>
        </w:rPr>
        <w:t xml:space="preserve"> (Stipulation).</w:t>
      </w:r>
      <w:r w:rsidR="0094347C">
        <w:rPr>
          <w:szCs w:val="26"/>
        </w:rPr>
        <w:t xml:space="preserve">  The Stipulation</w:t>
      </w:r>
      <w:r w:rsidR="005A498E">
        <w:rPr>
          <w:szCs w:val="26"/>
        </w:rPr>
        <w:t xml:space="preserve"> </w:t>
      </w:r>
      <w:r w:rsidR="0094347C">
        <w:rPr>
          <w:szCs w:val="26"/>
        </w:rPr>
        <w:t>was</w:t>
      </w:r>
      <w:r w:rsidR="001C6209">
        <w:rPr>
          <w:szCs w:val="26"/>
        </w:rPr>
        <w:t xml:space="preserve"> </w:t>
      </w:r>
      <w:r w:rsidRPr="00E9240A">
        <w:rPr>
          <w:szCs w:val="26"/>
        </w:rPr>
        <w:t>signed by PECO and Complainant</w:t>
      </w:r>
      <w:r w:rsidR="00766DDC">
        <w:rPr>
          <w:szCs w:val="26"/>
        </w:rPr>
        <w:t>.  The Stipulation was proffered to the presiding officer and sought for her consideration,</w:t>
      </w:r>
      <w:r w:rsidR="0094347C">
        <w:rPr>
          <w:szCs w:val="26"/>
        </w:rPr>
        <w:t xml:space="preserve"> </w:t>
      </w:r>
      <w:r w:rsidR="000F06BA">
        <w:rPr>
          <w:szCs w:val="26"/>
        </w:rPr>
        <w:t>four propositions</w:t>
      </w:r>
      <w:r w:rsidR="005A498E">
        <w:rPr>
          <w:szCs w:val="26"/>
        </w:rPr>
        <w:t>.</w:t>
      </w:r>
      <w:r w:rsidRPr="00E9240A">
        <w:rPr>
          <w:szCs w:val="26"/>
        </w:rPr>
        <w:t xml:space="preserve"> </w:t>
      </w:r>
      <w:r w:rsidR="005A498E">
        <w:rPr>
          <w:szCs w:val="26"/>
        </w:rPr>
        <w:t xml:space="preserve"> </w:t>
      </w:r>
      <w:r w:rsidR="000F06BA">
        <w:rPr>
          <w:szCs w:val="26"/>
        </w:rPr>
        <w:t xml:space="preserve">PECO </w:t>
      </w:r>
      <w:r w:rsidRPr="00E9240A">
        <w:rPr>
          <w:szCs w:val="26"/>
        </w:rPr>
        <w:t>request</w:t>
      </w:r>
      <w:r w:rsidR="000F06BA">
        <w:rPr>
          <w:szCs w:val="26"/>
        </w:rPr>
        <w:t>ed</w:t>
      </w:r>
      <w:r w:rsidR="005A498E">
        <w:rPr>
          <w:szCs w:val="26"/>
        </w:rPr>
        <w:t xml:space="preserve"> that </w:t>
      </w:r>
      <w:r w:rsidR="00632B5F">
        <w:rPr>
          <w:szCs w:val="26"/>
        </w:rPr>
        <w:t xml:space="preserve">the </w:t>
      </w:r>
      <w:r w:rsidR="003B0F1D">
        <w:rPr>
          <w:szCs w:val="26"/>
        </w:rPr>
        <w:t>propos</w:t>
      </w:r>
      <w:r w:rsidR="00766DDC">
        <w:rPr>
          <w:szCs w:val="26"/>
        </w:rPr>
        <w:t>als</w:t>
      </w:r>
      <w:r w:rsidR="003B0F1D">
        <w:rPr>
          <w:szCs w:val="26"/>
        </w:rPr>
        <w:t xml:space="preserve"> agreed to </w:t>
      </w:r>
      <w:r w:rsidR="005A498E">
        <w:rPr>
          <w:szCs w:val="26"/>
        </w:rPr>
        <w:t xml:space="preserve">in the Stipulation </w:t>
      </w:r>
      <w:r w:rsidR="0094347C">
        <w:rPr>
          <w:szCs w:val="26"/>
        </w:rPr>
        <w:t>be included in the record</w:t>
      </w:r>
      <w:r w:rsidR="00182AE9">
        <w:rPr>
          <w:szCs w:val="26"/>
        </w:rPr>
        <w:t xml:space="preserve"> and</w:t>
      </w:r>
      <w:r w:rsidR="0094347C">
        <w:rPr>
          <w:szCs w:val="26"/>
        </w:rPr>
        <w:t xml:space="preserve"> </w:t>
      </w:r>
      <w:r w:rsidR="000F06BA">
        <w:rPr>
          <w:szCs w:val="26"/>
        </w:rPr>
        <w:t xml:space="preserve">that </w:t>
      </w:r>
      <w:r w:rsidRPr="00E9240A">
        <w:rPr>
          <w:szCs w:val="26"/>
        </w:rPr>
        <w:t>a hearing be scheduled for th</w:t>
      </w:r>
      <w:r w:rsidR="00182AE9">
        <w:rPr>
          <w:szCs w:val="26"/>
        </w:rPr>
        <w:t>is</w:t>
      </w:r>
      <w:r w:rsidRPr="00E9240A">
        <w:rPr>
          <w:szCs w:val="26"/>
        </w:rPr>
        <w:t xml:space="preserve"> purpose</w:t>
      </w:r>
      <w:r w:rsidR="00182AE9">
        <w:rPr>
          <w:szCs w:val="26"/>
        </w:rPr>
        <w:t>.</w:t>
      </w:r>
      <w:r w:rsidR="001C6209">
        <w:rPr>
          <w:szCs w:val="26"/>
        </w:rPr>
        <w:t xml:space="preserve">  </w:t>
      </w:r>
      <w:r w:rsidR="001C6209">
        <w:rPr>
          <w:i/>
          <w:szCs w:val="26"/>
        </w:rPr>
        <w:t xml:space="preserve">See </w:t>
      </w:r>
      <w:r w:rsidR="001C6209">
        <w:rPr>
          <w:szCs w:val="26"/>
        </w:rPr>
        <w:t>Supp. I.D. at 4.</w:t>
      </w:r>
      <w:r w:rsidR="00EC1B2C">
        <w:rPr>
          <w:szCs w:val="26"/>
        </w:rPr>
        <w:t xml:space="preserve">  The </w:t>
      </w:r>
      <w:r w:rsidR="003B0F1D">
        <w:rPr>
          <w:szCs w:val="26"/>
        </w:rPr>
        <w:t>Stipulation</w:t>
      </w:r>
      <w:r w:rsidR="00EC1B2C">
        <w:rPr>
          <w:szCs w:val="26"/>
        </w:rPr>
        <w:t xml:space="preserve"> consist</w:t>
      </w:r>
      <w:r w:rsidR="000F06BA">
        <w:rPr>
          <w:szCs w:val="26"/>
        </w:rPr>
        <w:t>ed</w:t>
      </w:r>
      <w:r w:rsidR="00EC1B2C">
        <w:rPr>
          <w:szCs w:val="26"/>
        </w:rPr>
        <w:t xml:space="preserve"> of </w:t>
      </w:r>
      <w:r w:rsidR="000F06BA">
        <w:rPr>
          <w:szCs w:val="26"/>
        </w:rPr>
        <w:t xml:space="preserve">the </w:t>
      </w:r>
      <w:r w:rsidR="00DB0BC3">
        <w:rPr>
          <w:szCs w:val="26"/>
        </w:rPr>
        <w:t xml:space="preserve">following </w:t>
      </w:r>
      <w:r w:rsidR="00EC1B2C">
        <w:rPr>
          <w:szCs w:val="26"/>
        </w:rPr>
        <w:t>four sentences:</w:t>
      </w:r>
    </w:p>
    <w:p w:rsidR="000F06BA" w:rsidRDefault="000F06BA" w:rsidP="00E9240A">
      <w:pPr>
        <w:ind w:firstLine="1440"/>
        <w:rPr>
          <w:szCs w:val="26"/>
        </w:rPr>
      </w:pPr>
    </w:p>
    <w:p w:rsidR="00EC1B2C" w:rsidRPr="00EC1B2C" w:rsidRDefault="00EC1B2C" w:rsidP="00EC1B2C">
      <w:pPr>
        <w:spacing w:line="240" w:lineRule="auto"/>
        <w:ind w:left="1440" w:right="1440"/>
        <w:rPr>
          <w:szCs w:val="26"/>
        </w:rPr>
      </w:pPr>
      <w:r w:rsidRPr="00EC1B2C">
        <w:rPr>
          <w:szCs w:val="26"/>
        </w:rPr>
        <w:t xml:space="preserve">1. </w:t>
      </w:r>
      <w:r w:rsidRPr="00EC1B2C">
        <w:rPr>
          <w:szCs w:val="26"/>
        </w:rPr>
        <w:tab/>
        <w:t>Having received and verified the Lease Agreements at Complainant’s late-filed Exhibit “1”, PECO stipulates and agrees that Complainant is not responsible for the balance incurred for service at 133 Carre Avenue, Essington, PA.</w:t>
      </w:r>
    </w:p>
    <w:p w:rsidR="00EC1B2C" w:rsidRPr="00EC1B2C" w:rsidRDefault="00EC1B2C" w:rsidP="00EC1B2C">
      <w:pPr>
        <w:spacing w:line="240" w:lineRule="auto"/>
        <w:ind w:left="1440" w:right="1440"/>
        <w:rPr>
          <w:szCs w:val="26"/>
        </w:rPr>
      </w:pPr>
    </w:p>
    <w:p w:rsidR="00EC1B2C" w:rsidRPr="00EC1B2C" w:rsidRDefault="00EC1B2C" w:rsidP="00EC1B2C">
      <w:pPr>
        <w:spacing w:line="240" w:lineRule="auto"/>
        <w:ind w:left="1440" w:right="1440"/>
        <w:rPr>
          <w:szCs w:val="26"/>
        </w:rPr>
      </w:pPr>
      <w:r w:rsidRPr="00EC1B2C">
        <w:rPr>
          <w:szCs w:val="26"/>
        </w:rPr>
        <w:t xml:space="preserve">2. </w:t>
      </w:r>
      <w:r w:rsidRPr="00EC1B2C">
        <w:rPr>
          <w:szCs w:val="26"/>
        </w:rPr>
        <w:tab/>
        <w:t>Complainant stipulates and agrees that PECO did not report any outstanding balance incurred at 133 Carre Avenue, Essington, PA or negative payment information to the credit reporting agencies and there is no negative credit report information, arising from or related to a PECO balance with the credit reporting agencies.</w:t>
      </w:r>
    </w:p>
    <w:p w:rsidR="00EC1B2C" w:rsidRPr="00EC1B2C" w:rsidRDefault="00EC1B2C" w:rsidP="00EC1B2C">
      <w:pPr>
        <w:spacing w:line="240" w:lineRule="auto"/>
        <w:ind w:left="1440" w:right="1440"/>
        <w:rPr>
          <w:szCs w:val="26"/>
        </w:rPr>
      </w:pPr>
    </w:p>
    <w:p w:rsidR="00EC1B2C" w:rsidRPr="00EC1B2C" w:rsidRDefault="00EC1B2C" w:rsidP="00EC1B2C">
      <w:pPr>
        <w:spacing w:line="240" w:lineRule="auto"/>
        <w:ind w:left="1440" w:right="1440"/>
        <w:rPr>
          <w:szCs w:val="26"/>
        </w:rPr>
      </w:pPr>
      <w:r w:rsidRPr="00EC1B2C">
        <w:rPr>
          <w:szCs w:val="26"/>
        </w:rPr>
        <w:t xml:space="preserve">3. </w:t>
      </w:r>
      <w:r w:rsidRPr="00EC1B2C">
        <w:rPr>
          <w:szCs w:val="26"/>
        </w:rPr>
        <w:tab/>
        <w:t>Complainant stipulates and agrees that PECO provided reasonable customer service arising from her address dispute related to 133 Carre Avenue, Essington, PA.</w:t>
      </w:r>
    </w:p>
    <w:p w:rsidR="00EC1B2C" w:rsidRPr="00EC1B2C" w:rsidRDefault="00EC1B2C" w:rsidP="00EC1B2C">
      <w:pPr>
        <w:spacing w:line="240" w:lineRule="auto"/>
        <w:ind w:left="1440" w:right="1440"/>
        <w:rPr>
          <w:szCs w:val="26"/>
        </w:rPr>
      </w:pPr>
    </w:p>
    <w:p w:rsidR="00EC1B2C" w:rsidRPr="00EC1B2C" w:rsidRDefault="00EC1B2C" w:rsidP="00EC1B2C">
      <w:pPr>
        <w:spacing w:line="240" w:lineRule="auto"/>
        <w:ind w:left="1440" w:right="1440"/>
        <w:rPr>
          <w:szCs w:val="26"/>
        </w:rPr>
      </w:pPr>
      <w:r w:rsidRPr="00EC1B2C">
        <w:rPr>
          <w:szCs w:val="26"/>
        </w:rPr>
        <w:t xml:space="preserve">4. </w:t>
      </w:r>
      <w:r w:rsidRPr="00EC1B2C">
        <w:rPr>
          <w:szCs w:val="26"/>
        </w:rPr>
        <w:tab/>
        <w:t>PECO and the Complainant, jointly request that this matter be scheduled for a hearing to place the Joint Stipulation on the record.</w:t>
      </w:r>
    </w:p>
    <w:p w:rsidR="00EC1B2C" w:rsidRDefault="00EC1B2C" w:rsidP="00EC1B2C">
      <w:pPr>
        <w:spacing w:line="240" w:lineRule="auto"/>
        <w:rPr>
          <w:szCs w:val="26"/>
        </w:rPr>
      </w:pPr>
    </w:p>
    <w:p w:rsidR="00EC1B2C" w:rsidRDefault="00EC1B2C" w:rsidP="00EC1B2C">
      <w:pPr>
        <w:spacing w:line="240" w:lineRule="auto"/>
        <w:rPr>
          <w:szCs w:val="26"/>
        </w:rPr>
      </w:pPr>
    </w:p>
    <w:p w:rsidR="00EC1B2C" w:rsidRPr="00EC1B2C" w:rsidRDefault="00EC1B2C" w:rsidP="00EC1B2C">
      <w:pPr>
        <w:spacing w:line="240" w:lineRule="auto"/>
        <w:rPr>
          <w:szCs w:val="26"/>
        </w:rPr>
      </w:pPr>
      <w:r>
        <w:rPr>
          <w:i/>
          <w:szCs w:val="26"/>
        </w:rPr>
        <w:t xml:space="preserve">See </w:t>
      </w:r>
      <w:r>
        <w:rPr>
          <w:szCs w:val="26"/>
        </w:rPr>
        <w:t>Supp. I.D. at 10.</w:t>
      </w:r>
    </w:p>
    <w:p w:rsidR="00E9240A" w:rsidRPr="00E9240A" w:rsidRDefault="00E9240A" w:rsidP="00E9240A">
      <w:pPr>
        <w:rPr>
          <w:szCs w:val="26"/>
        </w:rPr>
      </w:pPr>
    </w:p>
    <w:p w:rsidR="00C2410F" w:rsidRDefault="00E9240A" w:rsidP="006D3215">
      <w:pPr>
        <w:rPr>
          <w:szCs w:val="26"/>
        </w:rPr>
      </w:pPr>
      <w:r w:rsidRPr="00E9240A">
        <w:rPr>
          <w:szCs w:val="26"/>
        </w:rPr>
        <w:tab/>
      </w:r>
      <w:r w:rsidRPr="00E9240A">
        <w:rPr>
          <w:szCs w:val="26"/>
        </w:rPr>
        <w:tab/>
        <w:t xml:space="preserve">On April 22, 2015, </w:t>
      </w:r>
      <w:r w:rsidR="000F06BA">
        <w:rPr>
          <w:szCs w:val="26"/>
        </w:rPr>
        <w:t>ALJ Dunderdale issued t</w:t>
      </w:r>
      <w:r w:rsidRPr="00E9240A">
        <w:rPr>
          <w:szCs w:val="26"/>
        </w:rPr>
        <w:t>he First Interim Order on Remand</w:t>
      </w:r>
      <w:r w:rsidR="00512DBD">
        <w:rPr>
          <w:szCs w:val="26"/>
        </w:rPr>
        <w:t>.  This order</w:t>
      </w:r>
      <w:r w:rsidRPr="00E9240A">
        <w:rPr>
          <w:szCs w:val="26"/>
        </w:rPr>
        <w:t xml:space="preserve"> determined </w:t>
      </w:r>
      <w:r w:rsidR="00512DBD">
        <w:rPr>
          <w:szCs w:val="26"/>
        </w:rPr>
        <w:t xml:space="preserve">that </w:t>
      </w:r>
      <w:r w:rsidR="000F06BA">
        <w:rPr>
          <w:szCs w:val="26"/>
        </w:rPr>
        <w:t>PECO</w:t>
      </w:r>
      <w:r w:rsidRPr="00E9240A">
        <w:rPr>
          <w:szCs w:val="26"/>
        </w:rPr>
        <w:t xml:space="preserve"> </w:t>
      </w:r>
      <w:r w:rsidR="005A498E">
        <w:rPr>
          <w:szCs w:val="26"/>
        </w:rPr>
        <w:t xml:space="preserve">did </w:t>
      </w:r>
      <w:r w:rsidRPr="00E9240A">
        <w:rPr>
          <w:szCs w:val="26"/>
        </w:rPr>
        <w:t>no</w:t>
      </w:r>
      <w:r w:rsidR="005A498E">
        <w:rPr>
          <w:szCs w:val="26"/>
        </w:rPr>
        <w:t>t</w:t>
      </w:r>
      <w:r w:rsidRPr="00E9240A">
        <w:rPr>
          <w:szCs w:val="26"/>
        </w:rPr>
        <w:t xml:space="preserve"> object</w:t>
      </w:r>
      <w:r w:rsidR="005A498E">
        <w:rPr>
          <w:szCs w:val="26"/>
        </w:rPr>
        <w:t xml:space="preserve"> </w:t>
      </w:r>
      <w:r w:rsidRPr="00E9240A">
        <w:rPr>
          <w:szCs w:val="26"/>
        </w:rPr>
        <w:t xml:space="preserve">to </w:t>
      </w:r>
      <w:r w:rsidR="008F03F7">
        <w:rPr>
          <w:szCs w:val="26"/>
        </w:rPr>
        <w:t xml:space="preserve">the </w:t>
      </w:r>
      <w:r w:rsidRPr="00E9240A">
        <w:rPr>
          <w:szCs w:val="26"/>
        </w:rPr>
        <w:t>four</w:t>
      </w:r>
      <w:r w:rsidR="005A498E">
        <w:rPr>
          <w:szCs w:val="26"/>
        </w:rPr>
        <w:t>,</w:t>
      </w:r>
      <w:r w:rsidRPr="00E9240A">
        <w:rPr>
          <w:szCs w:val="26"/>
        </w:rPr>
        <w:t xml:space="preserve"> late-filed</w:t>
      </w:r>
      <w:r w:rsidR="005A498E">
        <w:rPr>
          <w:szCs w:val="26"/>
        </w:rPr>
        <w:t>,</w:t>
      </w:r>
      <w:r w:rsidRPr="00E9240A">
        <w:rPr>
          <w:szCs w:val="26"/>
        </w:rPr>
        <w:t xml:space="preserve"> exhibits </w:t>
      </w:r>
      <w:r w:rsidRPr="00E9240A">
        <w:rPr>
          <w:szCs w:val="26"/>
        </w:rPr>
        <w:lastRenderedPageBreak/>
        <w:t>submitted by Complainant (</w:t>
      </w:r>
      <w:r w:rsidR="008F03F7">
        <w:rPr>
          <w:szCs w:val="26"/>
        </w:rPr>
        <w:t xml:space="preserve">Complainant </w:t>
      </w:r>
      <w:r w:rsidRPr="00E9240A">
        <w:rPr>
          <w:szCs w:val="26"/>
        </w:rPr>
        <w:t xml:space="preserve">Exhibits 1, 2, 4 and 7) and </w:t>
      </w:r>
      <w:r w:rsidR="00512DBD">
        <w:rPr>
          <w:szCs w:val="26"/>
        </w:rPr>
        <w:t xml:space="preserve">that PECO </w:t>
      </w:r>
      <w:r w:rsidRPr="00E9240A">
        <w:rPr>
          <w:szCs w:val="26"/>
        </w:rPr>
        <w:t>did not want to cross-examine Complainant</w:t>
      </w:r>
      <w:r w:rsidR="00512DBD">
        <w:rPr>
          <w:szCs w:val="26"/>
        </w:rPr>
        <w:t xml:space="preserve"> concerning the</w:t>
      </w:r>
      <w:r w:rsidR="00FF3595">
        <w:rPr>
          <w:szCs w:val="26"/>
        </w:rPr>
        <w:t>se</w:t>
      </w:r>
      <w:r w:rsidR="00512DBD">
        <w:rPr>
          <w:szCs w:val="26"/>
        </w:rPr>
        <w:t xml:space="preserve"> exhibits</w:t>
      </w:r>
      <w:r w:rsidR="00C2410F">
        <w:rPr>
          <w:szCs w:val="26"/>
        </w:rPr>
        <w:t>.  The order, therefore,</w:t>
      </w:r>
      <w:r w:rsidRPr="00E9240A">
        <w:rPr>
          <w:szCs w:val="26"/>
        </w:rPr>
        <w:t xml:space="preserve"> admitted the exhibits and closed the hearing record.</w:t>
      </w:r>
      <w:r w:rsidR="009A6082">
        <w:rPr>
          <w:szCs w:val="26"/>
        </w:rPr>
        <w:t xml:space="preserve">  As a result, th</w:t>
      </w:r>
      <w:r w:rsidR="006D3215">
        <w:rPr>
          <w:szCs w:val="26"/>
        </w:rPr>
        <w:t>e</w:t>
      </w:r>
      <w:r w:rsidR="005A498E">
        <w:rPr>
          <w:szCs w:val="26"/>
        </w:rPr>
        <w:t xml:space="preserve"> </w:t>
      </w:r>
      <w:r w:rsidR="006D3215">
        <w:rPr>
          <w:szCs w:val="26"/>
        </w:rPr>
        <w:t xml:space="preserve">April 22, 2015 </w:t>
      </w:r>
      <w:r w:rsidR="00C2410F">
        <w:rPr>
          <w:szCs w:val="26"/>
        </w:rPr>
        <w:t>Order in the proceedings upon remand</w:t>
      </w:r>
      <w:r w:rsidR="009A6082" w:rsidRPr="00835CC0">
        <w:rPr>
          <w:szCs w:val="26"/>
        </w:rPr>
        <w:t xml:space="preserve"> </w:t>
      </w:r>
      <w:r w:rsidR="005A498E">
        <w:rPr>
          <w:szCs w:val="26"/>
        </w:rPr>
        <w:t>(First Interim Order on Remand)</w:t>
      </w:r>
      <w:r w:rsidR="001C7AF0">
        <w:rPr>
          <w:szCs w:val="26"/>
        </w:rPr>
        <w:t>,</w:t>
      </w:r>
      <w:r w:rsidR="005A498E">
        <w:rPr>
          <w:szCs w:val="26"/>
        </w:rPr>
        <w:t xml:space="preserve"> </w:t>
      </w:r>
      <w:r w:rsidR="008F03F7">
        <w:rPr>
          <w:szCs w:val="26"/>
        </w:rPr>
        <w:t xml:space="preserve">formally </w:t>
      </w:r>
      <w:r w:rsidR="009A6082" w:rsidRPr="00835CC0">
        <w:rPr>
          <w:szCs w:val="26"/>
        </w:rPr>
        <w:t>admitted the same</w:t>
      </w:r>
      <w:r w:rsidR="00C2410F">
        <w:rPr>
          <w:szCs w:val="26"/>
        </w:rPr>
        <w:t>,</w:t>
      </w:r>
      <w:r w:rsidR="009A6082" w:rsidRPr="00835CC0">
        <w:rPr>
          <w:szCs w:val="26"/>
        </w:rPr>
        <w:t xml:space="preserve"> late-filed</w:t>
      </w:r>
      <w:r w:rsidR="00C2410F">
        <w:rPr>
          <w:szCs w:val="26"/>
        </w:rPr>
        <w:t>,</w:t>
      </w:r>
      <w:r w:rsidR="009A6082" w:rsidRPr="00835CC0">
        <w:rPr>
          <w:szCs w:val="26"/>
        </w:rPr>
        <w:t xml:space="preserve"> </w:t>
      </w:r>
      <w:r w:rsidR="008F03F7">
        <w:rPr>
          <w:szCs w:val="26"/>
        </w:rPr>
        <w:t xml:space="preserve">Complainant </w:t>
      </w:r>
      <w:r w:rsidR="009A6082" w:rsidRPr="00835CC0">
        <w:rPr>
          <w:szCs w:val="26"/>
        </w:rPr>
        <w:t xml:space="preserve">exhibits discussed and admitted in the </w:t>
      </w:r>
      <w:r w:rsidR="008F03F7">
        <w:rPr>
          <w:szCs w:val="26"/>
        </w:rPr>
        <w:t xml:space="preserve">ALJ’s </w:t>
      </w:r>
      <w:r w:rsidR="001C7AF0">
        <w:rPr>
          <w:szCs w:val="26"/>
        </w:rPr>
        <w:t>July 14, 2014 Initial Decision</w:t>
      </w:r>
      <w:r w:rsidR="009A6082">
        <w:rPr>
          <w:szCs w:val="26"/>
        </w:rPr>
        <w:t xml:space="preserve">. </w:t>
      </w:r>
      <w:r w:rsidR="001C7AF0">
        <w:rPr>
          <w:szCs w:val="26"/>
        </w:rPr>
        <w:t xml:space="preserve"> </w:t>
      </w:r>
      <w:r w:rsidR="009A6082">
        <w:rPr>
          <w:i/>
          <w:szCs w:val="26"/>
        </w:rPr>
        <w:t xml:space="preserve">See </w:t>
      </w:r>
      <w:r w:rsidR="009A6082">
        <w:rPr>
          <w:szCs w:val="26"/>
        </w:rPr>
        <w:t>Supp. I.D. at 9</w:t>
      </w:r>
      <w:r w:rsidR="00632B5F">
        <w:rPr>
          <w:szCs w:val="26"/>
        </w:rPr>
        <w:t xml:space="preserve">; </w:t>
      </w:r>
      <w:r w:rsidR="00632B5F">
        <w:rPr>
          <w:i/>
          <w:szCs w:val="26"/>
        </w:rPr>
        <w:t>also April 2015 Order</w:t>
      </w:r>
      <w:r w:rsidR="00632B5F">
        <w:rPr>
          <w:szCs w:val="26"/>
        </w:rPr>
        <w:t>, Ordering Paragraph #3</w:t>
      </w:r>
      <w:r w:rsidR="009A6082">
        <w:rPr>
          <w:szCs w:val="26"/>
        </w:rPr>
        <w:t>.</w:t>
      </w:r>
      <w:r w:rsidR="009A6082" w:rsidRPr="00835CC0">
        <w:rPr>
          <w:szCs w:val="26"/>
        </w:rPr>
        <w:t xml:space="preserve">  </w:t>
      </w:r>
    </w:p>
    <w:p w:rsidR="00C2410F" w:rsidRDefault="00C2410F" w:rsidP="006D3215">
      <w:pPr>
        <w:rPr>
          <w:szCs w:val="26"/>
        </w:rPr>
      </w:pPr>
    </w:p>
    <w:p w:rsidR="009B4CF5" w:rsidRDefault="0094347C" w:rsidP="00C2410F">
      <w:pPr>
        <w:ind w:firstLine="1440"/>
        <w:rPr>
          <w:rFonts w:eastAsia="BatangChe"/>
          <w:szCs w:val="26"/>
        </w:rPr>
      </w:pPr>
      <w:r w:rsidRPr="009A6082">
        <w:rPr>
          <w:rFonts w:eastAsia="BatangChe"/>
          <w:szCs w:val="26"/>
        </w:rPr>
        <w:t>On consideration of the proposed Stipulation</w:t>
      </w:r>
      <w:r w:rsidR="00512DBD">
        <w:rPr>
          <w:rFonts w:eastAsia="BatangChe"/>
          <w:szCs w:val="26"/>
        </w:rPr>
        <w:t xml:space="preserve"> as an additional</w:t>
      </w:r>
      <w:r w:rsidRPr="009A6082">
        <w:rPr>
          <w:rFonts w:eastAsia="BatangChe"/>
          <w:szCs w:val="26"/>
        </w:rPr>
        <w:t>,</w:t>
      </w:r>
      <w:r w:rsidR="00512DBD">
        <w:rPr>
          <w:rFonts w:eastAsia="BatangChe"/>
          <w:szCs w:val="26"/>
        </w:rPr>
        <w:t xml:space="preserve"> substantive </w:t>
      </w:r>
      <w:r w:rsidR="005A498E">
        <w:rPr>
          <w:rFonts w:eastAsia="BatangChe"/>
          <w:szCs w:val="26"/>
        </w:rPr>
        <w:t>document to be</w:t>
      </w:r>
      <w:r w:rsidR="00F74913">
        <w:rPr>
          <w:rFonts w:eastAsia="BatangChe"/>
          <w:szCs w:val="26"/>
        </w:rPr>
        <w:t xml:space="preserve"> considered</w:t>
      </w:r>
      <w:r w:rsidR="009B4CF5">
        <w:rPr>
          <w:rFonts w:eastAsia="BatangChe"/>
          <w:szCs w:val="26"/>
        </w:rPr>
        <w:t xml:space="preserve"> in this case</w:t>
      </w:r>
      <w:r w:rsidR="00512DBD">
        <w:rPr>
          <w:rFonts w:eastAsia="BatangChe"/>
          <w:szCs w:val="26"/>
        </w:rPr>
        <w:t>,</w:t>
      </w:r>
      <w:r w:rsidRPr="009A6082">
        <w:rPr>
          <w:rFonts w:eastAsia="BatangChe"/>
          <w:szCs w:val="26"/>
        </w:rPr>
        <w:t xml:space="preserve"> </w:t>
      </w:r>
      <w:r w:rsidR="008F03F7">
        <w:rPr>
          <w:rFonts w:eastAsia="BatangChe"/>
          <w:szCs w:val="26"/>
        </w:rPr>
        <w:t xml:space="preserve">however, </w:t>
      </w:r>
      <w:r w:rsidRPr="009A6082">
        <w:rPr>
          <w:rFonts w:eastAsia="BatangChe"/>
          <w:szCs w:val="26"/>
        </w:rPr>
        <w:t xml:space="preserve">the ALJ denied PECO’s request to conduct a hearing </w:t>
      </w:r>
      <w:r w:rsidR="005A498E">
        <w:rPr>
          <w:rFonts w:eastAsia="BatangChe"/>
          <w:szCs w:val="26"/>
        </w:rPr>
        <w:t>f</w:t>
      </w:r>
      <w:r w:rsidR="006A2D11">
        <w:rPr>
          <w:rFonts w:eastAsia="BatangChe"/>
          <w:szCs w:val="26"/>
        </w:rPr>
        <w:t>or the purpose</w:t>
      </w:r>
      <w:r w:rsidRPr="009A6082">
        <w:rPr>
          <w:rFonts w:eastAsia="BatangChe"/>
          <w:szCs w:val="26"/>
        </w:rPr>
        <w:t xml:space="preserve"> </w:t>
      </w:r>
      <w:r w:rsidR="006A2D11">
        <w:rPr>
          <w:rFonts w:eastAsia="BatangChe"/>
          <w:szCs w:val="26"/>
        </w:rPr>
        <w:t xml:space="preserve">of </w:t>
      </w:r>
      <w:r w:rsidR="00C2410F">
        <w:rPr>
          <w:rFonts w:eastAsia="BatangChe"/>
          <w:szCs w:val="26"/>
        </w:rPr>
        <w:t>admit</w:t>
      </w:r>
      <w:r w:rsidR="008F03F7">
        <w:rPr>
          <w:rFonts w:eastAsia="BatangChe"/>
          <w:szCs w:val="26"/>
        </w:rPr>
        <w:t>ting</w:t>
      </w:r>
      <w:r w:rsidRPr="009A6082">
        <w:rPr>
          <w:rFonts w:eastAsia="BatangChe"/>
          <w:szCs w:val="26"/>
        </w:rPr>
        <w:t xml:space="preserve"> </w:t>
      </w:r>
      <w:r w:rsidR="006D3215">
        <w:rPr>
          <w:rFonts w:eastAsia="BatangChe"/>
          <w:szCs w:val="26"/>
        </w:rPr>
        <w:t>t</w:t>
      </w:r>
      <w:r w:rsidR="008F03F7">
        <w:rPr>
          <w:rFonts w:eastAsia="BatangChe"/>
          <w:szCs w:val="26"/>
        </w:rPr>
        <w:t xml:space="preserve">he </w:t>
      </w:r>
      <w:r w:rsidR="001C7AF0">
        <w:rPr>
          <w:rFonts w:eastAsia="BatangChe"/>
          <w:szCs w:val="26"/>
        </w:rPr>
        <w:t>Stipulation</w:t>
      </w:r>
      <w:r w:rsidRPr="009A6082">
        <w:rPr>
          <w:rFonts w:eastAsia="BatangChe"/>
          <w:szCs w:val="26"/>
        </w:rPr>
        <w:t xml:space="preserve"> in</w:t>
      </w:r>
      <w:r w:rsidR="006A2D11">
        <w:rPr>
          <w:rFonts w:eastAsia="BatangChe"/>
          <w:szCs w:val="26"/>
        </w:rPr>
        <w:t>to</w:t>
      </w:r>
      <w:r w:rsidRPr="009A6082">
        <w:rPr>
          <w:rFonts w:eastAsia="BatangChe"/>
          <w:szCs w:val="26"/>
        </w:rPr>
        <w:t xml:space="preserve"> the record.  </w:t>
      </w:r>
      <w:r w:rsidR="006D3215">
        <w:rPr>
          <w:rFonts w:eastAsia="BatangChe"/>
          <w:szCs w:val="26"/>
        </w:rPr>
        <w:t xml:space="preserve">The Stipulation and its proposed conclusions were determined to be beyond the scope of the matters directed </w:t>
      </w:r>
      <w:r w:rsidR="008F03F7">
        <w:rPr>
          <w:rFonts w:eastAsia="BatangChe"/>
          <w:szCs w:val="26"/>
        </w:rPr>
        <w:t xml:space="preserve">by the Commission </w:t>
      </w:r>
      <w:r w:rsidR="006A2D11">
        <w:rPr>
          <w:rFonts w:eastAsia="BatangChe"/>
          <w:szCs w:val="26"/>
        </w:rPr>
        <w:t>in the</w:t>
      </w:r>
      <w:r w:rsidR="006D3215">
        <w:rPr>
          <w:rFonts w:eastAsia="BatangChe"/>
          <w:szCs w:val="26"/>
        </w:rPr>
        <w:t xml:space="preserve"> </w:t>
      </w:r>
      <w:r w:rsidR="006D3215">
        <w:rPr>
          <w:rFonts w:eastAsia="BatangChe"/>
          <w:i/>
          <w:szCs w:val="26"/>
        </w:rPr>
        <w:t>April 2015 Order</w:t>
      </w:r>
      <w:r w:rsidR="008F03F7">
        <w:rPr>
          <w:rFonts w:eastAsia="BatangChe"/>
          <w:szCs w:val="26"/>
        </w:rPr>
        <w:t>.  The</w:t>
      </w:r>
      <w:r w:rsidR="009B4CF5">
        <w:rPr>
          <w:rFonts w:eastAsia="BatangChe"/>
          <w:szCs w:val="26"/>
        </w:rPr>
        <w:t xml:space="preserve"> </w:t>
      </w:r>
      <w:r w:rsidR="008F03F7">
        <w:rPr>
          <w:rFonts w:eastAsia="BatangChe"/>
          <w:szCs w:val="26"/>
        </w:rPr>
        <w:t>Stipulation</w:t>
      </w:r>
      <w:r w:rsidR="005A498E">
        <w:rPr>
          <w:rFonts w:eastAsia="BatangChe"/>
          <w:szCs w:val="26"/>
        </w:rPr>
        <w:t xml:space="preserve"> </w:t>
      </w:r>
      <w:r w:rsidR="008F03F7">
        <w:rPr>
          <w:rFonts w:eastAsia="BatangChe"/>
          <w:szCs w:val="26"/>
        </w:rPr>
        <w:t>was also determined to be</w:t>
      </w:r>
      <w:r w:rsidR="006A2D11">
        <w:rPr>
          <w:rFonts w:eastAsia="BatangChe"/>
          <w:szCs w:val="26"/>
        </w:rPr>
        <w:t xml:space="preserve"> inconsistent with certain findings reached by the ALJ in the </w:t>
      </w:r>
    </w:p>
    <w:p w:rsidR="00182AE9" w:rsidRDefault="006A2D11" w:rsidP="009B4CF5">
      <w:pPr>
        <w:rPr>
          <w:rFonts w:eastAsia="BatangChe"/>
          <w:szCs w:val="26"/>
        </w:rPr>
      </w:pPr>
      <w:r>
        <w:rPr>
          <w:rFonts w:eastAsia="BatangChe"/>
          <w:szCs w:val="26"/>
        </w:rPr>
        <w:t>July 14, 2014 Initial Decision</w:t>
      </w:r>
      <w:r w:rsidR="001C7AF0">
        <w:rPr>
          <w:rFonts w:eastAsia="BatangChe"/>
          <w:szCs w:val="26"/>
        </w:rPr>
        <w:t>, the disposition of which</w:t>
      </w:r>
      <w:r>
        <w:rPr>
          <w:rFonts w:eastAsia="BatangChe"/>
          <w:szCs w:val="26"/>
        </w:rPr>
        <w:t xml:space="preserve"> </w:t>
      </w:r>
      <w:r w:rsidR="001C7AF0">
        <w:rPr>
          <w:rFonts w:eastAsia="BatangChe"/>
          <w:szCs w:val="26"/>
        </w:rPr>
        <w:t xml:space="preserve">was </w:t>
      </w:r>
      <w:r>
        <w:rPr>
          <w:rFonts w:eastAsia="BatangChe"/>
          <w:szCs w:val="26"/>
        </w:rPr>
        <w:t>deferred</w:t>
      </w:r>
      <w:r w:rsidR="008F03F7">
        <w:rPr>
          <w:rFonts w:eastAsia="BatangChe"/>
          <w:szCs w:val="26"/>
        </w:rPr>
        <w:t xml:space="preserve"> and </w:t>
      </w:r>
      <w:r w:rsidR="009B4CF5">
        <w:rPr>
          <w:rFonts w:eastAsia="BatangChe"/>
          <w:szCs w:val="26"/>
        </w:rPr>
        <w:t>pending consideration</w:t>
      </w:r>
      <w:r w:rsidR="008F03F7">
        <w:rPr>
          <w:rFonts w:eastAsia="BatangChe"/>
          <w:szCs w:val="26"/>
        </w:rPr>
        <w:t xml:space="preserve"> on the merits </w:t>
      </w:r>
      <w:r w:rsidR="009B4CF5">
        <w:rPr>
          <w:rFonts w:eastAsia="BatangChe"/>
          <w:szCs w:val="26"/>
        </w:rPr>
        <w:t>in conjunction with the Supplemental Initial Decision</w:t>
      </w:r>
      <w:r w:rsidR="006D3215">
        <w:rPr>
          <w:rFonts w:eastAsia="BatangChe"/>
          <w:szCs w:val="26"/>
        </w:rPr>
        <w:t xml:space="preserve">. </w:t>
      </w:r>
      <w:r>
        <w:rPr>
          <w:rFonts w:eastAsia="BatangChe"/>
          <w:szCs w:val="26"/>
        </w:rPr>
        <w:t xml:space="preserve"> </w:t>
      </w:r>
    </w:p>
    <w:p w:rsidR="0094347C" w:rsidRPr="009A6082" w:rsidRDefault="006A2D11" w:rsidP="009B4CF5">
      <w:pPr>
        <w:rPr>
          <w:rFonts w:eastAsia="BatangChe"/>
          <w:szCs w:val="26"/>
        </w:rPr>
      </w:pPr>
      <w:r>
        <w:rPr>
          <w:rFonts w:eastAsia="BatangChe"/>
          <w:szCs w:val="26"/>
        </w:rPr>
        <w:t>T</w:t>
      </w:r>
      <w:r w:rsidR="0094347C" w:rsidRPr="009A6082">
        <w:rPr>
          <w:rFonts w:eastAsia="BatangChe"/>
          <w:szCs w:val="26"/>
        </w:rPr>
        <w:t xml:space="preserve">he pertinent reasoning of ALJ Dunderdale </w:t>
      </w:r>
      <w:r w:rsidR="008F03F7">
        <w:rPr>
          <w:rFonts w:eastAsia="BatangChe"/>
          <w:szCs w:val="26"/>
        </w:rPr>
        <w:t xml:space="preserve">concerning the Stipulation </w:t>
      </w:r>
      <w:r w:rsidR="0094347C" w:rsidRPr="009A6082">
        <w:rPr>
          <w:rFonts w:eastAsia="BatangChe"/>
          <w:szCs w:val="26"/>
        </w:rPr>
        <w:t>is reprinted below:</w:t>
      </w:r>
    </w:p>
    <w:p w:rsidR="0094347C" w:rsidRDefault="0094347C" w:rsidP="00E9240A">
      <w:pPr>
        <w:rPr>
          <w:szCs w:val="26"/>
        </w:rPr>
      </w:pPr>
    </w:p>
    <w:p w:rsidR="0094347C" w:rsidRPr="00835CC0" w:rsidRDefault="009A6082" w:rsidP="009A6082">
      <w:pPr>
        <w:spacing w:line="240" w:lineRule="auto"/>
        <w:ind w:left="1440" w:right="1440"/>
        <w:rPr>
          <w:szCs w:val="26"/>
        </w:rPr>
      </w:pPr>
      <w:r>
        <w:rPr>
          <w:szCs w:val="26"/>
        </w:rPr>
        <w:t xml:space="preserve">                 </w:t>
      </w:r>
      <w:r w:rsidR="0094347C" w:rsidRPr="00835CC0">
        <w:rPr>
          <w:szCs w:val="26"/>
        </w:rPr>
        <w:t xml:space="preserve">The Stipulation was received on the twelfth day after the Commission’s Opinion and Order on April 9, 2015.  The first three stipulated statements relate to facts which are not included in this limited remand.  The Commission, in its Opinion and Order dated April 9, 2015, indicated the sole purpose on this limited remand was to provide PECO with an opportunity to respond to Complainant’s late-filed exhibits by either objecting to the admission of the exhibits, cross-examining Complainant about the content of the exhibits, and/or requesting a hearing for the purpose of discussing the admission of the exhibits.  </w:t>
      </w:r>
    </w:p>
    <w:p w:rsidR="0094347C" w:rsidRPr="00835CC0" w:rsidRDefault="0094347C" w:rsidP="0094347C">
      <w:pPr>
        <w:spacing w:line="240" w:lineRule="auto"/>
        <w:ind w:left="1440" w:right="1440"/>
        <w:rPr>
          <w:szCs w:val="26"/>
        </w:rPr>
      </w:pPr>
    </w:p>
    <w:p w:rsidR="0094347C" w:rsidRPr="00835CC0" w:rsidRDefault="0094347C" w:rsidP="009A6082">
      <w:pPr>
        <w:pStyle w:val="PlainText"/>
        <w:ind w:left="1440" w:right="1440"/>
        <w:rPr>
          <w:rFonts w:ascii="Times New Roman" w:hAnsi="Times New Roman" w:cs="Times New Roman"/>
          <w:sz w:val="26"/>
          <w:szCs w:val="26"/>
        </w:rPr>
      </w:pPr>
      <w:r w:rsidRPr="00835CC0">
        <w:rPr>
          <w:rFonts w:ascii="Times New Roman" w:hAnsi="Times New Roman" w:cs="Times New Roman"/>
          <w:sz w:val="26"/>
          <w:szCs w:val="26"/>
        </w:rPr>
        <w:tab/>
      </w:r>
      <w:r w:rsidR="00512DBD">
        <w:rPr>
          <w:rFonts w:ascii="Times New Roman" w:hAnsi="Times New Roman" w:cs="Times New Roman"/>
          <w:sz w:val="26"/>
          <w:szCs w:val="26"/>
        </w:rPr>
        <w:t xml:space="preserve">         </w:t>
      </w:r>
      <w:r w:rsidRPr="00835CC0">
        <w:rPr>
          <w:rFonts w:ascii="Times New Roman" w:hAnsi="Times New Roman" w:cs="Times New Roman"/>
          <w:sz w:val="26"/>
          <w:szCs w:val="26"/>
        </w:rPr>
        <w:t xml:space="preserve">PECO clearly indicates in its April 20, 2015 filing that it did not wish to request a hearing pursuant to the Commission’s Opinion and Order dated April 9, 2015.  These statements do not relate to the admissibility of the exhibits in </w:t>
      </w:r>
      <w:r w:rsidRPr="00835CC0">
        <w:rPr>
          <w:rFonts w:ascii="Times New Roman" w:hAnsi="Times New Roman" w:cs="Times New Roman"/>
          <w:sz w:val="26"/>
          <w:szCs w:val="26"/>
        </w:rPr>
        <w:lastRenderedPageBreak/>
        <w:t>contention and which were the only subject of the limited remand.  Statement No. 1 is the ultimate factual issue which the Commission and the presiding officer were tasked to determine, however, it is noted for the record that Statement No. 1 appears to be an admission by PECO that Complainant was not responsible.  Statement No. 2 directly contradicts the Initial Decision and Findings of Fact Nos. 7, 8 and 13, which accepted as credible Complainant’s testimony that her credit reports show an outstanding balance with PECO for electric service at the service address.  Statement No. 3 attempts to supersede the presiding officer’s and the Commission’s unique responsibility to determine the final and ultimate issue in this proceeding – whether PECO provided reasonable customer service.  The presiding officer’s Initial Decision already determined customer service was lacking by PECO and assessed a civil penalty against PECO, and the Commissioners have not relinquished jurisdiction over that issue in this limited remand.  Lastly, Statement No. 4 is a request to schedule a hearing in order to submit into the hearing record the joint stipulation, however, the Commission’s remand was limited to considering only the late-filed exhibits.  The Commission deferred ruling on PECO’s other Exceptions and the presiding officer does not have the authority to consider issues or facts outside the scope of the limited remand.</w:t>
      </w:r>
    </w:p>
    <w:p w:rsidR="0094347C" w:rsidRPr="00835CC0" w:rsidRDefault="0094347C" w:rsidP="0094347C">
      <w:pPr>
        <w:pStyle w:val="PlainText"/>
        <w:ind w:left="1440" w:right="1440"/>
        <w:rPr>
          <w:rFonts w:ascii="Times New Roman" w:hAnsi="Times New Roman" w:cs="Times New Roman"/>
          <w:sz w:val="26"/>
          <w:szCs w:val="26"/>
        </w:rPr>
      </w:pPr>
    </w:p>
    <w:p w:rsidR="0094347C" w:rsidRPr="00835CC0" w:rsidRDefault="0094347C" w:rsidP="009A6082">
      <w:pPr>
        <w:pStyle w:val="PlainText"/>
        <w:ind w:left="1440" w:right="1440"/>
        <w:rPr>
          <w:rFonts w:ascii="Times New Roman" w:hAnsi="Times New Roman" w:cs="Times New Roman"/>
          <w:sz w:val="26"/>
          <w:szCs w:val="26"/>
        </w:rPr>
      </w:pPr>
    </w:p>
    <w:p w:rsidR="0094347C" w:rsidRPr="00835CC0" w:rsidRDefault="009F639A" w:rsidP="00C51F81">
      <w:pPr>
        <w:pStyle w:val="PlainText"/>
        <w:ind w:left="2880" w:right="1440" w:hanging="1440"/>
        <w:jc w:val="center"/>
        <w:rPr>
          <w:rFonts w:ascii="Times New Roman" w:hAnsi="Times New Roman" w:cs="Times New Roman"/>
          <w:sz w:val="26"/>
          <w:szCs w:val="26"/>
        </w:rPr>
      </w:pPr>
      <w:r>
        <w:rPr>
          <w:rFonts w:ascii="Times New Roman" w:hAnsi="Times New Roman" w:cs="Times New Roman"/>
          <w:sz w:val="26"/>
          <w:szCs w:val="26"/>
        </w:rPr>
        <w:t>*          *          *</w:t>
      </w:r>
    </w:p>
    <w:p w:rsidR="0094347C" w:rsidRPr="00835CC0" w:rsidRDefault="0094347C" w:rsidP="0094347C">
      <w:pPr>
        <w:pStyle w:val="PlainText"/>
        <w:ind w:left="1440" w:right="1440"/>
        <w:rPr>
          <w:rFonts w:ascii="Times New Roman" w:hAnsi="Times New Roman" w:cs="Times New Roman"/>
          <w:sz w:val="26"/>
          <w:szCs w:val="26"/>
        </w:rPr>
      </w:pPr>
    </w:p>
    <w:p w:rsidR="0094347C" w:rsidRPr="00835CC0" w:rsidRDefault="0094347C" w:rsidP="0094347C">
      <w:pPr>
        <w:pStyle w:val="PlainText"/>
        <w:ind w:left="1440" w:right="1440"/>
        <w:rPr>
          <w:rFonts w:ascii="Times New Roman" w:hAnsi="Times New Roman" w:cs="Times New Roman"/>
          <w:sz w:val="26"/>
          <w:szCs w:val="26"/>
        </w:rPr>
      </w:pPr>
      <w:r w:rsidRPr="00835CC0">
        <w:rPr>
          <w:rFonts w:ascii="Times New Roman" w:hAnsi="Times New Roman" w:cs="Times New Roman"/>
          <w:sz w:val="26"/>
          <w:szCs w:val="26"/>
        </w:rPr>
        <w:t xml:space="preserve"> </w:t>
      </w:r>
      <w:r w:rsidRPr="00835CC0">
        <w:rPr>
          <w:rFonts w:ascii="Times New Roman" w:hAnsi="Times New Roman" w:cs="Times New Roman"/>
          <w:sz w:val="26"/>
          <w:szCs w:val="26"/>
        </w:rPr>
        <w:tab/>
      </w:r>
      <w:r w:rsidRPr="00835CC0">
        <w:rPr>
          <w:rFonts w:ascii="Times New Roman" w:hAnsi="Times New Roman" w:cs="Times New Roman"/>
          <w:sz w:val="26"/>
          <w:szCs w:val="26"/>
        </w:rPr>
        <w:tab/>
        <w:t xml:space="preserve">In the First Interim Order on Remand issued on April 22, 2015, the presiding officer denied the request for hearing and admitted into the hearing record Complainant’s Exhibits 1, 2, 4 and 7.  The presiding officer explained no hearing would be scheduled because PECO clearly indicated on April 20, 2015 that it did not want a hearing to be scheduled, and the Stipulation of Agreement made assertions of fact and opinions beyond the scope of the limited remand.  The Stipulation of Agreement did not contain facts relevant to this limited remand or which related to the authenticity of relevant documents.  The hearing record was closed by the same Order after the presiding officer explained no hearing would be scheduled because PECO indicated clearly it did not want a hearing scheduled pursuant to the Opinion and Order </w:t>
      </w:r>
      <w:r w:rsidRPr="00835CC0">
        <w:rPr>
          <w:rFonts w:ascii="Times New Roman" w:hAnsi="Times New Roman" w:cs="Times New Roman"/>
          <w:sz w:val="26"/>
          <w:szCs w:val="26"/>
        </w:rPr>
        <w:lastRenderedPageBreak/>
        <w:t>dated April 9, 2015.  Furthermore, to date, neither PECO nor Complainant filed an objection or request for reconsideration of the presiding officer’s decision to disregard the Stipulation of Agreement and refusal to hold a hearing to place the Stipulation of Agreement on the record, as provided in the April 22, 2015 First Interim Order on Remand.</w:t>
      </w:r>
    </w:p>
    <w:p w:rsidR="0094347C" w:rsidRPr="00835CC0" w:rsidRDefault="0094347C" w:rsidP="0094347C">
      <w:pPr>
        <w:pStyle w:val="PlainText"/>
        <w:ind w:left="1440" w:right="1440"/>
        <w:rPr>
          <w:rFonts w:ascii="Times New Roman" w:hAnsi="Times New Roman" w:cs="Times New Roman"/>
          <w:sz w:val="26"/>
          <w:szCs w:val="26"/>
        </w:rPr>
      </w:pPr>
    </w:p>
    <w:p w:rsidR="0094347C" w:rsidRPr="00835CC0" w:rsidRDefault="0094347C" w:rsidP="0094347C">
      <w:pPr>
        <w:pStyle w:val="PlainText"/>
        <w:ind w:left="1440" w:right="1440"/>
        <w:rPr>
          <w:rFonts w:ascii="Times New Roman" w:hAnsi="Times New Roman" w:cs="Times New Roman"/>
          <w:sz w:val="26"/>
          <w:szCs w:val="26"/>
        </w:rPr>
      </w:pPr>
      <w:r w:rsidRPr="00835CC0">
        <w:rPr>
          <w:rFonts w:ascii="Times New Roman" w:hAnsi="Times New Roman" w:cs="Times New Roman"/>
          <w:sz w:val="26"/>
          <w:szCs w:val="26"/>
        </w:rPr>
        <w:t xml:space="preserve"> </w:t>
      </w:r>
    </w:p>
    <w:p w:rsidR="0094347C" w:rsidRPr="00835CC0" w:rsidRDefault="0094347C" w:rsidP="0094347C">
      <w:pPr>
        <w:spacing w:line="240" w:lineRule="auto"/>
        <w:ind w:left="1440" w:right="1440"/>
        <w:rPr>
          <w:szCs w:val="26"/>
        </w:rPr>
      </w:pPr>
      <w:r w:rsidRPr="00835CC0">
        <w:rPr>
          <w:szCs w:val="26"/>
        </w:rPr>
        <w:tab/>
      </w:r>
      <w:r w:rsidRPr="00835CC0">
        <w:rPr>
          <w:szCs w:val="26"/>
        </w:rPr>
        <w:tab/>
        <w:t>Accordingly, the Stipulation of Agreement was not entered into the hearing record, and it was not considered when rendering the decision in this Supplemental Initial Decision.</w:t>
      </w:r>
    </w:p>
    <w:p w:rsidR="00E9240A" w:rsidRPr="00E9240A" w:rsidRDefault="0094347C" w:rsidP="0094347C">
      <w:pPr>
        <w:spacing w:line="240" w:lineRule="auto"/>
        <w:rPr>
          <w:szCs w:val="26"/>
        </w:rPr>
      </w:pPr>
      <w:r>
        <w:rPr>
          <w:szCs w:val="26"/>
        </w:rPr>
        <w:t xml:space="preserve">  </w:t>
      </w:r>
      <w:r w:rsidR="00E9240A" w:rsidRPr="00E9240A">
        <w:rPr>
          <w:szCs w:val="26"/>
        </w:rPr>
        <w:t xml:space="preserve"> </w:t>
      </w:r>
    </w:p>
    <w:p w:rsidR="00B23F6F" w:rsidRDefault="0094347C" w:rsidP="0094347C">
      <w:pPr>
        <w:rPr>
          <w:szCs w:val="26"/>
        </w:rPr>
      </w:pPr>
      <w:r>
        <w:rPr>
          <w:szCs w:val="26"/>
        </w:rPr>
        <w:t>Supp. I.D. at 10-12.</w:t>
      </w:r>
    </w:p>
    <w:p w:rsidR="00DB4F06" w:rsidRPr="0070748A" w:rsidRDefault="00DB4F06" w:rsidP="0070748A">
      <w:pPr>
        <w:tabs>
          <w:tab w:val="left" w:pos="-1440"/>
          <w:tab w:val="left" w:pos="-720"/>
        </w:tabs>
        <w:suppressAutoHyphens/>
        <w:rPr>
          <w:spacing w:val="-3"/>
          <w:szCs w:val="26"/>
        </w:rPr>
      </w:pPr>
    </w:p>
    <w:p w:rsidR="00A91F2D" w:rsidRDefault="00014D0C" w:rsidP="00BE1838">
      <w:pPr>
        <w:rPr>
          <w:b/>
          <w:szCs w:val="26"/>
        </w:rPr>
      </w:pPr>
      <w:r w:rsidRPr="00014D0C">
        <w:rPr>
          <w:b/>
          <w:szCs w:val="26"/>
        </w:rPr>
        <w:t xml:space="preserve">Exceptions </w:t>
      </w:r>
    </w:p>
    <w:p w:rsidR="005125C2" w:rsidRPr="00014D0C" w:rsidRDefault="005125C2" w:rsidP="00BE1838">
      <w:pPr>
        <w:rPr>
          <w:b/>
          <w:szCs w:val="26"/>
        </w:rPr>
      </w:pPr>
    </w:p>
    <w:p w:rsidR="0078658A" w:rsidRDefault="0078658A" w:rsidP="00DD652C">
      <w:pPr>
        <w:ind w:firstLine="1440"/>
        <w:rPr>
          <w:szCs w:val="26"/>
        </w:rPr>
      </w:pPr>
      <w:r>
        <w:rPr>
          <w:szCs w:val="26"/>
        </w:rPr>
        <w:t xml:space="preserve">We shall </w:t>
      </w:r>
      <w:r w:rsidR="006671AA">
        <w:rPr>
          <w:szCs w:val="26"/>
        </w:rPr>
        <w:t>address</w:t>
      </w:r>
      <w:r>
        <w:rPr>
          <w:szCs w:val="26"/>
        </w:rPr>
        <w:t xml:space="preserve"> </w:t>
      </w:r>
      <w:r w:rsidR="003F4629">
        <w:rPr>
          <w:szCs w:val="26"/>
        </w:rPr>
        <w:t xml:space="preserve">the </w:t>
      </w:r>
      <w:r>
        <w:rPr>
          <w:szCs w:val="26"/>
        </w:rPr>
        <w:t xml:space="preserve">arguments raised by PECO </w:t>
      </w:r>
      <w:r w:rsidR="006033D9">
        <w:rPr>
          <w:szCs w:val="26"/>
        </w:rPr>
        <w:t>in its Exceptions and in its Supplemental Exceptions to the Initi</w:t>
      </w:r>
      <w:r>
        <w:rPr>
          <w:szCs w:val="26"/>
        </w:rPr>
        <w:t>al Decision and Supplemental Initial Decision of ALJ Dunderdale.</w:t>
      </w:r>
    </w:p>
    <w:p w:rsidR="00830CC7" w:rsidRDefault="00830CC7" w:rsidP="00DB4F06">
      <w:pPr>
        <w:rPr>
          <w:szCs w:val="26"/>
        </w:rPr>
      </w:pPr>
    </w:p>
    <w:p w:rsidR="00D905D7" w:rsidRPr="00CD04A6" w:rsidRDefault="00D905D7" w:rsidP="00222029">
      <w:pPr>
        <w:ind w:firstLine="720"/>
        <w:rPr>
          <w:b/>
          <w:szCs w:val="26"/>
        </w:rPr>
      </w:pPr>
      <w:r>
        <w:rPr>
          <w:b/>
          <w:szCs w:val="26"/>
        </w:rPr>
        <w:t>PECO Exception #1</w:t>
      </w:r>
    </w:p>
    <w:p w:rsidR="00476247" w:rsidRDefault="00476247" w:rsidP="00DD652C">
      <w:pPr>
        <w:ind w:firstLine="1440"/>
        <w:rPr>
          <w:szCs w:val="26"/>
        </w:rPr>
      </w:pPr>
    </w:p>
    <w:p w:rsidR="004556D2" w:rsidRDefault="004556D2" w:rsidP="004556D2">
      <w:pPr>
        <w:ind w:firstLine="1440"/>
        <w:rPr>
          <w:szCs w:val="26"/>
        </w:rPr>
      </w:pPr>
      <w:r>
        <w:rPr>
          <w:szCs w:val="26"/>
        </w:rPr>
        <w:t xml:space="preserve">PECO’s Exception #1 has been rendered moot based on the issuance of the Supplemental Initial Decision and </w:t>
      </w:r>
      <w:r w:rsidR="003F4629">
        <w:rPr>
          <w:szCs w:val="26"/>
        </w:rPr>
        <w:t>the submi</w:t>
      </w:r>
      <w:r w:rsidR="00DE2343">
        <w:rPr>
          <w:szCs w:val="26"/>
        </w:rPr>
        <w:t>ssion</w:t>
      </w:r>
      <w:r w:rsidR="003F4629">
        <w:rPr>
          <w:szCs w:val="26"/>
        </w:rPr>
        <w:t xml:space="preserve"> of the</w:t>
      </w:r>
      <w:r>
        <w:rPr>
          <w:szCs w:val="26"/>
        </w:rPr>
        <w:t xml:space="preserve"> April </w:t>
      </w:r>
      <w:r w:rsidR="00510D54">
        <w:rPr>
          <w:szCs w:val="26"/>
        </w:rPr>
        <w:t>22</w:t>
      </w:r>
      <w:r>
        <w:rPr>
          <w:szCs w:val="26"/>
        </w:rPr>
        <w:t xml:space="preserve">, 2015 </w:t>
      </w:r>
      <w:r w:rsidR="003F4629">
        <w:rPr>
          <w:szCs w:val="26"/>
        </w:rPr>
        <w:t xml:space="preserve">letter </w:t>
      </w:r>
      <w:r w:rsidR="00561933">
        <w:rPr>
          <w:szCs w:val="26"/>
        </w:rPr>
        <w:t xml:space="preserve">in which it advised that it would not raise any </w:t>
      </w:r>
      <w:r w:rsidR="003F4629">
        <w:rPr>
          <w:szCs w:val="26"/>
        </w:rPr>
        <w:t>objection</w:t>
      </w:r>
      <w:r w:rsidR="00561933">
        <w:rPr>
          <w:szCs w:val="26"/>
        </w:rPr>
        <w:t>s</w:t>
      </w:r>
      <w:r w:rsidR="003F4629">
        <w:rPr>
          <w:szCs w:val="26"/>
        </w:rPr>
        <w:t xml:space="preserve"> to </w:t>
      </w:r>
      <w:r>
        <w:rPr>
          <w:szCs w:val="26"/>
        </w:rPr>
        <w:t>the Complainant</w:t>
      </w:r>
      <w:r w:rsidR="003F4629">
        <w:rPr>
          <w:szCs w:val="26"/>
        </w:rPr>
        <w:t>’s late-filed</w:t>
      </w:r>
      <w:r>
        <w:rPr>
          <w:szCs w:val="26"/>
        </w:rPr>
        <w:t xml:space="preserve"> Exhibits</w:t>
      </w:r>
      <w:r w:rsidR="00561933">
        <w:rPr>
          <w:szCs w:val="26"/>
        </w:rPr>
        <w:t xml:space="preserve"> or seek to cross-examine Complainant on said exhibits</w:t>
      </w:r>
      <w:r>
        <w:rPr>
          <w:szCs w:val="26"/>
        </w:rPr>
        <w:t>.</w:t>
      </w:r>
    </w:p>
    <w:p w:rsidR="00E6332A" w:rsidRDefault="00050DE3" w:rsidP="004556D2">
      <w:pPr>
        <w:rPr>
          <w:szCs w:val="26"/>
        </w:rPr>
      </w:pPr>
      <w:r>
        <w:rPr>
          <w:szCs w:val="26"/>
        </w:rPr>
        <w:t xml:space="preserve"> </w:t>
      </w:r>
    </w:p>
    <w:p w:rsidR="00476247" w:rsidRDefault="007B6031" w:rsidP="0070748A">
      <w:pPr>
        <w:ind w:firstLine="720"/>
        <w:rPr>
          <w:szCs w:val="26"/>
        </w:rPr>
      </w:pPr>
      <w:r>
        <w:rPr>
          <w:b/>
          <w:szCs w:val="26"/>
        </w:rPr>
        <w:t>PECO Exception</w:t>
      </w:r>
      <w:r w:rsidR="004556D2">
        <w:rPr>
          <w:b/>
          <w:szCs w:val="26"/>
        </w:rPr>
        <w:t xml:space="preserve"> #2</w:t>
      </w:r>
      <w:r>
        <w:rPr>
          <w:b/>
          <w:szCs w:val="26"/>
        </w:rPr>
        <w:t xml:space="preserve"> </w:t>
      </w:r>
    </w:p>
    <w:p w:rsidR="007B6031" w:rsidRDefault="007B6031" w:rsidP="00DD652C">
      <w:pPr>
        <w:ind w:firstLine="1440"/>
        <w:rPr>
          <w:szCs w:val="26"/>
        </w:rPr>
      </w:pPr>
    </w:p>
    <w:p w:rsidR="00DB4F06" w:rsidRDefault="00DB4F06" w:rsidP="00DD652C">
      <w:pPr>
        <w:ind w:firstLine="1440"/>
        <w:rPr>
          <w:szCs w:val="26"/>
        </w:rPr>
      </w:pPr>
      <w:r>
        <w:rPr>
          <w:szCs w:val="26"/>
        </w:rPr>
        <w:t xml:space="preserve">In its Exception #2, PECO argues that the ALJ committed error in concluding that </w:t>
      </w:r>
      <w:r w:rsidR="00DD67E9">
        <w:rPr>
          <w:szCs w:val="26"/>
        </w:rPr>
        <w:t xml:space="preserve">the </w:t>
      </w:r>
      <w:r>
        <w:rPr>
          <w:szCs w:val="26"/>
        </w:rPr>
        <w:t>Complainant met her burden of proof in this matter and did not give proper evidentiary weight to its business records</w:t>
      </w:r>
      <w:r w:rsidR="002233EB">
        <w:rPr>
          <w:szCs w:val="26"/>
        </w:rPr>
        <w:t xml:space="preserve"> in reaching her conclusion</w:t>
      </w:r>
      <w:r>
        <w:rPr>
          <w:szCs w:val="26"/>
        </w:rPr>
        <w:t>.</w:t>
      </w:r>
    </w:p>
    <w:p w:rsidR="00DB4F06" w:rsidRDefault="00DB4F06" w:rsidP="00DD652C">
      <w:pPr>
        <w:ind w:firstLine="1440"/>
        <w:rPr>
          <w:szCs w:val="26"/>
        </w:rPr>
      </w:pPr>
    </w:p>
    <w:p w:rsidR="003A5489" w:rsidRDefault="00DB4F06" w:rsidP="00DD652C">
      <w:pPr>
        <w:ind w:firstLine="1440"/>
        <w:rPr>
          <w:szCs w:val="26"/>
        </w:rPr>
      </w:pPr>
      <w:r>
        <w:rPr>
          <w:szCs w:val="26"/>
        </w:rPr>
        <w:t xml:space="preserve">In </w:t>
      </w:r>
      <w:r w:rsidR="00D92E0D">
        <w:rPr>
          <w:szCs w:val="26"/>
        </w:rPr>
        <w:t>this</w:t>
      </w:r>
      <w:r>
        <w:rPr>
          <w:szCs w:val="26"/>
        </w:rPr>
        <w:t xml:space="preserve"> Exception, PECO</w:t>
      </w:r>
      <w:r w:rsidR="00F62FC5">
        <w:rPr>
          <w:szCs w:val="26"/>
        </w:rPr>
        <w:t xml:space="preserve"> argu</w:t>
      </w:r>
      <w:r w:rsidR="002840EA">
        <w:rPr>
          <w:szCs w:val="26"/>
        </w:rPr>
        <w:t>es</w:t>
      </w:r>
      <w:r w:rsidR="00F62FC5">
        <w:rPr>
          <w:szCs w:val="26"/>
        </w:rPr>
        <w:t xml:space="preserve"> in opposition to the ALJ’s </w:t>
      </w:r>
      <w:r w:rsidR="003F4629">
        <w:rPr>
          <w:szCs w:val="26"/>
        </w:rPr>
        <w:t xml:space="preserve">determination that </w:t>
      </w:r>
      <w:r w:rsidR="00DD67E9">
        <w:rPr>
          <w:szCs w:val="26"/>
        </w:rPr>
        <w:t xml:space="preserve">the </w:t>
      </w:r>
      <w:r w:rsidR="003F4629">
        <w:rPr>
          <w:szCs w:val="26"/>
        </w:rPr>
        <w:t>Complainant met her burden of proof</w:t>
      </w:r>
      <w:r>
        <w:rPr>
          <w:szCs w:val="26"/>
        </w:rPr>
        <w:t xml:space="preserve"> </w:t>
      </w:r>
      <w:r w:rsidR="002840EA">
        <w:rPr>
          <w:szCs w:val="26"/>
        </w:rPr>
        <w:t xml:space="preserve">by </w:t>
      </w:r>
      <w:r w:rsidR="00D978D2">
        <w:rPr>
          <w:szCs w:val="26"/>
        </w:rPr>
        <w:t xml:space="preserve">placing </w:t>
      </w:r>
      <w:r>
        <w:rPr>
          <w:szCs w:val="26"/>
        </w:rPr>
        <w:t xml:space="preserve">heavy reliance upon </w:t>
      </w:r>
      <w:r w:rsidR="00D92E0D">
        <w:rPr>
          <w:szCs w:val="26"/>
        </w:rPr>
        <w:t>PECO</w:t>
      </w:r>
      <w:r>
        <w:rPr>
          <w:szCs w:val="26"/>
        </w:rPr>
        <w:t xml:space="preserve"> Exhibit 6</w:t>
      </w:r>
      <w:r w:rsidR="003F4629">
        <w:rPr>
          <w:szCs w:val="26"/>
        </w:rPr>
        <w:t>.  PECO</w:t>
      </w:r>
      <w:r>
        <w:rPr>
          <w:szCs w:val="26"/>
        </w:rPr>
        <w:t xml:space="preserve"> complain</w:t>
      </w:r>
      <w:r w:rsidR="003F4629">
        <w:rPr>
          <w:szCs w:val="26"/>
        </w:rPr>
        <w:t>s</w:t>
      </w:r>
      <w:r>
        <w:rPr>
          <w:szCs w:val="26"/>
        </w:rPr>
        <w:t xml:space="preserve"> that th</w:t>
      </w:r>
      <w:r w:rsidR="003F4629">
        <w:rPr>
          <w:szCs w:val="26"/>
        </w:rPr>
        <w:t>e</w:t>
      </w:r>
      <w:r>
        <w:rPr>
          <w:szCs w:val="26"/>
        </w:rPr>
        <w:t xml:space="preserve"> </w:t>
      </w:r>
      <w:r w:rsidR="003F4629">
        <w:rPr>
          <w:szCs w:val="26"/>
        </w:rPr>
        <w:t>E</w:t>
      </w:r>
      <w:r>
        <w:rPr>
          <w:szCs w:val="26"/>
        </w:rPr>
        <w:t xml:space="preserve">xhibit </w:t>
      </w:r>
      <w:r w:rsidR="003F4629">
        <w:rPr>
          <w:szCs w:val="26"/>
        </w:rPr>
        <w:t xml:space="preserve">6 </w:t>
      </w:r>
      <w:r w:rsidR="00257F37">
        <w:rPr>
          <w:szCs w:val="26"/>
        </w:rPr>
        <w:t>refutes Complainant’s allegations that she never resided at the Service Location or had any contact with the utility concerning the initiation of service.  Exc. at 7.  PECO maintains that Exhibit 6 shows that Complainant properly completed the application process in 2009 and</w:t>
      </w:r>
      <w:r w:rsidR="003A5489">
        <w:rPr>
          <w:szCs w:val="26"/>
        </w:rPr>
        <w:t xml:space="preserve"> that service was established in her name.  </w:t>
      </w:r>
      <w:r w:rsidR="003A5489">
        <w:rPr>
          <w:i/>
          <w:szCs w:val="26"/>
        </w:rPr>
        <w:t>Id</w:t>
      </w:r>
      <w:r w:rsidR="003A5489">
        <w:rPr>
          <w:szCs w:val="26"/>
        </w:rPr>
        <w:t>.</w:t>
      </w:r>
    </w:p>
    <w:p w:rsidR="003A5489" w:rsidRDefault="003A5489" w:rsidP="00DD652C">
      <w:pPr>
        <w:ind w:firstLine="1440"/>
        <w:rPr>
          <w:szCs w:val="26"/>
        </w:rPr>
      </w:pPr>
    </w:p>
    <w:p w:rsidR="003A5489" w:rsidRDefault="003A5489" w:rsidP="00DD652C">
      <w:pPr>
        <w:ind w:firstLine="1440"/>
        <w:rPr>
          <w:szCs w:val="26"/>
        </w:rPr>
      </w:pPr>
      <w:r>
        <w:rPr>
          <w:szCs w:val="26"/>
        </w:rPr>
        <w:t>PECO</w:t>
      </w:r>
      <w:r w:rsidR="00D511AF">
        <w:rPr>
          <w:szCs w:val="26"/>
        </w:rPr>
        <w:t xml:space="preserve"> continually relies upon </w:t>
      </w:r>
      <w:r>
        <w:rPr>
          <w:szCs w:val="26"/>
        </w:rPr>
        <w:t xml:space="preserve">its business records </w:t>
      </w:r>
      <w:r w:rsidR="00D511AF">
        <w:rPr>
          <w:szCs w:val="26"/>
        </w:rPr>
        <w:t xml:space="preserve">as supportive of its position that Complainant failed to meet her burden of proof </w:t>
      </w:r>
      <w:r w:rsidR="00C8114B">
        <w:rPr>
          <w:szCs w:val="26"/>
        </w:rPr>
        <w:t xml:space="preserve">and </w:t>
      </w:r>
      <w:r>
        <w:rPr>
          <w:szCs w:val="26"/>
        </w:rPr>
        <w:t xml:space="preserve">characterizes the evidence of </w:t>
      </w:r>
      <w:r w:rsidR="00D978D2">
        <w:rPr>
          <w:szCs w:val="26"/>
        </w:rPr>
        <w:t>Ms. Hallman of t</w:t>
      </w:r>
      <w:r>
        <w:rPr>
          <w:szCs w:val="26"/>
        </w:rPr>
        <w:t>he rental lease</w:t>
      </w:r>
      <w:r w:rsidR="00373242">
        <w:rPr>
          <w:szCs w:val="26"/>
        </w:rPr>
        <w:t>(s)</w:t>
      </w:r>
      <w:r>
        <w:rPr>
          <w:szCs w:val="26"/>
        </w:rPr>
        <w:t xml:space="preserve"> </w:t>
      </w:r>
      <w:r w:rsidR="003F4629">
        <w:rPr>
          <w:szCs w:val="26"/>
        </w:rPr>
        <w:t xml:space="preserve">showing her residence during the period in dispute </w:t>
      </w:r>
      <w:r>
        <w:rPr>
          <w:szCs w:val="26"/>
        </w:rPr>
        <w:t>as “self-serving.”</w:t>
      </w:r>
      <w:r w:rsidR="00373242">
        <w:rPr>
          <w:szCs w:val="26"/>
        </w:rPr>
        <w:t xml:space="preserve">  Exc. at 7.</w:t>
      </w:r>
      <w:r>
        <w:rPr>
          <w:szCs w:val="26"/>
        </w:rPr>
        <w:t xml:space="preserve">  </w:t>
      </w:r>
    </w:p>
    <w:p w:rsidR="003A5489" w:rsidRDefault="003A5489" w:rsidP="00DD652C">
      <w:pPr>
        <w:ind w:firstLine="1440"/>
        <w:rPr>
          <w:szCs w:val="26"/>
        </w:rPr>
      </w:pPr>
    </w:p>
    <w:p w:rsidR="00DB4F06" w:rsidRDefault="003A5489" w:rsidP="00DD652C">
      <w:pPr>
        <w:ind w:firstLine="1440"/>
        <w:rPr>
          <w:szCs w:val="26"/>
        </w:rPr>
      </w:pPr>
      <w:r>
        <w:rPr>
          <w:szCs w:val="26"/>
        </w:rPr>
        <w:t>PECO concludes this Exception by asserting that the presiding ALJ has committed an error of law</w:t>
      </w:r>
      <w:r w:rsidR="002233EB">
        <w:rPr>
          <w:szCs w:val="26"/>
        </w:rPr>
        <w:t xml:space="preserve"> </w:t>
      </w:r>
      <w:r>
        <w:rPr>
          <w:szCs w:val="26"/>
        </w:rPr>
        <w:t xml:space="preserve">in finding that its business records and the BCS Decision were “mere hearsay.”   </w:t>
      </w:r>
      <w:r>
        <w:rPr>
          <w:i/>
          <w:szCs w:val="26"/>
        </w:rPr>
        <w:t xml:space="preserve">See </w:t>
      </w:r>
      <w:r>
        <w:rPr>
          <w:szCs w:val="26"/>
        </w:rPr>
        <w:t>Exc. at 8, citing 42 Pa. C.S. § 6108</w:t>
      </w:r>
      <w:r w:rsidR="00D92E0D">
        <w:rPr>
          <w:szCs w:val="26"/>
        </w:rPr>
        <w:t xml:space="preserve"> and</w:t>
      </w:r>
      <w:r>
        <w:rPr>
          <w:szCs w:val="26"/>
        </w:rPr>
        <w:t xml:space="preserve"> </w:t>
      </w:r>
      <w:r>
        <w:rPr>
          <w:i/>
          <w:szCs w:val="26"/>
        </w:rPr>
        <w:t>Gasparro v. PECO</w:t>
      </w:r>
      <w:r w:rsidR="00DD67E9">
        <w:rPr>
          <w:i/>
          <w:szCs w:val="26"/>
        </w:rPr>
        <w:t xml:space="preserve"> Energy Company</w:t>
      </w:r>
      <w:r>
        <w:rPr>
          <w:szCs w:val="26"/>
        </w:rPr>
        <w:t>, Docket No. C-00015482 (Order entered April 22, 2002)</w:t>
      </w:r>
      <w:r w:rsidR="00DD67E9">
        <w:rPr>
          <w:szCs w:val="26"/>
        </w:rPr>
        <w:t xml:space="preserve">, </w:t>
      </w:r>
      <w:r w:rsidR="00DD67E9">
        <w:rPr>
          <w:i/>
          <w:szCs w:val="26"/>
        </w:rPr>
        <w:t>a</w:t>
      </w:r>
      <w:r w:rsidR="00D76371">
        <w:rPr>
          <w:i/>
          <w:szCs w:val="26"/>
        </w:rPr>
        <w:t>ff’d sub nom. Gasparro v. Pa. PUC</w:t>
      </w:r>
      <w:r w:rsidR="00DD67E9">
        <w:rPr>
          <w:szCs w:val="26"/>
        </w:rPr>
        <w:t>, 814 A.2d 1282 (Pa. Cmwlth. 2003)</w:t>
      </w:r>
      <w:r w:rsidR="00FA262B">
        <w:rPr>
          <w:szCs w:val="26"/>
        </w:rPr>
        <w:t xml:space="preserve"> (</w:t>
      </w:r>
      <w:r w:rsidR="00FA262B">
        <w:rPr>
          <w:i/>
          <w:szCs w:val="26"/>
        </w:rPr>
        <w:t>Gasparro</w:t>
      </w:r>
      <w:r w:rsidR="004770C8">
        <w:rPr>
          <w:szCs w:val="26"/>
        </w:rPr>
        <w:t>)</w:t>
      </w:r>
      <w:r>
        <w:rPr>
          <w:szCs w:val="26"/>
        </w:rPr>
        <w:t xml:space="preserve">. </w:t>
      </w:r>
      <w:r w:rsidR="00257F37">
        <w:rPr>
          <w:szCs w:val="26"/>
        </w:rPr>
        <w:t xml:space="preserve">   </w:t>
      </w:r>
      <w:r w:rsidR="00DB4F06">
        <w:rPr>
          <w:szCs w:val="26"/>
        </w:rPr>
        <w:t xml:space="preserve">  </w:t>
      </w:r>
    </w:p>
    <w:p w:rsidR="004556D2" w:rsidRDefault="004556D2" w:rsidP="003A5489">
      <w:pPr>
        <w:rPr>
          <w:szCs w:val="26"/>
        </w:rPr>
      </w:pPr>
    </w:p>
    <w:p w:rsidR="00434866" w:rsidRPr="001140B1" w:rsidRDefault="00434866" w:rsidP="00DD652C">
      <w:pPr>
        <w:ind w:firstLine="1440"/>
        <w:rPr>
          <w:b/>
          <w:szCs w:val="26"/>
        </w:rPr>
      </w:pPr>
      <w:r w:rsidRPr="00605054">
        <w:rPr>
          <w:b/>
          <w:szCs w:val="26"/>
        </w:rPr>
        <w:t>Disposition</w:t>
      </w:r>
    </w:p>
    <w:p w:rsidR="00605054" w:rsidRPr="001140B1" w:rsidRDefault="00605054" w:rsidP="00605054">
      <w:pPr>
        <w:ind w:firstLine="1440"/>
        <w:rPr>
          <w:color w:val="333333"/>
          <w:szCs w:val="26"/>
        </w:rPr>
      </w:pPr>
    </w:p>
    <w:p w:rsidR="00313DB6" w:rsidRDefault="00605054" w:rsidP="00605054">
      <w:pPr>
        <w:ind w:firstLine="1440"/>
        <w:rPr>
          <w:szCs w:val="26"/>
        </w:rPr>
      </w:pPr>
      <w:r w:rsidRPr="001140B1">
        <w:rPr>
          <w:szCs w:val="26"/>
        </w:rPr>
        <w:t xml:space="preserve">On consideration of Exception #2 of PECO, it shall be denied.  </w:t>
      </w:r>
      <w:r w:rsidR="004318C1">
        <w:rPr>
          <w:szCs w:val="26"/>
        </w:rPr>
        <w:t xml:space="preserve">In pertinent part, the </w:t>
      </w:r>
      <w:r w:rsidR="00434866" w:rsidRPr="001140B1">
        <w:rPr>
          <w:szCs w:val="26"/>
        </w:rPr>
        <w:t>Responsible Utility Customer Protection Act, 66 Pa.</w:t>
      </w:r>
      <w:r w:rsidRPr="001140B1">
        <w:rPr>
          <w:szCs w:val="26"/>
        </w:rPr>
        <w:t xml:space="preserve"> </w:t>
      </w:r>
      <w:r w:rsidR="00434866" w:rsidRPr="001140B1">
        <w:rPr>
          <w:szCs w:val="26"/>
        </w:rPr>
        <w:t>C.S.</w:t>
      </w:r>
      <w:r w:rsidRPr="001140B1">
        <w:rPr>
          <w:szCs w:val="26"/>
        </w:rPr>
        <w:t xml:space="preserve"> </w:t>
      </w:r>
      <w:r w:rsidR="00434866" w:rsidRPr="001140B1">
        <w:rPr>
          <w:szCs w:val="26"/>
        </w:rPr>
        <w:t>§</w:t>
      </w:r>
      <w:r w:rsidR="0031772B">
        <w:rPr>
          <w:szCs w:val="26"/>
        </w:rPr>
        <w:t>§</w:t>
      </w:r>
      <w:r w:rsidR="00434866" w:rsidRPr="001140B1">
        <w:rPr>
          <w:szCs w:val="26"/>
        </w:rPr>
        <w:t xml:space="preserve"> 140</w:t>
      </w:r>
      <w:r w:rsidR="004318C1">
        <w:rPr>
          <w:szCs w:val="26"/>
        </w:rPr>
        <w:t xml:space="preserve">1 </w:t>
      </w:r>
      <w:r w:rsidR="004318C1" w:rsidRPr="0070748A">
        <w:rPr>
          <w:i/>
          <w:szCs w:val="26"/>
        </w:rPr>
        <w:t>et seq.,</w:t>
      </w:r>
      <w:r w:rsidR="004318C1">
        <w:rPr>
          <w:szCs w:val="26"/>
        </w:rPr>
        <w:t xml:space="preserve"> </w:t>
      </w:r>
      <w:r w:rsidR="00434866" w:rsidRPr="001140B1">
        <w:rPr>
          <w:szCs w:val="26"/>
        </w:rPr>
        <w:t xml:space="preserve"> allows a public utility to require the payment of any outstanding balance, or portion of an outstanding balance, if the applicant resided at the property for which service is requested during the time the outstanding balance accrued and for the time the applicant resided there</w:t>
      </w:r>
      <w:r w:rsidR="00313DB6">
        <w:rPr>
          <w:szCs w:val="26"/>
        </w:rPr>
        <w:t>:</w:t>
      </w:r>
    </w:p>
    <w:p w:rsidR="00313DB6" w:rsidRDefault="00313DB6" w:rsidP="00605054">
      <w:pPr>
        <w:ind w:firstLine="1440"/>
        <w:rPr>
          <w:szCs w:val="26"/>
        </w:rPr>
      </w:pPr>
    </w:p>
    <w:p w:rsidR="00313DB6" w:rsidRDefault="00313DB6" w:rsidP="00313DB6">
      <w:pPr>
        <w:spacing w:line="240" w:lineRule="auto"/>
        <w:ind w:left="1440" w:right="1440"/>
        <w:rPr>
          <w:b/>
          <w:bCs/>
          <w:color w:val="333333"/>
          <w:szCs w:val="26"/>
        </w:rPr>
      </w:pPr>
      <w:r w:rsidRPr="00BF2057">
        <w:rPr>
          <w:b/>
          <w:bCs/>
          <w:color w:val="333333"/>
          <w:szCs w:val="26"/>
        </w:rPr>
        <w:lastRenderedPageBreak/>
        <w:t>§ 1407. Reconnection of service. [Expiration December 31, 2024]</w:t>
      </w:r>
      <w:r w:rsidRPr="00BF2057">
        <w:rPr>
          <w:color w:val="333333"/>
          <w:szCs w:val="26"/>
        </w:rPr>
        <w:br/>
      </w:r>
      <w:r w:rsidRPr="00BF2057">
        <w:rPr>
          <w:color w:val="333333"/>
          <w:szCs w:val="26"/>
        </w:rPr>
        <w:br/>
      </w:r>
      <w:r>
        <w:rPr>
          <w:color w:val="333333"/>
          <w:szCs w:val="26"/>
        </w:rPr>
        <w:t xml:space="preserve">                    *          *          *</w:t>
      </w:r>
      <w:r w:rsidRPr="00BF2057">
        <w:rPr>
          <w:color w:val="333333"/>
          <w:szCs w:val="26"/>
        </w:rPr>
        <w:br/>
      </w:r>
    </w:p>
    <w:p w:rsidR="00313DB6" w:rsidRPr="00BF2057" w:rsidRDefault="00313DB6" w:rsidP="00313DB6">
      <w:pPr>
        <w:spacing w:line="240" w:lineRule="auto"/>
        <w:ind w:left="1440" w:right="1440"/>
        <w:rPr>
          <w:szCs w:val="26"/>
        </w:rPr>
      </w:pPr>
      <w:r w:rsidRPr="00BF2057">
        <w:rPr>
          <w:b/>
          <w:bCs/>
          <w:color w:val="333333"/>
          <w:szCs w:val="26"/>
        </w:rPr>
        <w:t xml:space="preserve">(d) </w:t>
      </w:r>
      <w:r w:rsidRPr="00D978D2">
        <w:rPr>
          <w:b/>
          <w:bCs/>
          <w:iCs/>
          <w:color w:val="333333"/>
          <w:szCs w:val="26"/>
        </w:rPr>
        <w:t>Payment of outstanding balance at premises</w:t>
      </w:r>
      <w:r w:rsidRPr="00BF2057">
        <w:rPr>
          <w:b/>
          <w:bCs/>
          <w:i/>
          <w:iCs/>
          <w:color w:val="333333"/>
          <w:szCs w:val="26"/>
        </w:rPr>
        <w:t xml:space="preserve">. </w:t>
      </w:r>
      <w:r w:rsidRPr="00BF2057">
        <w:rPr>
          <w:b/>
          <w:bCs/>
          <w:color w:val="333333"/>
          <w:szCs w:val="26"/>
        </w:rPr>
        <w:t>--</w:t>
      </w:r>
      <w:r w:rsidRPr="00BF2057">
        <w:rPr>
          <w:color w:val="333333"/>
          <w:szCs w:val="26"/>
        </w:rPr>
        <w:br/>
      </w:r>
      <w:r w:rsidRPr="00BF2057">
        <w:rPr>
          <w:color w:val="333333"/>
          <w:szCs w:val="26"/>
        </w:rPr>
        <w:br/>
        <w:t>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r w:rsidRPr="00BF2057">
        <w:rPr>
          <w:color w:val="333333"/>
          <w:szCs w:val="26"/>
        </w:rPr>
        <w:br/>
      </w:r>
      <w:r w:rsidRPr="00BF2057">
        <w:rPr>
          <w:color w:val="333333"/>
          <w:szCs w:val="26"/>
        </w:rPr>
        <w:br/>
      </w:r>
      <w:r w:rsidRPr="00BF2057">
        <w:rPr>
          <w:b/>
          <w:bCs/>
          <w:color w:val="333333"/>
          <w:szCs w:val="26"/>
        </w:rPr>
        <w:t xml:space="preserve">(e) </w:t>
      </w:r>
      <w:r w:rsidRPr="00D978D2">
        <w:rPr>
          <w:b/>
          <w:bCs/>
          <w:iCs/>
          <w:color w:val="333333"/>
          <w:szCs w:val="26"/>
        </w:rPr>
        <w:t>Approval</w:t>
      </w:r>
      <w:r w:rsidRPr="00BF2057">
        <w:rPr>
          <w:b/>
          <w:bCs/>
          <w:i/>
          <w:iCs/>
          <w:color w:val="333333"/>
          <w:szCs w:val="26"/>
        </w:rPr>
        <w:t xml:space="preserve">. </w:t>
      </w:r>
      <w:r w:rsidRPr="00BF2057">
        <w:rPr>
          <w:b/>
          <w:bCs/>
          <w:color w:val="333333"/>
          <w:szCs w:val="26"/>
        </w:rPr>
        <w:t>--</w:t>
      </w:r>
      <w:r w:rsidRPr="00BF2057">
        <w:rPr>
          <w:color w:val="333333"/>
          <w:szCs w:val="26"/>
        </w:rPr>
        <w:br/>
      </w:r>
      <w:r w:rsidRPr="00BF2057">
        <w:rPr>
          <w:color w:val="333333"/>
          <w:szCs w:val="26"/>
        </w:rPr>
        <w:b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w:t>
      </w:r>
    </w:p>
    <w:p w:rsidR="00313DB6" w:rsidRDefault="00313DB6" w:rsidP="00313DB6">
      <w:pPr>
        <w:spacing w:line="240" w:lineRule="auto"/>
        <w:rPr>
          <w:szCs w:val="26"/>
        </w:rPr>
      </w:pPr>
    </w:p>
    <w:p w:rsidR="00313DB6" w:rsidRDefault="00313DB6" w:rsidP="00313DB6">
      <w:pPr>
        <w:spacing w:line="240" w:lineRule="auto"/>
        <w:rPr>
          <w:szCs w:val="26"/>
        </w:rPr>
      </w:pPr>
    </w:p>
    <w:p w:rsidR="00605054" w:rsidRPr="001140B1" w:rsidRDefault="00313DB6" w:rsidP="00313DB6">
      <w:pPr>
        <w:spacing w:line="240" w:lineRule="auto"/>
        <w:rPr>
          <w:szCs w:val="26"/>
        </w:rPr>
      </w:pPr>
      <w:r>
        <w:rPr>
          <w:szCs w:val="26"/>
        </w:rPr>
        <w:t>66 Pa. C. S. § 1407(d), (e).</w:t>
      </w:r>
    </w:p>
    <w:p w:rsidR="00605054" w:rsidRPr="001140B1" w:rsidRDefault="00605054" w:rsidP="001140B1">
      <w:pPr>
        <w:rPr>
          <w:szCs w:val="26"/>
        </w:rPr>
      </w:pPr>
    </w:p>
    <w:p w:rsidR="001140B1" w:rsidRPr="001140B1" w:rsidRDefault="0070748A" w:rsidP="00605054">
      <w:pPr>
        <w:ind w:firstLine="1440"/>
        <w:rPr>
          <w:szCs w:val="26"/>
        </w:rPr>
      </w:pPr>
      <w:r>
        <w:rPr>
          <w:szCs w:val="26"/>
        </w:rPr>
        <w:t>I</w:t>
      </w:r>
      <w:r w:rsidR="00062FC2">
        <w:rPr>
          <w:szCs w:val="26"/>
        </w:rPr>
        <w:t xml:space="preserve">t is noted that Complainant is not an </w:t>
      </w:r>
      <w:r>
        <w:rPr>
          <w:szCs w:val="26"/>
        </w:rPr>
        <w:t>“</w:t>
      </w:r>
      <w:r w:rsidR="00062FC2">
        <w:rPr>
          <w:szCs w:val="26"/>
        </w:rPr>
        <w:t>applicant</w:t>
      </w:r>
      <w:r>
        <w:rPr>
          <w:szCs w:val="26"/>
        </w:rPr>
        <w:t>”</w:t>
      </w:r>
      <w:r w:rsidR="00062FC2">
        <w:rPr>
          <w:szCs w:val="26"/>
        </w:rPr>
        <w:t xml:space="preserve"> for current service, </w:t>
      </w:r>
      <w:r>
        <w:rPr>
          <w:szCs w:val="26"/>
        </w:rPr>
        <w:t xml:space="preserve">however, </w:t>
      </w:r>
      <w:r w:rsidR="00062FC2">
        <w:rPr>
          <w:szCs w:val="26"/>
        </w:rPr>
        <w:t xml:space="preserve">the applicable statutory </w:t>
      </w:r>
      <w:r w:rsidR="00D92E0D">
        <w:rPr>
          <w:szCs w:val="26"/>
        </w:rPr>
        <w:t>language</w:t>
      </w:r>
      <w:r w:rsidR="00062FC2">
        <w:rPr>
          <w:szCs w:val="26"/>
        </w:rPr>
        <w:t xml:space="preserve"> state</w:t>
      </w:r>
      <w:r w:rsidR="00D92E0D">
        <w:rPr>
          <w:szCs w:val="26"/>
        </w:rPr>
        <w:t>s</w:t>
      </w:r>
      <w:r w:rsidR="00062FC2">
        <w:rPr>
          <w:szCs w:val="26"/>
        </w:rPr>
        <w:t xml:space="preserve"> that</w:t>
      </w:r>
      <w:r w:rsidR="00313DB6">
        <w:rPr>
          <w:szCs w:val="26"/>
        </w:rPr>
        <w:t xml:space="preserve"> a</w:t>
      </w:r>
      <w:r w:rsidR="00434866" w:rsidRPr="001140B1">
        <w:rPr>
          <w:szCs w:val="26"/>
        </w:rPr>
        <w:t xml:space="preserve"> utility may establish that an applicant previously resided at a property for which residential service is requested through the use of the following</w:t>
      </w:r>
      <w:r w:rsidR="00F62FC5" w:rsidRPr="001140B1">
        <w:rPr>
          <w:szCs w:val="26"/>
        </w:rPr>
        <w:t xml:space="preserve"> types of evidence</w:t>
      </w:r>
      <w:r w:rsidR="00434866" w:rsidRPr="001140B1">
        <w:rPr>
          <w:szCs w:val="26"/>
        </w:rPr>
        <w:t xml:space="preserve">: mortgage, deed or lease information, a commercially available consumer credit reporting service or other methods approved as valid by the Commission.  </w:t>
      </w:r>
      <w:r w:rsidR="00434866" w:rsidRPr="001140B1">
        <w:rPr>
          <w:i/>
          <w:szCs w:val="26"/>
        </w:rPr>
        <w:t xml:space="preserve">See </w:t>
      </w:r>
      <w:r w:rsidR="00434866" w:rsidRPr="001140B1">
        <w:rPr>
          <w:szCs w:val="26"/>
        </w:rPr>
        <w:t>66 Pa.</w:t>
      </w:r>
      <w:r w:rsidR="00F62FC5" w:rsidRPr="001140B1">
        <w:rPr>
          <w:szCs w:val="26"/>
        </w:rPr>
        <w:t xml:space="preserve"> </w:t>
      </w:r>
      <w:r w:rsidR="001140B1" w:rsidRPr="001140B1">
        <w:rPr>
          <w:szCs w:val="26"/>
        </w:rPr>
        <w:t>C.S. § 1407(d) and (e).</w:t>
      </w:r>
      <w:r w:rsidR="00914776">
        <w:rPr>
          <w:rStyle w:val="FootnoteReference"/>
          <w:szCs w:val="26"/>
        </w:rPr>
        <w:footnoteReference w:id="5"/>
      </w:r>
      <w:r w:rsidR="00914776">
        <w:rPr>
          <w:szCs w:val="26"/>
        </w:rPr>
        <w:t xml:space="preserve"> </w:t>
      </w:r>
      <w:r w:rsidR="001140B1" w:rsidRPr="001140B1">
        <w:rPr>
          <w:szCs w:val="26"/>
        </w:rPr>
        <w:br/>
      </w:r>
    </w:p>
    <w:p w:rsidR="00313DB6" w:rsidRDefault="00434866" w:rsidP="00605054">
      <w:pPr>
        <w:ind w:firstLine="1440"/>
        <w:rPr>
          <w:szCs w:val="26"/>
        </w:rPr>
      </w:pPr>
      <w:r w:rsidRPr="001140B1">
        <w:rPr>
          <w:szCs w:val="26"/>
        </w:rPr>
        <w:t>The Commission</w:t>
      </w:r>
      <w:r w:rsidR="001140B1">
        <w:rPr>
          <w:szCs w:val="26"/>
        </w:rPr>
        <w:t>’</w:t>
      </w:r>
      <w:r w:rsidRPr="001140B1">
        <w:rPr>
          <w:szCs w:val="26"/>
        </w:rPr>
        <w:t xml:space="preserve">s </w:t>
      </w:r>
      <w:r w:rsidR="002728A3">
        <w:rPr>
          <w:szCs w:val="26"/>
        </w:rPr>
        <w:t>R</w:t>
      </w:r>
      <w:r w:rsidRPr="001140B1">
        <w:rPr>
          <w:szCs w:val="26"/>
        </w:rPr>
        <w:t xml:space="preserve">egulations at </w:t>
      </w:r>
      <w:hyperlink r:id="rId12" w:history="1">
        <w:r w:rsidRPr="001140B1">
          <w:rPr>
            <w:szCs w:val="26"/>
          </w:rPr>
          <w:t>52 Pa. Code § 56.35(b)(1)</w:t>
        </w:r>
      </w:hyperlink>
      <w:r w:rsidRPr="001140B1">
        <w:rPr>
          <w:szCs w:val="26"/>
        </w:rPr>
        <w:t xml:space="preserve"> and (2) also incorporate and reference the types of evidence that may be </w:t>
      </w:r>
      <w:r w:rsidR="00313DB6">
        <w:rPr>
          <w:szCs w:val="26"/>
        </w:rPr>
        <w:t xml:space="preserve">produced by the utility as </w:t>
      </w:r>
      <w:r w:rsidRPr="001140B1">
        <w:rPr>
          <w:szCs w:val="26"/>
        </w:rPr>
        <w:lastRenderedPageBreak/>
        <w:t xml:space="preserve">probative of a person’s </w:t>
      </w:r>
      <w:r w:rsidR="00D978D2">
        <w:rPr>
          <w:szCs w:val="26"/>
        </w:rPr>
        <w:t xml:space="preserve">financial </w:t>
      </w:r>
      <w:r w:rsidRPr="001140B1">
        <w:rPr>
          <w:szCs w:val="26"/>
        </w:rPr>
        <w:t>responsibility for utility service to an address</w:t>
      </w:r>
      <w:r w:rsidR="001140B1" w:rsidRPr="001140B1">
        <w:rPr>
          <w:szCs w:val="26"/>
        </w:rPr>
        <w:t xml:space="preserve"> where that person previously resided</w:t>
      </w:r>
      <w:r w:rsidR="00313DB6">
        <w:rPr>
          <w:szCs w:val="26"/>
        </w:rPr>
        <w:t xml:space="preserve">.  The pertinent section of the regulation </w:t>
      </w:r>
      <w:r w:rsidR="004770C8">
        <w:rPr>
          <w:szCs w:val="26"/>
        </w:rPr>
        <w:t>states the</w:t>
      </w:r>
      <w:r w:rsidR="00313DB6">
        <w:rPr>
          <w:szCs w:val="26"/>
        </w:rPr>
        <w:t xml:space="preserve"> follow</w:t>
      </w:r>
      <w:r w:rsidR="004770C8">
        <w:rPr>
          <w:szCs w:val="26"/>
        </w:rPr>
        <w:t>ing</w:t>
      </w:r>
      <w:r w:rsidR="00313DB6">
        <w:rPr>
          <w:szCs w:val="26"/>
        </w:rPr>
        <w:t>:</w:t>
      </w:r>
    </w:p>
    <w:p w:rsidR="00313DB6" w:rsidRDefault="00313DB6" w:rsidP="00605054">
      <w:pPr>
        <w:ind w:firstLine="1440"/>
        <w:rPr>
          <w:szCs w:val="26"/>
        </w:rPr>
      </w:pPr>
    </w:p>
    <w:p w:rsidR="00434866" w:rsidRPr="00313DB6" w:rsidRDefault="00313DB6" w:rsidP="00313DB6">
      <w:pPr>
        <w:spacing w:line="240" w:lineRule="auto"/>
        <w:ind w:left="1440" w:right="1440"/>
        <w:rPr>
          <w:szCs w:val="26"/>
        </w:rPr>
      </w:pPr>
      <w:r w:rsidRPr="00313DB6">
        <w:rPr>
          <w:szCs w:val="26"/>
        </w:rPr>
        <w:t>§ 56.35. Payment of outstanding balance</w:t>
      </w:r>
      <w:r w:rsidRPr="00313DB6">
        <w:rPr>
          <w:szCs w:val="26"/>
        </w:rPr>
        <w:br/>
      </w:r>
      <w:r w:rsidRPr="00313DB6">
        <w:rPr>
          <w:szCs w:val="26"/>
        </w:rPr>
        <w:br/>
        <w:t>(a)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r w:rsidRPr="00313DB6">
        <w:rPr>
          <w:szCs w:val="26"/>
        </w:rPr>
        <w:br/>
      </w:r>
      <w:r w:rsidRPr="00313DB6">
        <w:rPr>
          <w:szCs w:val="26"/>
        </w:rPr>
        <w:br/>
        <w:t>(b) A public utility may not require, as a condition of the furnishing of residential service, payment for residential service previously furnished under an account in the name of a person other than the applicant, except as provided for in paragraphs (1) and (2).</w:t>
      </w:r>
      <w:r w:rsidRPr="00313DB6">
        <w:rPr>
          <w:szCs w:val="26"/>
        </w:rPr>
        <w:br/>
      </w:r>
      <w:r w:rsidRPr="00313DB6">
        <w:rPr>
          <w:szCs w:val="26"/>
        </w:rPr>
        <w:br/>
      </w:r>
      <w:r w:rsidR="00D978D2">
        <w:rPr>
          <w:szCs w:val="26"/>
        </w:rPr>
        <w:t xml:space="preserve">     </w:t>
      </w:r>
      <w:r w:rsidRPr="00313DB6">
        <w:rPr>
          <w:szCs w:val="26"/>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w:t>
      </w:r>
      <w:r w:rsidRPr="00313DB6">
        <w:rPr>
          <w:szCs w:val="26"/>
        </w:rPr>
        <w:br/>
      </w:r>
      <w:r w:rsidRPr="00313DB6">
        <w:rPr>
          <w:szCs w:val="26"/>
        </w:rPr>
        <w:br/>
      </w:r>
      <w:r w:rsidR="00D978D2">
        <w:rPr>
          <w:szCs w:val="26"/>
        </w:rPr>
        <w:t xml:space="preserve">     </w:t>
      </w:r>
      <w:r w:rsidRPr="00313DB6">
        <w:rPr>
          <w:szCs w:val="26"/>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00D978D2">
        <w:rPr>
          <w:szCs w:val="26"/>
        </w:rPr>
        <w:t xml:space="preserve"> </w:t>
      </w:r>
      <w:r w:rsidRPr="00313DB6">
        <w:rPr>
          <w:szCs w:val="26"/>
        </w:rPr>
        <w:t>Public utilities shall include in their tariffs filed with the Commission the methods, other than those specifically mentioned in this paragraph, used to determine the applicant's liability for any outstanding balance.</w:t>
      </w:r>
      <w:r w:rsidR="00434866" w:rsidRPr="00313DB6">
        <w:rPr>
          <w:szCs w:val="26"/>
        </w:rPr>
        <w:t xml:space="preserve"> </w:t>
      </w:r>
    </w:p>
    <w:p w:rsidR="00313DB6" w:rsidRDefault="00313DB6" w:rsidP="00313DB6">
      <w:pPr>
        <w:spacing w:line="240" w:lineRule="auto"/>
        <w:ind w:firstLine="1440"/>
        <w:rPr>
          <w:szCs w:val="26"/>
        </w:rPr>
      </w:pPr>
    </w:p>
    <w:p w:rsidR="00313DB6" w:rsidRPr="001140B1" w:rsidRDefault="00313DB6" w:rsidP="00222029">
      <w:pPr>
        <w:spacing w:line="240" w:lineRule="auto"/>
        <w:ind w:firstLine="1440"/>
        <w:rPr>
          <w:szCs w:val="26"/>
        </w:rPr>
      </w:pPr>
    </w:p>
    <w:p w:rsidR="00434866" w:rsidRPr="001140B1" w:rsidRDefault="00313DB6" w:rsidP="00434866">
      <w:pPr>
        <w:rPr>
          <w:szCs w:val="26"/>
        </w:rPr>
      </w:pPr>
      <w:r>
        <w:rPr>
          <w:szCs w:val="26"/>
        </w:rPr>
        <w:t xml:space="preserve">52 Pa. Code §§ </w:t>
      </w:r>
      <w:r w:rsidRPr="00313DB6">
        <w:rPr>
          <w:szCs w:val="26"/>
        </w:rPr>
        <w:t>56.35</w:t>
      </w:r>
      <w:r>
        <w:rPr>
          <w:szCs w:val="26"/>
        </w:rPr>
        <w:t>(a), (b)</w:t>
      </w:r>
    </w:p>
    <w:p w:rsidR="00313DB6" w:rsidRDefault="00313DB6" w:rsidP="001140B1">
      <w:pPr>
        <w:ind w:firstLine="1440"/>
        <w:rPr>
          <w:szCs w:val="26"/>
        </w:rPr>
      </w:pPr>
    </w:p>
    <w:p w:rsidR="00434866" w:rsidRPr="00E74C20" w:rsidRDefault="00062FC2" w:rsidP="001140B1">
      <w:pPr>
        <w:ind w:firstLine="1440"/>
        <w:rPr>
          <w:szCs w:val="26"/>
        </w:rPr>
      </w:pPr>
      <w:r>
        <w:rPr>
          <w:szCs w:val="26"/>
        </w:rPr>
        <w:lastRenderedPageBreak/>
        <w:t xml:space="preserve">Based on the foregoing, </w:t>
      </w:r>
      <w:r w:rsidR="00C8114B">
        <w:rPr>
          <w:szCs w:val="26"/>
        </w:rPr>
        <w:t>Commission</w:t>
      </w:r>
      <w:r w:rsidR="00434866" w:rsidRPr="001140B1">
        <w:rPr>
          <w:szCs w:val="26"/>
        </w:rPr>
        <w:t xml:space="preserve"> Regulations provide, in pertinent part, that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001140B1">
        <w:rPr>
          <w:szCs w:val="26"/>
        </w:rPr>
        <w:t xml:space="preserve"> </w:t>
      </w:r>
      <w:r w:rsidR="003E6D79">
        <w:rPr>
          <w:szCs w:val="26"/>
        </w:rPr>
        <w:t>T</w:t>
      </w:r>
      <w:r w:rsidR="00434866" w:rsidRPr="001140B1">
        <w:rPr>
          <w:szCs w:val="26"/>
        </w:rPr>
        <w:t xml:space="preserve">he </w:t>
      </w:r>
      <w:r>
        <w:rPr>
          <w:szCs w:val="26"/>
        </w:rPr>
        <w:t xml:space="preserve">Regulations </w:t>
      </w:r>
      <w:r w:rsidR="00434866" w:rsidRPr="001140B1">
        <w:rPr>
          <w:szCs w:val="26"/>
        </w:rPr>
        <w:t>also state that utilities shall include in their tariffs filed with the Commission</w:t>
      </w:r>
      <w:r w:rsidR="001140B1">
        <w:rPr>
          <w:szCs w:val="26"/>
        </w:rPr>
        <w:t>,</w:t>
      </w:r>
      <w:r w:rsidR="00434866" w:rsidRPr="001140B1">
        <w:rPr>
          <w:szCs w:val="26"/>
        </w:rPr>
        <w:t xml:space="preserve"> the methods, other than those specifically mentioned in th</w:t>
      </w:r>
      <w:r w:rsidR="00E74C20">
        <w:rPr>
          <w:szCs w:val="26"/>
        </w:rPr>
        <w:t>e</w:t>
      </w:r>
      <w:r w:rsidR="00434866" w:rsidRPr="001140B1">
        <w:rPr>
          <w:szCs w:val="26"/>
        </w:rPr>
        <w:t xml:space="preserve"> </w:t>
      </w:r>
      <w:r w:rsidR="00E74C20">
        <w:rPr>
          <w:szCs w:val="26"/>
        </w:rPr>
        <w:t>Regulations</w:t>
      </w:r>
      <w:r w:rsidR="00434866" w:rsidRPr="001140B1">
        <w:rPr>
          <w:szCs w:val="26"/>
        </w:rPr>
        <w:t>, used to determine the applicant’s liability for any outstanding balance.</w:t>
      </w:r>
      <w:r w:rsidR="00E74C20">
        <w:rPr>
          <w:szCs w:val="26"/>
        </w:rPr>
        <w:t xml:space="preserve">  </w:t>
      </w:r>
      <w:r w:rsidR="00E74C20">
        <w:rPr>
          <w:i/>
          <w:szCs w:val="26"/>
        </w:rPr>
        <w:t>See e.g., Virginia Scafe v. PECO</w:t>
      </w:r>
      <w:r w:rsidR="00E74C20">
        <w:rPr>
          <w:szCs w:val="26"/>
        </w:rPr>
        <w:t xml:space="preserve">, Docket No. </w:t>
      </w:r>
      <w:r w:rsidR="00E74C20" w:rsidRPr="00E74C20">
        <w:rPr>
          <w:color w:val="333333"/>
          <w:szCs w:val="26"/>
        </w:rPr>
        <w:t>C-2013-2368096</w:t>
      </w:r>
      <w:r w:rsidR="00E74C20">
        <w:rPr>
          <w:color w:val="333333"/>
          <w:szCs w:val="26"/>
        </w:rPr>
        <w:t xml:space="preserve"> (Initial Decision </w:t>
      </w:r>
      <w:r w:rsidR="002728A3">
        <w:rPr>
          <w:color w:val="333333"/>
          <w:szCs w:val="26"/>
        </w:rPr>
        <w:t xml:space="preserve">issued </w:t>
      </w:r>
      <w:r w:rsidR="00E74C20">
        <w:rPr>
          <w:color w:val="333333"/>
          <w:szCs w:val="26"/>
        </w:rPr>
        <w:t xml:space="preserve">April </w:t>
      </w:r>
      <w:r w:rsidR="002B09B4">
        <w:rPr>
          <w:color w:val="333333"/>
          <w:szCs w:val="26"/>
        </w:rPr>
        <w:t>16</w:t>
      </w:r>
      <w:r w:rsidR="00E74C20">
        <w:rPr>
          <w:color w:val="333333"/>
          <w:szCs w:val="26"/>
        </w:rPr>
        <w:t>, 2015; Final Order</w:t>
      </w:r>
      <w:r w:rsidR="002B09B4">
        <w:rPr>
          <w:color w:val="333333"/>
          <w:szCs w:val="26"/>
        </w:rPr>
        <w:t xml:space="preserve"> </w:t>
      </w:r>
      <w:r w:rsidR="002728A3">
        <w:rPr>
          <w:color w:val="333333"/>
          <w:szCs w:val="26"/>
        </w:rPr>
        <w:t xml:space="preserve">entered </w:t>
      </w:r>
      <w:r w:rsidR="002B09B4">
        <w:rPr>
          <w:color w:val="333333"/>
          <w:szCs w:val="26"/>
        </w:rPr>
        <w:t>May 20, 2015</w:t>
      </w:r>
      <w:r w:rsidR="00E74C20">
        <w:rPr>
          <w:color w:val="333333"/>
          <w:szCs w:val="26"/>
        </w:rPr>
        <w:t>)</w:t>
      </w:r>
      <w:r w:rsidR="000852A1">
        <w:rPr>
          <w:color w:val="333333"/>
          <w:szCs w:val="26"/>
        </w:rPr>
        <w:t xml:space="preserve"> (</w:t>
      </w:r>
      <w:r w:rsidR="000852A1">
        <w:rPr>
          <w:i/>
          <w:color w:val="333333"/>
          <w:szCs w:val="26"/>
        </w:rPr>
        <w:t>Scafe</w:t>
      </w:r>
      <w:r w:rsidR="000852A1">
        <w:rPr>
          <w:color w:val="333333"/>
          <w:szCs w:val="26"/>
        </w:rPr>
        <w:t>)</w:t>
      </w:r>
      <w:r w:rsidR="00E74C20">
        <w:rPr>
          <w:color w:val="333333"/>
          <w:szCs w:val="26"/>
        </w:rPr>
        <w:t xml:space="preserve">; </w:t>
      </w:r>
      <w:r w:rsidR="00E74C20">
        <w:rPr>
          <w:i/>
          <w:color w:val="333333"/>
          <w:szCs w:val="26"/>
        </w:rPr>
        <w:t>Fran A. Rosenstock v. PGW</w:t>
      </w:r>
      <w:r w:rsidR="00E74C20">
        <w:rPr>
          <w:color w:val="333333"/>
          <w:szCs w:val="26"/>
        </w:rPr>
        <w:t xml:space="preserve">, Docket No. </w:t>
      </w:r>
      <w:r w:rsidR="00E74C20" w:rsidRPr="00E74C20">
        <w:rPr>
          <w:color w:val="333333"/>
          <w:szCs w:val="26"/>
        </w:rPr>
        <w:t>C-2012-2327743</w:t>
      </w:r>
      <w:r w:rsidR="00E74C20">
        <w:rPr>
          <w:color w:val="333333"/>
          <w:szCs w:val="26"/>
        </w:rPr>
        <w:t xml:space="preserve"> (Initial Decision </w:t>
      </w:r>
      <w:r w:rsidR="002728A3">
        <w:rPr>
          <w:color w:val="333333"/>
          <w:szCs w:val="26"/>
        </w:rPr>
        <w:t xml:space="preserve">issued </w:t>
      </w:r>
      <w:r w:rsidR="00BF4A6B">
        <w:rPr>
          <w:color w:val="333333"/>
          <w:szCs w:val="26"/>
        </w:rPr>
        <w:t>February 10</w:t>
      </w:r>
      <w:r w:rsidR="00E74C20">
        <w:rPr>
          <w:color w:val="333333"/>
          <w:szCs w:val="26"/>
        </w:rPr>
        <w:t>, 2014; Final Order</w:t>
      </w:r>
      <w:r w:rsidR="00BF4A6B">
        <w:rPr>
          <w:color w:val="333333"/>
          <w:szCs w:val="26"/>
        </w:rPr>
        <w:t xml:space="preserve"> </w:t>
      </w:r>
      <w:r w:rsidR="002728A3">
        <w:rPr>
          <w:color w:val="333333"/>
          <w:szCs w:val="26"/>
        </w:rPr>
        <w:t xml:space="preserve">entered </w:t>
      </w:r>
      <w:r w:rsidR="00BF4A6B">
        <w:rPr>
          <w:color w:val="333333"/>
          <w:szCs w:val="26"/>
        </w:rPr>
        <w:t>March 17, 2014</w:t>
      </w:r>
      <w:r w:rsidR="00E74C20">
        <w:rPr>
          <w:color w:val="333333"/>
          <w:szCs w:val="26"/>
        </w:rPr>
        <w:t>)</w:t>
      </w:r>
      <w:r w:rsidR="000852A1">
        <w:rPr>
          <w:color w:val="333333"/>
          <w:szCs w:val="26"/>
        </w:rPr>
        <w:t xml:space="preserve"> (</w:t>
      </w:r>
      <w:r w:rsidR="000852A1">
        <w:rPr>
          <w:i/>
          <w:color w:val="333333"/>
          <w:szCs w:val="26"/>
        </w:rPr>
        <w:t>Rosenstock</w:t>
      </w:r>
      <w:r w:rsidR="000852A1">
        <w:rPr>
          <w:color w:val="333333"/>
          <w:szCs w:val="26"/>
        </w:rPr>
        <w:t>)</w:t>
      </w:r>
      <w:r w:rsidR="00E74C20">
        <w:rPr>
          <w:color w:val="333333"/>
          <w:szCs w:val="26"/>
        </w:rPr>
        <w:t xml:space="preserve">; </w:t>
      </w:r>
      <w:r w:rsidR="00E74C20">
        <w:rPr>
          <w:i/>
          <w:color w:val="333333"/>
          <w:szCs w:val="26"/>
        </w:rPr>
        <w:t>Joan Walker v. PECO</w:t>
      </w:r>
      <w:r w:rsidR="00E74C20">
        <w:rPr>
          <w:color w:val="333333"/>
          <w:szCs w:val="26"/>
        </w:rPr>
        <w:t>, Docket No</w:t>
      </w:r>
      <w:r w:rsidR="00E74C20" w:rsidRPr="00E74C20">
        <w:rPr>
          <w:color w:val="333333"/>
          <w:szCs w:val="26"/>
        </w:rPr>
        <w:t>. C-2013-2367274</w:t>
      </w:r>
      <w:r w:rsidR="00E74C20">
        <w:rPr>
          <w:color w:val="333333"/>
          <w:szCs w:val="26"/>
        </w:rPr>
        <w:t xml:space="preserve"> (Initial Decision </w:t>
      </w:r>
      <w:r w:rsidR="002728A3">
        <w:rPr>
          <w:color w:val="333333"/>
          <w:szCs w:val="26"/>
        </w:rPr>
        <w:t xml:space="preserve">issued </w:t>
      </w:r>
      <w:r w:rsidR="00BF4A6B">
        <w:rPr>
          <w:color w:val="333333"/>
          <w:szCs w:val="26"/>
        </w:rPr>
        <w:t>February 14,</w:t>
      </w:r>
      <w:r w:rsidR="00E74C20">
        <w:rPr>
          <w:color w:val="333333"/>
          <w:szCs w:val="26"/>
        </w:rPr>
        <w:t xml:space="preserve"> 2014; Final Order</w:t>
      </w:r>
      <w:r w:rsidR="00BF4A6B">
        <w:rPr>
          <w:color w:val="333333"/>
          <w:szCs w:val="26"/>
        </w:rPr>
        <w:t xml:space="preserve"> </w:t>
      </w:r>
      <w:r w:rsidR="002728A3">
        <w:rPr>
          <w:color w:val="333333"/>
          <w:szCs w:val="26"/>
        </w:rPr>
        <w:t xml:space="preserve">entered </w:t>
      </w:r>
      <w:r w:rsidR="00BF4A6B">
        <w:rPr>
          <w:color w:val="333333"/>
          <w:szCs w:val="26"/>
        </w:rPr>
        <w:t>March 19, 2014</w:t>
      </w:r>
      <w:r w:rsidR="00E74C20">
        <w:rPr>
          <w:color w:val="333333"/>
          <w:szCs w:val="26"/>
        </w:rPr>
        <w:t>)</w:t>
      </w:r>
      <w:r w:rsidR="000852A1">
        <w:rPr>
          <w:color w:val="333333"/>
          <w:szCs w:val="26"/>
        </w:rPr>
        <w:t xml:space="preserve"> (</w:t>
      </w:r>
      <w:r w:rsidR="000852A1">
        <w:rPr>
          <w:i/>
          <w:color w:val="333333"/>
          <w:szCs w:val="26"/>
        </w:rPr>
        <w:t>Walker</w:t>
      </w:r>
      <w:r w:rsidR="000852A1">
        <w:rPr>
          <w:color w:val="333333"/>
          <w:szCs w:val="26"/>
        </w:rPr>
        <w:t>)</w:t>
      </w:r>
      <w:r w:rsidR="00E74C20">
        <w:rPr>
          <w:color w:val="333333"/>
          <w:szCs w:val="26"/>
        </w:rPr>
        <w:t xml:space="preserve">.  </w:t>
      </w:r>
    </w:p>
    <w:p w:rsidR="001140B1" w:rsidRDefault="001140B1" w:rsidP="001140B1">
      <w:pPr>
        <w:ind w:firstLine="1440"/>
        <w:rPr>
          <w:szCs w:val="26"/>
        </w:rPr>
      </w:pPr>
    </w:p>
    <w:p w:rsidR="003E6D79" w:rsidRDefault="001140B1" w:rsidP="001140B1">
      <w:pPr>
        <w:ind w:firstLine="1440"/>
        <w:rPr>
          <w:szCs w:val="26"/>
        </w:rPr>
      </w:pPr>
      <w:r>
        <w:rPr>
          <w:szCs w:val="26"/>
        </w:rPr>
        <w:t xml:space="preserve">On review of the evidence submitted by PECO, </w:t>
      </w:r>
      <w:r w:rsidR="008769C4">
        <w:rPr>
          <w:szCs w:val="26"/>
        </w:rPr>
        <w:t xml:space="preserve">we </w:t>
      </w:r>
      <w:r w:rsidR="00F65782">
        <w:rPr>
          <w:szCs w:val="26"/>
        </w:rPr>
        <w:t>find</w:t>
      </w:r>
      <w:r w:rsidR="008769C4">
        <w:rPr>
          <w:szCs w:val="26"/>
        </w:rPr>
        <w:t xml:space="preserve"> that </w:t>
      </w:r>
      <w:r>
        <w:rPr>
          <w:szCs w:val="26"/>
        </w:rPr>
        <w:t>t</w:t>
      </w:r>
      <w:r w:rsidR="00376D2B">
        <w:rPr>
          <w:szCs w:val="26"/>
        </w:rPr>
        <w:t>he evidence</w:t>
      </w:r>
      <w:r>
        <w:rPr>
          <w:szCs w:val="26"/>
        </w:rPr>
        <w:t xml:space="preserve"> does not fall within the generally enumerated category of </w:t>
      </w:r>
      <w:r w:rsidR="004770C8">
        <w:rPr>
          <w:szCs w:val="26"/>
        </w:rPr>
        <w:t xml:space="preserve">documentary </w:t>
      </w:r>
      <w:r>
        <w:rPr>
          <w:szCs w:val="26"/>
        </w:rPr>
        <w:t>evidence set forth in the statute, or Commission Regulations.</w:t>
      </w:r>
      <w:r w:rsidR="00FA262B">
        <w:rPr>
          <w:szCs w:val="26"/>
        </w:rPr>
        <w:t xml:space="preserve">  </w:t>
      </w:r>
      <w:r w:rsidR="00376D2B">
        <w:rPr>
          <w:szCs w:val="26"/>
        </w:rPr>
        <w:t>Rather, t</w:t>
      </w:r>
      <w:r>
        <w:rPr>
          <w:szCs w:val="26"/>
        </w:rPr>
        <w:t xml:space="preserve">he evidence </w:t>
      </w:r>
      <w:r w:rsidR="004770C8">
        <w:rPr>
          <w:szCs w:val="26"/>
        </w:rPr>
        <w:t xml:space="preserve">on which PECO </w:t>
      </w:r>
      <w:r>
        <w:rPr>
          <w:szCs w:val="26"/>
        </w:rPr>
        <w:t>primarily</w:t>
      </w:r>
      <w:r w:rsidR="00376D2B">
        <w:rPr>
          <w:szCs w:val="26"/>
        </w:rPr>
        <w:t xml:space="preserve"> </w:t>
      </w:r>
      <w:r w:rsidR="004770C8">
        <w:rPr>
          <w:szCs w:val="26"/>
        </w:rPr>
        <w:t xml:space="preserve">relies </w:t>
      </w:r>
      <w:r w:rsidR="00376D2B">
        <w:rPr>
          <w:szCs w:val="26"/>
        </w:rPr>
        <w:t>consists of PECO’s</w:t>
      </w:r>
      <w:r>
        <w:rPr>
          <w:szCs w:val="26"/>
        </w:rPr>
        <w:t xml:space="preserve"> business records</w:t>
      </w:r>
      <w:r w:rsidR="004770C8">
        <w:rPr>
          <w:szCs w:val="26"/>
        </w:rPr>
        <w:t xml:space="preserve"> and testimony of its employees concerning the said business records.</w:t>
      </w:r>
      <w:r w:rsidR="00D61227">
        <w:rPr>
          <w:rStyle w:val="FootnoteReference"/>
          <w:szCs w:val="26"/>
        </w:rPr>
        <w:footnoteReference w:id="6"/>
      </w:r>
      <w:r w:rsidR="004770C8">
        <w:rPr>
          <w:szCs w:val="26"/>
        </w:rPr>
        <w:t xml:space="preserve"> </w:t>
      </w:r>
      <w:r>
        <w:rPr>
          <w:szCs w:val="26"/>
        </w:rPr>
        <w:t xml:space="preserve"> </w:t>
      </w:r>
      <w:r w:rsidR="004770C8">
        <w:rPr>
          <w:szCs w:val="26"/>
        </w:rPr>
        <w:t>While the</w:t>
      </w:r>
      <w:r>
        <w:rPr>
          <w:szCs w:val="26"/>
        </w:rPr>
        <w:t xml:space="preserve"> records show </w:t>
      </w:r>
      <w:r w:rsidR="00165137">
        <w:rPr>
          <w:szCs w:val="26"/>
        </w:rPr>
        <w:t>document</w:t>
      </w:r>
      <w:r w:rsidR="00040E6D">
        <w:rPr>
          <w:szCs w:val="26"/>
        </w:rPr>
        <w:t>ation of customer contact and</w:t>
      </w:r>
      <w:r w:rsidR="00165137">
        <w:rPr>
          <w:szCs w:val="26"/>
        </w:rPr>
        <w:t xml:space="preserve"> </w:t>
      </w:r>
      <w:r>
        <w:rPr>
          <w:szCs w:val="26"/>
        </w:rPr>
        <w:t>activity</w:t>
      </w:r>
      <w:r w:rsidR="00376D2B">
        <w:rPr>
          <w:szCs w:val="26"/>
        </w:rPr>
        <w:t xml:space="preserve"> </w:t>
      </w:r>
      <w:r w:rsidR="00FA262B">
        <w:rPr>
          <w:szCs w:val="26"/>
        </w:rPr>
        <w:t>with regard to the Service Address</w:t>
      </w:r>
      <w:r w:rsidR="004770C8">
        <w:rPr>
          <w:szCs w:val="26"/>
        </w:rPr>
        <w:t>, such</w:t>
      </w:r>
      <w:r>
        <w:rPr>
          <w:szCs w:val="26"/>
        </w:rPr>
        <w:t xml:space="preserve"> business records are</w:t>
      </w:r>
      <w:r w:rsidR="00165137">
        <w:rPr>
          <w:szCs w:val="26"/>
        </w:rPr>
        <w:t xml:space="preserve"> </w:t>
      </w:r>
      <w:r w:rsidR="00FA262B">
        <w:rPr>
          <w:szCs w:val="26"/>
        </w:rPr>
        <w:t>not</w:t>
      </w:r>
      <w:r w:rsidR="004770C8">
        <w:rPr>
          <w:szCs w:val="26"/>
        </w:rPr>
        <w:t>, as suggested by PECO,</w:t>
      </w:r>
      <w:r w:rsidR="00FA262B">
        <w:rPr>
          <w:szCs w:val="26"/>
        </w:rPr>
        <w:t xml:space="preserve"> conclusive on the ultimate issue </w:t>
      </w:r>
      <w:r w:rsidR="004770C8">
        <w:rPr>
          <w:szCs w:val="26"/>
        </w:rPr>
        <w:t>in dispute in this matter, p</w:t>
      </w:r>
      <w:r w:rsidR="00FA262B">
        <w:rPr>
          <w:szCs w:val="26"/>
        </w:rPr>
        <w:t>e</w:t>
      </w:r>
      <w:r w:rsidR="004770C8">
        <w:rPr>
          <w:szCs w:val="26"/>
        </w:rPr>
        <w:t>r</w:t>
      </w:r>
      <w:r w:rsidR="00FA262B">
        <w:rPr>
          <w:szCs w:val="26"/>
        </w:rPr>
        <w:t xml:space="preserve"> </w:t>
      </w:r>
      <w:r w:rsidR="004770C8">
        <w:rPr>
          <w:szCs w:val="26"/>
        </w:rPr>
        <w:t xml:space="preserve">the </w:t>
      </w:r>
      <w:r w:rsidR="00FA262B">
        <w:rPr>
          <w:szCs w:val="26"/>
        </w:rPr>
        <w:t>statute or regulations.</w:t>
      </w:r>
      <w:r w:rsidR="003E6D79">
        <w:rPr>
          <w:szCs w:val="26"/>
        </w:rPr>
        <w:t xml:space="preserve">  On review of PECO Exhibit 6, we conclude that </w:t>
      </w:r>
      <w:r w:rsidR="00D61227">
        <w:rPr>
          <w:szCs w:val="26"/>
        </w:rPr>
        <w:t xml:space="preserve">PECO has overstated the relevance and materiality of the exhibit and that </w:t>
      </w:r>
      <w:r w:rsidR="003E6D79">
        <w:rPr>
          <w:szCs w:val="26"/>
        </w:rPr>
        <w:t xml:space="preserve">the ALJ gave this exhibit proper evidentiary consideration </w:t>
      </w:r>
      <w:r w:rsidR="00D61227">
        <w:rPr>
          <w:szCs w:val="26"/>
        </w:rPr>
        <w:t>and</w:t>
      </w:r>
      <w:r w:rsidR="003E6D79">
        <w:rPr>
          <w:szCs w:val="26"/>
        </w:rPr>
        <w:t xml:space="preserve"> found the probative value less than the evidence presented by Complainant.  </w:t>
      </w:r>
    </w:p>
    <w:p w:rsidR="003E6D79" w:rsidRDefault="003E6D79" w:rsidP="001140B1">
      <w:pPr>
        <w:ind w:firstLine="1440"/>
        <w:rPr>
          <w:szCs w:val="26"/>
        </w:rPr>
      </w:pPr>
    </w:p>
    <w:p w:rsidR="0036629A" w:rsidRDefault="003E6D79" w:rsidP="001140B1">
      <w:pPr>
        <w:ind w:firstLine="1440"/>
        <w:rPr>
          <w:szCs w:val="26"/>
        </w:rPr>
      </w:pPr>
      <w:r>
        <w:rPr>
          <w:szCs w:val="26"/>
        </w:rPr>
        <w:lastRenderedPageBreak/>
        <w:t>PECO Exhibit 6</w:t>
      </w:r>
      <w:r w:rsidR="0036629A">
        <w:rPr>
          <w:szCs w:val="26"/>
        </w:rPr>
        <w:t xml:space="preserve"> is a log summarizing customer contacts on behalf of the Service Address with PECO’s customer service center.  The period of time covers, August 27, 2009, with the latest date appearing to be November 19, 2010.  Two of the contacts, June 29, 2010, and July 1, 2010, make reference to a Social Security Number associated with the account.  However, Complainant testified that the Social Security Number in PECO’s files was incorrect.  </w:t>
      </w:r>
      <w:r w:rsidR="0036629A">
        <w:rPr>
          <w:i/>
          <w:szCs w:val="26"/>
        </w:rPr>
        <w:t xml:space="preserve">See </w:t>
      </w:r>
      <w:r w:rsidR="0036629A">
        <w:rPr>
          <w:szCs w:val="26"/>
        </w:rPr>
        <w:t>Tr. at 27-29</w:t>
      </w:r>
      <w:r w:rsidR="00D61227">
        <w:rPr>
          <w:szCs w:val="26"/>
        </w:rPr>
        <w:t>; 62</w:t>
      </w:r>
      <w:r w:rsidR="0036629A">
        <w:rPr>
          <w:szCs w:val="26"/>
        </w:rPr>
        <w:t>.</w:t>
      </w:r>
      <w:r w:rsidR="00D61227">
        <w:rPr>
          <w:szCs w:val="26"/>
        </w:rPr>
        <w:t xml:space="preserve">  </w:t>
      </w:r>
    </w:p>
    <w:p w:rsidR="00D61227" w:rsidRDefault="00D61227" w:rsidP="001140B1">
      <w:pPr>
        <w:ind w:firstLine="1440"/>
        <w:rPr>
          <w:szCs w:val="26"/>
        </w:rPr>
      </w:pPr>
    </w:p>
    <w:p w:rsidR="00F65782" w:rsidRDefault="00D61227" w:rsidP="00F65782">
      <w:pPr>
        <w:ind w:firstLine="1440"/>
        <w:rPr>
          <w:color w:val="333333"/>
          <w:szCs w:val="26"/>
        </w:rPr>
      </w:pPr>
      <w:r>
        <w:rPr>
          <w:szCs w:val="26"/>
        </w:rPr>
        <w:t xml:space="preserve">Also, during the testimony of PECO witness Ms. Tarpley concerning Exhibit </w:t>
      </w:r>
      <w:r w:rsidR="00B853FE">
        <w:rPr>
          <w:szCs w:val="26"/>
        </w:rPr>
        <w:t xml:space="preserve">1 and </w:t>
      </w:r>
      <w:r>
        <w:rPr>
          <w:szCs w:val="26"/>
        </w:rPr>
        <w:t>6, she testified concerning the utility’s procedures for initiating service.</w:t>
      </w:r>
      <w:r w:rsidR="00B853FE">
        <w:rPr>
          <w:szCs w:val="26"/>
        </w:rPr>
        <w:t xml:space="preserve">  Tr. at 46-50.</w:t>
      </w:r>
      <w:r>
        <w:rPr>
          <w:szCs w:val="26"/>
        </w:rPr>
        <w:t xml:space="preserve">  </w:t>
      </w:r>
      <w:r w:rsidR="00B853FE">
        <w:rPr>
          <w:szCs w:val="26"/>
        </w:rPr>
        <w:t xml:space="preserve">The procedures that are referenced include a credit report and request for a Social Security Number.  </w:t>
      </w:r>
      <w:r>
        <w:rPr>
          <w:szCs w:val="26"/>
        </w:rPr>
        <w:t>However,</w:t>
      </w:r>
      <w:r w:rsidR="00B853FE">
        <w:rPr>
          <w:szCs w:val="26"/>
        </w:rPr>
        <w:t xml:space="preserve"> none of the references to PECO’s CIS present the type of evidence referenced in the statute or Commission Regulations tying Ms. Hallman to residency at the Service Address.  </w:t>
      </w:r>
      <w:r w:rsidR="00B853FE">
        <w:rPr>
          <w:i/>
          <w:szCs w:val="26"/>
        </w:rPr>
        <w:t xml:space="preserve">See </w:t>
      </w:r>
      <w:r w:rsidR="00B853FE">
        <w:rPr>
          <w:szCs w:val="26"/>
        </w:rPr>
        <w:t>Tr. at 47</w:t>
      </w:r>
      <w:r w:rsidR="00F65782">
        <w:rPr>
          <w:szCs w:val="26"/>
        </w:rPr>
        <w:t xml:space="preserve">; </w:t>
      </w:r>
      <w:r w:rsidR="00F65782">
        <w:rPr>
          <w:i/>
          <w:szCs w:val="26"/>
        </w:rPr>
        <w:t xml:space="preserve">also </w:t>
      </w:r>
      <w:r w:rsidR="00F65782" w:rsidRPr="00F65782">
        <w:rPr>
          <w:i/>
          <w:color w:val="333333"/>
          <w:szCs w:val="26"/>
        </w:rPr>
        <w:t>Donna Nelson v. Philadelphia Gas Works</w:t>
      </w:r>
      <w:r w:rsidR="00F65782">
        <w:rPr>
          <w:color w:val="333333"/>
          <w:szCs w:val="26"/>
        </w:rPr>
        <w:t xml:space="preserve">, Docket No. </w:t>
      </w:r>
      <w:r w:rsidR="00F65782" w:rsidRPr="0018494D">
        <w:rPr>
          <w:color w:val="333333"/>
          <w:szCs w:val="26"/>
        </w:rPr>
        <w:t>C-2015-2470586</w:t>
      </w:r>
      <w:r w:rsidR="00F65782">
        <w:rPr>
          <w:color w:val="333333"/>
          <w:szCs w:val="26"/>
        </w:rPr>
        <w:t xml:space="preserve"> (Initial Decision </w:t>
      </w:r>
      <w:r w:rsidR="004F4981">
        <w:rPr>
          <w:color w:val="333333"/>
          <w:szCs w:val="26"/>
        </w:rPr>
        <w:t xml:space="preserve">issued </w:t>
      </w:r>
      <w:r w:rsidR="00F65782">
        <w:rPr>
          <w:color w:val="333333"/>
          <w:szCs w:val="26"/>
        </w:rPr>
        <w:t xml:space="preserve">December 18, 2015; Final Order </w:t>
      </w:r>
      <w:r w:rsidR="004F4981">
        <w:rPr>
          <w:color w:val="333333"/>
          <w:szCs w:val="26"/>
        </w:rPr>
        <w:t xml:space="preserve">entered </w:t>
      </w:r>
      <w:r w:rsidR="00F65782">
        <w:rPr>
          <w:color w:val="333333"/>
          <w:szCs w:val="26"/>
        </w:rPr>
        <w:t>February 1, 2016).</w:t>
      </w:r>
    </w:p>
    <w:p w:rsidR="0036629A" w:rsidRDefault="0036629A" w:rsidP="001140B1">
      <w:pPr>
        <w:ind w:firstLine="1440"/>
        <w:rPr>
          <w:szCs w:val="26"/>
        </w:rPr>
      </w:pPr>
    </w:p>
    <w:p w:rsidR="00991D55" w:rsidRDefault="0036629A" w:rsidP="001140B1">
      <w:pPr>
        <w:ind w:firstLine="1440"/>
        <w:rPr>
          <w:szCs w:val="26"/>
        </w:rPr>
      </w:pPr>
      <w:r>
        <w:rPr>
          <w:szCs w:val="26"/>
        </w:rPr>
        <w:t>PECO Exhibit 6 also indicates a credit card authorization</w:t>
      </w:r>
      <w:r w:rsidR="00F65782">
        <w:rPr>
          <w:szCs w:val="26"/>
        </w:rPr>
        <w:t xml:space="preserve"> for a payment</w:t>
      </w:r>
      <w:r>
        <w:rPr>
          <w:szCs w:val="26"/>
        </w:rPr>
        <w:t>, November 19, 2010, but does not associate Complainant with this credit card.</w:t>
      </w:r>
      <w:r w:rsidR="00B853FE">
        <w:rPr>
          <w:szCs w:val="26"/>
        </w:rPr>
        <w:t xml:space="preserve">  Further, on review of the testimony of PECO’s other witness at the hearing, Mr. Hilton, in his testimony he admitted that no investigator from PECO spoke with Complainant, but that his investigation consisted of, “. . . attempting to contact the customer th</w:t>
      </w:r>
      <w:r w:rsidR="00991D55">
        <w:rPr>
          <w:szCs w:val="26"/>
        </w:rPr>
        <w:t>at</w:t>
      </w:r>
      <w:r w:rsidR="00B853FE">
        <w:rPr>
          <w:szCs w:val="26"/>
        </w:rPr>
        <w:t xml:space="preserve"> filed the complain</w:t>
      </w:r>
      <w:r w:rsidR="00991D55">
        <w:rPr>
          <w:szCs w:val="26"/>
        </w:rPr>
        <w:t xml:space="preserve"> [sic]</w:t>
      </w:r>
      <w:r w:rsidR="00B853FE">
        <w:rPr>
          <w:szCs w:val="26"/>
        </w:rPr>
        <w:t xml:space="preserve"> using different resources such as public records, any information tha</w:t>
      </w:r>
      <w:r w:rsidR="00991D55">
        <w:rPr>
          <w:szCs w:val="26"/>
        </w:rPr>
        <w:t>t</w:t>
      </w:r>
      <w:r w:rsidR="00B853FE">
        <w:rPr>
          <w:szCs w:val="26"/>
        </w:rPr>
        <w:t xml:space="preserve"> we have to pl</w:t>
      </w:r>
      <w:r w:rsidR="00991D55">
        <w:rPr>
          <w:szCs w:val="26"/>
        </w:rPr>
        <w:t>a</w:t>
      </w:r>
      <w:r w:rsidR="00B853FE">
        <w:rPr>
          <w:szCs w:val="26"/>
        </w:rPr>
        <w:t>ce the cust</w:t>
      </w:r>
      <w:r w:rsidR="00991D55">
        <w:rPr>
          <w:szCs w:val="26"/>
        </w:rPr>
        <w:t>omer</w:t>
      </w:r>
      <w:r w:rsidR="00B853FE">
        <w:rPr>
          <w:szCs w:val="26"/>
        </w:rPr>
        <w:t xml:space="preserve"> eith</w:t>
      </w:r>
      <w:r w:rsidR="00991D55">
        <w:rPr>
          <w:szCs w:val="26"/>
        </w:rPr>
        <w:t>er</w:t>
      </w:r>
      <w:r w:rsidR="00B853FE">
        <w:rPr>
          <w:szCs w:val="26"/>
        </w:rPr>
        <w:t xml:space="preserve"> at the</w:t>
      </w:r>
      <w:r w:rsidR="00991D55">
        <w:rPr>
          <w:szCs w:val="26"/>
        </w:rPr>
        <w:t xml:space="preserve"> </w:t>
      </w:r>
      <w:r w:rsidR="00B853FE">
        <w:rPr>
          <w:szCs w:val="26"/>
        </w:rPr>
        <w:t>property or not at the property.”  Tr. at 65.  In this instance, Mr. Hilton’s testimony was that he “confir</w:t>
      </w:r>
      <w:r w:rsidR="00991D55">
        <w:rPr>
          <w:szCs w:val="26"/>
        </w:rPr>
        <w:t>m</w:t>
      </w:r>
      <w:r w:rsidR="00B853FE">
        <w:rPr>
          <w:szCs w:val="26"/>
        </w:rPr>
        <w:t xml:space="preserve">ed” she (Ms. Hallman) was at the property via public records, “Lexus [sic] Nexus [sic].”  </w:t>
      </w:r>
      <w:r w:rsidR="00B853FE">
        <w:rPr>
          <w:i/>
          <w:szCs w:val="26"/>
        </w:rPr>
        <w:t>Id</w:t>
      </w:r>
      <w:r w:rsidR="00B853FE">
        <w:rPr>
          <w:szCs w:val="26"/>
        </w:rPr>
        <w:t>.</w:t>
      </w:r>
    </w:p>
    <w:p w:rsidR="0036629A" w:rsidRDefault="00B853FE" w:rsidP="001140B1">
      <w:pPr>
        <w:ind w:firstLine="1440"/>
        <w:rPr>
          <w:szCs w:val="26"/>
        </w:rPr>
      </w:pPr>
      <w:r>
        <w:rPr>
          <w:szCs w:val="26"/>
        </w:rPr>
        <w:t xml:space="preserve"> </w:t>
      </w:r>
    </w:p>
    <w:p w:rsidR="003E6D79" w:rsidRDefault="0036629A" w:rsidP="001140B1">
      <w:pPr>
        <w:ind w:firstLine="1440"/>
        <w:rPr>
          <w:szCs w:val="26"/>
        </w:rPr>
      </w:pPr>
      <w:r>
        <w:rPr>
          <w:szCs w:val="26"/>
        </w:rPr>
        <w:t xml:space="preserve">In contrast, </w:t>
      </w:r>
      <w:r w:rsidR="00F51CE3">
        <w:rPr>
          <w:szCs w:val="26"/>
        </w:rPr>
        <w:t>Complainant entered into the record copies of leases showing her residency during the Disputed Period as an address on Seneca Street, Essington, Pennsylvania.  During the Disputed Period and</w:t>
      </w:r>
      <w:r w:rsidR="003928D2">
        <w:rPr>
          <w:szCs w:val="26"/>
        </w:rPr>
        <w:t>,</w:t>
      </w:r>
      <w:r w:rsidR="00F51CE3">
        <w:rPr>
          <w:szCs w:val="26"/>
        </w:rPr>
        <w:t xml:space="preserve"> significantly, for a period of time that </w:t>
      </w:r>
      <w:r w:rsidR="00F51CE3">
        <w:rPr>
          <w:szCs w:val="26"/>
        </w:rPr>
        <w:lastRenderedPageBreak/>
        <w:t xml:space="preserve">overlaps the time periods emphasized by PECO, the </w:t>
      </w:r>
      <w:r w:rsidR="00991D55">
        <w:rPr>
          <w:szCs w:val="26"/>
        </w:rPr>
        <w:t>documents provided by Complainant show</w:t>
      </w:r>
      <w:r w:rsidR="00F51CE3">
        <w:rPr>
          <w:szCs w:val="26"/>
        </w:rPr>
        <w:t xml:space="preserve"> a Commonwealth of Pennsylvania</w:t>
      </w:r>
      <w:r w:rsidR="00991D55">
        <w:rPr>
          <w:szCs w:val="26"/>
        </w:rPr>
        <w:t xml:space="preserve"> Department of Transportation</w:t>
      </w:r>
      <w:r w:rsidR="00F51CE3">
        <w:rPr>
          <w:szCs w:val="26"/>
        </w:rPr>
        <w:t xml:space="preserve"> letter</w:t>
      </w:r>
      <w:r w:rsidR="00991D55">
        <w:rPr>
          <w:szCs w:val="26"/>
        </w:rPr>
        <w:t xml:space="preserve"> specifically referencing Ms. Hallman’s Pennsylvania driver’s license</w:t>
      </w:r>
      <w:r w:rsidR="00F51CE3">
        <w:rPr>
          <w:szCs w:val="26"/>
        </w:rPr>
        <w:t xml:space="preserve"> (dated June 1, 2011), </w:t>
      </w:r>
      <w:r w:rsidR="00991D55">
        <w:rPr>
          <w:szCs w:val="26"/>
        </w:rPr>
        <w:t xml:space="preserve">as an address other than the Service Address </w:t>
      </w:r>
      <w:r w:rsidR="00F51CE3">
        <w:rPr>
          <w:szCs w:val="26"/>
        </w:rPr>
        <w:t xml:space="preserve">and a letter from the Interboro School District (dated February 18, 2010), confirming a residency at Seneca Street and not the Service Address.   </w:t>
      </w:r>
      <w:r>
        <w:rPr>
          <w:szCs w:val="26"/>
        </w:rPr>
        <w:t xml:space="preserve">  </w:t>
      </w:r>
      <w:r w:rsidR="003E6D79">
        <w:rPr>
          <w:szCs w:val="26"/>
        </w:rPr>
        <w:t xml:space="preserve"> </w:t>
      </w:r>
    </w:p>
    <w:p w:rsidR="00D07D3D" w:rsidRDefault="00D07D3D" w:rsidP="00567836">
      <w:pPr>
        <w:rPr>
          <w:szCs w:val="26"/>
        </w:rPr>
      </w:pPr>
    </w:p>
    <w:p w:rsidR="004770C8" w:rsidRPr="00D07D3D" w:rsidRDefault="00D07D3D" w:rsidP="001140B1">
      <w:pPr>
        <w:ind w:firstLine="1440"/>
        <w:rPr>
          <w:szCs w:val="26"/>
        </w:rPr>
      </w:pPr>
      <w:r w:rsidRPr="00D07D3D">
        <w:rPr>
          <w:szCs w:val="24"/>
        </w:rPr>
        <w:t xml:space="preserve">Upon the presentation by a complainant of a </w:t>
      </w:r>
      <w:r w:rsidRPr="00D07D3D">
        <w:rPr>
          <w:i/>
          <w:szCs w:val="24"/>
        </w:rPr>
        <w:t>prima facie</w:t>
      </w:r>
      <w:r w:rsidRPr="00D07D3D">
        <w:rPr>
          <w:szCs w:val="24"/>
        </w:rPr>
        <w:t xml:space="preserve"> case, </w:t>
      </w:r>
      <w:r w:rsidRPr="00D07D3D">
        <w:rPr>
          <w:i/>
          <w:szCs w:val="24"/>
        </w:rPr>
        <w:t>i.e</w:t>
      </w:r>
      <w:r w:rsidRPr="00D07D3D">
        <w:rPr>
          <w:szCs w:val="24"/>
        </w:rPr>
        <w:t>., evidence sufficient to initially satisfy the burden of proof, the burden of going forward with the evidence to rebut the evidence of the customer shifts to the respondent.</w:t>
      </w:r>
      <w:r>
        <w:rPr>
          <w:szCs w:val="24"/>
        </w:rPr>
        <w:t xml:space="preserve">  </w:t>
      </w:r>
      <w:hyperlink r:id="rId13" w:history="1">
        <w:r w:rsidRPr="00D07D3D">
          <w:rPr>
            <w:rStyle w:val="Hyperlink"/>
            <w:i/>
            <w:iCs/>
            <w:color w:val="auto"/>
            <w:szCs w:val="24"/>
            <w:u w:val="none"/>
          </w:rPr>
          <w:t>Burleson</w:t>
        </w:r>
        <w:r>
          <w:rPr>
            <w:rStyle w:val="Hyperlink"/>
            <w:iCs/>
            <w:color w:val="auto"/>
            <w:szCs w:val="24"/>
            <w:u w:val="none"/>
          </w:rPr>
          <w:t>.</w:t>
        </w:r>
        <w:r w:rsidRPr="00D07D3D">
          <w:rPr>
            <w:rStyle w:val="Hyperlink"/>
            <w:i/>
            <w:iCs/>
            <w:color w:val="auto"/>
            <w:szCs w:val="24"/>
            <w:u w:val="none"/>
          </w:rPr>
          <w:t xml:space="preserve"> </w:t>
        </w:r>
      </w:hyperlink>
      <w:r w:rsidRPr="00D07D3D">
        <w:rPr>
          <w:szCs w:val="24"/>
        </w:rPr>
        <w:t xml:space="preserve"> If the evidence presented by the respondent is of co-equal value or “weight,” the burden of proof has not been satisfied.  The complainant now has to provide some additional evidence to rebut that of the respondent.</w:t>
      </w:r>
      <w:r>
        <w:rPr>
          <w:szCs w:val="24"/>
        </w:rPr>
        <w:t xml:space="preserve">  </w:t>
      </w:r>
      <w:r>
        <w:rPr>
          <w:i/>
          <w:szCs w:val="24"/>
        </w:rPr>
        <w:t>Id</w:t>
      </w:r>
      <w:r>
        <w:rPr>
          <w:szCs w:val="24"/>
        </w:rPr>
        <w:t>.  Complainant</w:t>
      </w:r>
      <w:r w:rsidR="00040E6D">
        <w:rPr>
          <w:szCs w:val="24"/>
        </w:rPr>
        <w:t xml:space="preserve">, in this </w:t>
      </w:r>
      <w:r w:rsidR="003928D2">
        <w:rPr>
          <w:szCs w:val="24"/>
        </w:rPr>
        <w:t>matter</w:t>
      </w:r>
      <w:r w:rsidR="00040E6D">
        <w:rPr>
          <w:szCs w:val="24"/>
        </w:rPr>
        <w:t>,</w:t>
      </w:r>
      <w:r>
        <w:rPr>
          <w:szCs w:val="24"/>
        </w:rPr>
        <w:t xml:space="preserve"> has satisfied the burden of going forward with evidence and the burden of proof.  Complainant has, as noted, submitted: </w:t>
      </w:r>
      <w:r w:rsidRPr="00D07D3D">
        <w:rPr>
          <w:szCs w:val="26"/>
        </w:rPr>
        <w:t>a letter from her landlord indicating where she resided</w:t>
      </w:r>
      <w:r w:rsidR="00567836">
        <w:rPr>
          <w:szCs w:val="26"/>
        </w:rPr>
        <w:t xml:space="preserve"> during the Disputed Period</w:t>
      </w:r>
      <w:r w:rsidRPr="00D07D3D">
        <w:rPr>
          <w:szCs w:val="26"/>
        </w:rPr>
        <w:t xml:space="preserve">; a copy of her driver’s license; an Individualized Education Program (IEP) form; and her insurance card.  </w:t>
      </w:r>
      <w:r>
        <w:rPr>
          <w:i/>
          <w:szCs w:val="26"/>
        </w:rPr>
        <w:t xml:space="preserve">See </w:t>
      </w:r>
      <w:r>
        <w:rPr>
          <w:szCs w:val="26"/>
        </w:rPr>
        <w:t>F</w:t>
      </w:r>
      <w:r w:rsidR="00042BDF">
        <w:rPr>
          <w:szCs w:val="26"/>
        </w:rPr>
        <w:t>inding of F</w:t>
      </w:r>
      <w:r>
        <w:rPr>
          <w:szCs w:val="26"/>
        </w:rPr>
        <w:t>act #8</w:t>
      </w:r>
      <w:r w:rsidRPr="00D07D3D">
        <w:rPr>
          <w:szCs w:val="26"/>
        </w:rPr>
        <w:t>; Complainant Exhibit 2</w:t>
      </w:r>
      <w:r>
        <w:rPr>
          <w:szCs w:val="26"/>
        </w:rPr>
        <w:t>; and</w:t>
      </w:r>
      <w:r w:rsidRPr="00D07D3D">
        <w:rPr>
          <w:szCs w:val="26"/>
        </w:rPr>
        <w:t xml:space="preserve"> </w:t>
      </w:r>
      <w:r w:rsidR="00567836">
        <w:rPr>
          <w:szCs w:val="26"/>
        </w:rPr>
        <w:t xml:space="preserve">also </w:t>
      </w:r>
      <w:r w:rsidRPr="00D07D3D">
        <w:rPr>
          <w:szCs w:val="26"/>
        </w:rPr>
        <w:t>a filed police report (</w:t>
      </w:r>
      <w:r>
        <w:rPr>
          <w:szCs w:val="26"/>
        </w:rPr>
        <w:t xml:space="preserve">Complainant </w:t>
      </w:r>
      <w:r w:rsidRPr="00D07D3D">
        <w:rPr>
          <w:szCs w:val="26"/>
        </w:rPr>
        <w:t>Exh. #7)</w:t>
      </w:r>
      <w:r>
        <w:rPr>
          <w:szCs w:val="26"/>
        </w:rPr>
        <w:t>.</w:t>
      </w:r>
      <w:r w:rsidR="00991D55">
        <w:rPr>
          <w:rStyle w:val="FootnoteReference"/>
          <w:szCs w:val="26"/>
        </w:rPr>
        <w:footnoteReference w:id="7"/>
      </w:r>
      <w:r>
        <w:rPr>
          <w:szCs w:val="26"/>
        </w:rPr>
        <w:t xml:space="preserve">  Contrary to PECO’s representations, its business records </w:t>
      </w:r>
      <w:r w:rsidR="00D978D2">
        <w:rPr>
          <w:szCs w:val="26"/>
        </w:rPr>
        <w:t xml:space="preserve">showing account activity </w:t>
      </w:r>
      <w:r w:rsidR="00991D55">
        <w:rPr>
          <w:szCs w:val="26"/>
        </w:rPr>
        <w:t>notations entered by its employees</w:t>
      </w:r>
      <w:r w:rsidR="00D978D2">
        <w:rPr>
          <w:szCs w:val="26"/>
        </w:rPr>
        <w:t xml:space="preserve"> </w:t>
      </w:r>
      <w:r w:rsidR="00991D55">
        <w:rPr>
          <w:szCs w:val="26"/>
        </w:rPr>
        <w:t>concerning</w:t>
      </w:r>
      <w:r w:rsidR="00567836">
        <w:rPr>
          <w:szCs w:val="26"/>
        </w:rPr>
        <w:t xml:space="preserve"> the Service Address </w:t>
      </w:r>
      <w:r w:rsidR="00D978D2">
        <w:rPr>
          <w:szCs w:val="26"/>
        </w:rPr>
        <w:t>w</w:t>
      </w:r>
      <w:r w:rsidR="00991D55">
        <w:rPr>
          <w:szCs w:val="26"/>
        </w:rPr>
        <w:t>ere</w:t>
      </w:r>
      <w:r w:rsidR="00D978D2">
        <w:rPr>
          <w:szCs w:val="26"/>
        </w:rPr>
        <w:t xml:space="preserve"> not found to be</w:t>
      </w:r>
      <w:r>
        <w:rPr>
          <w:szCs w:val="26"/>
        </w:rPr>
        <w:t xml:space="preserve"> evidence of co-equal value or weight </w:t>
      </w:r>
      <w:r w:rsidR="00991D55">
        <w:rPr>
          <w:szCs w:val="26"/>
        </w:rPr>
        <w:t xml:space="preserve">to the evidence of Complainant in that </w:t>
      </w:r>
      <w:r w:rsidR="00040E6D">
        <w:rPr>
          <w:szCs w:val="26"/>
        </w:rPr>
        <w:t>PECO’s</w:t>
      </w:r>
      <w:r w:rsidR="00991D55">
        <w:rPr>
          <w:szCs w:val="26"/>
        </w:rPr>
        <w:t xml:space="preserve"> evidence</w:t>
      </w:r>
      <w:r>
        <w:rPr>
          <w:szCs w:val="26"/>
        </w:rPr>
        <w:t xml:space="preserve"> does not tie Ms. Hallman to the Service Address as PECO represents.  </w:t>
      </w:r>
      <w:r>
        <w:rPr>
          <w:i/>
          <w:szCs w:val="26"/>
        </w:rPr>
        <w:t>See Scafe; Walker</w:t>
      </w:r>
      <w:r>
        <w:rPr>
          <w:szCs w:val="26"/>
        </w:rPr>
        <w:t xml:space="preserve">.   </w:t>
      </w:r>
      <w:r w:rsidRPr="00D07D3D">
        <w:rPr>
          <w:szCs w:val="26"/>
        </w:rPr>
        <w:t xml:space="preserve">      </w:t>
      </w:r>
    </w:p>
    <w:p w:rsidR="004770C8" w:rsidRDefault="004770C8" w:rsidP="001140B1">
      <w:pPr>
        <w:ind w:firstLine="1440"/>
        <w:rPr>
          <w:szCs w:val="26"/>
        </w:rPr>
      </w:pPr>
    </w:p>
    <w:p w:rsidR="007E3B30" w:rsidRPr="00991D55" w:rsidRDefault="000852A1" w:rsidP="001140B1">
      <w:pPr>
        <w:ind w:firstLine="1440"/>
        <w:rPr>
          <w:szCs w:val="26"/>
        </w:rPr>
      </w:pPr>
      <w:r>
        <w:rPr>
          <w:szCs w:val="26"/>
        </w:rPr>
        <w:t>Additionally, w</w:t>
      </w:r>
      <w:r w:rsidR="004770C8">
        <w:rPr>
          <w:szCs w:val="26"/>
        </w:rPr>
        <w:t>e have reviewed</w:t>
      </w:r>
      <w:r w:rsidR="00E46280">
        <w:rPr>
          <w:szCs w:val="26"/>
        </w:rPr>
        <w:t xml:space="preserve"> </w:t>
      </w:r>
      <w:r w:rsidR="00E46280">
        <w:rPr>
          <w:i/>
          <w:szCs w:val="26"/>
        </w:rPr>
        <w:t>Gasparro</w:t>
      </w:r>
      <w:r w:rsidR="00E46280">
        <w:rPr>
          <w:szCs w:val="26"/>
        </w:rPr>
        <w:t xml:space="preserve"> pursuant to PECO’s</w:t>
      </w:r>
      <w:r w:rsidR="004770C8">
        <w:rPr>
          <w:szCs w:val="26"/>
        </w:rPr>
        <w:t xml:space="preserve"> citation and reference </w:t>
      </w:r>
      <w:r w:rsidR="00040E6D">
        <w:rPr>
          <w:szCs w:val="26"/>
        </w:rPr>
        <w:t>in its Exceptions</w:t>
      </w:r>
      <w:r w:rsidR="00E46280">
        <w:rPr>
          <w:szCs w:val="26"/>
        </w:rPr>
        <w:t>.</w:t>
      </w:r>
      <w:r w:rsidR="00EC7571">
        <w:rPr>
          <w:szCs w:val="26"/>
        </w:rPr>
        <w:t xml:space="preserve"> </w:t>
      </w:r>
      <w:r w:rsidR="00E46280">
        <w:rPr>
          <w:szCs w:val="26"/>
        </w:rPr>
        <w:t xml:space="preserve"> The </w:t>
      </w:r>
      <w:r w:rsidR="00EC7571">
        <w:rPr>
          <w:szCs w:val="26"/>
        </w:rPr>
        <w:t>Commission discuss</w:t>
      </w:r>
      <w:r w:rsidR="007E3B30">
        <w:rPr>
          <w:szCs w:val="26"/>
        </w:rPr>
        <w:t>ed</w:t>
      </w:r>
      <w:r w:rsidR="00EC7571">
        <w:rPr>
          <w:szCs w:val="26"/>
        </w:rPr>
        <w:t xml:space="preserve"> </w:t>
      </w:r>
      <w:r w:rsidR="00E46280">
        <w:rPr>
          <w:szCs w:val="26"/>
        </w:rPr>
        <w:t>the</w:t>
      </w:r>
      <w:r w:rsidR="00EC7571">
        <w:rPr>
          <w:szCs w:val="26"/>
        </w:rPr>
        <w:t xml:space="preserve"> </w:t>
      </w:r>
      <w:r w:rsidR="00E46280">
        <w:rPr>
          <w:szCs w:val="26"/>
        </w:rPr>
        <w:t xml:space="preserve">relevance and materiality of </w:t>
      </w:r>
      <w:r w:rsidR="00E46280">
        <w:rPr>
          <w:szCs w:val="26"/>
        </w:rPr>
        <w:lastRenderedPageBreak/>
        <w:t>PECO’s business records</w:t>
      </w:r>
      <w:r w:rsidR="007E3B30">
        <w:rPr>
          <w:szCs w:val="26"/>
        </w:rPr>
        <w:t xml:space="preserve"> in </w:t>
      </w:r>
      <w:r w:rsidR="007E3B30">
        <w:rPr>
          <w:i/>
          <w:szCs w:val="26"/>
        </w:rPr>
        <w:t>Gasparro</w:t>
      </w:r>
      <w:r w:rsidR="007E3B30">
        <w:rPr>
          <w:szCs w:val="26"/>
        </w:rPr>
        <w:t>.  However, this case</w:t>
      </w:r>
      <w:r w:rsidR="00EC7571">
        <w:rPr>
          <w:szCs w:val="26"/>
        </w:rPr>
        <w:t xml:space="preserve"> </w:t>
      </w:r>
      <w:r w:rsidR="007E3B30">
        <w:rPr>
          <w:szCs w:val="26"/>
        </w:rPr>
        <w:t>does not</w:t>
      </w:r>
      <w:r w:rsidR="00EC7571">
        <w:rPr>
          <w:szCs w:val="26"/>
        </w:rPr>
        <w:t xml:space="preserve"> </w:t>
      </w:r>
      <w:r w:rsidR="008769C4">
        <w:rPr>
          <w:szCs w:val="26"/>
        </w:rPr>
        <w:t xml:space="preserve">support </w:t>
      </w:r>
      <w:r w:rsidR="00EC7571">
        <w:rPr>
          <w:szCs w:val="26"/>
        </w:rPr>
        <w:t xml:space="preserve">PECO’s arguments </w:t>
      </w:r>
      <w:r w:rsidR="00567836">
        <w:rPr>
          <w:szCs w:val="26"/>
        </w:rPr>
        <w:t>t</w:t>
      </w:r>
      <w:r w:rsidR="007E3B30">
        <w:rPr>
          <w:szCs w:val="26"/>
        </w:rPr>
        <w:t>hat an error of law was committed by the ALJ.</w:t>
      </w:r>
      <w:r w:rsidR="00991D55">
        <w:rPr>
          <w:szCs w:val="26"/>
        </w:rPr>
        <w:t xml:space="preserve">  </w:t>
      </w:r>
    </w:p>
    <w:p w:rsidR="007E3B30" w:rsidRDefault="007E3B30" w:rsidP="001140B1">
      <w:pPr>
        <w:ind w:firstLine="1440"/>
        <w:rPr>
          <w:szCs w:val="26"/>
        </w:rPr>
      </w:pPr>
    </w:p>
    <w:p w:rsidR="00E46280" w:rsidRDefault="00EC7571" w:rsidP="001140B1">
      <w:pPr>
        <w:ind w:firstLine="1440"/>
        <w:rPr>
          <w:szCs w:val="26"/>
        </w:rPr>
      </w:pPr>
      <w:r>
        <w:rPr>
          <w:szCs w:val="26"/>
        </w:rPr>
        <w:t xml:space="preserve"> </w:t>
      </w:r>
      <w:r w:rsidR="007E3B30">
        <w:rPr>
          <w:i/>
          <w:szCs w:val="26"/>
        </w:rPr>
        <w:t>Gasparro</w:t>
      </w:r>
      <w:r w:rsidR="007E3B30">
        <w:rPr>
          <w:szCs w:val="26"/>
        </w:rPr>
        <w:t xml:space="preserve"> </w:t>
      </w:r>
      <w:r>
        <w:rPr>
          <w:szCs w:val="26"/>
        </w:rPr>
        <w:t>involved the</w:t>
      </w:r>
      <w:r w:rsidR="00E46280">
        <w:rPr>
          <w:szCs w:val="26"/>
        </w:rPr>
        <w:t xml:space="preserve"> question of whether or not a summary of the contents of business records, prepared in anticipation of a hearing, were entitled to consideration and admissibility under the business records exception to the rule </w:t>
      </w:r>
      <w:r w:rsidR="003932A4">
        <w:rPr>
          <w:szCs w:val="26"/>
        </w:rPr>
        <w:t>prohibiting</w:t>
      </w:r>
      <w:r w:rsidR="00E46280">
        <w:rPr>
          <w:szCs w:val="26"/>
        </w:rPr>
        <w:t xml:space="preserve"> hearsay.  In </w:t>
      </w:r>
      <w:r w:rsidR="00E46280">
        <w:rPr>
          <w:i/>
          <w:szCs w:val="26"/>
        </w:rPr>
        <w:t>Gasparro</w:t>
      </w:r>
      <w:r w:rsidR="00E46280">
        <w:rPr>
          <w:szCs w:val="26"/>
        </w:rPr>
        <w:t xml:space="preserve">, we modified an ALJ’s evidentiary ruling that precluded consideration of </w:t>
      </w:r>
      <w:r w:rsidR="008769C4">
        <w:rPr>
          <w:szCs w:val="26"/>
        </w:rPr>
        <w:t>a</w:t>
      </w:r>
      <w:r w:rsidR="00E46280">
        <w:rPr>
          <w:szCs w:val="26"/>
        </w:rPr>
        <w:t xml:space="preserve"> particular exhibit</w:t>
      </w:r>
      <w:r w:rsidR="007E3B30">
        <w:rPr>
          <w:szCs w:val="26"/>
        </w:rPr>
        <w:t xml:space="preserve">.  The particular exhibit was ruled inadmissible by the </w:t>
      </w:r>
      <w:r w:rsidR="003932A4">
        <w:rPr>
          <w:szCs w:val="26"/>
        </w:rPr>
        <w:t xml:space="preserve">presiding </w:t>
      </w:r>
      <w:r w:rsidR="007E3B30">
        <w:rPr>
          <w:szCs w:val="26"/>
        </w:rPr>
        <w:t xml:space="preserve">ALJ in </w:t>
      </w:r>
      <w:r w:rsidR="007E3B30">
        <w:rPr>
          <w:i/>
          <w:szCs w:val="26"/>
        </w:rPr>
        <w:t>Gasparro</w:t>
      </w:r>
      <w:r w:rsidR="00E46280">
        <w:rPr>
          <w:szCs w:val="26"/>
        </w:rPr>
        <w:t xml:space="preserve"> based on, </w:t>
      </w:r>
      <w:r w:rsidR="00E46280">
        <w:rPr>
          <w:i/>
          <w:szCs w:val="26"/>
        </w:rPr>
        <w:t>inter alia</w:t>
      </w:r>
      <w:r w:rsidR="00E46280">
        <w:rPr>
          <w:szCs w:val="26"/>
        </w:rPr>
        <w:t xml:space="preserve">, the </w:t>
      </w:r>
      <w:r w:rsidR="008769C4">
        <w:rPr>
          <w:szCs w:val="26"/>
        </w:rPr>
        <w:t>conclusion that</w:t>
      </w:r>
      <w:r w:rsidR="00E46280">
        <w:rPr>
          <w:szCs w:val="26"/>
        </w:rPr>
        <w:t xml:space="preserve"> the exhibit was a summary prepared by a</w:t>
      </w:r>
      <w:r w:rsidR="007E3B30">
        <w:rPr>
          <w:szCs w:val="26"/>
        </w:rPr>
        <w:t>n</w:t>
      </w:r>
      <w:r w:rsidR="00E46280">
        <w:rPr>
          <w:szCs w:val="26"/>
        </w:rPr>
        <w:t xml:space="preserve"> employee of the utility</w:t>
      </w:r>
      <w:r w:rsidR="007E3B30">
        <w:rPr>
          <w:szCs w:val="26"/>
        </w:rPr>
        <w:t xml:space="preserve"> who was not, generally, </w:t>
      </w:r>
      <w:r w:rsidR="00D978D2">
        <w:rPr>
          <w:szCs w:val="26"/>
        </w:rPr>
        <w:t>a</w:t>
      </w:r>
      <w:r w:rsidR="007E3B30">
        <w:rPr>
          <w:szCs w:val="26"/>
        </w:rPr>
        <w:t xml:space="preserve"> custodian of the records sought to be introduced as evidence</w:t>
      </w:r>
      <w:r w:rsidR="00E46280">
        <w:rPr>
          <w:szCs w:val="26"/>
        </w:rPr>
        <w:t>.</w:t>
      </w:r>
      <w:r w:rsidR="008769C4">
        <w:rPr>
          <w:szCs w:val="26"/>
        </w:rPr>
        <w:t xml:space="preserve">  We found the exclusion of the particular exhibit, under the facts of the case, improper and too strict an application of the business records exception.  In </w:t>
      </w:r>
      <w:r w:rsidR="008769C4">
        <w:rPr>
          <w:i/>
          <w:szCs w:val="26"/>
        </w:rPr>
        <w:t>Gasparro</w:t>
      </w:r>
      <w:r w:rsidR="008769C4">
        <w:rPr>
          <w:szCs w:val="26"/>
        </w:rPr>
        <w:t xml:space="preserve"> we concluded:   </w:t>
      </w:r>
    </w:p>
    <w:p w:rsidR="00E46280" w:rsidRDefault="00E46280" w:rsidP="001140B1">
      <w:pPr>
        <w:ind w:firstLine="1440"/>
        <w:rPr>
          <w:szCs w:val="26"/>
        </w:rPr>
      </w:pPr>
    </w:p>
    <w:p w:rsidR="00E46280" w:rsidRDefault="00E46280" w:rsidP="00E46280">
      <w:pPr>
        <w:spacing w:line="240" w:lineRule="auto"/>
        <w:ind w:left="1440" w:right="1440"/>
        <w:rPr>
          <w:szCs w:val="26"/>
        </w:rPr>
      </w:pPr>
      <w:r>
        <w:t xml:space="preserve">We note that Exhibit 5 is a document prepared by the sponsoring witness, which extracts information from PECO’s business records regarding the interaction with the Complainant in attempting to schedule the installation of an automatic meter reading device.  Exhibit 5 lists the dates, based on PECO’s business records, of the phone message and failed field attempts.  In other words, the underlying business records were utilized to prepare a summary of those portions of PECO’s business records relevant to this proceeding.  As such, Exhibit 5 qualifies for admission as a summary of the contents business records within the meaning of Rule 803 of the PA Rules of Evidence.  </w:t>
      </w:r>
    </w:p>
    <w:p w:rsidR="00E46280" w:rsidRDefault="00E46280" w:rsidP="00E46280">
      <w:pPr>
        <w:spacing w:line="240" w:lineRule="auto"/>
        <w:rPr>
          <w:szCs w:val="26"/>
        </w:rPr>
      </w:pPr>
    </w:p>
    <w:p w:rsidR="009906E5" w:rsidRDefault="009906E5" w:rsidP="009906E5">
      <w:pPr>
        <w:spacing w:line="240" w:lineRule="auto"/>
        <w:rPr>
          <w:i/>
          <w:szCs w:val="26"/>
        </w:rPr>
      </w:pPr>
    </w:p>
    <w:p w:rsidR="00E46280" w:rsidRPr="009906E5" w:rsidRDefault="009906E5" w:rsidP="009906E5">
      <w:pPr>
        <w:spacing w:line="240" w:lineRule="auto"/>
        <w:rPr>
          <w:szCs w:val="26"/>
        </w:rPr>
      </w:pPr>
      <w:r>
        <w:rPr>
          <w:i/>
          <w:szCs w:val="26"/>
        </w:rPr>
        <w:t>Gasparrro</w:t>
      </w:r>
      <w:r>
        <w:rPr>
          <w:szCs w:val="26"/>
        </w:rPr>
        <w:t xml:space="preserve"> at 9.</w:t>
      </w:r>
    </w:p>
    <w:p w:rsidR="00E46280" w:rsidRDefault="00E46280" w:rsidP="001140B1">
      <w:pPr>
        <w:ind w:firstLine="1440"/>
        <w:rPr>
          <w:szCs w:val="26"/>
        </w:rPr>
      </w:pPr>
    </w:p>
    <w:p w:rsidR="00DD6999" w:rsidRDefault="008769C4" w:rsidP="008769C4">
      <w:pPr>
        <w:ind w:firstLine="1440"/>
      </w:pPr>
      <w:r>
        <w:rPr>
          <w:szCs w:val="26"/>
        </w:rPr>
        <w:t xml:space="preserve">Finally, in </w:t>
      </w:r>
      <w:r>
        <w:rPr>
          <w:i/>
          <w:szCs w:val="26"/>
        </w:rPr>
        <w:t>Gasparro</w:t>
      </w:r>
      <w:r>
        <w:rPr>
          <w:szCs w:val="26"/>
        </w:rPr>
        <w:t>, we discussed</w:t>
      </w:r>
      <w:r>
        <w:t xml:space="preserve"> </w:t>
      </w:r>
      <w:r>
        <w:rPr>
          <w:i/>
        </w:rPr>
        <w:t>Ganster v. Western Pa. Water Co.</w:t>
      </w:r>
      <w:r>
        <w:t xml:space="preserve">, 504 A.2d 186, 189 (Pa. Superior Ct. 1985), for the holding that it is not essential for the admission of evidence under the business records exception to the rule prohibiting hearsay, to produce the person who </w:t>
      </w:r>
      <w:r w:rsidR="003932A4">
        <w:t xml:space="preserve">actually </w:t>
      </w:r>
      <w:r>
        <w:t xml:space="preserve">made the entries or </w:t>
      </w:r>
      <w:r w:rsidR="003932A4">
        <w:t>who was</w:t>
      </w:r>
      <w:r w:rsidR="0055727F">
        <w:t>,</w:t>
      </w:r>
      <w:r w:rsidR="003932A4">
        <w:t xml:space="preserve"> </w:t>
      </w:r>
      <w:r>
        <w:lastRenderedPageBreak/>
        <w:t>contemporaneous</w:t>
      </w:r>
      <w:r w:rsidR="0055727F">
        <w:t>ly,</w:t>
      </w:r>
      <w:r>
        <w:t xml:space="preserve"> custodian of the </w:t>
      </w:r>
      <w:r w:rsidR="00991D55">
        <w:t xml:space="preserve">business </w:t>
      </w:r>
      <w:r>
        <w:t xml:space="preserve">record.  The witness need only possess adequate knowledge of the regularity of the record keeping process to qualify the records under the </w:t>
      </w:r>
      <w:r w:rsidR="003932A4">
        <w:t>applicable rule of evidence</w:t>
      </w:r>
      <w:r>
        <w:t xml:space="preserve">.  </w:t>
      </w:r>
      <w:r>
        <w:rPr>
          <w:i/>
        </w:rPr>
        <w:t>Id</w:t>
      </w:r>
      <w:r>
        <w:t xml:space="preserve">., at </w:t>
      </w:r>
      <w:r w:rsidR="00DD6999">
        <w:t>7-8.</w:t>
      </w:r>
    </w:p>
    <w:p w:rsidR="008769C4" w:rsidRDefault="008769C4" w:rsidP="008769C4">
      <w:pPr>
        <w:ind w:firstLine="1440"/>
      </w:pPr>
      <w:r>
        <w:t xml:space="preserve">  </w:t>
      </w:r>
    </w:p>
    <w:p w:rsidR="00FA262B" w:rsidRDefault="009906E5" w:rsidP="009906E5">
      <w:pPr>
        <w:ind w:firstLine="1440"/>
        <w:rPr>
          <w:szCs w:val="26"/>
        </w:rPr>
      </w:pPr>
      <w:r>
        <w:rPr>
          <w:szCs w:val="26"/>
        </w:rPr>
        <w:t xml:space="preserve">In the present case, we find no indication that the business </w:t>
      </w:r>
      <w:r w:rsidR="00376D2B">
        <w:rPr>
          <w:szCs w:val="26"/>
        </w:rPr>
        <w:t>records</w:t>
      </w:r>
      <w:r>
        <w:rPr>
          <w:szCs w:val="26"/>
        </w:rPr>
        <w:t xml:space="preserve"> proffered by </w:t>
      </w:r>
      <w:r w:rsidR="008769C4">
        <w:rPr>
          <w:szCs w:val="26"/>
        </w:rPr>
        <w:t>PECO were not</w:t>
      </w:r>
      <w:r w:rsidR="001140B1">
        <w:rPr>
          <w:szCs w:val="26"/>
        </w:rPr>
        <w:t xml:space="preserve"> </w:t>
      </w:r>
      <w:r w:rsidR="00DD6999">
        <w:rPr>
          <w:szCs w:val="26"/>
        </w:rPr>
        <w:t>given their probative weight by the presiding ALJ in her</w:t>
      </w:r>
      <w:r w:rsidR="007E3B30">
        <w:rPr>
          <w:szCs w:val="26"/>
        </w:rPr>
        <w:t xml:space="preserve"> deliberations</w:t>
      </w:r>
      <w:r w:rsidR="003932A4">
        <w:rPr>
          <w:szCs w:val="26"/>
        </w:rPr>
        <w:t>.</w:t>
      </w:r>
      <w:r w:rsidR="00991D55">
        <w:rPr>
          <w:szCs w:val="26"/>
        </w:rPr>
        <w:t xml:space="preserve">  </w:t>
      </w:r>
      <w:r w:rsidR="00991D55">
        <w:rPr>
          <w:i/>
          <w:szCs w:val="26"/>
        </w:rPr>
        <w:t xml:space="preserve">See </w:t>
      </w:r>
      <w:r w:rsidR="00991D55">
        <w:rPr>
          <w:szCs w:val="26"/>
        </w:rPr>
        <w:t>Tr. at 51-53.</w:t>
      </w:r>
      <w:r w:rsidR="003932A4">
        <w:rPr>
          <w:szCs w:val="26"/>
        </w:rPr>
        <w:t xml:space="preserve">  On review, we agree with the</w:t>
      </w:r>
      <w:r w:rsidR="00DD6999">
        <w:rPr>
          <w:szCs w:val="26"/>
        </w:rPr>
        <w:t xml:space="preserve"> </w:t>
      </w:r>
      <w:r w:rsidR="00991D55">
        <w:rPr>
          <w:szCs w:val="26"/>
        </w:rPr>
        <w:t xml:space="preserve">ALJ’s </w:t>
      </w:r>
      <w:r w:rsidR="00DD6999">
        <w:rPr>
          <w:szCs w:val="26"/>
        </w:rPr>
        <w:t>conclusion that Complain</w:t>
      </w:r>
      <w:r w:rsidR="007E3B30">
        <w:rPr>
          <w:szCs w:val="26"/>
        </w:rPr>
        <w:t>ant</w:t>
      </w:r>
      <w:r w:rsidR="00DD6999">
        <w:rPr>
          <w:szCs w:val="26"/>
        </w:rPr>
        <w:t xml:space="preserve"> met her burden of proof in this case.  </w:t>
      </w:r>
      <w:r w:rsidR="003932A4">
        <w:rPr>
          <w:szCs w:val="26"/>
        </w:rPr>
        <w:t xml:space="preserve">As acknowledged in </w:t>
      </w:r>
      <w:r w:rsidR="003932A4">
        <w:rPr>
          <w:i/>
          <w:szCs w:val="26"/>
        </w:rPr>
        <w:t>Gasparro</w:t>
      </w:r>
      <w:r w:rsidR="003932A4">
        <w:rPr>
          <w:szCs w:val="26"/>
        </w:rPr>
        <w:t>, b</w:t>
      </w:r>
      <w:r w:rsidR="00DD6999">
        <w:rPr>
          <w:szCs w:val="26"/>
        </w:rPr>
        <w:t xml:space="preserve">usiness records </w:t>
      </w:r>
      <w:r w:rsidR="003932A4">
        <w:rPr>
          <w:szCs w:val="26"/>
        </w:rPr>
        <w:t>and certain summaries of th</w:t>
      </w:r>
      <w:r w:rsidR="00991D55">
        <w:rPr>
          <w:szCs w:val="26"/>
        </w:rPr>
        <w:t>e records</w:t>
      </w:r>
      <w:r w:rsidR="003932A4">
        <w:rPr>
          <w:szCs w:val="26"/>
        </w:rPr>
        <w:t xml:space="preserve"> </w:t>
      </w:r>
      <w:r w:rsidR="00FA262B">
        <w:rPr>
          <w:szCs w:val="26"/>
        </w:rPr>
        <w:t>are</w:t>
      </w:r>
      <w:r w:rsidR="00DD6999">
        <w:rPr>
          <w:szCs w:val="26"/>
        </w:rPr>
        <w:t>, in most instances,</w:t>
      </w:r>
      <w:r w:rsidR="00FA262B">
        <w:rPr>
          <w:szCs w:val="26"/>
        </w:rPr>
        <w:t xml:space="preserve"> </w:t>
      </w:r>
      <w:r w:rsidR="003932A4">
        <w:rPr>
          <w:szCs w:val="26"/>
        </w:rPr>
        <w:t xml:space="preserve">an </w:t>
      </w:r>
      <w:r w:rsidR="00FA262B">
        <w:rPr>
          <w:szCs w:val="26"/>
        </w:rPr>
        <w:t xml:space="preserve">exception to the general rule prohibiting hearsay.  However, PECO’s business records and business activity logs </w:t>
      </w:r>
      <w:r w:rsidR="00376D2B">
        <w:rPr>
          <w:szCs w:val="26"/>
        </w:rPr>
        <w:t>w</w:t>
      </w:r>
      <w:r w:rsidR="001140B1">
        <w:rPr>
          <w:szCs w:val="26"/>
        </w:rPr>
        <w:t xml:space="preserve">ere </w:t>
      </w:r>
      <w:r w:rsidR="00FA262B">
        <w:rPr>
          <w:szCs w:val="26"/>
        </w:rPr>
        <w:t xml:space="preserve">considered by the presiding ALJ and </w:t>
      </w:r>
      <w:r w:rsidR="001140B1">
        <w:rPr>
          <w:szCs w:val="26"/>
        </w:rPr>
        <w:t>given their proper evidentiary weight</w:t>
      </w:r>
      <w:r w:rsidR="00FA262B">
        <w:rPr>
          <w:szCs w:val="26"/>
        </w:rPr>
        <w:t>.</w:t>
      </w:r>
      <w:r w:rsidR="009D7B50">
        <w:rPr>
          <w:szCs w:val="26"/>
        </w:rPr>
        <w:t xml:space="preserve">  </w:t>
      </w:r>
      <w:r w:rsidR="009D7B50">
        <w:rPr>
          <w:i/>
          <w:szCs w:val="26"/>
        </w:rPr>
        <w:t>Id</w:t>
      </w:r>
      <w:r w:rsidR="009D7B50">
        <w:rPr>
          <w:szCs w:val="26"/>
        </w:rPr>
        <w:t>.</w:t>
      </w:r>
      <w:r w:rsidR="00376D2B">
        <w:rPr>
          <w:szCs w:val="26"/>
        </w:rPr>
        <w:t xml:space="preserve">  </w:t>
      </w:r>
    </w:p>
    <w:p w:rsidR="00FA262B" w:rsidRDefault="00FA262B" w:rsidP="001140B1">
      <w:pPr>
        <w:ind w:firstLine="1440"/>
        <w:rPr>
          <w:szCs w:val="26"/>
        </w:rPr>
      </w:pPr>
    </w:p>
    <w:p w:rsidR="00A0797B" w:rsidRPr="00BF4A6B" w:rsidRDefault="003928D2" w:rsidP="003932A4">
      <w:pPr>
        <w:ind w:firstLine="1440"/>
        <w:rPr>
          <w:szCs w:val="26"/>
        </w:rPr>
      </w:pPr>
      <w:r>
        <w:rPr>
          <w:szCs w:val="26"/>
        </w:rPr>
        <w:t>Finally</w:t>
      </w:r>
      <w:r w:rsidR="0055727F">
        <w:rPr>
          <w:szCs w:val="26"/>
        </w:rPr>
        <w:t>, w</w:t>
      </w:r>
      <w:r w:rsidR="00A0797B">
        <w:rPr>
          <w:szCs w:val="26"/>
        </w:rPr>
        <w:t xml:space="preserve">e </w:t>
      </w:r>
      <w:r>
        <w:rPr>
          <w:szCs w:val="26"/>
        </w:rPr>
        <w:t xml:space="preserve">must </w:t>
      </w:r>
      <w:r w:rsidR="00A0797B">
        <w:rPr>
          <w:szCs w:val="26"/>
        </w:rPr>
        <w:t xml:space="preserve">reject PECO’s suggestion that the BCS determination was entitled to evidentiary consideration by the presiding ALJ.  </w:t>
      </w:r>
      <w:r w:rsidR="00A0797B" w:rsidRPr="00BF4A6B">
        <w:rPr>
          <w:szCs w:val="26"/>
        </w:rPr>
        <w:t>Th</w:t>
      </w:r>
      <w:r w:rsidR="00A0797B">
        <w:rPr>
          <w:szCs w:val="26"/>
        </w:rPr>
        <w:t>e</w:t>
      </w:r>
      <w:r w:rsidR="00A0797B" w:rsidRPr="00BF4A6B">
        <w:rPr>
          <w:szCs w:val="26"/>
        </w:rPr>
        <w:t xml:space="preserve"> </w:t>
      </w:r>
      <w:r w:rsidR="00A0797B">
        <w:rPr>
          <w:szCs w:val="26"/>
        </w:rPr>
        <w:t xml:space="preserve">appeal of a BCS decision results in a </w:t>
      </w:r>
      <w:r w:rsidR="00A0797B" w:rsidRPr="00BF4A6B">
        <w:rPr>
          <w:szCs w:val="26"/>
        </w:rPr>
        <w:t xml:space="preserve">proceeding </w:t>
      </w:r>
      <w:r w:rsidR="00A0797B">
        <w:rPr>
          <w:szCs w:val="26"/>
        </w:rPr>
        <w:t xml:space="preserve">that </w:t>
      </w:r>
      <w:r w:rsidR="00A0797B" w:rsidRPr="00BF4A6B">
        <w:rPr>
          <w:szCs w:val="26"/>
        </w:rPr>
        <w:t xml:space="preserve">is </w:t>
      </w:r>
      <w:r w:rsidR="00A0797B" w:rsidRPr="00BF4A6B">
        <w:rPr>
          <w:i/>
          <w:szCs w:val="26"/>
        </w:rPr>
        <w:t>de novo</w:t>
      </w:r>
      <w:r w:rsidR="00A0797B">
        <w:rPr>
          <w:szCs w:val="26"/>
        </w:rPr>
        <w:t>.</w:t>
      </w:r>
      <w:r w:rsidR="00A0797B" w:rsidRPr="00BF4A6B">
        <w:rPr>
          <w:szCs w:val="26"/>
        </w:rPr>
        <w:t xml:space="preserve">  52 Pa.</w:t>
      </w:r>
      <w:r w:rsidR="00A0797B">
        <w:rPr>
          <w:szCs w:val="26"/>
        </w:rPr>
        <w:t xml:space="preserve"> </w:t>
      </w:r>
      <w:r w:rsidR="00A0797B" w:rsidRPr="00BF4A6B">
        <w:rPr>
          <w:szCs w:val="26"/>
        </w:rPr>
        <w:t xml:space="preserve">Code § 56.403(a).  </w:t>
      </w:r>
    </w:p>
    <w:p w:rsidR="00A0797B" w:rsidRDefault="00A0797B" w:rsidP="00A0797B">
      <w:pPr>
        <w:rPr>
          <w:szCs w:val="26"/>
        </w:rPr>
      </w:pPr>
    </w:p>
    <w:p w:rsidR="001140B1" w:rsidRDefault="00A0797B" w:rsidP="001140B1">
      <w:pPr>
        <w:ind w:firstLine="1440"/>
        <w:rPr>
          <w:szCs w:val="26"/>
        </w:rPr>
      </w:pPr>
      <w:r>
        <w:rPr>
          <w:szCs w:val="26"/>
        </w:rPr>
        <w:t xml:space="preserve"> </w:t>
      </w:r>
      <w:r w:rsidR="00FA262B">
        <w:rPr>
          <w:szCs w:val="26"/>
        </w:rPr>
        <w:t xml:space="preserve">Based on the foregoing, </w:t>
      </w:r>
      <w:r w:rsidR="00376D2B">
        <w:rPr>
          <w:szCs w:val="26"/>
        </w:rPr>
        <w:t>we find that Complainant met her burden of coming forward with the requisite evidence to establish her residence at a location other than the Service Address.</w:t>
      </w:r>
      <w:r>
        <w:rPr>
          <w:szCs w:val="26"/>
        </w:rPr>
        <w:t xml:space="preserve">  Complainant </w:t>
      </w:r>
      <w:r w:rsidR="003932A4">
        <w:rPr>
          <w:szCs w:val="26"/>
        </w:rPr>
        <w:t xml:space="preserve">has also </w:t>
      </w:r>
      <w:r>
        <w:rPr>
          <w:szCs w:val="26"/>
        </w:rPr>
        <w:t xml:space="preserve">met her burden of proof in this matter. </w:t>
      </w:r>
      <w:r w:rsidR="00376D2B">
        <w:rPr>
          <w:szCs w:val="26"/>
        </w:rPr>
        <w:t xml:space="preserve">  </w:t>
      </w:r>
      <w:r w:rsidR="00DD6999">
        <w:rPr>
          <w:szCs w:val="26"/>
        </w:rPr>
        <w:t xml:space="preserve"> We </w:t>
      </w:r>
      <w:r>
        <w:rPr>
          <w:szCs w:val="26"/>
        </w:rPr>
        <w:t>adopt the recommendation</w:t>
      </w:r>
      <w:r w:rsidR="003932A4">
        <w:rPr>
          <w:szCs w:val="26"/>
        </w:rPr>
        <w:t xml:space="preserve"> of the ALJ</w:t>
      </w:r>
      <w:r>
        <w:rPr>
          <w:szCs w:val="26"/>
        </w:rPr>
        <w:t>.</w:t>
      </w:r>
      <w:r w:rsidR="00DD6999">
        <w:rPr>
          <w:szCs w:val="26"/>
        </w:rPr>
        <w:t xml:space="preserve"> </w:t>
      </w:r>
      <w:r w:rsidR="00376D2B">
        <w:rPr>
          <w:szCs w:val="26"/>
        </w:rPr>
        <w:t xml:space="preserve">     </w:t>
      </w:r>
    </w:p>
    <w:p w:rsidR="00914776" w:rsidRDefault="00914776" w:rsidP="007E3B30">
      <w:pPr>
        <w:rPr>
          <w:szCs w:val="26"/>
        </w:rPr>
      </w:pPr>
    </w:p>
    <w:p w:rsidR="00187C94" w:rsidRDefault="00042BDF" w:rsidP="00187C94">
      <w:pPr>
        <w:spacing w:line="240" w:lineRule="auto"/>
        <w:rPr>
          <w:szCs w:val="26"/>
        </w:rPr>
      </w:pPr>
      <w:r>
        <w:rPr>
          <w:b/>
          <w:szCs w:val="26"/>
        </w:rPr>
        <w:tab/>
      </w:r>
      <w:r w:rsidR="00187C94">
        <w:rPr>
          <w:b/>
          <w:szCs w:val="26"/>
        </w:rPr>
        <w:t>PECO Exception #3</w:t>
      </w:r>
    </w:p>
    <w:p w:rsidR="00187C94" w:rsidRDefault="00187C94" w:rsidP="00187C94">
      <w:pPr>
        <w:ind w:firstLine="1440"/>
        <w:rPr>
          <w:szCs w:val="26"/>
        </w:rPr>
      </w:pPr>
    </w:p>
    <w:p w:rsidR="00844898" w:rsidRDefault="003A5489" w:rsidP="00187C94">
      <w:pPr>
        <w:ind w:firstLine="1440"/>
        <w:rPr>
          <w:szCs w:val="26"/>
        </w:rPr>
      </w:pPr>
      <w:r>
        <w:rPr>
          <w:szCs w:val="26"/>
        </w:rPr>
        <w:t>In its Exception #3, PECO argues against the imposition of a civil penalty</w:t>
      </w:r>
      <w:r w:rsidR="0087706A">
        <w:rPr>
          <w:szCs w:val="26"/>
        </w:rPr>
        <w:t>.</w:t>
      </w:r>
      <w:r>
        <w:rPr>
          <w:szCs w:val="26"/>
        </w:rPr>
        <w:t xml:space="preserve"> </w:t>
      </w:r>
      <w:r w:rsidR="0087706A">
        <w:rPr>
          <w:szCs w:val="26"/>
        </w:rPr>
        <w:t>PECO argues that</w:t>
      </w:r>
      <w:r>
        <w:rPr>
          <w:szCs w:val="26"/>
        </w:rPr>
        <w:t xml:space="preserve"> </w:t>
      </w:r>
      <w:r w:rsidR="0087706A">
        <w:rPr>
          <w:szCs w:val="26"/>
        </w:rPr>
        <w:t>the</w:t>
      </w:r>
      <w:r w:rsidR="00844898">
        <w:rPr>
          <w:szCs w:val="26"/>
        </w:rPr>
        <w:t xml:space="preserve"> finding that it provided unreasonable </w:t>
      </w:r>
      <w:r w:rsidR="0087706A">
        <w:rPr>
          <w:szCs w:val="26"/>
        </w:rPr>
        <w:t xml:space="preserve">and inadequate </w:t>
      </w:r>
      <w:r w:rsidR="00844898">
        <w:rPr>
          <w:szCs w:val="26"/>
        </w:rPr>
        <w:t xml:space="preserve">service under </w:t>
      </w:r>
      <w:r>
        <w:rPr>
          <w:szCs w:val="26"/>
        </w:rPr>
        <w:t xml:space="preserve">the </w:t>
      </w:r>
      <w:r w:rsidR="00844898">
        <w:rPr>
          <w:szCs w:val="26"/>
        </w:rPr>
        <w:t xml:space="preserve">facts and </w:t>
      </w:r>
      <w:r>
        <w:rPr>
          <w:szCs w:val="26"/>
        </w:rPr>
        <w:t>circumstances of this proceeding</w:t>
      </w:r>
      <w:r w:rsidR="0087706A">
        <w:rPr>
          <w:szCs w:val="26"/>
        </w:rPr>
        <w:t xml:space="preserve"> should be reversed</w:t>
      </w:r>
      <w:r>
        <w:rPr>
          <w:szCs w:val="26"/>
        </w:rPr>
        <w:t>.</w:t>
      </w:r>
      <w:r w:rsidR="00A95C82">
        <w:rPr>
          <w:szCs w:val="26"/>
        </w:rPr>
        <w:t xml:space="preserve">  </w:t>
      </w:r>
      <w:r w:rsidR="006537DF">
        <w:rPr>
          <w:szCs w:val="26"/>
        </w:rPr>
        <w:t xml:space="preserve">In this Exception, </w:t>
      </w:r>
      <w:r w:rsidR="00844898">
        <w:rPr>
          <w:szCs w:val="26"/>
        </w:rPr>
        <w:t xml:space="preserve">PECO disputes the findings and conclusions of the ALJ </w:t>
      </w:r>
      <w:r w:rsidR="0087706A">
        <w:rPr>
          <w:szCs w:val="26"/>
        </w:rPr>
        <w:t xml:space="preserve">in this regard </w:t>
      </w:r>
      <w:r w:rsidR="00844898">
        <w:rPr>
          <w:szCs w:val="26"/>
        </w:rPr>
        <w:t xml:space="preserve">and requests a </w:t>
      </w:r>
      <w:r w:rsidR="00844898">
        <w:rPr>
          <w:szCs w:val="26"/>
        </w:rPr>
        <w:lastRenderedPageBreak/>
        <w:t>remand of the matter so that it is able to respond to the issues raised by the ALJ</w:t>
      </w:r>
      <w:r w:rsidR="0087706A">
        <w:rPr>
          <w:szCs w:val="26"/>
        </w:rPr>
        <w:t xml:space="preserve"> – issues </w:t>
      </w:r>
      <w:r w:rsidR="006537DF">
        <w:rPr>
          <w:szCs w:val="26"/>
        </w:rPr>
        <w:t>PECO</w:t>
      </w:r>
      <w:r w:rsidR="0087706A">
        <w:rPr>
          <w:szCs w:val="26"/>
        </w:rPr>
        <w:t xml:space="preserve"> alleges have been raised, </w:t>
      </w:r>
      <w:r w:rsidR="0087706A">
        <w:rPr>
          <w:i/>
          <w:szCs w:val="26"/>
        </w:rPr>
        <w:t>sua sponte</w:t>
      </w:r>
      <w:r w:rsidR="00844898">
        <w:rPr>
          <w:szCs w:val="26"/>
        </w:rPr>
        <w:t xml:space="preserve">.  </w:t>
      </w:r>
      <w:r w:rsidR="00844898">
        <w:rPr>
          <w:i/>
          <w:szCs w:val="26"/>
        </w:rPr>
        <w:t xml:space="preserve">See </w:t>
      </w:r>
      <w:r w:rsidR="00844898">
        <w:rPr>
          <w:szCs w:val="26"/>
        </w:rPr>
        <w:t>Exc. at 10.</w:t>
      </w:r>
    </w:p>
    <w:p w:rsidR="00844898" w:rsidRDefault="00844898" w:rsidP="00187C94">
      <w:pPr>
        <w:ind w:firstLine="1440"/>
        <w:rPr>
          <w:szCs w:val="26"/>
        </w:rPr>
      </w:pPr>
    </w:p>
    <w:p w:rsidR="006537DF" w:rsidRDefault="00844898" w:rsidP="00187C94">
      <w:pPr>
        <w:ind w:firstLine="1440"/>
        <w:rPr>
          <w:szCs w:val="26"/>
        </w:rPr>
      </w:pPr>
      <w:r>
        <w:rPr>
          <w:szCs w:val="26"/>
        </w:rPr>
        <w:t xml:space="preserve">PECO cites the decision of </w:t>
      </w:r>
      <w:r>
        <w:rPr>
          <w:i/>
          <w:szCs w:val="26"/>
        </w:rPr>
        <w:t>Barbara Jackson v. PECO Energy Co.</w:t>
      </w:r>
      <w:r>
        <w:rPr>
          <w:szCs w:val="26"/>
        </w:rPr>
        <w:t>, Docket No. 2010-2195248 (Order entered August 31, 2012) (</w:t>
      </w:r>
      <w:r>
        <w:rPr>
          <w:i/>
          <w:szCs w:val="26"/>
        </w:rPr>
        <w:t>Jackson</w:t>
      </w:r>
      <w:r>
        <w:rPr>
          <w:szCs w:val="26"/>
        </w:rPr>
        <w:t xml:space="preserve">) to </w:t>
      </w:r>
      <w:r w:rsidR="0087706A">
        <w:rPr>
          <w:szCs w:val="26"/>
        </w:rPr>
        <w:t>explain</w:t>
      </w:r>
      <w:r>
        <w:rPr>
          <w:szCs w:val="26"/>
        </w:rPr>
        <w:t xml:space="preserve"> that the Commission has reversed a prior decision that </w:t>
      </w:r>
      <w:r w:rsidR="00517AC1">
        <w:rPr>
          <w:szCs w:val="26"/>
        </w:rPr>
        <w:t xml:space="preserve">it </w:t>
      </w:r>
      <w:r>
        <w:rPr>
          <w:szCs w:val="26"/>
        </w:rPr>
        <w:t>violated Section 1501 of the Code by establishing service in a customer’s name under circumstances similar to those in the present case</w:t>
      </w:r>
      <w:r w:rsidR="00417813">
        <w:rPr>
          <w:szCs w:val="26"/>
        </w:rPr>
        <w:t xml:space="preserve">.  </w:t>
      </w:r>
    </w:p>
    <w:p w:rsidR="006537DF" w:rsidRDefault="006537DF" w:rsidP="00187C94">
      <w:pPr>
        <w:ind w:firstLine="1440"/>
        <w:rPr>
          <w:szCs w:val="26"/>
        </w:rPr>
      </w:pPr>
    </w:p>
    <w:p w:rsidR="00844898" w:rsidRDefault="00417813" w:rsidP="00187C94">
      <w:pPr>
        <w:ind w:firstLine="1440"/>
        <w:rPr>
          <w:szCs w:val="26"/>
        </w:rPr>
      </w:pPr>
      <w:r>
        <w:rPr>
          <w:szCs w:val="26"/>
        </w:rPr>
        <w:t xml:space="preserve">In </w:t>
      </w:r>
      <w:r>
        <w:rPr>
          <w:i/>
          <w:szCs w:val="26"/>
        </w:rPr>
        <w:t>Jackson</w:t>
      </w:r>
      <w:r>
        <w:rPr>
          <w:szCs w:val="26"/>
        </w:rPr>
        <w:t>,</w:t>
      </w:r>
      <w:r>
        <w:rPr>
          <w:i/>
          <w:szCs w:val="26"/>
        </w:rPr>
        <w:t xml:space="preserve"> </w:t>
      </w:r>
      <w:r w:rsidR="00844898">
        <w:rPr>
          <w:szCs w:val="26"/>
        </w:rPr>
        <w:t>PECO</w:t>
      </w:r>
      <w:r w:rsidR="00C96B38">
        <w:rPr>
          <w:szCs w:val="26"/>
        </w:rPr>
        <w:t xml:space="preserve"> was</w:t>
      </w:r>
      <w:r>
        <w:rPr>
          <w:szCs w:val="26"/>
        </w:rPr>
        <w:t>, as was the complainant in the</w:t>
      </w:r>
      <w:r w:rsidR="00C96B38">
        <w:rPr>
          <w:szCs w:val="26"/>
        </w:rPr>
        <w:t xml:space="preserve"> instant</w:t>
      </w:r>
      <w:r>
        <w:rPr>
          <w:szCs w:val="26"/>
        </w:rPr>
        <w:t xml:space="preserve"> case, </w:t>
      </w:r>
      <w:r w:rsidR="006537DF">
        <w:rPr>
          <w:szCs w:val="26"/>
        </w:rPr>
        <w:t>a</w:t>
      </w:r>
      <w:r w:rsidR="00844898">
        <w:rPr>
          <w:szCs w:val="26"/>
        </w:rPr>
        <w:t xml:space="preserve"> victim of fraud.  PECO stresses that during the Disputed Period</w:t>
      </w:r>
      <w:r w:rsidR="0055727F">
        <w:rPr>
          <w:szCs w:val="26"/>
        </w:rPr>
        <w:t xml:space="preserve"> in this proceeding</w:t>
      </w:r>
      <w:r w:rsidR="00844898">
        <w:rPr>
          <w:szCs w:val="26"/>
        </w:rPr>
        <w:t xml:space="preserve">, it sent monthly bills to the Service Address which </w:t>
      </w:r>
      <w:r>
        <w:rPr>
          <w:szCs w:val="26"/>
        </w:rPr>
        <w:t xml:space="preserve">bills </w:t>
      </w:r>
      <w:r w:rsidR="00844898">
        <w:rPr>
          <w:szCs w:val="26"/>
        </w:rPr>
        <w:t>were never disputed.  And, PECO</w:t>
      </w:r>
      <w:r>
        <w:rPr>
          <w:szCs w:val="26"/>
        </w:rPr>
        <w:t xml:space="preserve"> </w:t>
      </w:r>
      <w:r w:rsidR="00844898">
        <w:rPr>
          <w:szCs w:val="26"/>
        </w:rPr>
        <w:t>s</w:t>
      </w:r>
      <w:r>
        <w:rPr>
          <w:szCs w:val="26"/>
        </w:rPr>
        <w:t>tates that its</w:t>
      </w:r>
      <w:r w:rsidR="00844898">
        <w:rPr>
          <w:szCs w:val="26"/>
        </w:rPr>
        <w:t xml:space="preserve"> business records reflect subsequent contacts with Complainant.  Thus, argues PECO, the inference that it should have known that service was improperly established in Complainant’s name is without merit.  Ex. at 11.</w:t>
      </w:r>
    </w:p>
    <w:p w:rsidR="0055727F" w:rsidRDefault="0055727F" w:rsidP="003928D2">
      <w:pPr>
        <w:rPr>
          <w:szCs w:val="26"/>
        </w:rPr>
      </w:pPr>
    </w:p>
    <w:p w:rsidR="003E0557" w:rsidRDefault="00042BDF" w:rsidP="003E0557">
      <w:pPr>
        <w:rPr>
          <w:szCs w:val="26"/>
        </w:rPr>
      </w:pPr>
      <w:r>
        <w:rPr>
          <w:b/>
          <w:szCs w:val="26"/>
        </w:rPr>
        <w:tab/>
      </w:r>
      <w:r>
        <w:rPr>
          <w:b/>
          <w:szCs w:val="26"/>
        </w:rPr>
        <w:tab/>
      </w:r>
      <w:r w:rsidR="003E0557">
        <w:rPr>
          <w:b/>
          <w:szCs w:val="26"/>
        </w:rPr>
        <w:t xml:space="preserve">Disposition </w:t>
      </w:r>
    </w:p>
    <w:p w:rsidR="003E0557" w:rsidRDefault="003E0557" w:rsidP="003E0557">
      <w:pPr>
        <w:rPr>
          <w:szCs w:val="26"/>
        </w:rPr>
      </w:pPr>
    </w:p>
    <w:p w:rsidR="003E0557" w:rsidRDefault="003E0557" w:rsidP="003E0557">
      <w:pPr>
        <w:ind w:firstLine="1440"/>
        <w:rPr>
          <w:szCs w:val="26"/>
        </w:rPr>
      </w:pPr>
      <w:r>
        <w:rPr>
          <w:szCs w:val="26"/>
        </w:rPr>
        <w:t xml:space="preserve">On consideration of Exception #3, we </w:t>
      </w:r>
      <w:r w:rsidR="00417813">
        <w:rPr>
          <w:szCs w:val="26"/>
        </w:rPr>
        <w:t xml:space="preserve">initially </w:t>
      </w:r>
      <w:r>
        <w:rPr>
          <w:szCs w:val="26"/>
        </w:rPr>
        <w:t>conclude that PECO’s argument</w:t>
      </w:r>
      <w:r w:rsidR="00A25D1D">
        <w:rPr>
          <w:szCs w:val="26"/>
        </w:rPr>
        <w:t>s</w:t>
      </w:r>
      <w:r>
        <w:rPr>
          <w:szCs w:val="26"/>
        </w:rPr>
        <w:t xml:space="preserve"> regarding </w:t>
      </w:r>
      <w:r w:rsidR="00306098">
        <w:rPr>
          <w:szCs w:val="26"/>
        </w:rPr>
        <w:t xml:space="preserve">the necessity for a remand to prevent </w:t>
      </w:r>
      <w:r w:rsidR="00DE68C9">
        <w:rPr>
          <w:szCs w:val="26"/>
        </w:rPr>
        <w:t xml:space="preserve">impairment of </w:t>
      </w:r>
      <w:r>
        <w:rPr>
          <w:szCs w:val="26"/>
        </w:rPr>
        <w:t>its due process rights have been resolve</w:t>
      </w:r>
      <w:r w:rsidR="00DE68C9">
        <w:rPr>
          <w:szCs w:val="26"/>
        </w:rPr>
        <w:t>d</w:t>
      </w:r>
      <w:r>
        <w:rPr>
          <w:szCs w:val="26"/>
        </w:rPr>
        <w:t xml:space="preserve"> by the proceedings </w:t>
      </w:r>
      <w:r w:rsidR="00306098">
        <w:rPr>
          <w:szCs w:val="26"/>
        </w:rPr>
        <w:t xml:space="preserve">resulting in the </w:t>
      </w:r>
      <w:r w:rsidR="00DE68C9">
        <w:rPr>
          <w:szCs w:val="26"/>
        </w:rPr>
        <w:t xml:space="preserve">issuance of the </w:t>
      </w:r>
      <w:r>
        <w:rPr>
          <w:szCs w:val="26"/>
        </w:rPr>
        <w:t>Supplemental Initial Decision.</w:t>
      </w:r>
    </w:p>
    <w:p w:rsidR="00D57ED2" w:rsidRDefault="00D57ED2" w:rsidP="003E0557">
      <w:pPr>
        <w:ind w:firstLine="1440"/>
        <w:rPr>
          <w:szCs w:val="26"/>
        </w:rPr>
      </w:pPr>
    </w:p>
    <w:p w:rsidR="00B626FA" w:rsidRDefault="00D57ED2" w:rsidP="003E0557">
      <w:pPr>
        <w:ind w:firstLine="1440"/>
        <w:rPr>
          <w:szCs w:val="26"/>
        </w:rPr>
      </w:pPr>
      <w:r>
        <w:rPr>
          <w:szCs w:val="26"/>
        </w:rPr>
        <w:t xml:space="preserve">On consideration of the </w:t>
      </w:r>
      <w:r w:rsidR="00417813">
        <w:rPr>
          <w:szCs w:val="26"/>
        </w:rPr>
        <w:t xml:space="preserve">remaining </w:t>
      </w:r>
      <w:r w:rsidR="00FA199F">
        <w:rPr>
          <w:szCs w:val="26"/>
        </w:rPr>
        <w:t>arguments</w:t>
      </w:r>
      <w:r w:rsidR="00417813">
        <w:rPr>
          <w:szCs w:val="26"/>
        </w:rPr>
        <w:t xml:space="preserve"> </w:t>
      </w:r>
      <w:r>
        <w:rPr>
          <w:szCs w:val="26"/>
        </w:rPr>
        <w:t xml:space="preserve">of Exception #3 in opposition to the imposition of a civil penalty, we </w:t>
      </w:r>
      <w:r w:rsidR="00765557">
        <w:rPr>
          <w:szCs w:val="26"/>
        </w:rPr>
        <w:t>shall deny</w:t>
      </w:r>
      <w:r>
        <w:rPr>
          <w:szCs w:val="26"/>
        </w:rPr>
        <w:t xml:space="preserve"> </w:t>
      </w:r>
      <w:r w:rsidR="00765557">
        <w:rPr>
          <w:szCs w:val="26"/>
        </w:rPr>
        <w:t xml:space="preserve">the </w:t>
      </w:r>
      <w:r>
        <w:rPr>
          <w:szCs w:val="26"/>
        </w:rPr>
        <w:t>Exception,</w:t>
      </w:r>
      <w:r w:rsidR="00417813">
        <w:rPr>
          <w:szCs w:val="26"/>
        </w:rPr>
        <w:t xml:space="preserve"> consistent with our discussion</w:t>
      </w:r>
      <w:r>
        <w:rPr>
          <w:szCs w:val="26"/>
        </w:rPr>
        <w:t>.</w:t>
      </w:r>
      <w:r w:rsidR="00B626FA">
        <w:rPr>
          <w:szCs w:val="26"/>
        </w:rPr>
        <w:t xml:space="preserve">  </w:t>
      </w:r>
    </w:p>
    <w:p w:rsidR="00B626FA" w:rsidRDefault="00B626FA" w:rsidP="003E0557">
      <w:pPr>
        <w:ind w:firstLine="1440"/>
        <w:rPr>
          <w:szCs w:val="26"/>
        </w:rPr>
      </w:pPr>
    </w:p>
    <w:p w:rsidR="00B626FA" w:rsidRDefault="00B626FA" w:rsidP="003E0557">
      <w:pPr>
        <w:ind w:firstLine="1440"/>
        <w:rPr>
          <w:szCs w:val="26"/>
        </w:rPr>
      </w:pPr>
      <w:r>
        <w:rPr>
          <w:szCs w:val="26"/>
        </w:rPr>
        <w:t xml:space="preserve">PECO vigorously contests the accuracy and legal significance of the ALJ’s conclusions regarding the, alleged, reporting of negative credit information concerning </w:t>
      </w:r>
      <w:r>
        <w:rPr>
          <w:szCs w:val="26"/>
        </w:rPr>
        <w:lastRenderedPageBreak/>
        <w:t>Complainant to credit reporting agencies.  Considerations that are involved in utility credit reporting concerning ratepayer accounts ha</w:t>
      </w:r>
      <w:r w:rsidR="00331503">
        <w:rPr>
          <w:szCs w:val="26"/>
        </w:rPr>
        <w:t>ve</w:t>
      </w:r>
      <w:r>
        <w:rPr>
          <w:szCs w:val="26"/>
        </w:rPr>
        <w:t xml:space="preserve"> been extensively discussed in </w:t>
      </w:r>
      <w:r>
        <w:rPr>
          <w:i/>
          <w:szCs w:val="26"/>
        </w:rPr>
        <w:t>Patrice Archer v. UGI Utilities, Inc.</w:t>
      </w:r>
      <w:r w:rsidR="000D40E3">
        <w:rPr>
          <w:szCs w:val="26"/>
        </w:rPr>
        <w:t>,</w:t>
      </w:r>
      <w:r>
        <w:rPr>
          <w:szCs w:val="26"/>
        </w:rPr>
        <w:t xml:space="preserve"> Docket No</w:t>
      </w:r>
      <w:r w:rsidRPr="00B626FA">
        <w:rPr>
          <w:szCs w:val="26"/>
        </w:rPr>
        <w:t xml:space="preserve">. </w:t>
      </w:r>
      <w:r w:rsidRPr="00B626FA">
        <w:rPr>
          <w:color w:val="333333"/>
          <w:szCs w:val="26"/>
        </w:rPr>
        <w:t>C-20078337</w:t>
      </w:r>
      <w:r>
        <w:rPr>
          <w:i/>
          <w:szCs w:val="26"/>
        </w:rPr>
        <w:t xml:space="preserve"> </w:t>
      </w:r>
      <w:r>
        <w:rPr>
          <w:szCs w:val="26"/>
        </w:rPr>
        <w:t xml:space="preserve">(Initial Decision </w:t>
      </w:r>
      <w:r w:rsidR="003928D2">
        <w:rPr>
          <w:szCs w:val="26"/>
        </w:rPr>
        <w:t>issued December 8</w:t>
      </w:r>
      <w:r>
        <w:rPr>
          <w:szCs w:val="26"/>
        </w:rPr>
        <w:t>, 2008; Final Order</w:t>
      </w:r>
      <w:r w:rsidR="000D04D8">
        <w:rPr>
          <w:szCs w:val="26"/>
        </w:rPr>
        <w:t xml:space="preserve"> </w:t>
      </w:r>
      <w:r w:rsidR="000D40E3">
        <w:rPr>
          <w:szCs w:val="26"/>
        </w:rPr>
        <w:t xml:space="preserve">entered </w:t>
      </w:r>
      <w:r w:rsidR="000D04D8">
        <w:rPr>
          <w:szCs w:val="26"/>
        </w:rPr>
        <w:t>February 18, 2009</w:t>
      </w:r>
      <w:r>
        <w:rPr>
          <w:szCs w:val="26"/>
        </w:rPr>
        <w:t>).</w:t>
      </w:r>
    </w:p>
    <w:p w:rsidR="00B626FA" w:rsidRDefault="00B626FA" w:rsidP="003E0557">
      <w:pPr>
        <w:ind w:firstLine="1440"/>
        <w:rPr>
          <w:szCs w:val="26"/>
        </w:rPr>
      </w:pPr>
    </w:p>
    <w:p w:rsidR="0082545F" w:rsidRDefault="0082545F" w:rsidP="003E0557">
      <w:pPr>
        <w:ind w:firstLine="1440"/>
        <w:rPr>
          <w:szCs w:val="26"/>
        </w:rPr>
      </w:pPr>
      <w:r>
        <w:rPr>
          <w:szCs w:val="26"/>
        </w:rPr>
        <w:t xml:space="preserve">In </w:t>
      </w:r>
      <w:r>
        <w:rPr>
          <w:i/>
          <w:szCs w:val="26"/>
        </w:rPr>
        <w:t>Archer v. UGI</w:t>
      </w:r>
      <w:r w:rsidRPr="0082545F">
        <w:rPr>
          <w:szCs w:val="26"/>
        </w:rPr>
        <w:t xml:space="preserve">, </w:t>
      </w:r>
      <w:r w:rsidR="00914776">
        <w:rPr>
          <w:i/>
          <w:szCs w:val="26"/>
        </w:rPr>
        <w:t>supra</w:t>
      </w:r>
      <w:r w:rsidR="00914776">
        <w:rPr>
          <w:szCs w:val="26"/>
        </w:rPr>
        <w:t>,</w:t>
      </w:r>
      <w:r w:rsidR="00914776">
        <w:rPr>
          <w:i/>
          <w:szCs w:val="26"/>
        </w:rPr>
        <w:t xml:space="preserve"> </w:t>
      </w:r>
      <w:r w:rsidR="009F785F">
        <w:rPr>
          <w:szCs w:val="26"/>
        </w:rPr>
        <w:t>the complainant, Ms. Pa</w:t>
      </w:r>
      <w:r w:rsidRPr="0082545F">
        <w:rPr>
          <w:szCs w:val="26"/>
        </w:rPr>
        <w:t>trice Archer</w:t>
      </w:r>
      <w:r w:rsidR="009F785F">
        <w:rPr>
          <w:szCs w:val="26"/>
        </w:rPr>
        <w:t>,</w:t>
      </w:r>
      <w:r w:rsidRPr="0082545F">
        <w:rPr>
          <w:szCs w:val="26"/>
        </w:rPr>
        <w:t xml:space="preserve"> filed a formal </w:t>
      </w:r>
      <w:r w:rsidR="009F785F">
        <w:rPr>
          <w:szCs w:val="26"/>
        </w:rPr>
        <w:t>c</w:t>
      </w:r>
      <w:r w:rsidRPr="0082545F">
        <w:rPr>
          <w:szCs w:val="26"/>
        </w:rPr>
        <w:t xml:space="preserve">omplaint </w:t>
      </w:r>
      <w:r w:rsidR="00465BA0">
        <w:rPr>
          <w:szCs w:val="26"/>
        </w:rPr>
        <w:t xml:space="preserve">against </w:t>
      </w:r>
      <w:r w:rsidR="009F785F">
        <w:rPr>
          <w:szCs w:val="26"/>
        </w:rPr>
        <w:t xml:space="preserve">the utility and alleged, </w:t>
      </w:r>
      <w:r w:rsidR="009F785F">
        <w:rPr>
          <w:i/>
          <w:szCs w:val="26"/>
        </w:rPr>
        <w:t>inter alia</w:t>
      </w:r>
      <w:r w:rsidR="009F785F">
        <w:rPr>
          <w:szCs w:val="26"/>
        </w:rPr>
        <w:t>,</w:t>
      </w:r>
      <w:r w:rsidR="009F785F">
        <w:rPr>
          <w:i/>
          <w:szCs w:val="26"/>
        </w:rPr>
        <w:t xml:space="preserve"> </w:t>
      </w:r>
      <w:r w:rsidRPr="0082545F">
        <w:rPr>
          <w:szCs w:val="26"/>
        </w:rPr>
        <w:t xml:space="preserve">that </w:t>
      </w:r>
      <w:r w:rsidR="009F785F">
        <w:rPr>
          <w:szCs w:val="26"/>
        </w:rPr>
        <w:t>the utility</w:t>
      </w:r>
      <w:r w:rsidRPr="0082545F">
        <w:rPr>
          <w:szCs w:val="26"/>
        </w:rPr>
        <w:t xml:space="preserve"> reported late billing payments by the </w:t>
      </w:r>
      <w:r w:rsidR="009F785F">
        <w:rPr>
          <w:szCs w:val="26"/>
        </w:rPr>
        <w:t>c</w:t>
      </w:r>
      <w:r w:rsidRPr="0082545F">
        <w:rPr>
          <w:szCs w:val="26"/>
        </w:rPr>
        <w:t>omplainant to various credit reporting bureaus/agencies</w:t>
      </w:r>
      <w:r w:rsidR="00306098">
        <w:rPr>
          <w:szCs w:val="26"/>
        </w:rPr>
        <w:t>,</w:t>
      </w:r>
      <w:r w:rsidRPr="0082545F">
        <w:rPr>
          <w:szCs w:val="26"/>
        </w:rPr>
        <w:t xml:space="preserve"> which caused negative information to be placed on her credit report.</w:t>
      </w:r>
      <w:r w:rsidR="009F785F">
        <w:rPr>
          <w:szCs w:val="26"/>
        </w:rPr>
        <w:t xml:space="preserve"> </w:t>
      </w:r>
      <w:r w:rsidRPr="0082545F">
        <w:rPr>
          <w:szCs w:val="26"/>
        </w:rPr>
        <w:t xml:space="preserve"> </w:t>
      </w:r>
      <w:r w:rsidR="009F785F">
        <w:rPr>
          <w:szCs w:val="26"/>
        </w:rPr>
        <w:t>For</w:t>
      </w:r>
      <w:r w:rsidRPr="0082545F">
        <w:rPr>
          <w:szCs w:val="26"/>
        </w:rPr>
        <w:t xml:space="preserve"> relief, </w:t>
      </w:r>
      <w:r w:rsidR="009F785F">
        <w:rPr>
          <w:szCs w:val="26"/>
        </w:rPr>
        <w:t>the complainant</w:t>
      </w:r>
      <w:r w:rsidRPr="0082545F">
        <w:rPr>
          <w:szCs w:val="26"/>
        </w:rPr>
        <w:t xml:space="preserve"> requested that the negative information be removed from her credit report.</w:t>
      </w:r>
    </w:p>
    <w:p w:rsidR="009F785F" w:rsidRDefault="009F785F" w:rsidP="003E0557">
      <w:pPr>
        <w:ind w:firstLine="1440"/>
        <w:rPr>
          <w:szCs w:val="26"/>
        </w:rPr>
      </w:pPr>
    </w:p>
    <w:p w:rsidR="00465BA0" w:rsidRDefault="00306098" w:rsidP="003E0557">
      <w:pPr>
        <w:ind w:firstLine="1440"/>
        <w:rPr>
          <w:szCs w:val="26"/>
        </w:rPr>
      </w:pPr>
      <w:r>
        <w:rPr>
          <w:szCs w:val="26"/>
        </w:rPr>
        <w:t xml:space="preserve">In </w:t>
      </w:r>
      <w:r>
        <w:rPr>
          <w:i/>
          <w:szCs w:val="26"/>
        </w:rPr>
        <w:t>Archer v. UGI</w:t>
      </w:r>
      <w:r>
        <w:rPr>
          <w:szCs w:val="26"/>
        </w:rPr>
        <w:t xml:space="preserve">, </w:t>
      </w:r>
      <w:r w:rsidR="00914776">
        <w:rPr>
          <w:i/>
          <w:szCs w:val="26"/>
        </w:rPr>
        <w:t>supra</w:t>
      </w:r>
      <w:r w:rsidR="00914776">
        <w:rPr>
          <w:szCs w:val="26"/>
        </w:rPr>
        <w:t>,</w:t>
      </w:r>
      <w:r w:rsidR="00914776">
        <w:rPr>
          <w:i/>
          <w:szCs w:val="26"/>
        </w:rPr>
        <w:t xml:space="preserve"> </w:t>
      </w:r>
      <w:r>
        <w:rPr>
          <w:szCs w:val="26"/>
        </w:rPr>
        <w:t>t</w:t>
      </w:r>
      <w:r w:rsidR="00465BA0">
        <w:rPr>
          <w:szCs w:val="26"/>
        </w:rPr>
        <w:t xml:space="preserve">he presiding ALJ relied upon </w:t>
      </w:r>
      <w:r w:rsidR="00465BA0">
        <w:rPr>
          <w:i/>
          <w:szCs w:val="26"/>
        </w:rPr>
        <w:t>Hadley v. PECO</w:t>
      </w:r>
      <w:r w:rsidR="00F27EA6">
        <w:rPr>
          <w:i/>
          <w:szCs w:val="26"/>
        </w:rPr>
        <w:t xml:space="preserve"> Energy Company</w:t>
      </w:r>
      <w:r w:rsidR="00465BA0">
        <w:rPr>
          <w:szCs w:val="26"/>
        </w:rPr>
        <w:t xml:space="preserve">, Docket No. </w:t>
      </w:r>
      <w:r w:rsidR="00465BA0" w:rsidRPr="00465BA0">
        <w:rPr>
          <w:szCs w:val="26"/>
        </w:rPr>
        <w:t>C-00957395</w:t>
      </w:r>
      <w:r w:rsidR="00465BA0">
        <w:rPr>
          <w:szCs w:val="26"/>
        </w:rPr>
        <w:t xml:space="preserve"> (Initial Decision</w:t>
      </w:r>
      <w:r w:rsidR="000D40E3">
        <w:rPr>
          <w:szCs w:val="26"/>
        </w:rPr>
        <w:t xml:space="preserve"> issued</w:t>
      </w:r>
      <w:r w:rsidR="00465BA0">
        <w:rPr>
          <w:szCs w:val="26"/>
        </w:rPr>
        <w:t xml:space="preserve"> June 28, 1996; </w:t>
      </w:r>
      <w:r w:rsidR="00042AAB">
        <w:rPr>
          <w:szCs w:val="26"/>
        </w:rPr>
        <w:t xml:space="preserve">Opinion and </w:t>
      </w:r>
      <w:r w:rsidR="00465BA0">
        <w:rPr>
          <w:szCs w:val="26"/>
        </w:rPr>
        <w:t xml:space="preserve">Order </w:t>
      </w:r>
      <w:r w:rsidR="00042AAB">
        <w:rPr>
          <w:szCs w:val="26"/>
        </w:rPr>
        <w:t>entered February 10, 1997</w:t>
      </w:r>
      <w:r w:rsidR="00465BA0">
        <w:rPr>
          <w:szCs w:val="26"/>
        </w:rPr>
        <w:t>)</w:t>
      </w:r>
      <w:r w:rsidR="00465BA0">
        <w:rPr>
          <w:bCs/>
          <w:color w:val="333333"/>
          <w:szCs w:val="26"/>
        </w:rPr>
        <w:t>,</w:t>
      </w:r>
      <w:r w:rsidR="00465BA0" w:rsidRPr="00465BA0">
        <w:rPr>
          <w:szCs w:val="26"/>
        </w:rPr>
        <w:t xml:space="preserve"> </w:t>
      </w:r>
      <w:r w:rsidR="00465BA0">
        <w:rPr>
          <w:szCs w:val="26"/>
        </w:rPr>
        <w:t xml:space="preserve">for the general proposition that the Commission has held that </w:t>
      </w:r>
      <w:r w:rsidR="00331503">
        <w:rPr>
          <w:szCs w:val="26"/>
        </w:rPr>
        <w:t>it</w:t>
      </w:r>
      <w:r w:rsidR="00465BA0" w:rsidRPr="00465BA0">
        <w:rPr>
          <w:szCs w:val="26"/>
        </w:rPr>
        <w:t xml:space="preserve"> does not have jurisdiction regarding the information given to a credit reporting agency</w:t>
      </w:r>
      <w:r w:rsidR="00465BA0">
        <w:rPr>
          <w:szCs w:val="26"/>
        </w:rPr>
        <w:t xml:space="preserve"> </w:t>
      </w:r>
      <w:r w:rsidR="00331503">
        <w:rPr>
          <w:szCs w:val="26"/>
        </w:rPr>
        <w:t xml:space="preserve">by utilities </w:t>
      </w:r>
      <w:r w:rsidR="00465BA0">
        <w:rPr>
          <w:szCs w:val="26"/>
        </w:rPr>
        <w:t xml:space="preserve">and that </w:t>
      </w:r>
      <w:r w:rsidR="00465BA0" w:rsidRPr="00465BA0">
        <w:rPr>
          <w:szCs w:val="26"/>
        </w:rPr>
        <w:t>claims about information reported to a credit reporting agency were beyond the scope of the Commission</w:t>
      </w:r>
      <w:r w:rsidR="00465BA0">
        <w:rPr>
          <w:szCs w:val="26"/>
        </w:rPr>
        <w:t>’</w:t>
      </w:r>
      <w:r w:rsidR="00465BA0" w:rsidRPr="00465BA0">
        <w:rPr>
          <w:szCs w:val="26"/>
        </w:rPr>
        <w:t>s jurisdiction.</w:t>
      </w:r>
      <w:r w:rsidR="00465BA0">
        <w:rPr>
          <w:szCs w:val="26"/>
        </w:rPr>
        <w:t xml:space="preserve"> </w:t>
      </w:r>
      <w:r w:rsidR="00465BA0" w:rsidRPr="00465BA0">
        <w:rPr>
          <w:szCs w:val="26"/>
        </w:rPr>
        <w:t xml:space="preserve"> Thus, the Commission will </w:t>
      </w:r>
      <w:r w:rsidR="00331503">
        <w:rPr>
          <w:szCs w:val="26"/>
        </w:rPr>
        <w:t>not</w:t>
      </w:r>
      <w:r w:rsidR="00465BA0" w:rsidRPr="00465BA0">
        <w:rPr>
          <w:szCs w:val="26"/>
        </w:rPr>
        <w:t xml:space="preserve"> decide whether a credit report is negative or when the disputed information should be erased.</w:t>
      </w:r>
      <w:r w:rsidR="00914776">
        <w:rPr>
          <w:szCs w:val="26"/>
        </w:rPr>
        <w:t xml:space="preserve">  </w:t>
      </w:r>
      <w:r w:rsidR="00914776">
        <w:rPr>
          <w:i/>
          <w:szCs w:val="26"/>
        </w:rPr>
        <w:t xml:space="preserve">See </w:t>
      </w:r>
      <w:r w:rsidR="00914776">
        <w:rPr>
          <w:szCs w:val="26"/>
        </w:rPr>
        <w:t>Initial Decision</w:t>
      </w:r>
      <w:r w:rsidR="00465BA0">
        <w:rPr>
          <w:szCs w:val="26"/>
        </w:rPr>
        <w:t xml:space="preserve"> </w:t>
      </w:r>
      <w:r w:rsidR="00364C23">
        <w:rPr>
          <w:szCs w:val="26"/>
        </w:rPr>
        <w:t xml:space="preserve">at 5, </w:t>
      </w:r>
      <w:r w:rsidR="00465BA0">
        <w:rPr>
          <w:szCs w:val="26"/>
        </w:rPr>
        <w:t xml:space="preserve">citing </w:t>
      </w:r>
      <w:r w:rsidR="00465BA0">
        <w:rPr>
          <w:i/>
          <w:szCs w:val="26"/>
        </w:rPr>
        <w:t>Hadley v. PECO</w:t>
      </w:r>
      <w:r w:rsidR="00914776">
        <w:rPr>
          <w:szCs w:val="26"/>
        </w:rPr>
        <w:t xml:space="preserve">, </w:t>
      </w:r>
      <w:r w:rsidR="00914776">
        <w:rPr>
          <w:i/>
          <w:szCs w:val="26"/>
        </w:rPr>
        <w:t>supra</w:t>
      </w:r>
      <w:r w:rsidR="00465BA0">
        <w:rPr>
          <w:szCs w:val="26"/>
        </w:rPr>
        <w:t xml:space="preserve">.  </w:t>
      </w:r>
    </w:p>
    <w:p w:rsidR="00465BA0" w:rsidRDefault="00465BA0" w:rsidP="003E0557">
      <w:pPr>
        <w:ind w:firstLine="1440"/>
        <w:rPr>
          <w:szCs w:val="26"/>
        </w:rPr>
      </w:pPr>
    </w:p>
    <w:p w:rsidR="00957108" w:rsidRDefault="00465BA0" w:rsidP="003E0557">
      <w:pPr>
        <w:ind w:firstLine="1440"/>
        <w:rPr>
          <w:szCs w:val="26"/>
        </w:rPr>
      </w:pPr>
      <w:r>
        <w:rPr>
          <w:szCs w:val="26"/>
        </w:rPr>
        <w:t xml:space="preserve">However, in </w:t>
      </w:r>
      <w:r>
        <w:rPr>
          <w:i/>
          <w:szCs w:val="26"/>
        </w:rPr>
        <w:t>Archer v. UGI</w:t>
      </w:r>
      <w:r>
        <w:rPr>
          <w:szCs w:val="26"/>
        </w:rPr>
        <w:t xml:space="preserve">, </w:t>
      </w:r>
      <w:r w:rsidR="00914776">
        <w:rPr>
          <w:i/>
          <w:szCs w:val="26"/>
        </w:rPr>
        <w:t>supra</w:t>
      </w:r>
      <w:r w:rsidR="00914776">
        <w:rPr>
          <w:szCs w:val="26"/>
        </w:rPr>
        <w:t>,</w:t>
      </w:r>
      <w:r w:rsidR="00914776">
        <w:rPr>
          <w:i/>
          <w:szCs w:val="26"/>
        </w:rPr>
        <w:t xml:space="preserve"> </w:t>
      </w:r>
      <w:r>
        <w:rPr>
          <w:szCs w:val="26"/>
        </w:rPr>
        <w:t xml:space="preserve">the ALJ </w:t>
      </w:r>
      <w:r w:rsidR="00306098">
        <w:rPr>
          <w:szCs w:val="26"/>
        </w:rPr>
        <w:t xml:space="preserve">also </w:t>
      </w:r>
      <w:r>
        <w:rPr>
          <w:szCs w:val="26"/>
        </w:rPr>
        <w:t>qualified the general rule with three Commission precedents</w:t>
      </w:r>
      <w:r w:rsidR="00331503">
        <w:rPr>
          <w:szCs w:val="26"/>
        </w:rPr>
        <w:t>.  The precedents cited</w:t>
      </w:r>
      <w:r>
        <w:rPr>
          <w:szCs w:val="26"/>
        </w:rPr>
        <w:t xml:space="preserve"> stand for the proposition that </w:t>
      </w:r>
      <w:r w:rsidR="00331503">
        <w:rPr>
          <w:szCs w:val="26"/>
        </w:rPr>
        <w:t>the Commission</w:t>
      </w:r>
      <w:r w:rsidR="00957108">
        <w:rPr>
          <w:szCs w:val="26"/>
        </w:rPr>
        <w:t xml:space="preserve"> ha</w:t>
      </w:r>
      <w:r w:rsidR="00331503">
        <w:rPr>
          <w:szCs w:val="26"/>
        </w:rPr>
        <w:t>s</w:t>
      </w:r>
      <w:r w:rsidR="00957108">
        <w:rPr>
          <w:szCs w:val="26"/>
        </w:rPr>
        <w:t xml:space="preserve">, pursuant to Section 1501 of the Code, 66 Pa. C.S. § 1501, asserted jurisdiction </w:t>
      </w:r>
      <w:r w:rsidR="00331503">
        <w:rPr>
          <w:szCs w:val="26"/>
        </w:rPr>
        <w:t xml:space="preserve">over complaints </w:t>
      </w:r>
      <w:r w:rsidR="00957108">
        <w:rPr>
          <w:szCs w:val="26"/>
        </w:rPr>
        <w:t>when there has been found a</w:t>
      </w:r>
      <w:r w:rsidR="00331503">
        <w:rPr>
          <w:szCs w:val="26"/>
        </w:rPr>
        <w:t>n</w:t>
      </w:r>
      <w:r w:rsidR="00957108">
        <w:rPr>
          <w:szCs w:val="26"/>
        </w:rPr>
        <w:t xml:space="preserve"> </w:t>
      </w:r>
      <w:r w:rsidR="00331503">
        <w:rPr>
          <w:szCs w:val="26"/>
        </w:rPr>
        <w:t>allegation</w:t>
      </w:r>
      <w:r w:rsidR="00957108">
        <w:rPr>
          <w:szCs w:val="26"/>
        </w:rPr>
        <w:t xml:space="preserve"> </w:t>
      </w:r>
      <w:r w:rsidR="00752719">
        <w:rPr>
          <w:szCs w:val="26"/>
        </w:rPr>
        <w:t xml:space="preserve">that is </w:t>
      </w:r>
      <w:r w:rsidR="00957108">
        <w:rPr>
          <w:szCs w:val="26"/>
        </w:rPr>
        <w:t>based on the inaccurate provision of information by a utility to a credit reporting agency regarding a customer’s account:</w:t>
      </w:r>
    </w:p>
    <w:p w:rsidR="00957108" w:rsidRDefault="00957108" w:rsidP="003E0557">
      <w:pPr>
        <w:ind w:firstLine="1440"/>
        <w:rPr>
          <w:szCs w:val="26"/>
        </w:rPr>
      </w:pPr>
    </w:p>
    <w:p w:rsidR="00957108" w:rsidRPr="00957108" w:rsidRDefault="00957108" w:rsidP="00957108">
      <w:pPr>
        <w:spacing w:line="240" w:lineRule="auto"/>
        <w:ind w:left="1440" w:right="1440"/>
        <w:rPr>
          <w:szCs w:val="26"/>
        </w:rPr>
      </w:pPr>
      <w:r w:rsidRPr="00957108">
        <w:rPr>
          <w:szCs w:val="26"/>
        </w:rPr>
        <w:t xml:space="preserve">In at least three instances the Commission has exercised jurisdiction over a dispute where the issue in question was </w:t>
      </w:r>
      <w:r w:rsidRPr="00957108">
        <w:rPr>
          <w:szCs w:val="26"/>
        </w:rPr>
        <w:lastRenderedPageBreak/>
        <w:t xml:space="preserve">that of its power to find a violation of the Public Utility Code concerning an allegation that a public utility allegedly reported false information to a credit reporting agency. </w:t>
      </w:r>
      <w:r>
        <w:rPr>
          <w:szCs w:val="26"/>
        </w:rPr>
        <w:t xml:space="preserve">  </w:t>
      </w:r>
      <w:r w:rsidRPr="00957108">
        <w:rPr>
          <w:i/>
          <w:iCs/>
          <w:szCs w:val="26"/>
        </w:rPr>
        <w:t>See, Goldstein v. PP&amp;L, Inc.</w:t>
      </w:r>
      <w:r w:rsidRPr="00957108">
        <w:rPr>
          <w:szCs w:val="26"/>
        </w:rPr>
        <w:t xml:space="preserve"> Docket No. C-00981227 (Opinion and Order, entered April 30, 1999) (Slip Op. at 10.), </w:t>
      </w:r>
      <w:r w:rsidRPr="00957108">
        <w:rPr>
          <w:i/>
          <w:iCs/>
          <w:szCs w:val="26"/>
        </w:rPr>
        <w:t>reconsideration denied</w:t>
      </w:r>
      <w:r w:rsidRPr="00957108">
        <w:rPr>
          <w:szCs w:val="26"/>
        </w:rPr>
        <w:t xml:space="preserve">, (Opinion and Order, entered May 24, 1999); </w:t>
      </w:r>
      <w:r w:rsidRPr="00957108">
        <w:rPr>
          <w:i/>
          <w:iCs/>
          <w:szCs w:val="26"/>
        </w:rPr>
        <w:t>Kube v. Metropolitan Edison Company</w:t>
      </w:r>
      <w:r w:rsidRPr="00957108">
        <w:rPr>
          <w:szCs w:val="26"/>
        </w:rPr>
        <w:t xml:space="preserve">, Docket No. C-946454, (final by operation of law by Commission Order, entered August 29, 1995); </w:t>
      </w:r>
      <w:r w:rsidRPr="00957108">
        <w:rPr>
          <w:i/>
          <w:iCs/>
          <w:szCs w:val="26"/>
        </w:rPr>
        <w:t>Milisits v. Equitable Gas Company</w:t>
      </w:r>
      <w:r w:rsidRPr="00957108">
        <w:rPr>
          <w:szCs w:val="26"/>
        </w:rPr>
        <w:t>, Docket No. C-935377 (final by operation of law by Commission Order, dated May 3, 1995).</w:t>
      </w:r>
      <w:r>
        <w:rPr>
          <w:szCs w:val="26"/>
        </w:rPr>
        <w:t xml:space="preserve"> </w:t>
      </w:r>
      <w:r w:rsidRPr="00957108">
        <w:rPr>
          <w:szCs w:val="26"/>
        </w:rPr>
        <w:t xml:space="preserve"> In those cases the alleged violation was that of section 1501 of the Public Utility Code.</w:t>
      </w:r>
    </w:p>
    <w:p w:rsidR="00465BA0" w:rsidRPr="00465BA0" w:rsidRDefault="00957108" w:rsidP="00957108">
      <w:pPr>
        <w:spacing w:line="240" w:lineRule="auto"/>
        <w:rPr>
          <w:szCs w:val="26"/>
        </w:rPr>
      </w:pPr>
      <w:r>
        <w:rPr>
          <w:szCs w:val="26"/>
        </w:rPr>
        <w:t xml:space="preserve"> </w:t>
      </w:r>
      <w:r w:rsidR="00465BA0">
        <w:rPr>
          <w:szCs w:val="26"/>
        </w:rPr>
        <w:t xml:space="preserve">   </w:t>
      </w:r>
      <w:r w:rsidR="00465BA0" w:rsidRPr="00465BA0">
        <w:rPr>
          <w:szCs w:val="26"/>
        </w:rPr>
        <w:t xml:space="preserve"> </w:t>
      </w:r>
    </w:p>
    <w:p w:rsidR="009F785F" w:rsidRDefault="009F785F" w:rsidP="00957108">
      <w:pPr>
        <w:spacing w:line="240" w:lineRule="auto"/>
        <w:rPr>
          <w:szCs w:val="26"/>
        </w:rPr>
      </w:pPr>
    </w:p>
    <w:p w:rsidR="00957108" w:rsidRDefault="00957108" w:rsidP="00957108">
      <w:pPr>
        <w:spacing w:line="240" w:lineRule="auto"/>
        <w:rPr>
          <w:bCs/>
          <w:szCs w:val="26"/>
        </w:rPr>
      </w:pPr>
      <w:r>
        <w:rPr>
          <w:i/>
          <w:szCs w:val="26"/>
        </w:rPr>
        <w:t>Archer v. UGI</w:t>
      </w:r>
      <w:r>
        <w:rPr>
          <w:szCs w:val="26"/>
        </w:rPr>
        <w:t xml:space="preserve"> </w:t>
      </w:r>
      <w:r w:rsidR="0032038C">
        <w:rPr>
          <w:szCs w:val="26"/>
        </w:rPr>
        <w:t xml:space="preserve">(Initial Decision) </w:t>
      </w:r>
      <w:r>
        <w:rPr>
          <w:szCs w:val="26"/>
        </w:rPr>
        <w:t xml:space="preserve">at </w:t>
      </w:r>
      <w:r w:rsidR="000D04D8">
        <w:rPr>
          <w:szCs w:val="26"/>
        </w:rPr>
        <w:t>5</w:t>
      </w:r>
      <w:r>
        <w:rPr>
          <w:bCs/>
          <w:szCs w:val="26"/>
        </w:rPr>
        <w:t>.</w:t>
      </w:r>
    </w:p>
    <w:p w:rsidR="00957108" w:rsidRDefault="00957108" w:rsidP="00957108">
      <w:pPr>
        <w:spacing w:line="240" w:lineRule="auto"/>
        <w:rPr>
          <w:bCs/>
          <w:szCs w:val="26"/>
        </w:rPr>
      </w:pPr>
    </w:p>
    <w:p w:rsidR="00957108" w:rsidRDefault="00957108" w:rsidP="00957108">
      <w:pPr>
        <w:ind w:firstLine="1440"/>
        <w:rPr>
          <w:bCs/>
          <w:szCs w:val="26"/>
        </w:rPr>
      </w:pPr>
    </w:p>
    <w:p w:rsidR="00957108" w:rsidRDefault="00957108" w:rsidP="00957108">
      <w:pPr>
        <w:ind w:firstLine="1440"/>
        <w:rPr>
          <w:szCs w:val="26"/>
        </w:rPr>
      </w:pPr>
      <w:r>
        <w:rPr>
          <w:szCs w:val="26"/>
        </w:rPr>
        <w:t>Based on the foregoing, i</w:t>
      </w:r>
      <w:r w:rsidRPr="00957108">
        <w:rPr>
          <w:szCs w:val="26"/>
        </w:rPr>
        <w:t xml:space="preserve">n order to </w:t>
      </w:r>
      <w:r w:rsidR="00331503">
        <w:rPr>
          <w:szCs w:val="26"/>
        </w:rPr>
        <w:t>raise a cognizable v</w:t>
      </w:r>
      <w:r w:rsidRPr="00957108">
        <w:rPr>
          <w:szCs w:val="26"/>
        </w:rPr>
        <w:t>iolation</w:t>
      </w:r>
      <w:r>
        <w:rPr>
          <w:szCs w:val="26"/>
        </w:rPr>
        <w:t xml:space="preserve"> of Section 1501 of the Code</w:t>
      </w:r>
      <w:r w:rsidRPr="00957108">
        <w:rPr>
          <w:szCs w:val="26"/>
        </w:rPr>
        <w:t xml:space="preserve">, there must be </w:t>
      </w:r>
      <w:r w:rsidR="00752719">
        <w:rPr>
          <w:szCs w:val="26"/>
        </w:rPr>
        <w:t>false</w:t>
      </w:r>
      <w:r w:rsidR="00752719">
        <w:rPr>
          <w:rStyle w:val="FootnoteReference"/>
          <w:szCs w:val="26"/>
        </w:rPr>
        <w:footnoteReference w:id="8"/>
      </w:r>
      <w:r w:rsidRPr="00957108">
        <w:rPr>
          <w:szCs w:val="26"/>
        </w:rPr>
        <w:t xml:space="preserve"> information about the consumer</w:t>
      </w:r>
      <w:r w:rsidR="00306098">
        <w:rPr>
          <w:szCs w:val="26"/>
        </w:rPr>
        <w:t xml:space="preserve"> that is the subject of the complaint</w:t>
      </w:r>
      <w:r w:rsidRPr="00957108">
        <w:rPr>
          <w:szCs w:val="26"/>
        </w:rPr>
        <w:t>.</w:t>
      </w:r>
      <w:r>
        <w:rPr>
          <w:szCs w:val="26"/>
        </w:rPr>
        <w:t xml:space="preserve">  </w:t>
      </w:r>
      <w:r>
        <w:rPr>
          <w:i/>
          <w:szCs w:val="26"/>
        </w:rPr>
        <w:t>Archer v. UGI</w:t>
      </w:r>
      <w:r>
        <w:rPr>
          <w:szCs w:val="26"/>
        </w:rPr>
        <w:t>.  In the present case, the ALJ found that</w:t>
      </w:r>
      <w:r w:rsidR="00E74263">
        <w:rPr>
          <w:szCs w:val="26"/>
        </w:rPr>
        <w:t xml:space="preserve"> PECO failed to use reliable evidence that Complainant lived at the Service Address before opening an account in her name, and also filed a negative report against Complainant with credit reporting agencies</w:t>
      </w:r>
      <w:r>
        <w:rPr>
          <w:szCs w:val="26"/>
        </w:rPr>
        <w:t>.</w:t>
      </w:r>
      <w:r w:rsidR="00E74263">
        <w:rPr>
          <w:szCs w:val="26"/>
        </w:rPr>
        <w:t xml:space="preserve">  Supp. I.D. at 14.</w:t>
      </w:r>
      <w:r>
        <w:rPr>
          <w:szCs w:val="26"/>
        </w:rPr>
        <w:t xml:space="preserve">  We</w:t>
      </w:r>
      <w:r w:rsidR="00331503">
        <w:rPr>
          <w:szCs w:val="26"/>
        </w:rPr>
        <w:t xml:space="preserve">, therefore, </w:t>
      </w:r>
      <w:r>
        <w:rPr>
          <w:szCs w:val="26"/>
        </w:rPr>
        <w:t xml:space="preserve">find that the holding </w:t>
      </w:r>
      <w:r w:rsidR="000D04D8">
        <w:rPr>
          <w:szCs w:val="26"/>
        </w:rPr>
        <w:t xml:space="preserve">that </w:t>
      </w:r>
      <w:r w:rsidR="00306098">
        <w:rPr>
          <w:szCs w:val="26"/>
        </w:rPr>
        <w:t xml:space="preserve">a violation of Section 1501 </w:t>
      </w:r>
      <w:r w:rsidR="000D04D8">
        <w:rPr>
          <w:szCs w:val="26"/>
        </w:rPr>
        <w:t xml:space="preserve">has occurred </w:t>
      </w:r>
      <w:r w:rsidR="00306098">
        <w:rPr>
          <w:szCs w:val="26"/>
        </w:rPr>
        <w:t xml:space="preserve">under these circumstances </w:t>
      </w:r>
      <w:r>
        <w:rPr>
          <w:szCs w:val="26"/>
        </w:rPr>
        <w:t xml:space="preserve">is consistent with </w:t>
      </w:r>
      <w:r>
        <w:rPr>
          <w:i/>
          <w:szCs w:val="26"/>
        </w:rPr>
        <w:t>Archer v. UGI</w:t>
      </w:r>
      <w:r>
        <w:rPr>
          <w:szCs w:val="26"/>
        </w:rPr>
        <w:t>.</w:t>
      </w:r>
    </w:p>
    <w:p w:rsidR="00306098" w:rsidRDefault="00306098" w:rsidP="00957108">
      <w:pPr>
        <w:ind w:firstLine="1440"/>
        <w:rPr>
          <w:szCs w:val="26"/>
        </w:rPr>
      </w:pPr>
    </w:p>
    <w:p w:rsidR="00465E87" w:rsidRPr="00465E87" w:rsidRDefault="00C37862" w:rsidP="00465E87">
      <w:pPr>
        <w:pStyle w:val="BodyText3"/>
        <w:spacing w:after="0" w:line="360" w:lineRule="auto"/>
        <w:ind w:firstLine="1440"/>
        <w:rPr>
          <w:sz w:val="26"/>
          <w:szCs w:val="26"/>
        </w:rPr>
      </w:pPr>
      <w:r w:rsidRPr="00465E87">
        <w:rPr>
          <w:sz w:val="26"/>
          <w:szCs w:val="26"/>
        </w:rPr>
        <w:t xml:space="preserve">Notwithstanding </w:t>
      </w:r>
      <w:r w:rsidR="00306098" w:rsidRPr="00465E87">
        <w:rPr>
          <w:sz w:val="26"/>
          <w:szCs w:val="26"/>
        </w:rPr>
        <w:t xml:space="preserve">that </w:t>
      </w:r>
      <w:r w:rsidRPr="00465E87">
        <w:rPr>
          <w:sz w:val="26"/>
          <w:szCs w:val="26"/>
        </w:rPr>
        <w:t xml:space="preserve">the holding is consistent with Commission precedent in the area, we express two concerns </w:t>
      </w:r>
      <w:r w:rsidR="00306098" w:rsidRPr="00465E87">
        <w:rPr>
          <w:sz w:val="26"/>
          <w:szCs w:val="26"/>
        </w:rPr>
        <w:t xml:space="preserve">on </w:t>
      </w:r>
      <w:r w:rsidRPr="00465E87">
        <w:rPr>
          <w:sz w:val="26"/>
          <w:szCs w:val="26"/>
        </w:rPr>
        <w:t xml:space="preserve">which </w:t>
      </w:r>
      <w:r w:rsidR="00306098" w:rsidRPr="00465E87">
        <w:rPr>
          <w:sz w:val="26"/>
          <w:szCs w:val="26"/>
        </w:rPr>
        <w:t xml:space="preserve">we </w:t>
      </w:r>
      <w:r w:rsidRPr="00465E87">
        <w:rPr>
          <w:sz w:val="26"/>
          <w:szCs w:val="26"/>
        </w:rPr>
        <w:t>will</w:t>
      </w:r>
      <w:r w:rsidR="00306098" w:rsidRPr="00465E87">
        <w:rPr>
          <w:sz w:val="26"/>
          <w:szCs w:val="26"/>
        </w:rPr>
        <w:t xml:space="preserve"> </w:t>
      </w:r>
      <w:r w:rsidR="009A1C01">
        <w:rPr>
          <w:sz w:val="26"/>
          <w:szCs w:val="26"/>
        </w:rPr>
        <w:t>reduce</w:t>
      </w:r>
      <w:r w:rsidRPr="00465E87">
        <w:rPr>
          <w:sz w:val="26"/>
          <w:szCs w:val="26"/>
        </w:rPr>
        <w:t xml:space="preserve"> the civil penalty</w:t>
      </w:r>
      <w:r w:rsidR="00364C23">
        <w:rPr>
          <w:sz w:val="26"/>
          <w:szCs w:val="26"/>
        </w:rPr>
        <w:t xml:space="preserve"> on consideration of the Commission’s Regulations</w:t>
      </w:r>
      <w:r w:rsidRPr="00465E87">
        <w:rPr>
          <w:sz w:val="26"/>
          <w:szCs w:val="26"/>
        </w:rPr>
        <w:t xml:space="preserve">.  First, Complainant was never a customer of PECO.  Also, it does not appear that </w:t>
      </w:r>
      <w:r w:rsidR="00331503" w:rsidRPr="00465E87">
        <w:rPr>
          <w:sz w:val="26"/>
          <w:szCs w:val="26"/>
        </w:rPr>
        <w:t>Complainant</w:t>
      </w:r>
      <w:r w:rsidRPr="00465E87">
        <w:rPr>
          <w:sz w:val="26"/>
          <w:szCs w:val="26"/>
        </w:rPr>
        <w:t xml:space="preserve"> was an “applicant” within the meaning of the Code’s definition, as she never sought service</w:t>
      </w:r>
      <w:r w:rsidR="00331503" w:rsidRPr="00465E87">
        <w:rPr>
          <w:sz w:val="26"/>
          <w:szCs w:val="26"/>
        </w:rPr>
        <w:t xml:space="preserve"> and does not presently </w:t>
      </w:r>
      <w:r w:rsidR="00331503" w:rsidRPr="00465E87">
        <w:rPr>
          <w:sz w:val="26"/>
          <w:szCs w:val="26"/>
        </w:rPr>
        <w:lastRenderedPageBreak/>
        <w:t>seek service</w:t>
      </w:r>
      <w:r w:rsidRPr="00465E87">
        <w:rPr>
          <w:sz w:val="26"/>
          <w:szCs w:val="26"/>
        </w:rPr>
        <w:t xml:space="preserve">.  </w:t>
      </w:r>
      <w:r w:rsidRPr="00465E87">
        <w:rPr>
          <w:i/>
          <w:sz w:val="26"/>
          <w:szCs w:val="26"/>
        </w:rPr>
        <w:t>See</w:t>
      </w:r>
      <w:r w:rsidR="00752719" w:rsidRPr="00465E87">
        <w:rPr>
          <w:sz w:val="26"/>
          <w:szCs w:val="26"/>
        </w:rPr>
        <w:t xml:space="preserve"> </w:t>
      </w:r>
      <w:r w:rsidR="00B61B4B" w:rsidRPr="00465E87">
        <w:rPr>
          <w:sz w:val="26"/>
          <w:szCs w:val="26"/>
        </w:rPr>
        <w:t>52 Pa. Code § 56.2, defining “Applicant,”</w:t>
      </w:r>
      <w:r w:rsidR="00B61B4B" w:rsidRPr="00465E87">
        <w:rPr>
          <w:rStyle w:val="FootnoteReference"/>
          <w:sz w:val="26"/>
          <w:szCs w:val="26"/>
        </w:rPr>
        <w:footnoteReference w:id="9"/>
      </w:r>
      <w:r w:rsidR="00B61B4B" w:rsidRPr="00465E87">
        <w:rPr>
          <w:sz w:val="26"/>
          <w:szCs w:val="26"/>
        </w:rPr>
        <w:t xml:space="preserve"> and “Customer.”</w:t>
      </w:r>
      <w:r w:rsidR="00B61B4B" w:rsidRPr="00465E87">
        <w:rPr>
          <w:rStyle w:val="FootnoteReference"/>
          <w:sz w:val="26"/>
          <w:szCs w:val="26"/>
        </w:rPr>
        <w:footnoteReference w:id="10"/>
      </w:r>
      <w:r w:rsidRPr="00465E87">
        <w:rPr>
          <w:i/>
          <w:sz w:val="26"/>
          <w:szCs w:val="26"/>
        </w:rPr>
        <w:t xml:space="preserve"> </w:t>
      </w:r>
      <w:r w:rsidR="00B61B4B" w:rsidRPr="00465E87">
        <w:rPr>
          <w:sz w:val="26"/>
          <w:szCs w:val="26"/>
        </w:rPr>
        <w:t>The requirements and obligations imposed upon the utility pursuant to Section 1501 of the Code, however, are not conscribed by the</w:t>
      </w:r>
      <w:r w:rsidR="003D7B0E" w:rsidRPr="00465E87">
        <w:rPr>
          <w:sz w:val="26"/>
          <w:szCs w:val="26"/>
        </w:rPr>
        <w:t xml:space="preserve"> status of a complaining party to the definitions in our Regulations.  </w:t>
      </w:r>
      <w:r w:rsidR="003D7B0E" w:rsidRPr="00465E87">
        <w:rPr>
          <w:i/>
          <w:sz w:val="26"/>
          <w:szCs w:val="26"/>
        </w:rPr>
        <w:t>See West Penn Power Co. v. Pa. PUC</w:t>
      </w:r>
      <w:r w:rsidR="003D7B0E" w:rsidRPr="00465E87">
        <w:rPr>
          <w:sz w:val="26"/>
          <w:szCs w:val="26"/>
        </w:rPr>
        <w:t>, 521 A.2d 75 (Pa.</w:t>
      </w:r>
      <w:r w:rsidR="00486EE6">
        <w:rPr>
          <w:sz w:val="26"/>
          <w:szCs w:val="26"/>
        </w:rPr>
        <w:t xml:space="preserve"> </w:t>
      </w:r>
      <w:r w:rsidR="003D7B0E" w:rsidRPr="00465E87">
        <w:rPr>
          <w:sz w:val="26"/>
          <w:szCs w:val="26"/>
        </w:rPr>
        <w:t>Cmwlth. 1987).</w:t>
      </w:r>
      <w:r w:rsidR="00465E87" w:rsidRPr="00465E87">
        <w:rPr>
          <w:sz w:val="26"/>
          <w:szCs w:val="26"/>
        </w:rPr>
        <w:t xml:space="preserve">  The statutory definition of “service” is to be broadly construed.</w:t>
      </w:r>
      <w:r w:rsidR="00465E87">
        <w:rPr>
          <w:sz w:val="26"/>
          <w:szCs w:val="26"/>
        </w:rPr>
        <w:t xml:space="preserve">   </w:t>
      </w:r>
      <w:r w:rsidR="00465E87">
        <w:rPr>
          <w:i/>
          <w:sz w:val="26"/>
          <w:szCs w:val="26"/>
        </w:rPr>
        <w:t xml:space="preserve">See </w:t>
      </w:r>
      <w:r w:rsidR="00465E87" w:rsidRPr="00465E87">
        <w:rPr>
          <w:i/>
          <w:sz w:val="26"/>
          <w:szCs w:val="26"/>
        </w:rPr>
        <w:t>Archer v. UGI</w:t>
      </w:r>
      <w:r w:rsidR="00914776">
        <w:rPr>
          <w:sz w:val="26"/>
          <w:szCs w:val="26"/>
        </w:rPr>
        <w:t>, Initial Decision</w:t>
      </w:r>
      <w:r w:rsidR="00465E87">
        <w:rPr>
          <w:sz w:val="26"/>
          <w:szCs w:val="26"/>
        </w:rPr>
        <w:t xml:space="preserve"> at 6, citing</w:t>
      </w:r>
      <w:r w:rsidR="00465E87" w:rsidRPr="00465E87">
        <w:rPr>
          <w:sz w:val="26"/>
          <w:szCs w:val="26"/>
        </w:rPr>
        <w:t xml:space="preserve"> </w:t>
      </w:r>
      <w:r w:rsidR="00465E87" w:rsidRPr="00465E87">
        <w:rPr>
          <w:i/>
          <w:sz w:val="26"/>
          <w:szCs w:val="26"/>
        </w:rPr>
        <w:t>Country Place Waste Treatment Co., Inc. v. Pa. PUC,</w:t>
      </w:r>
      <w:r w:rsidR="00465E87" w:rsidRPr="00465E87">
        <w:rPr>
          <w:sz w:val="26"/>
          <w:szCs w:val="26"/>
        </w:rPr>
        <w:t xml:space="preserve"> 654 A.2d 72 (Pa. Cmwlth. 1995).  Thus, the term “service” is clearly broad enough to include the billing and collection practices of a public utility, and also the conduct of its employees towards its customers.</w:t>
      </w:r>
      <w:r w:rsidR="00465E87">
        <w:rPr>
          <w:sz w:val="26"/>
          <w:szCs w:val="26"/>
        </w:rPr>
        <w:t xml:space="preserve">  </w:t>
      </w:r>
      <w:r w:rsidR="00465E87">
        <w:rPr>
          <w:i/>
          <w:sz w:val="26"/>
          <w:szCs w:val="26"/>
        </w:rPr>
        <w:t>Id</w:t>
      </w:r>
      <w:r w:rsidR="00465E87">
        <w:rPr>
          <w:sz w:val="26"/>
          <w:szCs w:val="26"/>
        </w:rPr>
        <w:t>.</w:t>
      </w:r>
      <w:r w:rsidR="00465E87" w:rsidRPr="00465E87">
        <w:rPr>
          <w:sz w:val="26"/>
          <w:szCs w:val="26"/>
        </w:rPr>
        <w:t xml:space="preserve">  </w:t>
      </w:r>
    </w:p>
    <w:p w:rsidR="003D7B0E" w:rsidRDefault="003D7B0E" w:rsidP="00465E87">
      <w:pPr>
        <w:rPr>
          <w:szCs w:val="26"/>
        </w:rPr>
      </w:pPr>
    </w:p>
    <w:p w:rsidR="00465E87" w:rsidRDefault="000B7A94" w:rsidP="003E0557">
      <w:pPr>
        <w:ind w:firstLine="1440"/>
        <w:rPr>
          <w:szCs w:val="26"/>
        </w:rPr>
      </w:pPr>
      <w:r>
        <w:rPr>
          <w:szCs w:val="26"/>
        </w:rPr>
        <w:t xml:space="preserve">Second, </w:t>
      </w:r>
      <w:r w:rsidR="003D7B0E">
        <w:rPr>
          <w:szCs w:val="26"/>
        </w:rPr>
        <w:t>PECO insists that it does not “report” to credit reporting bureaus or agencies.</w:t>
      </w:r>
      <w:r w:rsidR="00B3377F">
        <w:rPr>
          <w:szCs w:val="26"/>
        </w:rPr>
        <w:t xml:space="preserve">  Exc. at 10.</w:t>
      </w:r>
      <w:r w:rsidR="00465E87">
        <w:rPr>
          <w:szCs w:val="26"/>
        </w:rPr>
        <w:t xml:space="preserve">  The nature of how credit reporting agencies obtain information</w:t>
      </w:r>
      <w:r w:rsidR="00364C23">
        <w:rPr>
          <w:szCs w:val="26"/>
        </w:rPr>
        <w:t xml:space="preserve"> on which they create credit reports</w:t>
      </w:r>
      <w:r w:rsidR="00465E87">
        <w:rPr>
          <w:szCs w:val="26"/>
        </w:rPr>
        <w:t xml:space="preserve"> </w:t>
      </w:r>
      <w:r w:rsidR="009A1C01">
        <w:rPr>
          <w:szCs w:val="26"/>
        </w:rPr>
        <w:t xml:space="preserve">raise issues which are beyond the jurisdiction of this agency to determine.  </w:t>
      </w:r>
      <w:r w:rsidR="009A1C01">
        <w:rPr>
          <w:i/>
          <w:szCs w:val="26"/>
        </w:rPr>
        <w:t>See Dietz v. Chase Home Finance, LLC</w:t>
      </w:r>
      <w:r w:rsidR="009A1C01">
        <w:rPr>
          <w:szCs w:val="26"/>
        </w:rPr>
        <w:t>, 41 A.3d 882 (Pa. Superior Ct. 2012).</w:t>
      </w:r>
      <w:r w:rsidR="00364C23">
        <w:rPr>
          <w:szCs w:val="26"/>
        </w:rPr>
        <w:t xml:space="preserve">  To the extent the information maintained by a utility concerning a customer account is not accurate, </w:t>
      </w:r>
      <w:r w:rsidR="00364C23">
        <w:rPr>
          <w:i/>
          <w:szCs w:val="26"/>
        </w:rPr>
        <w:t>i.e.</w:t>
      </w:r>
      <w:r w:rsidR="00364C23">
        <w:rPr>
          <w:szCs w:val="26"/>
        </w:rPr>
        <w:t xml:space="preserve"> false it has been subject to consideration under the standards of Section 1501 of the Code. </w:t>
      </w:r>
      <w:r w:rsidR="00465E87">
        <w:rPr>
          <w:szCs w:val="26"/>
        </w:rPr>
        <w:t xml:space="preserve"> </w:t>
      </w:r>
      <w:r w:rsidR="00B3377F">
        <w:rPr>
          <w:szCs w:val="26"/>
        </w:rPr>
        <w:t xml:space="preserve">  </w:t>
      </w:r>
    </w:p>
    <w:p w:rsidR="00465E87" w:rsidRDefault="00465E87" w:rsidP="003E0557">
      <w:pPr>
        <w:ind w:firstLine="1440"/>
        <w:rPr>
          <w:szCs w:val="26"/>
        </w:rPr>
      </w:pPr>
    </w:p>
    <w:p w:rsidR="00765557" w:rsidRDefault="00B3377F" w:rsidP="003E0557">
      <w:pPr>
        <w:ind w:firstLine="1440"/>
        <w:rPr>
          <w:szCs w:val="26"/>
        </w:rPr>
      </w:pPr>
      <w:r>
        <w:rPr>
          <w:szCs w:val="26"/>
        </w:rPr>
        <w:t xml:space="preserve">On consideration of the record, we agree with the ALJ that the segment of conduct of PECO that is the subject of a finding of unreasonable service was accurately assessed.  </w:t>
      </w:r>
      <w:r w:rsidR="00364C23">
        <w:rPr>
          <w:szCs w:val="26"/>
        </w:rPr>
        <w:t xml:space="preserve">We have </w:t>
      </w:r>
      <w:r>
        <w:rPr>
          <w:szCs w:val="26"/>
        </w:rPr>
        <w:t>review</w:t>
      </w:r>
      <w:r w:rsidR="00364C23">
        <w:rPr>
          <w:szCs w:val="26"/>
        </w:rPr>
        <w:t>ed</w:t>
      </w:r>
      <w:r>
        <w:rPr>
          <w:szCs w:val="26"/>
        </w:rPr>
        <w:t xml:space="preserve"> PECO Exhibit 7, which is a letter authored by </w:t>
      </w:r>
      <w:r w:rsidR="00364C23">
        <w:rPr>
          <w:szCs w:val="26"/>
        </w:rPr>
        <w:t xml:space="preserve">PECO </w:t>
      </w:r>
      <w:r>
        <w:rPr>
          <w:szCs w:val="26"/>
        </w:rPr>
        <w:lastRenderedPageBreak/>
        <w:t>witness Hilton</w:t>
      </w:r>
      <w:r w:rsidR="00364C23">
        <w:rPr>
          <w:szCs w:val="26"/>
        </w:rPr>
        <w:t>.  In the said letter,</w:t>
      </w:r>
      <w:r>
        <w:rPr>
          <w:szCs w:val="26"/>
        </w:rPr>
        <w:t xml:space="preserve"> Complainant </w:t>
      </w:r>
      <w:r w:rsidR="009A1C01">
        <w:rPr>
          <w:szCs w:val="26"/>
        </w:rPr>
        <w:t>wa</w:t>
      </w:r>
      <w:r>
        <w:rPr>
          <w:szCs w:val="26"/>
        </w:rPr>
        <w:t>s asked to provide the following documents: “ . . . a valid copy of a police report, proof of residence from 8/2009 – 5/2013, and a letter from all three credit reporting agencies by 5/28/13.”  The exhibit also notes that Complainant’s Social Security Number is “different from the social security number on the account; however the las</w:t>
      </w:r>
      <w:r w:rsidR="00440677">
        <w:rPr>
          <w:szCs w:val="26"/>
        </w:rPr>
        <w:t>t</w:t>
      </w:r>
      <w:r>
        <w:rPr>
          <w:szCs w:val="26"/>
        </w:rPr>
        <w:t xml:space="preserve"> four digits are correct.”</w:t>
      </w:r>
      <w:r w:rsidR="00440677">
        <w:rPr>
          <w:szCs w:val="26"/>
        </w:rPr>
        <w:t xml:space="preserve">  </w:t>
      </w:r>
      <w:r w:rsidR="00440677">
        <w:rPr>
          <w:i/>
          <w:szCs w:val="26"/>
        </w:rPr>
        <w:t>Id</w:t>
      </w:r>
      <w:r w:rsidR="00440677">
        <w:rPr>
          <w:szCs w:val="26"/>
        </w:rPr>
        <w:t>.</w:t>
      </w:r>
      <w:r>
        <w:rPr>
          <w:szCs w:val="26"/>
        </w:rPr>
        <w:t xml:space="preserve">  The documents submitted by Complainant substantially compl</w:t>
      </w:r>
      <w:r w:rsidR="00440677">
        <w:rPr>
          <w:szCs w:val="26"/>
        </w:rPr>
        <w:t>ied</w:t>
      </w:r>
      <w:r>
        <w:rPr>
          <w:szCs w:val="26"/>
        </w:rPr>
        <w:t xml:space="preserve"> with this request.</w:t>
      </w:r>
      <w:r>
        <w:rPr>
          <w:rStyle w:val="FootnoteReference"/>
          <w:szCs w:val="26"/>
        </w:rPr>
        <w:footnoteReference w:id="11"/>
      </w:r>
      <w:r w:rsidR="00765557">
        <w:rPr>
          <w:szCs w:val="26"/>
        </w:rPr>
        <w:t xml:space="preserve">   </w:t>
      </w:r>
      <w:r w:rsidR="00440677">
        <w:rPr>
          <w:szCs w:val="26"/>
        </w:rPr>
        <w:t>Notwithstanding, a</w:t>
      </w:r>
      <w:r w:rsidR="00765557">
        <w:rPr>
          <w:szCs w:val="26"/>
        </w:rPr>
        <w:t>fter substantial compliance with the information requested</w:t>
      </w:r>
      <w:r w:rsidR="00440677">
        <w:rPr>
          <w:szCs w:val="26"/>
        </w:rPr>
        <w:t xml:space="preserve"> by PECO</w:t>
      </w:r>
      <w:r w:rsidR="00765557">
        <w:rPr>
          <w:szCs w:val="26"/>
        </w:rPr>
        <w:t xml:space="preserve">, the </w:t>
      </w:r>
      <w:r w:rsidR="00440677">
        <w:rPr>
          <w:szCs w:val="26"/>
        </w:rPr>
        <w:t xml:space="preserve">transcript </w:t>
      </w:r>
      <w:r w:rsidR="00765557">
        <w:rPr>
          <w:szCs w:val="26"/>
        </w:rPr>
        <w:t>clear</w:t>
      </w:r>
      <w:r w:rsidR="00440677">
        <w:rPr>
          <w:szCs w:val="26"/>
        </w:rPr>
        <w:t>ly reflects</w:t>
      </w:r>
      <w:r w:rsidR="00765557">
        <w:rPr>
          <w:szCs w:val="26"/>
        </w:rPr>
        <w:t xml:space="preserve"> the frustration and consternation of Complainant that the Respondent arbitrarily disregarded this information</w:t>
      </w:r>
      <w:r w:rsidR="00364C23">
        <w:rPr>
          <w:szCs w:val="26"/>
        </w:rPr>
        <w:t xml:space="preserve"> in its dealings with Complainant</w:t>
      </w:r>
      <w:r w:rsidR="00765557">
        <w:rPr>
          <w:szCs w:val="26"/>
        </w:rPr>
        <w:t>.</w:t>
      </w:r>
    </w:p>
    <w:p w:rsidR="00765557" w:rsidRDefault="00765557" w:rsidP="003E0557">
      <w:pPr>
        <w:ind w:firstLine="1440"/>
        <w:rPr>
          <w:szCs w:val="26"/>
        </w:rPr>
      </w:pPr>
    </w:p>
    <w:p w:rsidR="00882B76" w:rsidRDefault="00765557" w:rsidP="003E0557">
      <w:pPr>
        <w:ind w:firstLine="1440"/>
        <w:rPr>
          <w:szCs w:val="26"/>
        </w:rPr>
      </w:pPr>
      <w:r>
        <w:rPr>
          <w:szCs w:val="26"/>
        </w:rPr>
        <w:t xml:space="preserve">Based on the foregoing, we shall modify the recommendation of the presiding ALJ </w:t>
      </w:r>
      <w:r w:rsidR="009A1C01">
        <w:rPr>
          <w:szCs w:val="26"/>
        </w:rPr>
        <w:t>and reduce the civil penalty from $1,000 to $500</w:t>
      </w:r>
      <w:r w:rsidR="00364C23">
        <w:rPr>
          <w:szCs w:val="26"/>
        </w:rPr>
        <w:t>.  The assessment of the civil penalty is</w:t>
      </w:r>
      <w:r w:rsidR="009A1C01">
        <w:rPr>
          <w:szCs w:val="26"/>
        </w:rPr>
        <w:t xml:space="preserve"> based on th</w:t>
      </w:r>
      <w:r w:rsidR="001A3073">
        <w:rPr>
          <w:szCs w:val="26"/>
        </w:rPr>
        <w:t>at segment of PECO’s conduct involving a</w:t>
      </w:r>
      <w:r w:rsidR="009A1C01">
        <w:rPr>
          <w:szCs w:val="26"/>
        </w:rPr>
        <w:t xml:space="preserve"> delay and arbitrary disregard of competent documentary information</w:t>
      </w:r>
      <w:r w:rsidR="001A3073">
        <w:rPr>
          <w:szCs w:val="26"/>
        </w:rPr>
        <w:t>, consistent with the Code and Commission Regulations,</w:t>
      </w:r>
      <w:r w:rsidR="009A1C01">
        <w:rPr>
          <w:szCs w:val="26"/>
        </w:rPr>
        <w:t xml:space="preserve"> provided by Complainant to PECO</w:t>
      </w:r>
      <w:r w:rsidR="00364C23">
        <w:rPr>
          <w:szCs w:val="26"/>
        </w:rPr>
        <w:t xml:space="preserve"> in this matter</w:t>
      </w:r>
      <w:r w:rsidR="009A1C01">
        <w:rPr>
          <w:szCs w:val="26"/>
        </w:rPr>
        <w:t>.</w:t>
      </w:r>
      <w:r w:rsidR="004E1579">
        <w:rPr>
          <w:szCs w:val="26"/>
        </w:rPr>
        <w:t xml:space="preserve">  Imposition of a civil penalty based upon the reporting of negative credit information to credit reporting agencies is not sufficiently present on our review of the record.   </w:t>
      </w:r>
    </w:p>
    <w:p w:rsidR="00882B76" w:rsidRDefault="00882B76" w:rsidP="003E0557">
      <w:pPr>
        <w:ind w:firstLine="1440"/>
        <w:rPr>
          <w:szCs w:val="26"/>
        </w:rPr>
      </w:pPr>
    </w:p>
    <w:p w:rsidR="004E1579" w:rsidRDefault="004E1579" w:rsidP="003E0557">
      <w:pPr>
        <w:ind w:firstLine="1440"/>
        <w:rPr>
          <w:szCs w:val="26"/>
        </w:rPr>
      </w:pPr>
      <w:r>
        <w:rPr>
          <w:szCs w:val="26"/>
        </w:rPr>
        <w:t>The presiding ALJ discussed those considerations applicable to the imposition of a civil penalty at pages 14-18 of the Supplemental Initial Decision.  We focus upon the eighth and tenth factors discussed by the ALJ to revise the proposed civil penalty.  Concerning the eighth factor, the ALJ reasoned, in pertinent part:</w:t>
      </w:r>
    </w:p>
    <w:p w:rsidR="004E1579" w:rsidRDefault="004E1579" w:rsidP="003E0557">
      <w:pPr>
        <w:ind w:firstLine="1440"/>
        <w:rPr>
          <w:szCs w:val="26"/>
        </w:rPr>
      </w:pPr>
    </w:p>
    <w:p w:rsidR="004E1579" w:rsidRPr="00995981" w:rsidRDefault="004E1579" w:rsidP="00811109">
      <w:pPr>
        <w:suppressAutoHyphens/>
        <w:spacing w:line="240" w:lineRule="auto"/>
        <w:ind w:left="1440" w:right="1440" w:firstLine="720"/>
        <w:rPr>
          <w:spacing w:val="-3"/>
          <w:szCs w:val="26"/>
        </w:rPr>
      </w:pPr>
      <w:r w:rsidRPr="00995981">
        <w:rPr>
          <w:spacing w:val="-3"/>
          <w:szCs w:val="26"/>
        </w:rPr>
        <w:lastRenderedPageBreak/>
        <w:t>The eighth criterion is the amount of the civil penalty or fine necessary to deter future violations, with consideration of the size of the utility.  PECO is a large utility with an extensive territory.  In light of PECO’s size and the damage it inflicted on Complainant and her credit rating, the penalty should be $1,000.00.  This amount is neither excessive nor arbitrary, given the wealth of contrary documentation made available from Complainant, coupled with the basic seriousness of the consequences from Respondent’s insistence to rely on unreliable, unsubstantiated hearsay evidence from the landlords.  Three facts in particular weighed heavy in the calculation of this criterion:  (1) Respondent’s failure to obtain or attempt to obtain the testimony of the landlords; (2) Respondent’s failure to request or obtain a copy of the lease which Complainant allegedly signed for the service address; and (3) Respondent’s filing of negative credit reports with the three credit reporting agencies.  Thus, in consideration of all the other relevant factors, I conclude a penalty of $1,000.00 is sufficient to deter future violations.</w:t>
      </w:r>
    </w:p>
    <w:p w:rsidR="004E1579" w:rsidRDefault="004E1579" w:rsidP="004E1579">
      <w:pPr>
        <w:spacing w:line="240" w:lineRule="auto"/>
        <w:rPr>
          <w:szCs w:val="26"/>
        </w:rPr>
      </w:pPr>
    </w:p>
    <w:p w:rsidR="004E1579" w:rsidRDefault="004E1579" w:rsidP="004E1579">
      <w:pPr>
        <w:spacing w:line="240" w:lineRule="auto"/>
        <w:rPr>
          <w:szCs w:val="26"/>
        </w:rPr>
      </w:pPr>
    </w:p>
    <w:p w:rsidR="004E1579" w:rsidRDefault="004E1579" w:rsidP="004E1579">
      <w:pPr>
        <w:spacing w:line="240" w:lineRule="auto"/>
        <w:rPr>
          <w:szCs w:val="26"/>
        </w:rPr>
      </w:pPr>
      <w:r>
        <w:rPr>
          <w:szCs w:val="26"/>
        </w:rPr>
        <w:t>Supp. I.D. at 17.</w:t>
      </w:r>
    </w:p>
    <w:p w:rsidR="004E1579" w:rsidRDefault="004E1579" w:rsidP="004E1579">
      <w:pPr>
        <w:spacing w:line="240" w:lineRule="auto"/>
        <w:rPr>
          <w:szCs w:val="26"/>
        </w:rPr>
      </w:pPr>
    </w:p>
    <w:p w:rsidR="004E1579" w:rsidRDefault="004E1579" w:rsidP="003E0557">
      <w:pPr>
        <w:ind w:firstLine="1440"/>
        <w:rPr>
          <w:szCs w:val="26"/>
        </w:rPr>
      </w:pPr>
    </w:p>
    <w:p w:rsidR="004E1579" w:rsidRDefault="004E1579" w:rsidP="003E0557">
      <w:pPr>
        <w:ind w:firstLine="1440"/>
        <w:rPr>
          <w:szCs w:val="26"/>
        </w:rPr>
      </w:pPr>
      <w:r>
        <w:rPr>
          <w:szCs w:val="26"/>
        </w:rPr>
        <w:t>Regarding the tenth criterion, the ALJ reasoned as follows:</w:t>
      </w:r>
    </w:p>
    <w:p w:rsidR="004E1579" w:rsidRDefault="004E1579" w:rsidP="003E0557">
      <w:pPr>
        <w:ind w:firstLine="1440"/>
        <w:rPr>
          <w:szCs w:val="26"/>
        </w:rPr>
      </w:pPr>
    </w:p>
    <w:p w:rsidR="004E1579" w:rsidRPr="00995981" w:rsidRDefault="004E1579" w:rsidP="004E1579">
      <w:pPr>
        <w:suppressAutoHyphens/>
        <w:spacing w:line="240" w:lineRule="auto"/>
        <w:ind w:left="1440" w:right="1440" w:firstLine="720"/>
        <w:rPr>
          <w:spacing w:val="-3"/>
          <w:szCs w:val="26"/>
        </w:rPr>
      </w:pPr>
      <w:r w:rsidRPr="00995981">
        <w:rPr>
          <w:spacing w:val="-3"/>
          <w:szCs w:val="26"/>
        </w:rPr>
        <w:t>The tenth criterion is other relevant factors</w:t>
      </w:r>
      <w:r>
        <w:rPr>
          <w:spacing w:val="-3"/>
          <w:szCs w:val="26"/>
        </w:rPr>
        <w:t xml:space="preserve">.  </w:t>
      </w:r>
      <w:r w:rsidRPr="00995981">
        <w:rPr>
          <w:spacing w:val="-3"/>
          <w:szCs w:val="26"/>
        </w:rPr>
        <w:t>None have been suggested or considered other than those previously discussed.</w:t>
      </w:r>
    </w:p>
    <w:p w:rsidR="004E1579" w:rsidRPr="00995981" w:rsidRDefault="004E1579" w:rsidP="004E1579">
      <w:pPr>
        <w:spacing w:line="240" w:lineRule="auto"/>
        <w:ind w:left="1440" w:right="1440"/>
        <w:rPr>
          <w:szCs w:val="26"/>
        </w:rPr>
      </w:pPr>
    </w:p>
    <w:p w:rsidR="004E1579" w:rsidRPr="00995981" w:rsidRDefault="004E1579" w:rsidP="004E1579">
      <w:pPr>
        <w:pStyle w:val="PlainText"/>
        <w:ind w:left="1440" w:right="1440" w:firstLine="720"/>
        <w:rPr>
          <w:rFonts w:ascii="Times New Roman" w:hAnsi="Times New Roman" w:cs="Times New Roman"/>
          <w:sz w:val="26"/>
          <w:szCs w:val="26"/>
        </w:rPr>
      </w:pPr>
      <w:r w:rsidRPr="00995981">
        <w:rPr>
          <w:rFonts w:ascii="Times New Roman" w:hAnsi="Times New Roman" w:cs="Times New Roman"/>
          <w:sz w:val="26"/>
          <w:szCs w:val="26"/>
        </w:rPr>
        <w:t xml:space="preserve">In any case in which a civil penalty is assessed, these ten factors must be considered when calculating the amount of the penalty.  The factors are meant to ascertain, in general, how serious was the conduct and intention of the utility, how the individual consumer was affected and how the utility’s conduct may bode for similar future situations.  In this proceeding, PECO’s actions – to open an account in Complainant’s name without verification, to refuse to remove her name from the account after presented with contrary evidence (i.e., leases), and to file negative credit reports against her name with the credit reporting agencies – were </w:t>
      </w:r>
      <w:r w:rsidRPr="00995981">
        <w:rPr>
          <w:rFonts w:ascii="Times New Roman" w:hAnsi="Times New Roman" w:cs="Times New Roman"/>
          <w:sz w:val="26"/>
          <w:szCs w:val="26"/>
        </w:rPr>
        <w:lastRenderedPageBreak/>
        <w:t xml:space="preserve">serious and warrant a higher penalty.  PECO caused incorrect, adverse information to be placed on Complainant’s credit rating report with the credit reporting agencies.    </w:t>
      </w:r>
    </w:p>
    <w:p w:rsidR="004E1579" w:rsidRDefault="004E1579" w:rsidP="004E1579">
      <w:pPr>
        <w:spacing w:line="240" w:lineRule="auto"/>
        <w:rPr>
          <w:szCs w:val="26"/>
        </w:rPr>
      </w:pPr>
    </w:p>
    <w:p w:rsidR="004E1579" w:rsidRDefault="004E1579" w:rsidP="004E1579">
      <w:pPr>
        <w:spacing w:line="240" w:lineRule="auto"/>
        <w:rPr>
          <w:szCs w:val="26"/>
        </w:rPr>
      </w:pPr>
    </w:p>
    <w:p w:rsidR="004E1579" w:rsidRDefault="004E1579" w:rsidP="00222029">
      <w:pPr>
        <w:rPr>
          <w:szCs w:val="26"/>
        </w:rPr>
      </w:pPr>
      <w:r>
        <w:rPr>
          <w:i/>
          <w:szCs w:val="26"/>
        </w:rPr>
        <w:t>Id</w:t>
      </w:r>
      <w:r>
        <w:rPr>
          <w:szCs w:val="26"/>
        </w:rPr>
        <w:t>.</w:t>
      </w:r>
    </w:p>
    <w:p w:rsidR="004E1579" w:rsidRDefault="004E1579" w:rsidP="00222029">
      <w:pPr>
        <w:rPr>
          <w:szCs w:val="26"/>
        </w:rPr>
      </w:pPr>
    </w:p>
    <w:p w:rsidR="004E1579" w:rsidRPr="004E1579" w:rsidRDefault="004E1579" w:rsidP="004E1579">
      <w:pPr>
        <w:ind w:firstLine="1440"/>
        <w:rPr>
          <w:szCs w:val="26"/>
        </w:rPr>
      </w:pPr>
      <w:r>
        <w:rPr>
          <w:szCs w:val="26"/>
        </w:rPr>
        <w:t xml:space="preserve">In light of our discussion concerning the reporting of negative credit information to credit reporting agencies, we find that the </w:t>
      </w:r>
      <w:r w:rsidR="00811109">
        <w:rPr>
          <w:szCs w:val="26"/>
        </w:rPr>
        <w:t xml:space="preserve">imposition of a civil penalty in the amount of </w:t>
      </w:r>
      <w:r w:rsidR="00234F3D">
        <w:rPr>
          <w:szCs w:val="26"/>
        </w:rPr>
        <w:t>f</w:t>
      </w:r>
      <w:r w:rsidR="00811109">
        <w:rPr>
          <w:szCs w:val="26"/>
        </w:rPr>
        <w:t>ive</w:t>
      </w:r>
      <w:r w:rsidR="00234F3D">
        <w:rPr>
          <w:szCs w:val="26"/>
        </w:rPr>
        <w:t xml:space="preserve"> </w:t>
      </w:r>
      <w:r w:rsidR="00811109">
        <w:rPr>
          <w:szCs w:val="26"/>
        </w:rPr>
        <w:t>hundred dollars is proper.</w:t>
      </w:r>
      <w:r>
        <w:rPr>
          <w:szCs w:val="26"/>
        </w:rPr>
        <w:t xml:space="preserve"> </w:t>
      </w:r>
    </w:p>
    <w:p w:rsidR="00914776" w:rsidRDefault="004E1579" w:rsidP="00811109">
      <w:pPr>
        <w:ind w:firstLine="1440"/>
        <w:rPr>
          <w:szCs w:val="26"/>
        </w:rPr>
      </w:pPr>
      <w:r>
        <w:rPr>
          <w:szCs w:val="26"/>
        </w:rPr>
        <w:t xml:space="preserve">     </w:t>
      </w:r>
      <w:r w:rsidR="009A1C01">
        <w:rPr>
          <w:szCs w:val="26"/>
        </w:rPr>
        <w:t xml:space="preserve">  </w:t>
      </w:r>
      <w:r w:rsidR="00765557">
        <w:rPr>
          <w:szCs w:val="26"/>
        </w:rPr>
        <w:t xml:space="preserve">   </w:t>
      </w:r>
      <w:r w:rsidR="00B3377F">
        <w:rPr>
          <w:szCs w:val="26"/>
        </w:rPr>
        <w:t xml:space="preserve">      </w:t>
      </w:r>
      <w:r w:rsidR="003D7B0E">
        <w:rPr>
          <w:szCs w:val="26"/>
        </w:rPr>
        <w:t xml:space="preserve">    </w:t>
      </w:r>
      <w:r w:rsidR="00B61B4B">
        <w:rPr>
          <w:szCs w:val="26"/>
        </w:rPr>
        <w:t xml:space="preserve"> </w:t>
      </w:r>
      <w:r w:rsidR="00C37862">
        <w:rPr>
          <w:szCs w:val="26"/>
        </w:rPr>
        <w:t xml:space="preserve">   </w:t>
      </w:r>
      <w:r w:rsidR="00811109">
        <w:rPr>
          <w:szCs w:val="26"/>
        </w:rPr>
        <w:t xml:space="preserve">   </w:t>
      </w:r>
    </w:p>
    <w:p w:rsidR="005A3DBE" w:rsidRPr="005A3DBE" w:rsidRDefault="005A3DBE" w:rsidP="00222029">
      <w:pPr>
        <w:ind w:firstLine="720"/>
        <w:rPr>
          <w:b/>
          <w:szCs w:val="26"/>
        </w:rPr>
      </w:pPr>
      <w:r w:rsidRPr="005A3DBE">
        <w:rPr>
          <w:b/>
          <w:szCs w:val="26"/>
        </w:rPr>
        <w:t>Supplemental Exception</w:t>
      </w:r>
      <w:r>
        <w:rPr>
          <w:b/>
          <w:szCs w:val="26"/>
        </w:rPr>
        <w:t xml:space="preserve"> # 1</w:t>
      </w:r>
    </w:p>
    <w:p w:rsidR="00D57ED2" w:rsidRDefault="00D57ED2" w:rsidP="003E0557">
      <w:pPr>
        <w:ind w:firstLine="1440"/>
        <w:rPr>
          <w:szCs w:val="26"/>
        </w:rPr>
      </w:pPr>
      <w:r>
        <w:rPr>
          <w:szCs w:val="26"/>
        </w:rPr>
        <w:t xml:space="preserve"> </w:t>
      </w:r>
    </w:p>
    <w:p w:rsidR="00383D29" w:rsidRDefault="00383D29" w:rsidP="003E0557">
      <w:pPr>
        <w:ind w:firstLine="1440"/>
        <w:rPr>
          <w:szCs w:val="26"/>
        </w:rPr>
      </w:pPr>
      <w:r>
        <w:rPr>
          <w:szCs w:val="26"/>
        </w:rPr>
        <w:t>In its Exception #1 to the Supplemental Initial Decision, PECO alleges error in the ALJ’s refusal to recognize the Stipulation.  Supp. Exc. at 7-8.  PECO relies upon 52 Pa. Code § 5.234 to assert that the failure to recognize the document resulted in a civil penalty that is based upon a “fiction.”  Exc. at 8.</w:t>
      </w:r>
    </w:p>
    <w:p w:rsidR="00383D29" w:rsidRDefault="00383D29" w:rsidP="003E0557">
      <w:pPr>
        <w:ind w:firstLine="1440"/>
        <w:rPr>
          <w:szCs w:val="26"/>
        </w:rPr>
      </w:pPr>
    </w:p>
    <w:p w:rsidR="005A3DBE" w:rsidRDefault="00383D29" w:rsidP="003E0557">
      <w:pPr>
        <w:ind w:firstLine="1440"/>
        <w:rPr>
          <w:b/>
          <w:szCs w:val="26"/>
        </w:rPr>
      </w:pPr>
      <w:r w:rsidRPr="00383D29">
        <w:rPr>
          <w:b/>
          <w:szCs w:val="26"/>
        </w:rPr>
        <w:t xml:space="preserve">Disposition </w:t>
      </w:r>
    </w:p>
    <w:p w:rsidR="00383D29" w:rsidRDefault="00383D29" w:rsidP="003E0557">
      <w:pPr>
        <w:ind w:firstLine="1440"/>
        <w:rPr>
          <w:b/>
          <w:szCs w:val="26"/>
        </w:rPr>
      </w:pPr>
    </w:p>
    <w:p w:rsidR="008B34C8" w:rsidRDefault="00383D29" w:rsidP="00222029">
      <w:pPr>
        <w:ind w:firstLine="1440"/>
        <w:rPr>
          <w:szCs w:val="26"/>
        </w:rPr>
      </w:pPr>
      <w:r>
        <w:rPr>
          <w:szCs w:val="26"/>
        </w:rPr>
        <w:t xml:space="preserve">We do not find any error in the presiding ALJ’s ruling concerning the Stipulation.  The directives of the </w:t>
      </w:r>
      <w:r>
        <w:rPr>
          <w:i/>
          <w:szCs w:val="26"/>
        </w:rPr>
        <w:t xml:space="preserve">April 2015 Order </w:t>
      </w:r>
      <w:r>
        <w:rPr>
          <w:szCs w:val="26"/>
        </w:rPr>
        <w:t xml:space="preserve">were clear and the proceedings on remand limited in scope.  For the ALJ to have exceeded the scope of the </w:t>
      </w:r>
      <w:r w:rsidR="00087AB1">
        <w:rPr>
          <w:szCs w:val="26"/>
        </w:rPr>
        <w:t>O</w:t>
      </w:r>
      <w:r>
        <w:rPr>
          <w:szCs w:val="26"/>
        </w:rPr>
        <w:t>rder’s directives, interlocutory Commission review and authorization would have been required.  We do not find any indication in this record that such interlocutory review was pursued by PECO.</w:t>
      </w:r>
      <w:r w:rsidR="004D53CF">
        <w:rPr>
          <w:szCs w:val="26"/>
        </w:rPr>
        <w:t xml:space="preserve">  </w:t>
      </w:r>
    </w:p>
    <w:p w:rsidR="008B34C8" w:rsidRDefault="008B34C8" w:rsidP="00222029">
      <w:pPr>
        <w:ind w:firstLine="1440"/>
        <w:rPr>
          <w:szCs w:val="26"/>
        </w:rPr>
      </w:pPr>
    </w:p>
    <w:p w:rsidR="004D53CF" w:rsidRDefault="004D53CF" w:rsidP="00222029">
      <w:pPr>
        <w:ind w:firstLine="1440"/>
        <w:rPr>
          <w:bCs/>
          <w:szCs w:val="26"/>
        </w:rPr>
      </w:pPr>
      <w:r w:rsidRPr="00995981">
        <w:rPr>
          <w:bCs/>
          <w:szCs w:val="26"/>
        </w:rPr>
        <w:t>Our Regulation at 52 Pa. Code § 5.571, permit</w:t>
      </w:r>
      <w:r w:rsidR="00E025D4">
        <w:rPr>
          <w:bCs/>
          <w:szCs w:val="26"/>
        </w:rPr>
        <w:t>s</w:t>
      </w:r>
      <w:r w:rsidRPr="00995981">
        <w:rPr>
          <w:bCs/>
          <w:szCs w:val="26"/>
        </w:rPr>
        <w:t xml:space="preserve"> the reopening of the record prior to </w:t>
      </w:r>
      <w:r w:rsidR="00E025D4">
        <w:rPr>
          <w:bCs/>
          <w:szCs w:val="26"/>
        </w:rPr>
        <w:t xml:space="preserve">a </w:t>
      </w:r>
      <w:r w:rsidRPr="00995981">
        <w:rPr>
          <w:bCs/>
          <w:szCs w:val="26"/>
        </w:rPr>
        <w:t>final decision</w:t>
      </w:r>
      <w:r w:rsidR="008B34C8">
        <w:rPr>
          <w:bCs/>
          <w:szCs w:val="26"/>
        </w:rPr>
        <w:t>:</w:t>
      </w:r>
    </w:p>
    <w:p w:rsidR="00222029" w:rsidRDefault="00222029" w:rsidP="00222029">
      <w:pPr>
        <w:ind w:firstLine="1440"/>
        <w:rPr>
          <w:bCs/>
          <w:szCs w:val="26"/>
        </w:rPr>
      </w:pPr>
    </w:p>
    <w:p w:rsidR="00243868" w:rsidRPr="00995981" w:rsidRDefault="00243868" w:rsidP="00243868">
      <w:pPr>
        <w:spacing w:before="100" w:beforeAutospacing="1" w:after="100" w:afterAutospacing="1" w:line="240" w:lineRule="auto"/>
        <w:ind w:left="1440" w:right="1440"/>
        <w:rPr>
          <w:b/>
          <w:bCs/>
          <w:szCs w:val="26"/>
        </w:rPr>
      </w:pPr>
      <w:r w:rsidRPr="00995981">
        <w:rPr>
          <w:b/>
          <w:bCs/>
          <w:szCs w:val="26"/>
        </w:rPr>
        <w:lastRenderedPageBreak/>
        <w:t>§ 5.571. Reopening prior to a final decision.</w:t>
      </w:r>
    </w:p>
    <w:p w:rsidR="00243868" w:rsidRPr="00995981" w:rsidRDefault="00243868" w:rsidP="00243868">
      <w:pPr>
        <w:spacing w:before="100" w:beforeAutospacing="1" w:after="100" w:afterAutospacing="1" w:line="240" w:lineRule="auto"/>
        <w:ind w:left="1440" w:right="1440"/>
        <w:rPr>
          <w:szCs w:val="26"/>
        </w:rPr>
      </w:pPr>
      <w:r w:rsidRPr="00995981">
        <w:rPr>
          <w:szCs w:val="26"/>
        </w:rPr>
        <w:t xml:space="preserve">(a) At any time after the record is closed but before a final decision is issued, a party may file a petition to reopen the proceeding for the purpose of taking additional evidence. </w:t>
      </w:r>
    </w:p>
    <w:p w:rsidR="00243868" w:rsidRPr="00995981" w:rsidRDefault="00243868" w:rsidP="00243868">
      <w:pPr>
        <w:spacing w:before="100" w:beforeAutospacing="1" w:after="100" w:afterAutospacing="1" w:line="240" w:lineRule="auto"/>
        <w:ind w:left="1440" w:right="1440"/>
        <w:rPr>
          <w:szCs w:val="26"/>
        </w:rPr>
      </w:pPr>
      <w:r w:rsidRPr="00995981">
        <w:rPr>
          <w:szCs w:val="26"/>
        </w:rPr>
        <w:t xml:space="preserve">(b) A petition to reopen must set forth clearly the facts claimed to constitute grounds requiring reopening of the proceeding, including material changes of fact or of law alleged to have occurred since the conclusion of the hearing. </w:t>
      </w:r>
    </w:p>
    <w:p w:rsidR="00243868" w:rsidRPr="00995981" w:rsidRDefault="00243868" w:rsidP="00243868">
      <w:pPr>
        <w:spacing w:before="100" w:beforeAutospacing="1" w:after="100" w:afterAutospacing="1" w:line="240" w:lineRule="auto"/>
        <w:ind w:left="1440" w:right="1440"/>
        <w:rPr>
          <w:szCs w:val="26"/>
        </w:rPr>
      </w:pPr>
      <w:r w:rsidRPr="00995981">
        <w:rPr>
          <w:szCs w:val="26"/>
        </w:rPr>
        <w:t xml:space="preserve">(c) Within 10 days following the service of the petition, another party may file an answer thereto. </w:t>
      </w:r>
    </w:p>
    <w:p w:rsidR="00243868" w:rsidRPr="00995981" w:rsidRDefault="00243868" w:rsidP="00243868">
      <w:pPr>
        <w:spacing w:before="100" w:beforeAutospacing="1" w:after="100" w:afterAutospacing="1" w:line="240" w:lineRule="auto"/>
        <w:ind w:left="1440" w:right="1440"/>
        <w:rPr>
          <w:szCs w:val="26"/>
        </w:rPr>
      </w:pPr>
      <w:r w:rsidRPr="00995981">
        <w:rPr>
          <w:szCs w:val="26"/>
        </w:rPr>
        <w:t xml:space="preserve">(d) The record may be reopened upon notification to the parties in a proceeding for the reception of further evidence if there is reason to believe that conditions of fact or of law have so changed as to require, or that the public interest requires, the reopening of the proceeding. </w:t>
      </w:r>
    </w:p>
    <w:p w:rsidR="00243868" w:rsidRPr="00995981" w:rsidRDefault="00243868" w:rsidP="00243868">
      <w:pPr>
        <w:spacing w:before="100" w:beforeAutospacing="1" w:after="100" w:afterAutospacing="1" w:line="240" w:lineRule="auto"/>
        <w:ind w:left="1440" w:right="1440" w:firstLine="720"/>
        <w:rPr>
          <w:szCs w:val="26"/>
        </w:rPr>
      </w:pPr>
      <w:r w:rsidRPr="00995981">
        <w:rPr>
          <w:szCs w:val="26"/>
        </w:rPr>
        <w:t xml:space="preserve">(1) The presiding officer may reopen the record if the presiding officer has not issued a decision or has not certified the record to the Commission. </w:t>
      </w:r>
    </w:p>
    <w:p w:rsidR="00243868" w:rsidRPr="00995981" w:rsidRDefault="00243868" w:rsidP="00243868">
      <w:pPr>
        <w:spacing w:before="100" w:beforeAutospacing="1" w:after="100" w:afterAutospacing="1" w:line="240" w:lineRule="auto"/>
        <w:ind w:left="1440" w:right="1440" w:firstLine="720"/>
        <w:rPr>
          <w:szCs w:val="26"/>
        </w:rPr>
      </w:pPr>
      <w:r w:rsidRPr="00995981">
        <w:rPr>
          <w:szCs w:val="26"/>
        </w:rPr>
        <w:t xml:space="preserve">(2) The Commission may reopen the record after the presiding officer has issued a decision or certified the record to the Commission. </w:t>
      </w:r>
    </w:p>
    <w:p w:rsidR="004D53CF" w:rsidRPr="00995981" w:rsidRDefault="004D53CF" w:rsidP="00243868">
      <w:pPr>
        <w:spacing w:before="100" w:beforeAutospacing="1" w:after="100" w:afterAutospacing="1" w:line="240" w:lineRule="auto"/>
        <w:ind w:right="1440"/>
        <w:rPr>
          <w:bCs/>
          <w:szCs w:val="26"/>
        </w:rPr>
      </w:pPr>
      <w:r>
        <w:rPr>
          <w:bCs/>
          <w:i/>
          <w:szCs w:val="26"/>
        </w:rPr>
        <w:t xml:space="preserve"> </w:t>
      </w:r>
      <w:r>
        <w:rPr>
          <w:bCs/>
          <w:szCs w:val="26"/>
        </w:rPr>
        <w:t xml:space="preserve">  </w:t>
      </w:r>
      <w:r w:rsidRPr="00995981">
        <w:rPr>
          <w:bCs/>
          <w:szCs w:val="26"/>
        </w:rPr>
        <w:t xml:space="preserve"> </w:t>
      </w:r>
    </w:p>
    <w:p w:rsidR="00383D29" w:rsidRPr="00383D29" w:rsidRDefault="008B34C8" w:rsidP="00243868">
      <w:pPr>
        <w:ind w:firstLine="1440"/>
        <w:rPr>
          <w:szCs w:val="26"/>
        </w:rPr>
      </w:pPr>
      <w:r>
        <w:rPr>
          <w:bCs/>
          <w:szCs w:val="26"/>
        </w:rPr>
        <w:t xml:space="preserve">On consideration of the position of PECO concerning the proposed Stipulation, we shall adopt the ALJ’s recommendation as we find that the public interest does not militate in favor of reopening the record for consideration of the Stipulation on the facts of this case.  </w:t>
      </w:r>
      <w:r>
        <w:rPr>
          <w:bCs/>
          <w:i/>
          <w:szCs w:val="26"/>
        </w:rPr>
        <w:t>See</w:t>
      </w:r>
      <w:r>
        <w:rPr>
          <w:bCs/>
          <w:szCs w:val="26"/>
        </w:rPr>
        <w:t xml:space="preserve"> Supp. I.D. at 11.  </w:t>
      </w:r>
      <w:r w:rsidR="00243868">
        <w:rPr>
          <w:szCs w:val="26"/>
        </w:rPr>
        <w:t xml:space="preserve">Based on the foregoing, </w:t>
      </w:r>
      <w:r w:rsidR="00383D29">
        <w:rPr>
          <w:szCs w:val="26"/>
        </w:rPr>
        <w:t xml:space="preserve">PECO’s Exception is denied.          </w:t>
      </w:r>
    </w:p>
    <w:p w:rsidR="005A3DBE" w:rsidRDefault="005A3DBE" w:rsidP="00383D29">
      <w:pPr>
        <w:rPr>
          <w:szCs w:val="26"/>
        </w:rPr>
      </w:pPr>
    </w:p>
    <w:p w:rsidR="00222029" w:rsidRDefault="00222029" w:rsidP="00383D29">
      <w:pPr>
        <w:rPr>
          <w:szCs w:val="26"/>
        </w:rPr>
      </w:pPr>
    </w:p>
    <w:p w:rsidR="00222029" w:rsidRDefault="00222029" w:rsidP="00383D29">
      <w:pPr>
        <w:rPr>
          <w:szCs w:val="26"/>
        </w:rPr>
      </w:pPr>
    </w:p>
    <w:p w:rsidR="00222029" w:rsidRDefault="00222029" w:rsidP="00383D29">
      <w:pPr>
        <w:rPr>
          <w:szCs w:val="26"/>
        </w:rPr>
      </w:pPr>
    </w:p>
    <w:p w:rsidR="005A3DBE" w:rsidRPr="005A3DBE" w:rsidRDefault="005A3DBE" w:rsidP="00222029">
      <w:pPr>
        <w:ind w:firstLine="720"/>
        <w:rPr>
          <w:b/>
          <w:szCs w:val="26"/>
        </w:rPr>
      </w:pPr>
      <w:r w:rsidRPr="005A3DBE">
        <w:rPr>
          <w:b/>
          <w:szCs w:val="26"/>
        </w:rPr>
        <w:lastRenderedPageBreak/>
        <w:t>Supplemental Exception</w:t>
      </w:r>
      <w:r>
        <w:rPr>
          <w:b/>
          <w:szCs w:val="26"/>
        </w:rPr>
        <w:t xml:space="preserve"> # 2</w:t>
      </w:r>
    </w:p>
    <w:p w:rsidR="005A3DBE" w:rsidRDefault="005A3DBE" w:rsidP="003E0557">
      <w:pPr>
        <w:ind w:firstLine="1440"/>
        <w:rPr>
          <w:szCs w:val="26"/>
        </w:rPr>
      </w:pPr>
    </w:p>
    <w:p w:rsidR="00FE027A" w:rsidRDefault="00383D29" w:rsidP="003E0557">
      <w:pPr>
        <w:ind w:firstLine="1440"/>
        <w:rPr>
          <w:szCs w:val="26"/>
        </w:rPr>
      </w:pPr>
      <w:r>
        <w:rPr>
          <w:szCs w:val="26"/>
        </w:rPr>
        <w:t xml:space="preserve">In its Exception #2 to the Supplemental Initial Decision, PECO argues against the </w:t>
      </w:r>
      <w:r w:rsidR="00FE027A">
        <w:rPr>
          <w:szCs w:val="26"/>
        </w:rPr>
        <w:t xml:space="preserve">imposition of a civil penalty for, alleged, negative credit reporting.  Exc. at 9-10.  PECO relies upon the proffered Stipulation to assert that there are no negative credit reports with a PECO balance to </w:t>
      </w:r>
      <w:r w:rsidR="00087AB1">
        <w:rPr>
          <w:szCs w:val="26"/>
        </w:rPr>
        <w:t xml:space="preserve">which </w:t>
      </w:r>
      <w:r w:rsidR="00FE027A">
        <w:rPr>
          <w:szCs w:val="26"/>
        </w:rPr>
        <w:t>a civil penalty should be associated.  Exc. at 10.</w:t>
      </w:r>
    </w:p>
    <w:p w:rsidR="00FE027A" w:rsidRDefault="00FE027A" w:rsidP="003E0557">
      <w:pPr>
        <w:ind w:firstLine="1440"/>
        <w:rPr>
          <w:szCs w:val="26"/>
        </w:rPr>
      </w:pPr>
    </w:p>
    <w:p w:rsidR="00FE027A" w:rsidRDefault="00FE027A" w:rsidP="003E0557">
      <w:pPr>
        <w:ind w:firstLine="1440"/>
        <w:rPr>
          <w:szCs w:val="26"/>
        </w:rPr>
      </w:pPr>
      <w:r>
        <w:rPr>
          <w:b/>
          <w:szCs w:val="26"/>
        </w:rPr>
        <w:t xml:space="preserve">Disposition </w:t>
      </w:r>
    </w:p>
    <w:p w:rsidR="00FE027A" w:rsidRDefault="00FE027A" w:rsidP="003E0557">
      <w:pPr>
        <w:ind w:firstLine="1440"/>
        <w:rPr>
          <w:szCs w:val="26"/>
        </w:rPr>
      </w:pPr>
    </w:p>
    <w:p w:rsidR="00417813" w:rsidRDefault="00FE027A" w:rsidP="003E0557">
      <w:pPr>
        <w:ind w:firstLine="1440"/>
        <w:rPr>
          <w:szCs w:val="26"/>
        </w:rPr>
      </w:pPr>
      <w:r>
        <w:rPr>
          <w:szCs w:val="26"/>
        </w:rPr>
        <w:t>We reference our discussion concerning PECO Exception #3 to the July 1</w:t>
      </w:r>
      <w:r w:rsidR="001708D4">
        <w:rPr>
          <w:szCs w:val="26"/>
        </w:rPr>
        <w:t>5</w:t>
      </w:r>
      <w:r>
        <w:rPr>
          <w:szCs w:val="26"/>
        </w:rPr>
        <w:t xml:space="preserve">, 2014 Initial Decision and conclude that the segment of PECO’s conduct that is properly the subject of the civil penalty has been clarified.  The Exception #2 to the Supplemental Initial Decision is denied, consistent with that discussion.      </w:t>
      </w:r>
      <w:r w:rsidR="00383D29">
        <w:rPr>
          <w:szCs w:val="26"/>
        </w:rPr>
        <w:t xml:space="preserve"> </w:t>
      </w:r>
    </w:p>
    <w:p w:rsidR="00DE68C9" w:rsidRDefault="00DE68C9" w:rsidP="003E0557">
      <w:pPr>
        <w:ind w:firstLine="1440"/>
        <w:rPr>
          <w:szCs w:val="26"/>
        </w:rPr>
      </w:pPr>
    </w:p>
    <w:p w:rsidR="00DD652C" w:rsidRPr="00FE027A" w:rsidRDefault="00DD652C" w:rsidP="00FE027A">
      <w:pPr>
        <w:jc w:val="center"/>
        <w:rPr>
          <w:szCs w:val="26"/>
        </w:rPr>
      </w:pPr>
      <w:r w:rsidRPr="001140B1">
        <w:rPr>
          <w:b/>
          <w:szCs w:val="26"/>
        </w:rPr>
        <w:t>Conclusion</w:t>
      </w:r>
    </w:p>
    <w:p w:rsidR="00DD652C" w:rsidRPr="001140B1" w:rsidRDefault="00DD652C" w:rsidP="00DD652C">
      <w:pPr>
        <w:ind w:firstLine="1440"/>
        <w:rPr>
          <w:szCs w:val="26"/>
        </w:rPr>
      </w:pPr>
    </w:p>
    <w:p w:rsidR="00DD652C" w:rsidRPr="001140B1" w:rsidRDefault="00DD652C" w:rsidP="00DD652C">
      <w:pPr>
        <w:ind w:firstLine="1440"/>
        <w:rPr>
          <w:szCs w:val="26"/>
        </w:rPr>
      </w:pPr>
      <w:r w:rsidRPr="001140B1">
        <w:rPr>
          <w:szCs w:val="26"/>
        </w:rPr>
        <w:t xml:space="preserve">Based upon the foregoing, we shall </w:t>
      </w:r>
      <w:r w:rsidR="00814B88" w:rsidRPr="001140B1">
        <w:rPr>
          <w:szCs w:val="26"/>
        </w:rPr>
        <w:t xml:space="preserve">deny </w:t>
      </w:r>
      <w:r w:rsidR="008F4696" w:rsidRPr="001140B1">
        <w:rPr>
          <w:szCs w:val="26"/>
        </w:rPr>
        <w:t>the Exception</w:t>
      </w:r>
      <w:r w:rsidR="00814B88" w:rsidRPr="001140B1">
        <w:rPr>
          <w:szCs w:val="26"/>
        </w:rPr>
        <w:t>s</w:t>
      </w:r>
      <w:r w:rsidR="0010491B" w:rsidRPr="001140B1">
        <w:rPr>
          <w:szCs w:val="26"/>
        </w:rPr>
        <w:t xml:space="preserve"> </w:t>
      </w:r>
      <w:r w:rsidR="001708D4">
        <w:rPr>
          <w:szCs w:val="26"/>
        </w:rPr>
        <w:t xml:space="preserve">and Supplemental Exceptions </w:t>
      </w:r>
      <w:r w:rsidR="008F4696" w:rsidRPr="001140B1">
        <w:rPr>
          <w:szCs w:val="26"/>
        </w:rPr>
        <w:t>of PECO</w:t>
      </w:r>
      <w:r w:rsidR="0010491B" w:rsidRPr="001140B1">
        <w:rPr>
          <w:szCs w:val="26"/>
        </w:rPr>
        <w:t xml:space="preserve">, </w:t>
      </w:r>
      <w:r w:rsidR="001708D4">
        <w:rPr>
          <w:szCs w:val="26"/>
        </w:rPr>
        <w:t xml:space="preserve">and adopt the Supplemental Initial Decision, as modified, </w:t>
      </w:r>
      <w:r w:rsidR="0010491B" w:rsidRPr="001140B1">
        <w:rPr>
          <w:szCs w:val="26"/>
        </w:rPr>
        <w:t>consistent with our discussion in this Opinion and Order</w:t>
      </w:r>
      <w:r w:rsidRPr="001140B1">
        <w:rPr>
          <w:szCs w:val="26"/>
        </w:rPr>
        <w:t xml:space="preserve">; </w:t>
      </w:r>
      <w:r w:rsidRPr="001140B1">
        <w:rPr>
          <w:b/>
          <w:szCs w:val="26"/>
        </w:rPr>
        <w:t>THEREFORE,</w:t>
      </w:r>
      <w:r w:rsidRPr="001140B1">
        <w:rPr>
          <w:szCs w:val="26"/>
        </w:rPr>
        <w:t xml:space="preserve"> </w:t>
      </w:r>
    </w:p>
    <w:p w:rsidR="001708D4" w:rsidRPr="001140B1" w:rsidRDefault="001708D4" w:rsidP="00DD652C">
      <w:pPr>
        <w:ind w:firstLine="1440"/>
        <w:rPr>
          <w:b/>
          <w:szCs w:val="26"/>
        </w:rPr>
      </w:pPr>
    </w:p>
    <w:p w:rsidR="00DD652C" w:rsidRPr="001140B1" w:rsidRDefault="00DD652C" w:rsidP="00DD652C">
      <w:pPr>
        <w:ind w:firstLine="1440"/>
        <w:rPr>
          <w:b/>
          <w:szCs w:val="26"/>
        </w:rPr>
      </w:pPr>
      <w:r w:rsidRPr="001140B1">
        <w:rPr>
          <w:b/>
          <w:szCs w:val="26"/>
        </w:rPr>
        <w:t>IT IS ORDERED:</w:t>
      </w:r>
    </w:p>
    <w:p w:rsidR="00DD652C" w:rsidRPr="001140B1" w:rsidRDefault="00DD652C" w:rsidP="00DD652C">
      <w:pPr>
        <w:rPr>
          <w:szCs w:val="26"/>
        </w:rPr>
      </w:pPr>
    </w:p>
    <w:p w:rsidR="00167B17" w:rsidRPr="001140B1" w:rsidRDefault="00DD652C" w:rsidP="00222029">
      <w:pPr>
        <w:pStyle w:val="ListParagraph"/>
        <w:numPr>
          <w:ilvl w:val="0"/>
          <w:numId w:val="23"/>
        </w:numPr>
        <w:ind w:left="0" w:firstLine="1440"/>
        <w:rPr>
          <w:szCs w:val="26"/>
        </w:rPr>
      </w:pPr>
      <w:r w:rsidRPr="001140B1">
        <w:rPr>
          <w:szCs w:val="26"/>
        </w:rPr>
        <w:t xml:space="preserve">That </w:t>
      </w:r>
      <w:r w:rsidR="001155B2" w:rsidRPr="001140B1">
        <w:rPr>
          <w:szCs w:val="26"/>
        </w:rPr>
        <w:t xml:space="preserve">the </w:t>
      </w:r>
      <w:r w:rsidRPr="001140B1">
        <w:rPr>
          <w:szCs w:val="26"/>
        </w:rPr>
        <w:t>Exception</w:t>
      </w:r>
      <w:r w:rsidR="001155B2" w:rsidRPr="001140B1">
        <w:rPr>
          <w:szCs w:val="26"/>
        </w:rPr>
        <w:t>s</w:t>
      </w:r>
      <w:r w:rsidR="0010491B" w:rsidRPr="001140B1">
        <w:rPr>
          <w:szCs w:val="26"/>
        </w:rPr>
        <w:t xml:space="preserve"> </w:t>
      </w:r>
      <w:r w:rsidRPr="001140B1">
        <w:rPr>
          <w:szCs w:val="26"/>
        </w:rPr>
        <w:t>of</w:t>
      </w:r>
      <w:r w:rsidR="000022AD" w:rsidRPr="001140B1">
        <w:rPr>
          <w:szCs w:val="26"/>
        </w:rPr>
        <w:t xml:space="preserve"> PECO Energy </w:t>
      </w:r>
      <w:r w:rsidR="000832E7">
        <w:rPr>
          <w:szCs w:val="26"/>
        </w:rPr>
        <w:t xml:space="preserve">Company </w:t>
      </w:r>
      <w:r w:rsidR="001155B2" w:rsidRPr="001140B1">
        <w:rPr>
          <w:szCs w:val="26"/>
        </w:rPr>
        <w:t>filed with respect to the July 1</w:t>
      </w:r>
      <w:r w:rsidR="001708D4">
        <w:rPr>
          <w:szCs w:val="26"/>
        </w:rPr>
        <w:t>5</w:t>
      </w:r>
      <w:r w:rsidR="001155B2" w:rsidRPr="001140B1">
        <w:rPr>
          <w:szCs w:val="26"/>
        </w:rPr>
        <w:t xml:space="preserve">, 2014 Initial Decision and the Supplemental Exceptions filed to the June 25, 2015 Supplemental Initial Decision are denied. </w:t>
      </w:r>
      <w:r w:rsidRPr="001140B1">
        <w:rPr>
          <w:szCs w:val="26"/>
        </w:rPr>
        <w:t xml:space="preserve"> </w:t>
      </w:r>
    </w:p>
    <w:p w:rsidR="00167B17" w:rsidRPr="001140B1" w:rsidRDefault="00167B17" w:rsidP="00167B17">
      <w:pPr>
        <w:widowControl w:val="0"/>
        <w:rPr>
          <w:szCs w:val="26"/>
        </w:rPr>
      </w:pPr>
    </w:p>
    <w:p w:rsidR="00DD652C" w:rsidRPr="001140B1" w:rsidRDefault="00DD652C" w:rsidP="00814B88">
      <w:pPr>
        <w:widowControl w:val="0"/>
        <w:numPr>
          <w:ilvl w:val="0"/>
          <w:numId w:val="23"/>
        </w:numPr>
        <w:ind w:left="0" w:firstLine="1440"/>
        <w:rPr>
          <w:szCs w:val="26"/>
        </w:rPr>
      </w:pPr>
      <w:r w:rsidRPr="001140B1">
        <w:rPr>
          <w:szCs w:val="26"/>
        </w:rPr>
        <w:t xml:space="preserve">That the </w:t>
      </w:r>
      <w:r w:rsidR="001708D4">
        <w:rPr>
          <w:szCs w:val="26"/>
        </w:rPr>
        <w:t xml:space="preserve">Initial Decision and the </w:t>
      </w:r>
      <w:r w:rsidR="001155B2" w:rsidRPr="001140B1">
        <w:rPr>
          <w:szCs w:val="26"/>
        </w:rPr>
        <w:t xml:space="preserve">Supplemental </w:t>
      </w:r>
      <w:r w:rsidRPr="001140B1">
        <w:rPr>
          <w:szCs w:val="26"/>
        </w:rPr>
        <w:t>Initial Decision of Administrative Law Judge</w:t>
      </w:r>
      <w:r w:rsidR="000022AD" w:rsidRPr="001140B1">
        <w:rPr>
          <w:szCs w:val="26"/>
        </w:rPr>
        <w:t xml:space="preserve"> Katrina L. Dunderdale </w:t>
      </w:r>
      <w:r w:rsidR="001708D4">
        <w:rPr>
          <w:szCs w:val="26"/>
        </w:rPr>
        <w:t>are</w:t>
      </w:r>
      <w:r w:rsidRPr="001140B1">
        <w:rPr>
          <w:szCs w:val="26"/>
        </w:rPr>
        <w:t xml:space="preserve"> </w:t>
      </w:r>
      <w:r w:rsidR="001155B2" w:rsidRPr="001140B1">
        <w:rPr>
          <w:szCs w:val="26"/>
        </w:rPr>
        <w:t xml:space="preserve">adopted, </w:t>
      </w:r>
      <w:r w:rsidR="001708D4">
        <w:rPr>
          <w:szCs w:val="26"/>
        </w:rPr>
        <w:t xml:space="preserve">as modified, </w:t>
      </w:r>
      <w:r w:rsidRPr="001140B1">
        <w:rPr>
          <w:szCs w:val="26"/>
        </w:rPr>
        <w:t>consistent with this Opinion and Order</w:t>
      </w:r>
      <w:r w:rsidR="001155B2" w:rsidRPr="001140B1">
        <w:rPr>
          <w:szCs w:val="26"/>
        </w:rPr>
        <w:t>.</w:t>
      </w:r>
    </w:p>
    <w:p w:rsidR="000022AD" w:rsidRPr="001140B1" w:rsidRDefault="000022AD" w:rsidP="000022AD">
      <w:pPr>
        <w:pStyle w:val="ListParagraph"/>
        <w:rPr>
          <w:szCs w:val="26"/>
        </w:rPr>
      </w:pPr>
    </w:p>
    <w:p w:rsidR="001155B2" w:rsidRPr="001140B1" w:rsidRDefault="001155B2" w:rsidP="001155B2">
      <w:pPr>
        <w:pStyle w:val="ListParagraph"/>
        <w:numPr>
          <w:ilvl w:val="0"/>
          <w:numId w:val="23"/>
        </w:numPr>
        <w:ind w:left="0" w:firstLine="1440"/>
        <w:rPr>
          <w:szCs w:val="26"/>
        </w:rPr>
      </w:pPr>
      <w:r w:rsidRPr="001140B1">
        <w:rPr>
          <w:szCs w:val="26"/>
        </w:rPr>
        <w:t>That the complaint of Stephanie Hallman versus PECO Energy Company at Docket No. F-2013-2393373 is sustained.</w:t>
      </w:r>
    </w:p>
    <w:p w:rsidR="001155B2" w:rsidRPr="001140B1" w:rsidRDefault="001155B2" w:rsidP="001155B2">
      <w:pPr>
        <w:pStyle w:val="ListParagraph"/>
        <w:rPr>
          <w:szCs w:val="26"/>
        </w:rPr>
      </w:pPr>
    </w:p>
    <w:p w:rsidR="001155B2" w:rsidRPr="001140B1" w:rsidRDefault="001155B2" w:rsidP="001155B2">
      <w:pPr>
        <w:pStyle w:val="ListParagraph"/>
        <w:rPr>
          <w:szCs w:val="26"/>
        </w:rPr>
      </w:pPr>
    </w:p>
    <w:p w:rsidR="001155B2" w:rsidRPr="001140B1" w:rsidRDefault="001155B2" w:rsidP="001155B2">
      <w:pPr>
        <w:pStyle w:val="ListParagraph"/>
        <w:numPr>
          <w:ilvl w:val="0"/>
          <w:numId w:val="23"/>
        </w:numPr>
        <w:tabs>
          <w:tab w:val="num" w:pos="0"/>
        </w:tabs>
        <w:ind w:left="0" w:firstLine="1440"/>
        <w:rPr>
          <w:szCs w:val="26"/>
        </w:rPr>
      </w:pPr>
      <w:r w:rsidRPr="001140B1">
        <w:rPr>
          <w:szCs w:val="26"/>
        </w:rPr>
        <w:t>That</w:t>
      </w:r>
      <w:r w:rsidR="00D57890">
        <w:rPr>
          <w:szCs w:val="26"/>
        </w:rPr>
        <w:t>, in accordance with Section 3301 of the Public Utility Code,</w:t>
      </w:r>
      <w:r w:rsidRPr="001140B1">
        <w:rPr>
          <w:szCs w:val="26"/>
        </w:rPr>
        <w:t xml:space="preserve"> PECO Energy Company</w:t>
      </w:r>
      <w:r w:rsidR="00D57890">
        <w:rPr>
          <w:szCs w:val="26"/>
        </w:rPr>
        <w:t xml:space="preserve">, </w:t>
      </w:r>
      <w:r w:rsidRPr="001140B1">
        <w:rPr>
          <w:szCs w:val="26"/>
        </w:rPr>
        <w:t xml:space="preserve">within thirty (30) days of </w:t>
      </w:r>
      <w:r w:rsidR="000832E7">
        <w:rPr>
          <w:szCs w:val="26"/>
        </w:rPr>
        <w:t xml:space="preserve">entry of </w:t>
      </w:r>
      <w:r w:rsidRPr="001140B1">
        <w:rPr>
          <w:szCs w:val="26"/>
        </w:rPr>
        <w:t>the</w:t>
      </w:r>
      <w:r w:rsidR="000832E7">
        <w:rPr>
          <w:szCs w:val="26"/>
        </w:rPr>
        <w:t xml:space="preserve"> </w:t>
      </w:r>
      <w:r w:rsidRPr="001140B1">
        <w:rPr>
          <w:szCs w:val="26"/>
        </w:rPr>
        <w:t xml:space="preserve"> Commission’s Order in this case</w:t>
      </w:r>
      <w:r w:rsidR="00D57890">
        <w:rPr>
          <w:szCs w:val="26"/>
        </w:rPr>
        <w:t>,</w:t>
      </w:r>
      <w:r w:rsidRPr="001140B1">
        <w:rPr>
          <w:szCs w:val="26"/>
        </w:rPr>
        <w:t xml:space="preserve"> shall pay a civil penalty in the amount of </w:t>
      </w:r>
      <w:r w:rsidR="00FE027A">
        <w:rPr>
          <w:szCs w:val="26"/>
        </w:rPr>
        <w:t xml:space="preserve">Five Hundred </w:t>
      </w:r>
      <w:r w:rsidRPr="001140B1">
        <w:rPr>
          <w:szCs w:val="26"/>
        </w:rPr>
        <w:t>Dollars ($</w:t>
      </w:r>
      <w:r w:rsidR="00FE027A">
        <w:rPr>
          <w:szCs w:val="26"/>
        </w:rPr>
        <w:t>5</w:t>
      </w:r>
      <w:r w:rsidRPr="001140B1">
        <w:rPr>
          <w:szCs w:val="26"/>
        </w:rPr>
        <w:t xml:space="preserve">00.00) by sending a certified check or money order payable to the </w:t>
      </w:r>
      <w:r w:rsidR="00D57890">
        <w:rPr>
          <w:szCs w:val="26"/>
        </w:rPr>
        <w:t>“</w:t>
      </w:r>
      <w:r w:rsidRPr="001140B1">
        <w:rPr>
          <w:szCs w:val="26"/>
        </w:rPr>
        <w:t>Commonwealth of Pennsylvania</w:t>
      </w:r>
      <w:r w:rsidR="00D57890">
        <w:rPr>
          <w:szCs w:val="26"/>
        </w:rPr>
        <w:t>”</w:t>
      </w:r>
      <w:r w:rsidRPr="001140B1">
        <w:rPr>
          <w:szCs w:val="26"/>
        </w:rPr>
        <w:t xml:space="preserve"> addressed to:</w:t>
      </w:r>
    </w:p>
    <w:p w:rsidR="00D57890" w:rsidRDefault="00D57890" w:rsidP="001155B2">
      <w:pPr>
        <w:spacing w:line="240" w:lineRule="auto"/>
        <w:ind w:left="1440"/>
        <w:rPr>
          <w:szCs w:val="26"/>
        </w:rPr>
      </w:pPr>
    </w:p>
    <w:p w:rsidR="001155B2" w:rsidRPr="001140B1" w:rsidRDefault="001155B2" w:rsidP="001155B2">
      <w:pPr>
        <w:spacing w:line="240" w:lineRule="auto"/>
        <w:ind w:left="1440"/>
        <w:rPr>
          <w:szCs w:val="26"/>
        </w:rPr>
      </w:pPr>
      <w:r w:rsidRPr="001140B1">
        <w:rPr>
          <w:szCs w:val="26"/>
        </w:rPr>
        <w:t>Secretary</w:t>
      </w:r>
    </w:p>
    <w:p w:rsidR="001155B2" w:rsidRPr="001140B1" w:rsidRDefault="001155B2" w:rsidP="001155B2">
      <w:pPr>
        <w:spacing w:line="240" w:lineRule="auto"/>
        <w:ind w:left="1440"/>
        <w:rPr>
          <w:szCs w:val="26"/>
        </w:rPr>
      </w:pPr>
      <w:r w:rsidRPr="001140B1">
        <w:rPr>
          <w:szCs w:val="26"/>
        </w:rPr>
        <w:t>Pennsylvania Public Utility Commission</w:t>
      </w:r>
    </w:p>
    <w:p w:rsidR="001155B2" w:rsidRPr="001140B1" w:rsidRDefault="001155B2" w:rsidP="001155B2">
      <w:pPr>
        <w:spacing w:line="240" w:lineRule="auto"/>
        <w:ind w:left="1440"/>
        <w:rPr>
          <w:szCs w:val="26"/>
        </w:rPr>
      </w:pPr>
      <w:r w:rsidRPr="001140B1">
        <w:rPr>
          <w:szCs w:val="26"/>
        </w:rPr>
        <w:t>P.O. Box 3265</w:t>
      </w:r>
    </w:p>
    <w:p w:rsidR="001155B2" w:rsidRPr="001140B1" w:rsidRDefault="001155B2" w:rsidP="001155B2">
      <w:pPr>
        <w:spacing w:line="240" w:lineRule="auto"/>
        <w:ind w:left="1440"/>
        <w:rPr>
          <w:szCs w:val="26"/>
        </w:rPr>
      </w:pPr>
      <w:r w:rsidRPr="001140B1">
        <w:rPr>
          <w:szCs w:val="26"/>
        </w:rPr>
        <w:t>Harrisburg, PA 17105-3265</w:t>
      </w:r>
    </w:p>
    <w:p w:rsidR="000832E7" w:rsidRPr="001140B1" w:rsidRDefault="000832E7" w:rsidP="001155B2">
      <w:pPr>
        <w:tabs>
          <w:tab w:val="num" w:pos="0"/>
        </w:tabs>
        <w:ind w:left="1440"/>
        <w:rPr>
          <w:szCs w:val="26"/>
        </w:rPr>
      </w:pPr>
    </w:p>
    <w:p w:rsidR="00D57890" w:rsidRPr="00D57890" w:rsidRDefault="00D57890" w:rsidP="0070748A">
      <w:pPr>
        <w:pStyle w:val="ListParagraph"/>
        <w:numPr>
          <w:ilvl w:val="0"/>
          <w:numId w:val="23"/>
        </w:numPr>
        <w:ind w:left="0" w:firstLine="1440"/>
        <w:rPr>
          <w:szCs w:val="26"/>
        </w:rPr>
      </w:pPr>
      <w:r w:rsidRPr="0090056F">
        <w:t>That a copy of this Opinion and Order be served upon the Financial and Assessment Chief, Office of Administrative Services.</w:t>
      </w:r>
    </w:p>
    <w:p w:rsidR="00D57890" w:rsidRPr="00D57890" w:rsidRDefault="00D57890" w:rsidP="0070748A">
      <w:pPr>
        <w:pStyle w:val="ListParagraph"/>
        <w:ind w:left="0" w:firstLine="2160"/>
        <w:rPr>
          <w:szCs w:val="26"/>
        </w:rPr>
      </w:pPr>
    </w:p>
    <w:p w:rsidR="001155B2" w:rsidRPr="001140B1" w:rsidRDefault="001155B2" w:rsidP="001155B2">
      <w:pPr>
        <w:pStyle w:val="ListParagraph"/>
        <w:numPr>
          <w:ilvl w:val="0"/>
          <w:numId w:val="23"/>
        </w:numPr>
        <w:ind w:left="0" w:firstLine="1440"/>
        <w:rPr>
          <w:szCs w:val="26"/>
        </w:rPr>
      </w:pPr>
      <w:r w:rsidRPr="001140B1">
        <w:rPr>
          <w:szCs w:val="26"/>
        </w:rPr>
        <w:t>That</w:t>
      </w:r>
      <w:r w:rsidR="00D22399">
        <w:rPr>
          <w:szCs w:val="26"/>
        </w:rPr>
        <w:t>, upon payment of the civil penalty described in Ordering Paragraph #</w:t>
      </w:r>
      <w:r w:rsidR="00046484">
        <w:rPr>
          <w:szCs w:val="26"/>
        </w:rPr>
        <w:t>4</w:t>
      </w:r>
      <w:r w:rsidR="00D22399">
        <w:rPr>
          <w:szCs w:val="26"/>
        </w:rPr>
        <w:t xml:space="preserve">  above,</w:t>
      </w:r>
      <w:r w:rsidRPr="001140B1">
        <w:rPr>
          <w:szCs w:val="26"/>
        </w:rPr>
        <w:t xml:space="preserve"> the Commission’s Secretary</w:t>
      </w:r>
      <w:r w:rsidR="00046484">
        <w:rPr>
          <w:szCs w:val="26"/>
        </w:rPr>
        <w:t>’s</w:t>
      </w:r>
      <w:r w:rsidRPr="001140B1">
        <w:rPr>
          <w:szCs w:val="26"/>
        </w:rPr>
        <w:t xml:space="preserve"> Bureau shall mark this docket closed. </w:t>
      </w:r>
    </w:p>
    <w:p w:rsidR="00167B17" w:rsidRPr="001140B1" w:rsidRDefault="00DF5988" w:rsidP="00BE1838">
      <w:pPr>
        <w:widowControl w:val="0"/>
        <w:rPr>
          <w:szCs w:val="26"/>
        </w:rPr>
      </w:pPr>
      <w:bookmarkStart w:id="2" w:name="_GoBack"/>
      <w:r w:rsidRPr="00F45E06">
        <w:rPr>
          <w:b/>
          <w:noProof/>
        </w:rPr>
        <w:drawing>
          <wp:anchor distT="0" distB="0" distL="114300" distR="114300" simplePos="0" relativeHeight="251659264" behindDoc="1" locked="0" layoutInCell="1" allowOverlap="1" wp14:anchorId="08D0FCA1" wp14:editId="54785420">
            <wp:simplePos x="0" y="0"/>
            <wp:positionH relativeFrom="column">
              <wp:posOffset>3007360</wp:posOffset>
            </wp:positionH>
            <wp:positionV relativeFrom="paragraph">
              <wp:posOffset>116205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DD652C" w:rsidRPr="001140B1" w:rsidRDefault="00DD652C" w:rsidP="00DD652C">
      <w:pPr>
        <w:tabs>
          <w:tab w:val="left" w:pos="-720"/>
        </w:tabs>
        <w:ind w:firstLine="5040"/>
        <w:rPr>
          <w:szCs w:val="26"/>
        </w:rPr>
      </w:pPr>
      <w:r w:rsidRPr="001140B1">
        <w:rPr>
          <w:b/>
          <w:szCs w:val="26"/>
        </w:rPr>
        <w:t>BY THE COMMISSION,</w:t>
      </w:r>
    </w:p>
    <w:p w:rsidR="007414FF" w:rsidRPr="001140B1" w:rsidRDefault="007414FF" w:rsidP="00DD652C">
      <w:pPr>
        <w:tabs>
          <w:tab w:val="left" w:pos="-720"/>
        </w:tabs>
        <w:rPr>
          <w:szCs w:val="26"/>
        </w:rPr>
      </w:pPr>
    </w:p>
    <w:p w:rsidR="00DD652C" w:rsidRPr="001140B1" w:rsidRDefault="00DD652C" w:rsidP="00BE1838">
      <w:pPr>
        <w:tabs>
          <w:tab w:val="left" w:pos="-720"/>
        </w:tabs>
        <w:spacing w:line="240" w:lineRule="auto"/>
        <w:ind w:firstLine="5040"/>
        <w:rPr>
          <w:b/>
          <w:szCs w:val="26"/>
        </w:rPr>
      </w:pPr>
      <w:r w:rsidRPr="001140B1">
        <w:rPr>
          <w:szCs w:val="26"/>
        </w:rPr>
        <w:t>Rosemary Chiavetta</w:t>
      </w:r>
    </w:p>
    <w:p w:rsidR="008632D2" w:rsidRPr="001140B1" w:rsidRDefault="00DD652C" w:rsidP="00BE1838">
      <w:pPr>
        <w:tabs>
          <w:tab w:val="left" w:pos="-720"/>
        </w:tabs>
        <w:spacing w:line="240" w:lineRule="auto"/>
        <w:ind w:firstLine="5040"/>
        <w:rPr>
          <w:szCs w:val="26"/>
        </w:rPr>
      </w:pPr>
      <w:r w:rsidRPr="001140B1">
        <w:rPr>
          <w:szCs w:val="26"/>
        </w:rPr>
        <w:t>Secretary</w:t>
      </w:r>
    </w:p>
    <w:p w:rsidR="000A6E9E" w:rsidRPr="001140B1" w:rsidRDefault="000A6E9E" w:rsidP="00BE1838">
      <w:pPr>
        <w:tabs>
          <w:tab w:val="left" w:pos="-720"/>
        </w:tabs>
        <w:spacing w:line="240" w:lineRule="auto"/>
        <w:ind w:firstLine="5040"/>
        <w:rPr>
          <w:szCs w:val="26"/>
        </w:rPr>
      </w:pPr>
    </w:p>
    <w:p w:rsidR="001155B2" w:rsidRPr="001140B1" w:rsidRDefault="001155B2" w:rsidP="00BE1838">
      <w:pPr>
        <w:tabs>
          <w:tab w:val="left" w:pos="-720"/>
        </w:tabs>
        <w:spacing w:line="240" w:lineRule="auto"/>
        <w:rPr>
          <w:szCs w:val="26"/>
        </w:rPr>
      </w:pPr>
    </w:p>
    <w:p w:rsidR="008632D2" w:rsidRPr="001140B1" w:rsidRDefault="00DD652C" w:rsidP="00BE1838">
      <w:pPr>
        <w:tabs>
          <w:tab w:val="left" w:pos="-720"/>
        </w:tabs>
        <w:spacing w:line="240" w:lineRule="auto"/>
        <w:rPr>
          <w:szCs w:val="26"/>
        </w:rPr>
      </w:pPr>
      <w:r w:rsidRPr="001140B1">
        <w:rPr>
          <w:szCs w:val="26"/>
        </w:rPr>
        <w:t>(SEAL)</w:t>
      </w:r>
    </w:p>
    <w:p w:rsidR="000A6E9E" w:rsidRPr="00605054" w:rsidRDefault="000A6E9E" w:rsidP="00BE1838">
      <w:pPr>
        <w:tabs>
          <w:tab w:val="left" w:pos="-720"/>
        </w:tabs>
        <w:spacing w:line="240" w:lineRule="auto"/>
        <w:rPr>
          <w:szCs w:val="26"/>
        </w:rPr>
      </w:pPr>
    </w:p>
    <w:p w:rsidR="00DD652C" w:rsidRPr="00605054" w:rsidRDefault="00DD652C" w:rsidP="00BE1838">
      <w:pPr>
        <w:tabs>
          <w:tab w:val="left" w:pos="-720"/>
        </w:tabs>
        <w:spacing w:line="240" w:lineRule="auto"/>
        <w:rPr>
          <w:szCs w:val="26"/>
        </w:rPr>
      </w:pPr>
      <w:r w:rsidRPr="00605054">
        <w:rPr>
          <w:szCs w:val="26"/>
        </w:rPr>
        <w:t xml:space="preserve">ORDER ADOPTED: </w:t>
      </w:r>
      <w:r w:rsidR="00050DE3" w:rsidRPr="00605054">
        <w:rPr>
          <w:szCs w:val="26"/>
        </w:rPr>
        <w:t xml:space="preserve"> </w:t>
      </w:r>
      <w:r w:rsidR="0084478F">
        <w:rPr>
          <w:szCs w:val="26"/>
        </w:rPr>
        <w:t>May 5</w:t>
      </w:r>
      <w:r w:rsidR="00814B88" w:rsidRPr="00605054">
        <w:rPr>
          <w:szCs w:val="26"/>
        </w:rPr>
        <w:t>, 2016</w:t>
      </w:r>
    </w:p>
    <w:p w:rsidR="000A6E9E" w:rsidRPr="00605054" w:rsidRDefault="000A6E9E" w:rsidP="00BE1838">
      <w:pPr>
        <w:tabs>
          <w:tab w:val="left" w:pos="-720"/>
        </w:tabs>
        <w:spacing w:line="240" w:lineRule="auto"/>
        <w:rPr>
          <w:szCs w:val="26"/>
        </w:rPr>
      </w:pPr>
    </w:p>
    <w:p w:rsidR="000E728E" w:rsidRPr="00605054" w:rsidRDefault="00DD652C" w:rsidP="00BE1838">
      <w:pPr>
        <w:rPr>
          <w:szCs w:val="26"/>
        </w:rPr>
      </w:pPr>
      <w:r w:rsidRPr="00605054">
        <w:rPr>
          <w:szCs w:val="26"/>
        </w:rPr>
        <w:t xml:space="preserve">ORDER ENTERED: </w:t>
      </w:r>
      <w:r w:rsidR="00DF5988">
        <w:rPr>
          <w:szCs w:val="26"/>
        </w:rPr>
        <w:t>May 5, 2016</w:t>
      </w:r>
    </w:p>
    <w:sectPr w:rsidR="000E728E" w:rsidRPr="00605054" w:rsidSect="00DE2949">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3F" w:rsidRDefault="00405B3F">
      <w:r>
        <w:separator/>
      </w:r>
    </w:p>
  </w:endnote>
  <w:endnote w:type="continuationSeparator" w:id="0">
    <w:p w:rsidR="00405B3F" w:rsidRDefault="004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4B" w:rsidRDefault="00B61B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1B4B" w:rsidRDefault="00B61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4B" w:rsidRPr="00347FF4" w:rsidRDefault="00B61B4B">
    <w:pPr>
      <w:pStyle w:val="Footer"/>
      <w:framePr w:wrap="around" w:vAnchor="text" w:hAnchor="margin" w:xAlign="center" w:y="1"/>
      <w:rPr>
        <w:rStyle w:val="PageNumber"/>
        <w:sz w:val="20"/>
      </w:rPr>
    </w:pPr>
    <w:r w:rsidRPr="00347FF4">
      <w:rPr>
        <w:rStyle w:val="PageNumber"/>
        <w:sz w:val="20"/>
      </w:rPr>
      <w:fldChar w:fldCharType="begin"/>
    </w:r>
    <w:r w:rsidRPr="00347FF4">
      <w:rPr>
        <w:rStyle w:val="PageNumber"/>
        <w:sz w:val="20"/>
      </w:rPr>
      <w:instrText xml:space="preserve">PAGE  </w:instrText>
    </w:r>
    <w:r w:rsidRPr="00347FF4">
      <w:rPr>
        <w:rStyle w:val="PageNumber"/>
        <w:sz w:val="20"/>
      </w:rPr>
      <w:fldChar w:fldCharType="separate"/>
    </w:r>
    <w:r w:rsidR="00DF5988">
      <w:rPr>
        <w:rStyle w:val="PageNumber"/>
        <w:noProof/>
        <w:sz w:val="20"/>
      </w:rPr>
      <w:t>33</w:t>
    </w:r>
    <w:r w:rsidRPr="00347FF4">
      <w:rPr>
        <w:rStyle w:val="PageNumber"/>
        <w:sz w:val="20"/>
      </w:rPr>
      <w:fldChar w:fldCharType="end"/>
    </w:r>
  </w:p>
  <w:p w:rsidR="00B61B4B" w:rsidRDefault="00B61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3F" w:rsidRDefault="00405B3F">
      <w:r>
        <w:separator/>
      </w:r>
    </w:p>
  </w:footnote>
  <w:footnote w:type="continuationSeparator" w:id="0">
    <w:p w:rsidR="00405B3F" w:rsidRDefault="00405B3F">
      <w:r>
        <w:continuationSeparator/>
      </w:r>
    </w:p>
  </w:footnote>
  <w:footnote w:id="1">
    <w:p w:rsidR="00B61B4B" w:rsidRPr="002A07F2" w:rsidRDefault="00B61B4B" w:rsidP="006547BB">
      <w:pPr>
        <w:pStyle w:val="FootnoteText"/>
        <w:rPr>
          <w:sz w:val="26"/>
          <w:szCs w:val="26"/>
        </w:rPr>
      </w:pPr>
      <w:r>
        <w:tab/>
      </w:r>
      <w:r>
        <w:rPr>
          <w:rStyle w:val="FootnoteReference"/>
        </w:rPr>
        <w:footnoteRef/>
      </w:r>
      <w:r>
        <w:t xml:space="preserve"> </w:t>
      </w:r>
      <w:r>
        <w:tab/>
      </w:r>
      <w:r w:rsidRPr="002A07F2">
        <w:rPr>
          <w:sz w:val="26"/>
          <w:szCs w:val="26"/>
        </w:rPr>
        <w:t xml:space="preserve">We note that </w:t>
      </w:r>
      <w:r>
        <w:rPr>
          <w:sz w:val="26"/>
          <w:szCs w:val="26"/>
        </w:rPr>
        <w:t>this matter is an appeal of a decision of the Commission’s Bureau of Consumer Services (BCS), at No. 3121814.</w:t>
      </w:r>
      <w:r w:rsidRPr="002A07F2">
        <w:rPr>
          <w:sz w:val="26"/>
          <w:szCs w:val="26"/>
        </w:rPr>
        <w:t xml:space="preserve"> </w:t>
      </w:r>
    </w:p>
  </w:footnote>
  <w:footnote w:id="2">
    <w:p w:rsidR="00B61B4B" w:rsidRDefault="00B61B4B" w:rsidP="0070748A">
      <w:pPr>
        <w:spacing w:line="240" w:lineRule="auto"/>
        <w:ind w:firstLine="720"/>
      </w:pPr>
      <w:r>
        <w:rPr>
          <w:rStyle w:val="FootnoteReference"/>
        </w:rPr>
        <w:footnoteRef/>
      </w:r>
      <w:r>
        <w:t xml:space="preserve"> </w:t>
      </w:r>
      <w:r>
        <w:tab/>
      </w:r>
      <w:r>
        <w:rPr>
          <w:szCs w:val="26"/>
        </w:rPr>
        <w:t xml:space="preserve">The late-filed Complainant Exhibits, through inadvertence, were not served on PECO.  Therefore, PECO did not have the opportunity to review and consider the exhibits at such time as it filed Exceptions to the Initial Decision.  </w:t>
      </w:r>
      <w:r>
        <w:rPr>
          <w:i/>
          <w:szCs w:val="26"/>
        </w:rPr>
        <w:t xml:space="preserve">April 2015 Order </w:t>
      </w:r>
      <w:r>
        <w:rPr>
          <w:szCs w:val="26"/>
        </w:rPr>
        <w:t xml:space="preserve">at 11-16.    </w:t>
      </w:r>
    </w:p>
  </w:footnote>
  <w:footnote w:id="3">
    <w:p w:rsidR="00B61B4B" w:rsidRPr="000B49DD" w:rsidRDefault="00B61B4B" w:rsidP="00333336">
      <w:pPr>
        <w:pStyle w:val="FootnoteText"/>
        <w:ind w:firstLine="720"/>
        <w:rPr>
          <w:sz w:val="26"/>
          <w:szCs w:val="26"/>
        </w:rPr>
      </w:pPr>
      <w:r>
        <w:rPr>
          <w:rStyle w:val="FootnoteReference"/>
        </w:rPr>
        <w:footnoteRef/>
      </w:r>
      <w:r>
        <w:t xml:space="preserve"> </w:t>
      </w:r>
      <w:r>
        <w:tab/>
      </w:r>
      <w:r w:rsidRPr="00FF01EA">
        <w:rPr>
          <w:sz w:val="26"/>
          <w:szCs w:val="26"/>
        </w:rPr>
        <w:t>The Exception #1 of PECO</w:t>
      </w:r>
      <w:r>
        <w:rPr>
          <w:sz w:val="26"/>
          <w:szCs w:val="26"/>
        </w:rPr>
        <w:t>, as noted,</w:t>
      </w:r>
      <w:r w:rsidRPr="00FF01EA">
        <w:rPr>
          <w:sz w:val="26"/>
          <w:szCs w:val="26"/>
        </w:rPr>
        <w:t xml:space="preserve"> </w:t>
      </w:r>
      <w:r>
        <w:rPr>
          <w:sz w:val="26"/>
          <w:szCs w:val="26"/>
        </w:rPr>
        <w:t xml:space="preserve">objected that it was not served a copy of the ALJ’s Order admitting into the record, the Complainant’s late-filed Exhibits.  </w:t>
      </w:r>
      <w:r>
        <w:rPr>
          <w:i/>
          <w:sz w:val="26"/>
          <w:szCs w:val="26"/>
        </w:rPr>
        <w:t xml:space="preserve">See April 2015 Order </w:t>
      </w:r>
      <w:r>
        <w:rPr>
          <w:sz w:val="26"/>
          <w:szCs w:val="26"/>
        </w:rPr>
        <w:t>at 11-16.</w:t>
      </w:r>
    </w:p>
  </w:footnote>
  <w:footnote w:id="4">
    <w:p w:rsidR="00B817ED" w:rsidRPr="0070434B" w:rsidRDefault="00B817ED" w:rsidP="00B817ED">
      <w:pPr>
        <w:pStyle w:val="FootnoteText"/>
        <w:ind w:firstLine="720"/>
        <w:rPr>
          <w:sz w:val="26"/>
          <w:szCs w:val="26"/>
        </w:rPr>
      </w:pPr>
      <w:r>
        <w:rPr>
          <w:rStyle w:val="FootnoteReference"/>
        </w:rPr>
        <w:footnoteRef/>
      </w:r>
      <w:r>
        <w:t xml:space="preserve"> </w:t>
      </w:r>
      <w:r>
        <w:tab/>
      </w:r>
      <w:r w:rsidRPr="0070434B">
        <w:rPr>
          <w:sz w:val="26"/>
          <w:szCs w:val="26"/>
        </w:rPr>
        <w:t>References are to the Supplemental Initial Decision.</w:t>
      </w:r>
    </w:p>
  </w:footnote>
  <w:footnote w:id="5">
    <w:p w:rsidR="00914776" w:rsidRPr="00914776" w:rsidRDefault="00914776" w:rsidP="00914776">
      <w:pPr>
        <w:pStyle w:val="FootnoteText"/>
        <w:ind w:firstLine="720"/>
      </w:pPr>
      <w:r>
        <w:rPr>
          <w:rStyle w:val="FootnoteReference"/>
        </w:rPr>
        <w:footnoteRef/>
      </w:r>
      <w:r>
        <w:t xml:space="preserve"> </w:t>
      </w:r>
      <w:r>
        <w:tab/>
      </w:r>
      <w:r w:rsidRPr="00914776">
        <w:rPr>
          <w:sz w:val="26"/>
          <w:szCs w:val="26"/>
        </w:rPr>
        <w:t xml:space="preserve">We also note that Complainant contests that she was </w:t>
      </w:r>
      <w:r>
        <w:rPr>
          <w:sz w:val="26"/>
          <w:szCs w:val="26"/>
        </w:rPr>
        <w:t xml:space="preserve">ever </w:t>
      </w:r>
      <w:r w:rsidRPr="00914776">
        <w:rPr>
          <w:sz w:val="26"/>
          <w:szCs w:val="26"/>
        </w:rPr>
        <w:t xml:space="preserve">a “customer” of PECO, according to Section 1403 of the Code, 66 Pa. C.S. § 1403, and the Commission’s Regulations.  </w:t>
      </w:r>
      <w:r w:rsidRPr="00914776">
        <w:rPr>
          <w:i/>
          <w:sz w:val="26"/>
          <w:szCs w:val="26"/>
        </w:rPr>
        <w:t xml:space="preserve">See </w:t>
      </w:r>
      <w:r w:rsidRPr="00914776">
        <w:rPr>
          <w:sz w:val="26"/>
          <w:szCs w:val="26"/>
        </w:rPr>
        <w:t>52 Pa. Code § 5</w:t>
      </w:r>
      <w:r>
        <w:rPr>
          <w:sz w:val="26"/>
          <w:szCs w:val="26"/>
        </w:rPr>
        <w:t>6</w:t>
      </w:r>
      <w:r w:rsidRPr="00914776">
        <w:rPr>
          <w:sz w:val="26"/>
          <w:szCs w:val="26"/>
        </w:rPr>
        <w:t>.2.</w:t>
      </w:r>
    </w:p>
  </w:footnote>
  <w:footnote w:id="6">
    <w:p w:rsidR="00B61B4B" w:rsidRPr="00D61227" w:rsidRDefault="00B61B4B" w:rsidP="00D61227">
      <w:pPr>
        <w:pStyle w:val="FootnoteText"/>
        <w:ind w:firstLine="720"/>
        <w:rPr>
          <w:sz w:val="26"/>
          <w:szCs w:val="26"/>
        </w:rPr>
      </w:pPr>
      <w:r>
        <w:rPr>
          <w:rStyle w:val="FootnoteReference"/>
        </w:rPr>
        <w:footnoteRef/>
      </w:r>
      <w:r>
        <w:t xml:space="preserve"> </w:t>
      </w:r>
      <w:r>
        <w:tab/>
      </w:r>
      <w:r w:rsidRPr="00D61227">
        <w:rPr>
          <w:sz w:val="26"/>
          <w:szCs w:val="26"/>
        </w:rPr>
        <w:t xml:space="preserve">The records are </w:t>
      </w:r>
      <w:r>
        <w:rPr>
          <w:sz w:val="26"/>
          <w:szCs w:val="26"/>
        </w:rPr>
        <w:t xml:space="preserve">identified </w:t>
      </w:r>
      <w:r w:rsidR="00F65782">
        <w:rPr>
          <w:sz w:val="26"/>
          <w:szCs w:val="26"/>
        </w:rPr>
        <w:t xml:space="preserve">as derived from </w:t>
      </w:r>
      <w:r w:rsidRPr="00D61227">
        <w:rPr>
          <w:sz w:val="26"/>
          <w:szCs w:val="26"/>
        </w:rPr>
        <w:t>PECO’s CIS – customer information system.  Tr. at 46.</w:t>
      </w:r>
    </w:p>
  </w:footnote>
  <w:footnote w:id="7">
    <w:p w:rsidR="00B61B4B" w:rsidRDefault="00B61B4B" w:rsidP="00991D55">
      <w:pPr>
        <w:pStyle w:val="FootnoteText"/>
        <w:ind w:firstLine="720"/>
      </w:pPr>
      <w:r>
        <w:rPr>
          <w:rStyle w:val="FootnoteReference"/>
        </w:rPr>
        <w:footnoteRef/>
      </w:r>
      <w:r>
        <w:t xml:space="preserve"> </w:t>
      </w:r>
      <w:r>
        <w:tab/>
      </w:r>
      <w:r w:rsidRPr="00991D55">
        <w:rPr>
          <w:sz w:val="26"/>
          <w:szCs w:val="26"/>
        </w:rPr>
        <w:t xml:space="preserve">At pages 40-41 of the Transcript, a bank statement from TD </w:t>
      </w:r>
      <w:r>
        <w:rPr>
          <w:sz w:val="26"/>
          <w:szCs w:val="26"/>
        </w:rPr>
        <w:t>B</w:t>
      </w:r>
      <w:r w:rsidRPr="00991D55">
        <w:rPr>
          <w:sz w:val="26"/>
          <w:szCs w:val="26"/>
        </w:rPr>
        <w:t xml:space="preserve">ank is also referenced </w:t>
      </w:r>
      <w:r w:rsidR="003928D2">
        <w:rPr>
          <w:sz w:val="26"/>
          <w:szCs w:val="26"/>
        </w:rPr>
        <w:t>by Complainant a</w:t>
      </w:r>
      <w:r>
        <w:rPr>
          <w:sz w:val="26"/>
          <w:szCs w:val="26"/>
        </w:rPr>
        <w:t xml:space="preserve">s probative of Complainant’s </w:t>
      </w:r>
      <w:r w:rsidRPr="00991D55">
        <w:rPr>
          <w:sz w:val="26"/>
          <w:szCs w:val="26"/>
        </w:rPr>
        <w:t>residence at an address other than the Service Address.</w:t>
      </w:r>
      <w:r>
        <w:t xml:space="preserve">     </w:t>
      </w:r>
    </w:p>
  </w:footnote>
  <w:footnote w:id="8">
    <w:p w:rsidR="00B61B4B" w:rsidRPr="00752719" w:rsidRDefault="00B61B4B" w:rsidP="00752719">
      <w:pPr>
        <w:pStyle w:val="FootnoteText"/>
        <w:ind w:firstLine="720"/>
        <w:rPr>
          <w:sz w:val="26"/>
          <w:szCs w:val="26"/>
        </w:rPr>
      </w:pPr>
      <w:r>
        <w:rPr>
          <w:rStyle w:val="FootnoteReference"/>
        </w:rPr>
        <w:footnoteRef/>
      </w:r>
      <w:r>
        <w:t xml:space="preserve"> </w:t>
      </w:r>
      <w:r>
        <w:tab/>
      </w:r>
      <w:r w:rsidRPr="00752719">
        <w:rPr>
          <w:sz w:val="26"/>
          <w:szCs w:val="26"/>
        </w:rPr>
        <w:t>We interpret the term false as synonymous with the term, inaccurate.</w:t>
      </w:r>
    </w:p>
  </w:footnote>
  <w:footnote w:id="9">
    <w:p w:rsidR="00B61B4B" w:rsidRDefault="00B61B4B" w:rsidP="00B61B4B">
      <w:pPr>
        <w:pStyle w:val="FootnoteText"/>
        <w:ind w:firstLine="720"/>
      </w:pPr>
      <w:r>
        <w:rPr>
          <w:rStyle w:val="FootnoteReference"/>
        </w:rPr>
        <w:footnoteRef/>
      </w:r>
      <w:r>
        <w:t xml:space="preserve"> </w:t>
      </w:r>
      <w:r>
        <w:tab/>
      </w:r>
      <w:r w:rsidRPr="00B61B4B">
        <w:rPr>
          <w:sz w:val="26"/>
          <w:szCs w:val="26"/>
        </w:rPr>
        <w:t>T</w:t>
      </w:r>
      <w:r>
        <w:rPr>
          <w:sz w:val="26"/>
          <w:szCs w:val="26"/>
        </w:rPr>
        <w:t>he pertinent section defines “Applicant” as:</w:t>
      </w:r>
      <w:r>
        <w:t xml:space="preserve"> </w:t>
      </w:r>
      <w:r w:rsidRPr="00B61B4B">
        <w:rPr>
          <w:sz w:val="26"/>
          <w:szCs w:val="26"/>
        </w:rPr>
        <w:t>“A natural person at least 18 years of age not currently receiving service who applies for residential service provided by a public utility or any adult occupant whose name appears on the mortgage, deed or lease of the property for which the residential public utility service is requested.</w:t>
      </w:r>
      <w:r>
        <w:rPr>
          <w:sz w:val="26"/>
          <w:szCs w:val="26"/>
        </w:rPr>
        <w:t>”</w:t>
      </w:r>
    </w:p>
  </w:footnote>
  <w:footnote w:id="10">
    <w:p w:rsidR="00B61B4B" w:rsidRDefault="00B61B4B" w:rsidP="00B61B4B">
      <w:pPr>
        <w:pStyle w:val="FootnoteText"/>
        <w:ind w:firstLine="720"/>
      </w:pPr>
      <w:r>
        <w:rPr>
          <w:rStyle w:val="FootnoteReference"/>
        </w:rPr>
        <w:footnoteRef/>
      </w:r>
      <w:r>
        <w:t xml:space="preserve"> </w:t>
      </w:r>
      <w:r>
        <w:tab/>
      </w:r>
      <w:r w:rsidRPr="00914776">
        <w:rPr>
          <w:i/>
          <w:sz w:val="26"/>
          <w:szCs w:val="26"/>
        </w:rPr>
        <w:t>See</w:t>
      </w:r>
      <w:r w:rsidRPr="00B61B4B">
        <w:rPr>
          <w:sz w:val="26"/>
          <w:szCs w:val="26"/>
        </w:rPr>
        <w:t xml:space="preserve"> definition of “</w:t>
      </w:r>
      <w:r w:rsidRPr="00B61B4B">
        <w:rPr>
          <w:iCs/>
          <w:sz w:val="26"/>
          <w:szCs w:val="26"/>
        </w:rPr>
        <w:t>Customer,” “A</w:t>
      </w:r>
      <w:r w:rsidRPr="00B61B4B">
        <w:rPr>
          <w:sz w:val="26"/>
          <w:szCs w:val="26"/>
        </w:rPr>
        <w:t xml:space="preserve">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w:t>
      </w:r>
      <w:r>
        <w:rPr>
          <w:sz w:val="26"/>
          <w:szCs w:val="26"/>
        </w:rPr>
        <w:t>”</w:t>
      </w:r>
    </w:p>
  </w:footnote>
  <w:footnote w:id="11">
    <w:p w:rsidR="00765557" w:rsidRPr="001140B1" w:rsidRDefault="00B3377F" w:rsidP="00765557">
      <w:pPr>
        <w:spacing w:line="240" w:lineRule="auto"/>
        <w:ind w:firstLine="720"/>
        <w:rPr>
          <w:szCs w:val="26"/>
        </w:rPr>
      </w:pPr>
      <w:r>
        <w:rPr>
          <w:rStyle w:val="FootnoteReference"/>
        </w:rPr>
        <w:footnoteRef/>
      </w:r>
      <w:r>
        <w:t xml:space="preserve"> </w:t>
      </w:r>
      <w:r w:rsidR="00765557">
        <w:tab/>
      </w:r>
      <w:r>
        <w:t xml:space="preserve">As discussed, the Regulations provide that </w:t>
      </w:r>
      <w:r w:rsidR="00765557">
        <w:t>“[p]</w:t>
      </w:r>
      <w:r w:rsidR="00765557" w:rsidRPr="00F23E38">
        <w:rPr>
          <w:szCs w:val="26"/>
        </w:rPr>
        <w:t xml:space="preserve">ublic utilities </w:t>
      </w:r>
      <w:r w:rsidR="00765557" w:rsidRPr="0070748A">
        <w:rPr>
          <w:i/>
          <w:szCs w:val="26"/>
        </w:rPr>
        <w:t>shall</w:t>
      </w:r>
      <w:r w:rsidR="00765557" w:rsidRPr="00F23E38">
        <w:rPr>
          <w:szCs w:val="26"/>
        </w:rPr>
        <w:t xml:space="preserve"> include in their tariffs filed with the Commission the methods, other than those specifically mentioned in this paragraph, used to determine the applicant's liability for any outstanding balance.</w:t>
      </w:r>
      <w:r w:rsidR="00765557">
        <w:rPr>
          <w:szCs w:val="26"/>
        </w:rPr>
        <w:t xml:space="preserve">”  </w:t>
      </w:r>
      <w:r w:rsidR="00765557">
        <w:rPr>
          <w:i/>
          <w:szCs w:val="26"/>
        </w:rPr>
        <w:t xml:space="preserve">See </w:t>
      </w:r>
      <w:r w:rsidR="00765557">
        <w:rPr>
          <w:szCs w:val="26"/>
        </w:rPr>
        <w:t xml:space="preserve">52 Pa. Code §§ </w:t>
      </w:r>
      <w:r w:rsidR="00765557" w:rsidRPr="00313DB6">
        <w:rPr>
          <w:szCs w:val="26"/>
        </w:rPr>
        <w:t>56.35</w:t>
      </w:r>
      <w:r w:rsidR="00765557">
        <w:rPr>
          <w:szCs w:val="26"/>
        </w:rPr>
        <w:t>(b)(2)</w:t>
      </w:r>
      <w:r w:rsidR="00EA26FA">
        <w:rPr>
          <w:szCs w:val="26"/>
        </w:rPr>
        <w:t xml:space="preserve"> (emphasis added)</w:t>
      </w:r>
      <w:r w:rsidR="00765557">
        <w:rPr>
          <w:szCs w:val="26"/>
        </w:rPr>
        <w:t>.  PECO has not cited to any applicable provision of its tariff in this proceeding.</w:t>
      </w:r>
    </w:p>
    <w:p w:rsidR="00765557" w:rsidRPr="00765557" w:rsidRDefault="00765557" w:rsidP="00765557">
      <w:pPr>
        <w:spacing w:line="240" w:lineRule="auto"/>
        <w:ind w:firstLine="720"/>
        <w:rPr>
          <w:b/>
          <w:bCs/>
          <w:color w:val="333333"/>
          <w:szCs w:val="26"/>
        </w:rPr>
      </w:pPr>
    </w:p>
    <w:p w:rsidR="00B3377F" w:rsidRDefault="00B3377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2F"/>
    <w:multiLevelType w:val="hybridMultilevel"/>
    <w:tmpl w:val="CB5E6FEA"/>
    <w:lvl w:ilvl="0" w:tplc="D374A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B523C"/>
    <w:multiLevelType w:val="hybridMultilevel"/>
    <w:tmpl w:val="AC7A37A6"/>
    <w:lvl w:ilvl="0" w:tplc="638EB48A">
      <w:start w:val="3"/>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2183581A"/>
    <w:multiLevelType w:val="singleLevel"/>
    <w:tmpl w:val="0409000F"/>
    <w:lvl w:ilvl="0">
      <w:start w:val="1"/>
      <w:numFmt w:val="decimal"/>
      <w:lvlText w:val="%1."/>
      <w:lvlJc w:val="left"/>
      <w:pPr>
        <w:tabs>
          <w:tab w:val="num" w:pos="1980"/>
        </w:tabs>
        <w:ind w:left="1980" w:hanging="360"/>
      </w:pPr>
    </w:lvl>
  </w:abstractNum>
  <w:abstractNum w:abstractNumId="4">
    <w:nsid w:val="247604ED"/>
    <w:multiLevelType w:val="hybridMultilevel"/>
    <w:tmpl w:val="0B40D07A"/>
    <w:lvl w:ilvl="0" w:tplc="27A2FAFA">
      <w:start w:val="2"/>
      <w:numFmt w:val="bullet"/>
      <w:lvlText w:val=""/>
      <w:lvlJc w:val="left"/>
      <w:pPr>
        <w:ind w:left="3768" w:hanging="360"/>
      </w:pPr>
      <w:rPr>
        <w:rFonts w:ascii="Symbol" w:eastAsia="Times New Roman" w:hAnsi="Symbol" w:cs="Times New Roman" w:hint="default"/>
      </w:rPr>
    </w:lvl>
    <w:lvl w:ilvl="1" w:tplc="04090003" w:tentative="1">
      <w:start w:val="1"/>
      <w:numFmt w:val="bullet"/>
      <w:lvlText w:val="o"/>
      <w:lvlJc w:val="left"/>
      <w:pPr>
        <w:ind w:left="4488" w:hanging="360"/>
      </w:pPr>
      <w:rPr>
        <w:rFonts w:ascii="Courier New" w:hAnsi="Courier New" w:cs="Courier New" w:hint="default"/>
      </w:rPr>
    </w:lvl>
    <w:lvl w:ilvl="2" w:tplc="04090005" w:tentative="1">
      <w:start w:val="1"/>
      <w:numFmt w:val="bullet"/>
      <w:lvlText w:val=""/>
      <w:lvlJc w:val="left"/>
      <w:pPr>
        <w:ind w:left="5208" w:hanging="360"/>
      </w:pPr>
      <w:rPr>
        <w:rFonts w:ascii="Wingdings" w:hAnsi="Wingdings" w:hint="default"/>
      </w:rPr>
    </w:lvl>
    <w:lvl w:ilvl="3" w:tplc="04090001" w:tentative="1">
      <w:start w:val="1"/>
      <w:numFmt w:val="bullet"/>
      <w:lvlText w:val=""/>
      <w:lvlJc w:val="left"/>
      <w:pPr>
        <w:ind w:left="5928" w:hanging="360"/>
      </w:pPr>
      <w:rPr>
        <w:rFonts w:ascii="Symbol" w:hAnsi="Symbol" w:hint="default"/>
      </w:rPr>
    </w:lvl>
    <w:lvl w:ilvl="4" w:tplc="04090003" w:tentative="1">
      <w:start w:val="1"/>
      <w:numFmt w:val="bullet"/>
      <w:lvlText w:val="o"/>
      <w:lvlJc w:val="left"/>
      <w:pPr>
        <w:ind w:left="6648" w:hanging="360"/>
      </w:pPr>
      <w:rPr>
        <w:rFonts w:ascii="Courier New" w:hAnsi="Courier New" w:cs="Courier New" w:hint="default"/>
      </w:rPr>
    </w:lvl>
    <w:lvl w:ilvl="5" w:tplc="04090005" w:tentative="1">
      <w:start w:val="1"/>
      <w:numFmt w:val="bullet"/>
      <w:lvlText w:val=""/>
      <w:lvlJc w:val="left"/>
      <w:pPr>
        <w:ind w:left="7368" w:hanging="360"/>
      </w:pPr>
      <w:rPr>
        <w:rFonts w:ascii="Wingdings" w:hAnsi="Wingdings" w:hint="default"/>
      </w:rPr>
    </w:lvl>
    <w:lvl w:ilvl="6" w:tplc="04090001" w:tentative="1">
      <w:start w:val="1"/>
      <w:numFmt w:val="bullet"/>
      <w:lvlText w:val=""/>
      <w:lvlJc w:val="left"/>
      <w:pPr>
        <w:ind w:left="8088" w:hanging="360"/>
      </w:pPr>
      <w:rPr>
        <w:rFonts w:ascii="Symbol" w:hAnsi="Symbol" w:hint="default"/>
      </w:rPr>
    </w:lvl>
    <w:lvl w:ilvl="7" w:tplc="04090003" w:tentative="1">
      <w:start w:val="1"/>
      <w:numFmt w:val="bullet"/>
      <w:lvlText w:val="o"/>
      <w:lvlJc w:val="left"/>
      <w:pPr>
        <w:ind w:left="8808" w:hanging="360"/>
      </w:pPr>
      <w:rPr>
        <w:rFonts w:ascii="Courier New" w:hAnsi="Courier New" w:cs="Courier New" w:hint="default"/>
      </w:rPr>
    </w:lvl>
    <w:lvl w:ilvl="8" w:tplc="04090005" w:tentative="1">
      <w:start w:val="1"/>
      <w:numFmt w:val="bullet"/>
      <w:lvlText w:val=""/>
      <w:lvlJc w:val="left"/>
      <w:pPr>
        <w:ind w:left="9528" w:hanging="360"/>
      </w:pPr>
      <w:rPr>
        <w:rFonts w:ascii="Wingdings" w:hAnsi="Wingdings" w:hint="default"/>
      </w:r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7">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8">
    <w:nsid w:val="4D2E12D3"/>
    <w:multiLevelType w:val="hybridMultilevel"/>
    <w:tmpl w:val="E1620840"/>
    <w:lvl w:ilvl="0" w:tplc="ECBEE44C">
      <w:start w:val="1"/>
      <w:numFmt w:val="bullet"/>
      <w:lvlText w:val=""/>
      <w:lvlJc w:val="left"/>
      <w:pPr>
        <w:ind w:left="3900" w:hanging="360"/>
      </w:pPr>
      <w:rPr>
        <w:rFonts w:ascii="Symbol" w:eastAsia="Times New Roman" w:hAnsi="Symbol"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9">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11">
    <w:nsid w:val="69A77C3A"/>
    <w:multiLevelType w:val="hybridMultilevel"/>
    <w:tmpl w:val="D62A8F04"/>
    <w:lvl w:ilvl="0" w:tplc="EF563FE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13">
    <w:nsid w:val="6F444A73"/>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33464E5"/>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7">
    <w:nsid w:val="77B10A1D"/>
    <w:multiLevelType w:val="hybridMultilevel"/>
    <w:tmpl w:val="815886AC"/>
    <w:lvl w:ilvl="0" w:tplc="69763194">
      <w:start w:val="1"/>
      <w:numFmt w:val="decimal"/>
      <w:lvlText w:val="%1."/>
      <w:lvlJc w:val="left"/>
      <w:pPr>
        <w:ind w:left="49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FC8011C"/>
    <w:multiLevelType w:val="hybridMultilevel"/>
    <w:tmpl w:val="0C0A1C3A"/>
    <w:lvl w:ilvl="0" w:tplc="26389704">
      <w:start w:val="2"/>
      <w:numFmt w:val="bullet"/>
      <w:lvlText w:val=""/>
      <w:lvlJc w:val="left"/>
      <w:pPr>
        <w:ind w:left="3108" w:hanging="360"/>
      </w:pPr>
      <w:rPr>
        <w:rFonts w:ascii="Symbol" w:eastAsia="Times New Roman" w:hAnsi="Symbol" w:cs="Times New Roman"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num w:numId="1">
    <w:abstractNumId w:val="10"/>
  </w:num>
  <w:num w:numId="2">
    <w:abstractNumId w:val="12"/>
  </w:num>
  <w:num w:numId="3">
    <w:abstractNumId w:val="6"/>
  </w:num>
  <w:num w:numId="4">
    <w:abstractNumId w:val="7"/>
  </w:num>
  <w:num w:numId="5">
    <w:abstractNumId w:val="16"/>
  </w:num>
  <w:num w:numId="6">
    <w:abstractNumId w:val="12"/>
    <w:lvlOverride w:ilvl="0">
      <w:startOverride w:val="1"/>
    </w:lvlOverride>
  </w:num>
  <w:num w:numId="7">
    <w:abstractNumId w:val="6"/>
    <w:lvlOverride w:ilvl="0">
      <w:startOverride w:val="1"/>
    </w:lvlOverride>
  </w:num>
  <w:num w:numId="8">
    <w:abstractNumId w:val="16"/>
    <w:lvlOverride w:ilvl="0">
      <w:startOverride w:val="2"/>
    </w:lvlOverride>
  </w:num>
  <w:num w:numId="9">
    <w:abstractNumId w:val="3"/>
  </w:num>
  <w:num w:numId="10">
    <w:abstractNumId w:val="18"/>
  </w:num>
  <w:num w:numId="11">
    <w:abstractNumId w:val="14"/>
  </w:num>
  <w:num w:numId="12">
    <w:abstractNumId w:val="1"/>
  </w:num>
  <w:num w:numId="13">
    <w:abstractNumId w:val="9"/>
  </w:num>
  <w:num w:numId="14">
    <w:abstractNumId w:val="0"/>
  </w:num>
  <w:num w:numId="15">
    <w:abstractNumId w:val="15"/>
  </w:num>
  <w:num w:numId="16">
    <w:abstractNumId w:val="13"/>
  </w:num>
  <w:num w:numId="17">
    <w:abstractNumId w:val="5"/>
  </w:num>
  <w:num w:numId="18">
    <w:abstractNumId w:val="11"/>
  </w:num>
  <w:num w:numId="19">
    <w:abstractNumId w:val="19"/>
  </w:num>
  <w:num w:numId="20">
    <w:abstractNumId w:val="4"/>
  </w:num>
  <w:num w:numId="21">
    <w:abstractNumId w:val="8"/>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1B91"/>
    <w:rsid w:val="000022AD"/>
    <w:rsid w:val="000024B6"/>
    <w:rsid w:val="00003229"/>
    <w:rsid w:val="0000641C"/>
    <w:rsid w:val="00006E23"/>
    <w:rsid w:val="0001240F"/>
    <w:rsid w:val="00014D0C"/>
    <w:rsid w:val="00014F87"/>
    <w:rsid w:val="000268F4"/>
    <w:rsid w:val="0003169F"/>
    <w:rsid w:val="0003212C"/>
    <w:rsid w:val="000334F0"/>
    <w:rsid w:val="00040E6D"/>
    <w:rsid w:val="000420ED"/>
    <w:rsid w:val="00042AAB"/>
    <w:rsid w:val="00042BDF"/>
    <w:rsid w:val="00042BFF"/>
    <w:rsid w:val="00044200"/>
    <w:rsid w:val="000445F8"/>
    <w:rsid w:val="00044B8E"/>
    <w:rsid w:val="00046484"/>
    <w:rsid w:val="00050DE3"/>
    <w:rsid w:val="000515EB"/>
    <w:rsid w:val="00051E21"/>
    <w:rsid w:val="000542CD"/>
    <w:rsid w:val="000553B1"/>
    <w:rsid w:val="00057B9D"/>
    <w:rsid w:val="00060B8B"/>
    <w:rsid w:val="0006129D"/>
    <w:rsid w:val="0006185E"/>
    <w:rsid w:val="00062FC2"/>
    <w:rsid w:val="00063980"/>
    <w:rsid w:val="00064401"/>
    <w:rsid w:val="00072198"/>
    <w:rsid w:val="000721D2"/>
    <w:rsid w:val="00074986"/>
    <w:rsid w:val="000754C8"/>
    <w:rsid w:val="000755DB"/>
    <w:rsid w:val="000804B1"/>
    <w:rsid w:val="00083078"/>
    <w:rsid w:val="000832E7"/>
    <w:rsid w:val="00084096"/>
    <w:rsid w:val="0008488A"/>
    <w:rsid w:val="00084C98"/>
    <w:rsid w:val="000852A1"/>
    <w:rsid w:val="00087AB1"/>
    <w:rsid w:val="00094683"/>
    <w:rsid w:val="000961CD"/>
    <w:rsid w:val="000A1439"/>
    <w:rsid w:val="000A26B1"/>
    <w:rsid w:val="000A34DF"/>
    <w:rsid w:val="000A46F8"/>
    <w:rsid w:val="000A6E9E"/>
    <w:rsid w:val="000B49DD"/>
    <w:rsid w:val="000B7A94"/>
    <w:rsid w:val="000C4F99"/>
    <w:rsid w:val="000C55C5"/>
    <w:rsid w:val="000D04D8"/>
    <w:rsid w:val="000D40E3"/>
    <w:rsid w:val="000D6D9C"/>
    <w:rsid w:val="000E0254"/>
    <w:rsid w:val="000E09A5"/>
    <w:rsid w:val="000E0C3F"/>
    <w:rsid w:val="000E2DFB"/>
    <w:rsid w:val="000E2E0C"/>
    <w:rsid w:val="000E4D0E"/>
    <w:rsid w:val="000E728E"/>
    <w:rsid w:val="000F06BA"/>
    <w:rsid w:val="000F202B"/>
    <w:rsid w:val="000F25FF"/>
    <w:rsid w:val="000F2894"/>
    <w:rsid w:val="000F41C1"/>
    <w:rsid w:val="00102E64"/>
    <w:rsid w:val="001036B8"/>
    <w:rsid w:val="001047BE"/>
    <w:rsid w:val="0010491B"/>
    <w:rsid w:val="001056A1"/>
    <w:rsid w:val="0010579B"/>
    <w:rsid w:val="00106AD7"/>
    <w:rsid w:val="00111C44"/>
    <w:rsid w:val="00113941"/>
    <w:rsid w:val="001140B1"/>
    <w:rsid w:val="00114B22"/>
    <w:rsid w:val="001155B2"/>
    <w:rsid w:val="001160AB"/>
    <w:rsid w:val="0011768F"/>
    <w:rsid w:val="00120084"/>
    <w:rsid w:val="001215AB"/>
    <w:rsid w:val="00126A50"/>
    <w:rsid w:val="001339A3"/>
    <w:rsid w:val="001346DE"/>
    <w:rsid w:val="00141D82"/>
    <w:rsid w:val="00146153"/>
    <w:rsid w:val="0014638B"/>
    <w:rsid w:val="00150F71"/>
    <w:rsid w:val="00151305"/>
    <w:rsid w:val="001576A5"/>
    <w:rsid w:val="001635F9"/>
    <w:rsid w:val="00165137"/>
    <w:rsid w:val="00166694"/>
    <w:rsid w:val="00167B17"/>
    <w:rsid w:val="001708D4"/>
    <w:rsid w:val="00174631"/>
    <w:rsid w:val="00175CE3"/>
    <w:rsid w:val="001760E3"/>
    <w:rsid w:val="0017620C"/>
    <w:rsid w:val="0017796A"/>
    <w:rsid w:val="00182AE9"/>
    <w:rsid w:val="001837DE"/>
    <w:rsid w:val="00183F4F"/>
    <w:rsid w:val="00184F61"/>
    <w:rsid w:val="00186EBE"/>
    <w:rsid w:val="00187C94"/>
    <w:rsid w:val="00187E50"/>
    <w:rsid w:val="001908AF"/>
    <w:rsid w:val="00192CF9"/>
    <w:rsid w:val="0019490E"/>
    <w:rsid w:val="00195CBA"/>
    <w:rsid w:val="00195D67"/>
    <w:rsid w:val="00197AF9"/>
    <w:rsid w:val="001A3073"/>
    <w:rsid w:val="001B15B1"/>
    <w:rsid w:val="001B176C"/>
    <w:rsid w:val="001B2A30"/>
    <w:rsid w:val="001B55FD"/>
    <w:rsid w:val="001B59F7"/>
    <w:rsid w:val="001B5F2A"/>
    <w:rsid w:val="001B69EE"/>
    <w:rsid w:val="001C3009"/>
    <w:rsid w:val="001C6209"/>
    <w:rsid w:val="001C7AF0"/>
    <w:rsid w:val="001D16E0"/>
    <w:rsid w:val="001D28C3"/>
    <w:rsid w:val="001D457F"/>
    <w:rsid w:val="001D7301"/>
    <w:rsid w:val="001E2C0B"/>
    <w:rsid w:val="001E3CC7"/>
    <w:rsid w:val="001E61EF"/>
    <w:rsid w:val="001F0306"/>
    <w:rsid w:val="001F0E87"/>
    <w:rsid w:val="001F16E2"/>
    <w:rsid w:val="001F2D3C"/>
    <w:rsid w:val="001F6180"/>
    <w:rsid w:val="001F6338"/>
    <w:rsid w:val="001F6FAD"/>
    <w:rsid w:val="002006C3"/>
    <w:rsid w:val="00203680"/>
    <w:rsid w:val="00213254"/>
    <w:rsid w:val="002135C1"/>
    <w:rsid w:val="00213C20"/>
    <w:rsid w:val="00222029"/>
    <w:rsid w:val="002233EB"/>
    <w:rsid w:val="002255B2"/>
    <w:rsid w:val="00231A23"/>
    <w:rsid w:val="00234F3D"/>
    <w:rsid w:val="00243868"/>
    <w:rsid w:val="0024448A"/>
    <w:rsid w:val="00255B53"/>
    <w:rsid w:val="0025693E"/>
    <w:rsid w:val="00257E91"/>
    <w:rsid w:val="00257F37"/>
    <w:rsid w:val="002627DC"/>
    <w:rsid w:val="002631BC"/>
    <w:rsid w:val="00264114"/>
    <w:rsid w:val="00267B07"/>
    <w:rsid w:val="002721E6"/>
    <w:rsid w:val="002728A3"/>
    <w:rsid w:val="00273706"/>
    <w:rsid w:val="002840EA"/>
    <w:rsid w:val="002859DB"/>
    <w:rsid w:val="00294359"/>
    <w:rsid w:val="00296B86"/>
    <w:rsid w:val="002A07F2"/>
    <w:rsid w:val="002A1305"/>
    <w:rsid w:val="002A59BF"/>
    <w:rsid w:val="002A5DDA"/>
    <w:rsid w:val="002B09B4"/>
    <w:rsid w:val="002B1DFC"/>
    <w:rsid w:val="002B50AB"/>
    <w:rsid w:val="002B5F24"/>
    <w:rsid w:val="002C5C8D"/>
    <w:rsid w:val="002D2228"/>
    <w:rsid w:val="002D43B8"/>
    <w:rsid w:val="002D5AAD"/>
    <w:rsid w:val="002D70CA"/>
    <w:rsid w:val="002E0533"/>
    <w:rsid w:val="002E25F3"/>
    <w:rsid w:val="002E2700"/>
    <w:rsid w:val="002E4642"/>
    <w:rsid w:val="002E6322"/>
    <w:rsid w:val="002F1E9A"/>
    <w:rsid w:val="002F5854"/>
    <w:rsid w:val="00303242"/>
    <w:rsid w:val="00304EFE"/>
    <w:rsid w:val="00305F0D"/>
    <w:rsid w:val="00306098"/>
    <w:rsid w:val="003110A4"/>
    <w:rsid w:val="00313DB6"/>
    <w:rsid w:val="0031772B"/>
    <w:rsid w:val="00317B2F"/>
    <w:rsid w:val="0032038C"/>
    <w:rsid w:val="00321346"/>
    <w:rsid w:val="003243CA"/>
    <w:rsid w:val="00325EB8"/>
    <w:rsid w:val="00331503"/>
    <w:rsid w:val="00333336"/>
    <w:rsid w:val="00340071"/>
    <w:rsid w:val="00341B79"/>
    <w:rsid w:val="003460CC"/>
    <w:rsid w:val="00347FF4"/>
    <w:rsid w:val="00355E33"/>
    <w:rsid w:val="003611E4"/>
    <w:rsid w:val="00364C23"/>
    <w:rsid w:val="0036629A"/>
    <w:rsid w:val="00373242"/>
    <w:rsid w:val="003739E7"/>
    <w:rsid w:val="00373DE0"/>
    <w:rsid w:val="00376D2B"/>
    <w:rsid w:val="00381350"/>
    <w:rsid w:val="00382023"/>
    <w:rsid w:val="003822C2"/>
    <w:rsid w:val="00383D29"/>
    <w:rsid w:val="00386F30"/>
    <w:rsid w:val="00391051"/>
    <w:rsid w:val="0039228F"/>
    <w:rsid w:val="003928D2"/>
    <w:rsid w:val="003932A4"/>
    <w:rsid w:val="00395B5D"/>
    <w:rsid w:val="003962EA"/>
    <w:rsid w:val="003A16ED"/>
    <w:rsid w:val="003A2086"/>
    <w:rsid w:val="003A2C39"/>
    <w:rsid w:val="003A31A9"/>
    <w:rsid w:val="003A322E"/>
    <w:rsid w:val="003A33F5"/>
    <w:rsid w:val="003A5489"/>
    <w:rsid w:val="003A7529"/>
    <w:rsid w:val="003A7F4E"/>
    <w:rsid w:val="003B0F1D"/>
    <w:rsid w:val="003B1256"/>
    <w:rsid w:val="003B35D5"/>
    <w:rsid w:val="003C0EA7"/>
    <w:rsid w:val="003C186E"/>
    <w:rsid w:val="003C1C70"/>
    <w:rsid w:val="003C3851"/>
    <w:rsid w:val="003C4231"/>
    <w:rsid w:val="003C4890"/>
    <w:rsid w:val="003C4A6A"/>
    <w:rsid w:val="003C4BB1"/>
    <w:rsid w:val="003C7183"/>
    <w:rsid w:val="003D3AA4"/>
    <w:rsid w:val="003D522A"/>
    <w:rsid w:val="003D7B0E"/>
    <w:rsid w:val="003E0256"/>
    <w:rsid w:val="003E0557"/>
    <w:rsid w:val="003E358E"/>
    <w:rsid w:val="003E3A5D"/>
    <w:rsid w:val="003E6D79"/>
    <w:rsid w:val="003E6FEC"/>
    <w:rsid w:val="003E6FFE"/>
    <w:rsid w:val="003F0447"/>
    <w:rsid w:val="003F0643"/>
    <w:rsid w:val="003F0927"/>
    <w:rsid w:val="003F4629"/>
    <w:rsid w:val="003F68A9"/>
    <w:rsid w:val="00400F84"/>
    <w:rsid w:val="004012A8"/>
    <w:rsid w:val="00404610"/>
    <w:rsid w:val="0040476A"/>
    <w:rsid w:val="00405B3F"/>
    <w:rsid w:val="0041141D"/>
    <w:rsid w:val="00412886"/>
    <w:rsid w:val="00412FD3"/>
    <w:rsid w:val="00413C43"/>
    <w:rsid w:val="00417813"/>
    <w:rsid w:val="0042086F"/>
    <w:rsid w:val="0042124A"/>
    <w:rsid w:val="00421441"/>
    <w:rsid w:val="004222C6"/>
    <w:rsid w:val="00422957"/>
    <w:rsid w:val="004252CC"/>
    <w:rsid w:val="0043056E"/>
    <w:rsid w:val="004318C1"/>
    <w:rsid w:val="00433CEC"/>
    <w:rsid w:val="00434866"/>
    <w:rsid w:val="0043514B"/>
    <w:rsid w:val="00437CE0"/>
    <w:rsid w:val="00440677"/>
    <w:rsid w:val="004411A9"/>
    <w:rsid w:val="004415A2"/>
    <w:rsid w:val="0044405E"/>
    <w:rsid w:val="00447294"/>
    <w:rsid w:val="004477EB"/>
    <w:rsid w:val="00451160"/>
    <w:rsid w:val="00452510"/>
    <w:rsid w:val="00452A48"/>
    <w:rsid w:val="004556D2"/>
    <w:rsid w:val="0045796E"/>
    <w:rsid w:val="00465BA0"/>
    <w:rsid w:val="00465E87"/>
    <w:rsid w:val="00474037"/>
    <w:rsid w:val="00475F76"/>
    <w:rsid w:val="00476247"/>
    <w:rsid w:val="004768C7"/>
    <w:rsid w:val="004770C8"/>
    <w:rsid w:val="0047723E"/>
    <w:rsid w:val="00483E99"/>
    <w:rsid w:val="00486D04"/>
    <w:rsid w:val="00486EE6"/>
    <w:rsid w:val="004872CE"/>
    <w:rsid w:val="00493482"/>
    <w:rsid w:val="00495344"/>
    <w:rsid w:val="00496C56"/>
    <w:rsid w:val="004A287A"/>
    <w:rsid w:val="004A5400"/>
    <w:rsid w:val="004B0A76"/>
    <w:rsid w:val="004B1116"/>
    <w:rsid w:val="004B418C"/>
    <w:rsid w:val="004B44DD"/>
    <w:rsid w:val="004B7046"/>
    <w:rsid w:val="004C0960"/>
    <w:rsid w:val="004C1382"/>
    <w:rsid w:val="004C5619"/>
    <w:rsid w:val="004D0D4F"/>
    <w:rsid w:val="004D3FC7"/>
    <w:rsid w:val="004D53CF"/>
    <w:rsid w:val="004D6317"/>
    <w:rsid w:val="004D63DC"/>
    <w:rsid w:val="004E1579"/>
    <w:rsid w:val="004E3DB9"/>
    <w:rsid w:val="004E63A1"/>
    <w:rsid w:val="004E6710"/>
    <w:rsid w:val="004F25E8"/>
    <w:rsid w:val="004F4981"/>
    <w:rsid w:val="004F4E74"/>
    <w:rsid w:val="004F511D"/>
    <w:rsid w:val="004F5971"/>
    <w:rsid w:val="004F61B3"/>
    <w:rsid w:val="004F6DF0"/>
    <w:rsid w:val="00510D54"/>
    <w:rsid w:val="005125C2"/>
    <w:rsid w:val="00512DBD"/>
    <w:rsid w:val="0051319E"/>
    <w:rsid w:val="00517918"/>
    <w:rsid w:val="00517AC1"/>
    <w:rsid w:val="00530A02"/>
    <w:rsid w:val="0053127E"/>
    <w:rsid w:val="00531B68"/>
    <w:rsid w:val="005375AB"/>
    <w:rsid w:val="00540947"/>
    <w:rsid w:val="0054307C"/>
    <w:rsid w:val="00553EA8"/>
    <w:rsid w:val="00556E9A"/>
    <w:rsid w:val="0055727F"/>
    <w:rsid w:val="00557B38"/>
    <w:rsid w:val="00557BCB"/>
    <w:rsid w:val="005609B8"/>
    <w:rsid w:val="00560FDD"/>
    <w:rsid w:val="00561933"/>
    <w:rsid w:val="00566836"/>
    <w:rsid w:val="00567836"/>
    <w:rsid w:val="00567C6F"/>
    <w:rsid w:val="00567DB8"/>
    <w:rsid w:val="0057017B"/>
    <w:rsid w:val="00573927"/>
    <w:rsid w:val="005745EB"/>
    <w:rsid w:val="00574E22"/>
    <w:rsid w:val="005759B5"/>
    <w:rsid w:val="00576C6B"/>
    <w:rsid w:val="00576E65"/>
    <w:rsid w:val="0058651A"/>
    <w:rsid w:val="0058653B"/>
    <w:rsid w:val="00586BEC"/>
    <w:rsid w:val="00593D95"/>
    <w:rsid w:val="00595513"/>
    <w:rsid w:val="005A090A"/>
    <w:rsid w:val="005A199C"/>
    <w:rsid w:val="005A3135"/>
    <w:rsid w:val="005A3DBE"/>
    <w:rsid w:val="005A4743"/>
    <w:rsid w:val="005A498E"/>
    <w:rsid w:val="005B1338"/>
    <w:rsid w:val="005B4655"/>
    <w:rsid w:val="005B4757"/>
    <w:rsid w:val="005B5748"/>
    <w:rsid w:val="005C13ED"/>
    <w:rsid w:val="005D0A85"/>
    <w:rsid w:val="005D3D7F"/>
    <w:rsid w:val="005D4A01"/>
    <w:rsid w:val="005D5DCA"/>
    <w:rsid w:val="005D6663"/>
    <w:rsid w:val="005E12B1"/>
    <w:rsid w:val="005E6BBB"/>
    <w:rsid w:val="005F3CE9"/>
    <w:rsid w:val="005F5B2E"/>
    <w:rsid w:val="005F5C9E"/>
    <w:rsid w:val="005F5DD5"/>
    <w:rsid w:val="005F703C"/>
    <w:rsid w:val="00600041"/>
    <w:rsid w:val="00601B51"/>
    <w:rsid w:val="006033D9"/>
    <w:rsid w:val="006044FF"/>
    <w:rsid w:val="00605054"/>
    <w:rsid w:val="00605AB7"/>
    <w:rsid w:val="00606BD0"/>
    <w:rsid w:val="00611CE1"/>
    <w:rsid w:val="006150FA"/>
    <w:rsid w:val="006172BB"/>
    <w:rsid w:val="00620C7B"/>
    <w:rsid w:val="00626066"/>
    <w:rsid w:val="006316B4"/>
    <w:rsid w:val="00631D9A"/>
    <w:rsid w:val="00632718"/>
    <w:rsid w:val="00632B5F"/>
    <w:rsid w:val="006333B9"/>
    <w:rsid w:val="00634B40"/>
    <w:rsid w:val="006415F8"/>
    <w:rsid w:val="00642A53"/>
    <w:rsid w:val="00642D6A"/>
    <w:rsid w:val="00643108"/>
    <w:rsid w:val="006441BB"/>
    <w:rsid w:val="00646B0D"/>
    <w:rsid w:val="00650C28"/>
    <w:rsid w:val="0065307F"/>
    <w:rsid w:val="006537DF"/>
    <w:rsid w:val="006547BB"/>
    <w:rsid w:val="00655AE4"/>
    <w:rsid w:val="00662449"/>
    <w:rsid w:val="006647CC"/>
    <w:rsid w:val="00666204"/>
    <w:rsid w:val="006671AA"/>
    <w:rsid w:val="00674464"/>
    <w:rsid w:val="00675939"/>
    <w:rsid w:val="006763FC"/>
    <w:rsid w:val="0068274D"/>
    <w:rsid w:val="006837EE"/>
    <w:rsid w:val="0068619C"/>
    <w:rsid w:val="006930B8"/>
    <w:rsid w:val="006A0486"/>
    <w:rsid w:val="006A2D11"/>
    <w:rsid w:val="006B0495"/>
    <w:rsid w:val="006B05D7"/>
    <w:rsid w:val="006B05F8"/>
    <w:rsid w:val="006B1AA8"/>
    <w:rsid w:val="006B3FEA"/>
    <w:rsid w:val="006C11F9"/>
    <w:rsid w:val="006C2403"/>
    <w:rsid w:val="006C2C49"/>
    <w:rsid w:val="006C3565"/>
    <w:rsid w:val="006C4068"/>
    <w:rsid w:val="006D0E2D"/>
    <w:rsid w:val="006D1CBD"/>
    <w:rsid w:val="006D252C"/>
    <w:rsid w:val="006D3215"/>
    <w:rsid w:val="006D548B"/>
    <w:rsid w:val="006D7DE2"/>
    <w:rsid w:val="006E1F15"/>
    <w:rsid w:val="006E6F2F"/>
    <w:rsid w:val="006F0985"/>
    <w:rsid w:val="006F3E1D"/>
    <w:rsid w:val="006F4F7E"/>
    <w:rsid w:val="006F5CB0"/>
    <w:rsid w:val="006F6BB8"/>
    <w:rsid w:val="007027DB"/>
    <w:rsid w:val="00702E6F"/>
    <w:rsid w:val="0070392B"/>
    <w:rsid w:val="0070434B"/>
    <w:rsid w:val="007058D9"/>
    <w:rsid w:val="0070748A"/>
    <w:rsid w:val="0071023E"/>
    <w:rsid w:val="007121B6"/>
    <w:rsid w:val="00720264"/>
    <w:rsid w:val="007230FA"/>
    <w:rsid w:val="007236DD"/>
    <w:rsid w:val="00723D2E"/>
    <w:rsid w:val="007240AC"/>
    <w:rsid w:val="0072437C"/>
    <w:rsid w:val="0073004F"/>
    <w:rsid w:val="00735320"/>
    <w:rsid w:val="007414FF"/>
    <w:rsid w:val="00744E9B"/>
    <w:rsid w:val="00747019"/>
    <w:rsid w:val="00752719"/>
    <w:rsid w:val="007538B8"/>
    <w:rsid w:val="00757BEB"/>
    <w:rsid w:val="0076148C"/>
    <w:rsid w:val="007618E6"/>
    <w:rsid w:val="00764911"/>
    <w:rsid w:val="00765557"/>
    <w:rsid w:val="00766107"/>
    <w:rsid w:val="00766DDC"/>
    <w:rsid w:val="00767141"/>
    <w:rsid w:val="00771580"/>
    <w:rsid w:val="0077368A"/>
    <w:rsid w:val="00777614"/>
    <w:rsid w:val="00777AD8"/>
    <w:rsid w:val="00783194"/>
    <w:rsid w:val="0078658A"/>
    <w:rsid w:val="007A01A8"/>
    <w:rsid w:val="007A04A6"/>
    <w:rsid w:val="007A3157"/>
    <w:rsid w:val="007A31C0"/>
    <w:rsid w:val="007A37F2"/>
    <w:rsid w:val="007B08F4"/>
    <w:rsid w:val="007B2FF4"/>
    <w:rsid w:val="007B5294"/>
    <w:rsid w:val="007B6031"/>
    <w:rsid w:val="007B7172"/>
    <w:rsid w:val="007B7542"/>
    <w:rsid w:val="007C1118"/>
    <w:rsid w:val="007C11C4"/>
    <w:rsid w:val="007C15AB"/>
    <w:rsid w:val="007C33DA"/>
    <w:rsid w:val="007C4210"/>
    <w:rsid w:val="007C4CD8"/>
    <w:rsid w:val="007D0A39"/>
    <w:rsid w:val="007D20AE"/>
    <w:rsid w:val="007D2AE4"/>
    <w:rsid w:val="007D4DBD"/>
    <w:rsid w:val="007D5F4A"/>
    <w:rsid w:val="007D6E52"/>
    <w:rsid w:val="007E2533"/>
    <w:rsid w:val="007E3B30"/>
    <w:rsid w:val="007E6D62"/>
    <w:rsid w:val="007F040B"/>
    <w:rsid w:val="007F30E1"/>
    <w:rsid w:val="007F46D2"/>
    <w:rsid w:val="00801839"/>
    <w:rsid w:val="008032D4"/>
    <w:rsid w:val="00803E31"/>
    <w:rsid w:val="00804DAB"/>
    <w:rsid w:val="00805247"/>
    <w:rsid w:val="00806C9B"/>
    <w:rsid w:val="00806DC8"/>
    <w:rsid w:val="0080737F"/>
    <w:rsid w:val="00811109"/>
    <w:rsid w:val="00814B88"/>
    <w:rsid w:val="00816E4E"/>
    <w:rsid w:val="008222E1"/>
    <w:rsid w:val="00823694"/>
    <w:rsid w:val="0082545F"/>
    <w:rsid w:val="0082617E"/>
    <w:rsid w:val="00830CC7"/>
    <w:rsid w:val="00833741"/>
    <w:rsid w:val="0083441D"/>
    <w:rsid w:val="00836F8E"/>
    <w:rsid w:val="0084478F"/>
    <w:rsid w:val="00844898"/>
    <w:rsid w:val="00847B62"/>
    <w:rsid w:val="008509B1"/>
    <w:rsid w:val="00850A24"/>
    <w:rsid w:val="0086046A"/>
    <w:rsid w:val="00861356"/>
    <w:rsid w:val="00861A19"/>
    <w:rsid w:val="00861AD3"/>
    <w:rsid w:val="00862A3E"/>
    <w:rsid w:val="008632D2"/>
    <w:rsid w:val="00863414"/>
    <w:rsid w:val="00863A7A"/>
    <w:rsid w:val="008648D6"/>
    <w:rsid w:val="008664D3"/>
    <w:rsid w:val="00867E27"/>
    <w:rsid w:val="00867FD3"/>
    <w:rsid w:val="00874C96"/>
    <w:rsid w:val="008769C4"/>
    <w:rsid w:val="0087706A"/>
    <w:rsid w:val="00877C75"/>
    <w:rsid w:val="00881239"/>
    <w:rsid w:val="00882B76"/>
    <w:rsid w:val="0088541A"/>
    <w:rsid w:val="00886880"/>
    <w:rsid w:val="00891398"/>
    <w:rsid w:val="00896417"/>
    <w:rsid w:val="008A208E"/>
    <w:rsid w:val="008A4783"/>
    <w:rsid w:val="008A7257"/>
    <w:rsid w:val="008B34C8"/>
    <w:rsid w:val="008B608C"/>
    <w:rsid w:val="008C0D02"/>
    <w:rsid w:val="008C21DB"/>
    <w:rsid w:val="008C2C84"/>
    <w:rsid w:val="008D05FF"/>
    <w:rsid w:val="008E2B70"/>
    <w:rsid w:val="008E3177"/>
    <w:rsid w:val="008E759A"/>
    <w:rsid w:val="008F0193"/>
    <w:rsid w:val="008F030B"/>
    <w:rsid w:val="008F03F7"/>
    <w:rsid w:val="008F1169"/>
    <w:rsid w:val="008F4696"/>
    <w:rsid w:val="009050EF"/>
    <w:rsid w:val="0090580C"/>
    <w:rsid w:val="0091247C"/>
    <w:rsid w:val="00912C7F"/>
    <w:rsid w:val="0091322F"/>
    <w:rsid w:val="00913CED"/>
    <w:rsid w:val="00914776"/>
    <w:rsid w:val="00914CC5"/>
    <w:rsid w:val="0092015F"/>
    <w:rsid w:val="009210AB"/>
    <w:rsid w:val="0092244E"/>
    <w:rsid w:val="00927135"/>
    <w:rsid w:val="0093332B"/>
    <w:rsid w:val="009350C1"/>
    <w:rsid w:val="0094347C"/>
    <w:rsid w:val="009464AA"/>
    <w:rsid w:val="00946C11"/>
    <w:rsid w:val="009504A6"/>
    <w:rsid w:val="00951CFC"/>
    <w:rsid w:val="00955277"/>
    <w:rsid w:val="00957108"/>
    <w:rsid w:val="009573AE"/>
    <w:rsid w:val="009639E5"/>
    <w:rsid w:val="009647DF"/>
    <w:rsid w:val="00973248"/>
    <w:rsid w:val="009753B7"/>
    <w:rsid w:val="00976FE3"/>
    <w:rsid w:val="00977B94"/>
    <w:rsid w:val="00977BB6"/>
    <w:rsid w:val="00981D91"/>
    <w:rsid w:val="009828D3"/>
    <w:rsid w:val="009853BE"/>
    <w:rsid w:val="009906E5"/>
    <w:rsid w:val="00991D55"/>
    <w:rsid w:val="00992A72"/>
    <w:rsid w:val="009939DB"/>
    <w:rsid w:val="00994613"/>
    <w:rsid w:val="00996FB5"/>
    <w:rsid w:val="00997FD4"/>
    <w:rsid w:val="009A1C01"/>
    <w:rsid w:val="009A3B17"/>
    <w:rsid w:val="009A3D9F"/>
    <w:rsid w:val="009A52D5"/>
    <w:rsid w:val="009A606D"/>
    <w:rsid w:val="009A6082"/>
    <w:rsid w:val="009B055E"/>
    <w:rsid w:val="009B3D8F"/>
    <w:rsid w:val="009B4CF5"/>
    <w:rsid w:val="009B5AB4"/>
    <w:rsid w:val="009C353C"/>
    <w:rsid w:val="009D585C"/>
    <w:rsid w:val="009D6921"/>
    <w:rsid w:val="009D7777"/>
    <w:rsid w:val="009D7B50"/>
    <w:rsid w:val="009E0C57"/>
    <w:rsid w:val="009E13B5"/>
    <w:rsid w:val="009E1902"/>
    <w:rsid w:val="009E2000"/>
    <w:rsid w:val="009E3042"/>
    <w:rsid w:val="009E7E5F"/>
    <w:rsid w:val="009F5506"/>
    <w:rsid w:val="009F639A"/>
    <w:rsid w:val="009F785F"/>
    <w:rsid w:val="00A0797B"/>
    <w:rsid w:val="00A155BF"/>
    <w:rsid w:val="00A16597"/>
    <w:rsid w:val="00A17766"/>
    <w:rsid w:val="00A220F9"/>
    <w:rsid w:val="00A25394"/>
    <w:rsid w:val="00A25D1D"/>
    <w:rsid w:val="00A273F5"/>
    <w:rsid w:val="00A37391"/>
    <w:rsid w:val="00A40F64"/>
    <w:rsid w:val="00A44082"/>
    <w:rsid w:val="00A450CB"/>
    <w:rsid w:val="00A50468"/>
    <w:rsid w:val="00A508D1"/>
    <w:rsid w:val="00A512B5"/>
    <w:rsid w:val="00A5362D"/>
    <w:rsid w:val="00A550B5"/>
    <w:rsid w:val="00A56B07"/>
    <w:rsid w:val="00A60625"/>
    <w:rsid w:val="00A648CB"/>
    <w:rsid w:val="00A66258"/>
    <w:rsid w:val="00A70CAC"/>
    <w:rsid w:val="00A72BE1"/>
    <w:rsid w:val="00A75695"/>
    <w:rsid w:val="00A75EB0"/>
    <w:rsid w:val="00A8209A"/>
    <w:rsid w:val="00A85FCB"/>
    <w:rsid w:val="00A87890"/>
    <w:rsid w:val="00A904A7"/>
    <w:rsid w:val="00A9152D"/>
    <w:rsid w:val="00A91F2D"/>
    <w:rsid w:val="00A92833"/>
    <w:rsid w:val="00A95C82"/>
    <w:rsid w:val="00A964A8"/>
    <w:rsid w:val="00AA22B4"/>
    <w:rsid w:val="00AA3795"/>
    <w:rsid w:val="00AA758A"/>
    <w:rsid w:val="00AB0456"/>
    <w:rsid w:val="00AB0FF6"/>
    <w:rsid w:val="00AB14FA"/>
    <w:rsid w:val="00AB1C4A"/>
    <w:rsid w:val="00AB2D65"/>
    <w:rsid w:val="00AB71D8"/>
    <w:rsid w:val="00AB73D1"/>
    <w:rsid w:val="00AC1F69"/>
    <w:rsid w:val="00AC390D"/>
    <w:rsid w:val="00AC5192"/>
    <w:rsid w:val="00AC778F"/>
    <w:rsid w:val="00AD5DF0"/>
    <w:rsid w:val="00AD671E"/>
    <w:rsid w:val="00AD777D"/>
    <w:rsid w:val="00AE0EA3"/>
    <w:rsid w:val="00AE4A1D"/>
    <w:rsid w:val="00AE6583"/>
    <w:rsid w:val="00AE7605"/>
    <w:rsid w:val="00AF7930"/>
    <w:rsid w:val="00B04232"/>
    <w:rsid w:val="00B078B9"/>
    <w:rsid w:val="00B07ED7"/>
    <w:rsid w:val="00B15214"/>
    <w:rsid w:val="00B20BB1"/>
    <w:rsid w:val="00B21A12"/>
    <w:rsid w:val="00B23F6F"/>
    <w:rsid w:val="00B30E45"/>
    <w:rsid w:val="00B30F45"/>
    <w:rsid w:val="00B3377F"/>
    <w:rsid w:val="00B34327"/>
    <w:rsid w:val="00B352E6"/>
    <w:rsid w:val="00B42144"/>
    <w:rsid w:val="00B450A0"/>
    <w:rsid w:val="00B45783"/>
    <w:rsid w:val="00B464A6"/>
    <w:rsid w:val="00B52A3C"/>
    <w:rsid w:val="00B56DED"/>
    <w:rsid w:val="00B61B4B"/>
    <w:rsid w:val="00B626FA"/>
    <w:rsid w:val="00B62DA5"/>
    <w:rsid w:val="00B66AF5"/>
    <w:rsid w:val="00B670EB"/>
    <w:rsid w:val="00B67D11"/>
    <w:rsid w:val="00B711FC"/>
    <w:rsid w:val="00B80E5B"/>
    <w:rsid w:val="00B817ED"/>
    <w:rsid w:val="00B83538"/>
    <w:rsid w:val="00B839E8"/>
    <w:rsid w:val="00B84EE4"/>
    <w:rsid w:val="00B853FE"/>
    <w:rsid w:val="00B86DC6"/>
    <w:rsid w:val="00B86FC8"/>
    <w:rsid w:val="00B9211E"/>
    <w:rsid w:val="00B9240F"/>
    <w:rsid w:val="00B93AED"/>
    <w:rsid w:val="00B96704"/>
    <w:rsid w:val="00BA46E4"/>
    <w:rsid w:val="00BA6C50"/>
    <w:rsid w:val="00BB126E"/>
    <w:rsid w:val="00BB4206"/>
    <w:rsid w:val="00BB74ED"/>
    <w:rsid w:val="00BC3D4F"/>
    <w:rsid w:val="00BC5D6B"/>
    <w:rsid w:val="00BC6609"/>
    <w:rsid w:val="00BD0AF8"/>
    <w:rsid w:val="00BD1626"/>
    <w:rsid w:val="00BD656E"/>
    <w:rsid w:val="00BD796F"/>
    <w:rsid w:val="00BD7D1B"/>
    <w:rsid w:val="00BE0C66"/>
    <w:rsid w:val="00BE1838"/>
    <w:rsid w:val="00BE19D7"/>
    <w:rsid w:val="00BE7A25"/>
    <w:rsid w:val="00BF1BEB"/>
    <w:rsid w:val="00BF4A6B"/>
    <w:rsid w:val="00BF7A4B"/>
    <w:rsid w:val="00C0479E"/>
    <w:rsid w:val="00C06A2F"/>
    <w:rsid w:val="00C12477"/>
    <w:rsid w:val="00C133CA"/>
    <w:rsid w:val="00C1378D"/>
    <w:rsid w:val="00C146D5"/>
    <w:rsid w:val="00C1597F"/>
    <w:rsid w:val="00C16CCB"/>
    <w:rsid w:val="00C2100D"/>
    <w:rsid w:val="00C22BEA"/>
    <w:rsid w:val="00C2410F"/>
    <w:rsid w:val="00C34BE2"/>
    <w:rsid w:val="00C354E5"/>
    <w:rsid w:val="00C35FCD"/>
    <w:rsid w:val="00C37862"/>
    <w:rsid w:val="00C40C28"/>
    <w:rsid w:val="00C4263B"/>
    <w:rsid w:val="00C44296"/>
    <w:rsid w:val="00C44F74"/>
    <w:rsid w:val="00C51F81"/>
    <w:rsid w:val="00C52E75"/>
    <w:rsid w:val="00C60CEB"/>
    <w:rsid w:val="00C60E89"/>
    <w:rsid w:val="00C6661E"/>
    <w:rsid w:val="00C700B6"/>
    <w:rsid w:val="00C70FB1"/>
    <w:rsid w:val="00C72198"/>
    <w:rsid w:val="00C72746"/>
    <w:rsid w:val="00C7317C"/>
    <w:rsid w:val="00C8114B"/>
    <w:rsid w:val="00C81787"/>
    <w:rsid w:val="00C84A4F"/>
    <w:rsid w:val="00C9032E"/>
    <w:rsid w:val="00C9371A"/>
    <w:rsid w:val="00C96B38"/>
    <w:rsid w:val="00C97273"/>
    <w:rsid w:val="00CA1BFD"/>
    <w:rsid w:val="00CA400B"/>
    <w:rsid w:val="00CA4DF4"/>
    <w:rsid w:val="00CA5FBB"/>
    <w:rsid w:val="00CA6168"/>
    <w:rsid w:val="00CB52B2"/>
    <w:rsid w:val="00CB775B"/>
    <w:rsid w:val="00CC052C"/>
    <w:rsid w:val="00CC11CD"/>
    <w:rsid w:val="00CC1C37"/>
    <w:rsid w:val="00CC391D"/>
    <w:rsid w:val="00CC7273"/>
    <w:rsid w:val="00CC7D4C"/>
    <w:rsid w:val="00CC7EAF"/>
    <w:rsid w:val="00CD04A6"/>
    <w:rsid w:val="00CE49E7"/>
    <w:rsid w:val="00CE7E68"/>
    <w:rsid w:val="00CF24F1"/>
    <w:rsid w:val="00D0052C"/>
    <w:rsid w:val="00D012AF"/>
    <w:rsid w:val="00D02672"/>
    <w:rsid w:val="00D04E2C"/>
    <w:rsid w:val="00D056A4"/>
    <w:rsid w:val="00D07D3D"/>
    <w:rsid w:val="00D16EE5"/>
    <w:rsid w:val="00D173D3"/>
    <w:rsid w:val="00D17780"/>
    <w:rsid w:val="00D177B9"/>
    <w:rsid w:val="00D204D8"/>
    <w:rsid w:val="00D22399"/>
    <w:rsid w:val="00D236A3"/>
    <w:rsid w:val="00D26801"/>
    <w:rsid w:val="00D30C6D"/>
    <w:rsid w:val="00D3476C"/>
    <w:rsid w:val="00D44704"/>
    <w:rsid w:val="00D471D5"/>
    <w:rsid w:val="00D47332"/>
    <w:rsid w:val="00D511AF"/>
    <w:rsid w:val="00D52A52"/>
    <w:rsid w:val="00D54DE5"/>
    <w:rsid w:val="00D5576D"/>
    <w:rsid w:val="00D57890"/>
    <w:rsid w:val="00D57ED2"/>
    <w:rsid w:val="00D61227"/>
    <w:rsid w:val="00D63ADB"/>
    <w:rsid w:val="00D64DCB"/>
    <w:rsid w:val="00D6668C"/>
    <w:rsid w:val="00D66FE4"/>
    <w:rsid w:val="00D7007A"/>
    <w:rsid w:val="00D73BFF"/>
    <w:rsid w:val="00D76371"/>
    <w:rsid w:val="00D80038"/>
    <w:rsid w:val="00D81835"/>
    <w:rsid w:val="00D82C44"/>
    <w:rsid w:val="00D845CE"/>
    <w:rsid w:val="00D86982"/>
    <w:rsid w:val="00D86FD1"/>
    <w:rsid w:val="00D8728E"/>
    <w:rsid w:val="00D9021D"/>
    <w:rsid w:val="00D905D7"/>
    <w:rsid w:val="00D92E0D"/>
    <w:rsid w:val="00D93C45"/>
    <w:rsid w:val="00D95DB1"/>
    <w:rsid w:val="00D978D2"/>
    <w:rsid w:val="00DA16D1"/>
    <w:rsid w:val="00DA2928"/>
    <w:rsid w:val="00DA5000"/>
    <w:rsid w:val="00DA6365"/>
    <w:rsid w:val="00DB0BC3"/>
    <w:rsid w:val="00DB1D2E"/>
    <w:rsid w:val="00DB4F06"/>
    <w:rsid w:val="00DB6AB2"/>
    <w:rsid w:val="00DC140A"/>
    <w:rsid w:val="00DC6FFC"/>
    <w:rsid w:val="00DC7003"/>
    <w:rsid w:val="00DD3B1C"/>
    <w:rsid w:val="00DD6310"/>
    <w:rsid w:val="00DD652C"/>
    <w:rsid w:val="00DD67E9"/>
    <w:rsid w:val="00DD6999"/>
    <w:rsid w:val="00DE09F3"/>
    <w:rsid w:val="00DE1C0F"/>
    <w:rsid w:val="00DE2170"/>
    <w:rsid w:val="00DE2266"/>
    <w:rsid w:val="00DE22F1"/>
    <w:rsid w:val="00DE2343"/>
    <w:rsid w:val="00DE2949"/>
    <w:rsid w:val="00DE3D04"/>
    <w:rsid w:val="00DE4971"/>
    <w:rsid w:val="00DE68C9"/>
    <w:rsid w:val="00DE7F93"/>
    <w:rsid w:val="00DF04BF"/>
    <w:rsid w:val="00DF0BCB"/>
    <w:rsid w:val="00DF4ADB"/>
    <w:rsid w:val="00DF5988"/>
    <w:rsid w:val="00E025D4"/>
    <w:rsid w:val="00E02815"/>
    <w:rsid w:val="00E03BB5"/>
    <w:rsid w:val="00E04BE4"/>
    <w:rsid w:val="00E0580F"/>
    <w:rsid w:val="00E1062D"/>
    <w:rsid w:val="00E11531"/>
    <w:rsid w:val="00E126F9"/>
    <w:rsid w:val="00E168E7"/>
    <w:rsid w:val="00E2523D"/>
    <w:rsid w:val="00E312E6"/>
    <w:rsid w:val="00E31737"/>
    <w:rsid w:val="00E33BA9"/>
    <w:rsid w:val="00E366C3"/>
    <w:rsid w:val="00E36D01"/>
    <w:rsid w:val="00E37014"/>
    <w:rsid w:val="00E41E7B"/>
    <w:rsid w:val="00E45AE4"/>
    <w:rsid w:val="00E46280"/>
    <w:rsid w:val="00E500AF"/>
    <w:rsid w:val="00E5034B"/>
    <w:rsid w:val="00E507A6"/>
    <w:rsid w:val="00E54799"/>
    <w:rsid w:val="00E555CB"/>
    <w:rsid w:val="00E56B58"/>
    <w:rsid w:val="00E56FC5"/>
    <w:rsid w:val="00E6332A"/>
    <w:rsid w:val="00E63B66"/>
    <w:rsid w:val="00E63CE8"/>
    <w:rsid w:val="00E63CF8"/>
    <w:rsid w:val="00E74263"/>
    <w:rsid w:val="00E74C20"/>
    <w:rsid w:val="00E77421"/>
    <w:rsid w:val="00E80B68"/>
    <w:rsid w:val="00E829B8"/>
    <w:rsid w:val="00E85864"/>
    <w:rsid w:val="00E8786A"/>
    <w:rsid w:val="00E916A7"/>
    <w:rsid w:val="00E91CE3"/>
    <w:rsid w:val="00E9240A"/>
    <w:rsid w:val="00E929FA"/>
    <w:rsid w:val="00E9331E"/>
    <w:rsid w:val="00E941D2"/>
    <w:rsid w:val="00E95719"/>
    <w:rsid w:val="00EA030D"/>
    <w:rsid w:val="00EA26FA"/>
    <w:rsid w:val="00EA6325"/>
    <w:rsid w:val="00EA7153"/>
    <w:rsid w:val="00EB11F4"/>
    <w:rsid w:val="00EB28CA"/>
    <w:rsid w:val="00EB4314"/>
    <w:rsid w:val="00EC0D25"/>
    <w:rsid w:val="00EC1B2C"/>
    <w:rsid w:val="00EC46E0"/>
    <w:rsid w:val="00EC4BF1"/>
    <w:rsid w:val="00EC6BFE"/>
    <w:rsid w:val="00EC7571"/>
    <w:rsid w:val="00ED0CBE"/>
    <w:rsid w:val="00ED1459"/>
    <w:rsid w:val="00ED1AA9"/>
    <w:rsid w:val="00ED53D3"/>
    <w:rsid w:val="00ED652F"/>
    <w:rsid w:val="00ED6B35"/>
    <w:rsid w:val="00EE0EF7"/>
    <w:rsid w:val="00EE0FF3"/>
    <w:rsid w:val="00EE2B74"/>
    <w:rsid w:val="00EE38CE"/>
    <w:rsid w:val="00EE480E"/>
    <w:rsid w:val="00EE5C95"/>
    <w:rsid w:val="00EF37C2"/>
    <w:rsid w:val="00EF3B1E"/>
    <w:rsid w:val="00EF65CB"/>
    <w:rsid w:val="00F0102C"/>
    <w:rsid w:val="00F0146F"/>
    <w:rsid w:val="00F01C8E"/>
    <w:rsid w:val="00F022CE"/>
    <w:rsid w:val="00F03B46"/>
    <w:rsid w:val="00F04892"/>
    <w:rsid w:val="00F138E7"/>
    <w:rsid w:val="00F220CF"/>
    <w:rsid w:val="00F27EA6"/>
    <w:rsid w:val="00F36C04"/>
    <w:rsid w:val="00F418AB"/>
    <w:rsid w:val="00F43102"/>
    <w:rsid w:val="00F43B77"/>
    <w:rsid w:val="00F45DAF"/>
    <w:rsid w:val="00F51CE3"/>
    <w:rsid w:val="00F53A69"/>
    <w:rsid w:val="00F56247"/>
    <w:rsid w:val="00F60514"/>
    <w:rsid w:val="00F61BC2"/>
    <w:rsid w:val="00F62FC5"/>
    <w:rsid w:val="00F65782"/>
    <w:rsid w:val="00F70A7E"/>
    <w:rsid w:val="00F70C1F"/>
    <w:rsid w:val="00F72B2B"/>
    <w:rsid w:val="00F73C62"/>
    <w:rsid w:val="00F74913"/>
    <w:rsid w:val="00F82893"/>
    <w:rsid w:val="00F83FA6"/>
    <w:rsid w:val="00F84C36"/>
    <w:rsid w:val="00F92BED"/>
    <w:rsid w:val="00FA199F"/>
    <w:rsid w:val="00FA262B"/>
    <w:rsid w:val="00FA2CDB"/>
    <w:rsid w:val="00FA321F"/>
    <w:rsid w:val="00FA367A"/>
    <w:rsid w:val="00FA490C"/>
    <w:rsid w:val="00FA5E8F"/>
    <w:rsid w:val="00FA6063"/>
    <w:rsid w:val="00FA65D5"/>
    <w:rsid w:val="00FB004A"/>
    <w:rsid w:val="00FB2175"/>
    <w:rsid w:val="00FB26D3"/>
    <w:rsid w:val="00FB2E25"/>
    <w:rsid w:val="00FB2F18"/>
    <w:rsid w:val="00FB448C"/>
    <w:rsid w:val="00FB539A"/>
    <w:rsid w:val="00FB7AFF"/>
    <w:rsid w:val="00FC013C"/>
    <w:rsid w:val="00FC0DF1"/>
    <w:rsid w:val="00FC42F5"/>
    <w:rsid w:val="00FC4781"/>
    <w:rsid w:val="00FC5BB9"/>
    <w:rsid w:val="00FD0C79"/>
    <w:rsid w:val="00FD1159"/>
    <w:rsid w:val="00FD3B69"/>
    <w:rsid w:val="00FD43DE"/>
    <w:rsid w:val="00FD5835"/>
    <w:rsid w:val="00FE027A"/>
    <w:rsid w:val="00FE032D"/>
    <w:rsid w:val="00FE3535"/>
    <w:rsid w:val="00FE625A"/>
    <w:rsid w:val="00FE627C"/>
    <w:rsid w:val="00FE72C6"/>
    <w:rsid w:val="00FF01EA"/>
    <w:rsid w:val="00FF1A43"/>
    <w:rsid w:val="00FF1DEB"/>
    <w:rsid w:val="00FF26FD"/>
    <w:rsid w:val="00FF29E1"/>
    <w:rsid w:val="00FF3595"/>
    <w:rsid w:val="00FF4A00"/>
    <w:rsid w:val="00FF56E8"/>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 w:type="table" w:styleId="TableGrid">
    <w:name w:val="Table Grid"/>
    <w:basedOn w:val="TableNormal"/>
    <w:uiPriority w:val="59"/>
    <w:rsid w:val="00DD652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DD652C"/>
    <w:rPr>
      <w:color w:val="0000FF"/>
      <w:u w:val="single"/>
    </w:rPr>
  </w:style>
  <w:style w:type="character" w:customStyle="1" w:styleId="term1">
    <w:name w:val="term1"/>
    <w:basedOn w:val="DefaultParagraphFont"/>
    <w:rsid w:val="00DD652C"/>
    <w:rPr>
      <w:b/>
      <w:bCs/>
    </w:rPr>
  </w:style>
  <w:style w:type="character" w:styleId="Emphasis">
    <w:name w:val="Emphasis"/>
    <w:basedOn w:val="DefaultParagraphFont"/>
    <w:uiPriority w:val="20"/>
    <w:qFormat/>
    <w:rsid w:val="00DD652C"/>
    <w:rPr>
      <w:i/>
      <w:iCs/>
    </w:rPr>
  </w:style>
  <w:style w:type="character" w:styleId="CommentReference">
    <w:name w:val="annotation reference"/>
    <w:basedOn w:val="DefaultParagraphFont"/>
    <w:rsid w:val="00FF1A43"/>
    <w:rPr>
      <w:sz w:val="16"/>
      <w:szCs w:val="16"/>
    </w:rPr>
  </w:style>
  <w:style w:type="paragraph" w:styleId="CommentText">
    <w:name w:val="annotation text"/>
    <w:basedOn w:val="Normal"/>
    <w:link w:val="CommentTextChar"/>
    <w:rsid w:val="00FF1A43"/>
    <w:pPr>
      <w:spacing w:line="240" w:lineRule="auto"/>
    </w:pPr>
    <w:rPr>
      <w:sz w:val="20"/>
    </w:rPr>
  </w:style>
  <w:style w:type="character" w:customStyle="1" w:styleId="CommentTextChar">
    <w:name w:val="Comment Text Char"/>
    <w:basedOn w:val="DefaultParagraphFont"/>
    <w:link w:val="CommentText"/>
    <w:rsid w:val="00FF1A43"/>
  </w:style>
  <w:style w:type="paragraph" w:styleId="CommentSubject">
    <w:name w:val="annotation subject"/>
    <w:basedOn w:val="CommentText"/>
    <w:next w:val="CommentText"/>
    <w:link w:val="CommentSubjectChar"/>
    <w:rsid w:val="00FF1A43"/>
    <w:rPr>
      <w:b/>
      <w:bCs/>
    </w:rPr>
  </w:style>
  <w:style w:type="character" w:customStyle="1" w:styleId="CommentSubjectChar">
    <w:name w:val="Comment Subject Char"/>
    <w:basedOn w:val="CommentTextChar"/>
    <w:link w:val="CommentSubject"/>
    <w:rsid w:val="00FF1A43"/>
    <w:rPr>
      <w:b/>
      <w:bCs/>
    </w:rPr>
  </w:style>
  <w:style w:type="paragraph" w:styleId="Revision">
    <w:name w:val="Revision"/>
    <w:hidden/>
    <w:uiPriority w:val="99"/>
    <w:semiHidden/>
    <w:rsid w:val="00FF1A43"/>
    <w:rPr>
      <w:sz w:val="26"/>
    </w:rPr>
  </w:style>
  <w:style w:type="character" w:customStyle="1" w:styleId="FootnoteTextChar">
    <w:name w:val="Footnote Text Char"/>
    <w:basedOn w:val="DefaultParagraphFont"/>
    <w:link w:val="FootnoteText"/>
    <w:semiHidden/>
    <w:rsid w:val="002006C3"/>
  </w:style>
  <w:style w:type="character" w:customStyle="1" w:styleId="pmterms11">
    <w:name w:val="pmterms11"/>
    <w:basedOn w:val="DefaultParagraphFont"/>
    <w:rsid w:val="00313DB6"/>
    <w:rPr>
      <w:b/>
      <w:bCs/>
      <w:i w:val="0"/>
      <w:iCs w:val="0"/>
      <w:color w:val="000000"/>
    </w:rPr>
  </w:style>
  <w:style w:type="paragraph" w:styleId="BodyText3">
    <w:name w:val="Body Text 3"/>
    <w:basedOn w:val="Normal"/>
    <w:link w:val="BodyText3Char"/>
    <w:rsid w:val="00465E87"/>
    <w:pPr>
      <w:spacing w:after="120" w:line="240" w:lineRule="auto"/>
    </w:pPr>
    <w:rPr>
      <w:sz w:val="16"/>
      <w:szCs w:val="16"/>
    </w:rPr>
  </w:style>
  <w:style w:type="character" w:customStyle="1" w:styleId="BodyText3Char">
    <w:name w:val="Body Text 3 Char"/>
    <w:basedOn w:val="DefaultParagraphFont"/>
    <w:link w:val="BodyText3"/>
    <w:rsid w:val="00465E8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 w:type="table" w:styleId="TableGrid">
    <w:name w:val="Table Grid"/>
    <w:basedOn w:val="TableNormal"/>
    <w:uiPriority w:val="59"/>
    <w:rsid w:val="00DD652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DD652C"/>
    <w:rPr>
      <w:color w:val="0000FF"/>
      <w:u w:val="single"/>
    </w:rPr>
  </w:style>
  <w:style w:type="character" w:customStyle="1" w:styleId="term1">
    <w:name w:val="term1"/>
    <w:basedOn w:val="DefaultParagraphFont"/>
    <w:rsid w:val="00DD652C"/>
    <w:rPr>
      <w:b/>
      <w:bCs/>
    </w:rPr>
  </w:style>
  <w:style w:type="character" w:styleId="Emphasis">
    <w:name w:val="Emphasis"/>
    <w:basedOn w:val="DefaultParagraphFont"/>
    <w:uiPriority w:val="20"/>
    <w:qFormat/>
    <w:rsid w:val="00DD652C"/>
    <w:rPr>
      <w:i/>
      <w:iCs/>
    </w:rPr>
  </w:style>
  <w:style w:type="character" w:styleId="CommentReference">
    <w:name w:val="annotation reference"/>
    <w:basedOn w:val="DefaultParagraphFont"/>
    <w:rsid w:val="00FF1A43"/>
    <w:rPr>
      <w:sz w:val="16"/>
      <w:szCs w:val="16"/>
    </w:rPr>
  </w:style>
  <w:style w:type="paragraph" w:styleId="CommentText">
    <w:name w:val="annotation text"/>
    <w:basedOn w:val="Normal"/>
    <w:link w:val="CommentTextChar"/>
    <w:rsid w:val="00FF1A43"/>
    <w:pPr>
      <w:spacing w:line="240" w:lineRule="auto"/>
    </w:pPr>
    <w:rPr>
      <w:sz w:val="20"/>
    </w:rPr>
  </w:style>
  <w:style w:type="character" w:customStyle="1" w:styleId="CommentTextChar">
    <w:name w:val="Comment Text Char"/>
    <w:basedOn w:val="DefaultParagraphFont"/>
    <w:link w:val="CommentText"/>
    <w:rsid w:val="00FF1A43"/>
  </w:style>
  <w:style w:type="paragraph" w:styleId="CommentSubject">
    <w:name w:val="annotation subject"/>
    <w:basedOn w:val="CommentText"/>
    <w:next w:val="CommentText"/>
    <w:link w:val="CommentSubjectChar"/>
    <w:rsid w:val="00FF1A43"/>
    <w:rPr>
      <w:b/>
      <w:bCs/>
    </w:rPr>
  </w:style>
  <w:style w:type="character" w:customStyle="1" w:styleId="CommentSubjectChar">
    <w:name w:val="Comment Subject Char"/>
    <w:basedOn w:val="CommentTextChar"/>
    <w:link w:val="CommentSubject"/>
    <w:rsid w:val="00FF1A43"/>
    <w:rPr>
      <w:b/>
      <w:bCs/>
    </w:rPr>
  </w:style>
  <w:style w:type="paragraph" w:styleId="Revision">
    <w:name w:val="Revision"/>
    <w:hidden/>
    <w:uiPriority w:val="99"/>
    <w:semiHidden/>
    <w:rsid w:val="00FF1A43"/>
    <w:rPr>
      <w:sz w:val="26"/>
    </w:rPr>
  </w:style>
  <w:style w:type="character" w:customStyle="1" w:styleId="FootnoteTextChar">
    <w:name w:val="Footnote Text Char"/>
    <w:basedOn w:val="DefaultParagraphFont"/>
    <w:link w:val="FootnoteText"/>
    <w:semiHidden/>
    <w:rsid w:val="002006C3"/>
  </w:style>
  <w:style w:type="character" w:customStyle="1" w:styleId="pmterms11">
    <w:name w:val="pmterms11"/>
    <w:basedOn w:val="DefaultParagraphFont"/>
    <w:rsid w:val="00313DB6"/>
    <w:rPr>
      <w:b/>
      <w:bCs/>
      <w:i w:val="0"/>
      <w:iCs w:val="0"/>
      <w:color w:val="000000"/>
    </w:rPr>
  </w:style>
  <w:style w:type="paragraph" w:styleId="BodyText3">
    <w:name w:val="Body Text 3"/>
    <w:basedOn w:val="Normal"/>
    <w:link w:val="BodyText3Char"/>
    <w:rsid w:val="00465E87"/>
    <w:pPr>
      <w:spacing w:after="120" w:line="240" w:lineRule="auto"/>
    </w:pPr>
    <w:rPr>
      <w:sz w:val="16"/>
      <w:szCs w:val="16"/>
    </w:rPr>
  </w:style>
  <w:style w:type="character" w:customStyle="1" w:styleId="BodyText3Char">
    <w:name w:val="Body Text 3 Char"/>
    <w:basedOn w:val="DefaultParagraphFont"/>
    <w:link w:val="BodyText3"/>
    <w:rsid w:val="00465E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0732">
      <w:bodyDiv w:val="1"/>
      <w:marLeft w:val="0"/>
      <w:marRight w:val="0"/>
      <w:marTop w:val="0"/>
      <w:marBottom w:val="0"/>
      <w:divBdr>
        <w:top w:val="none" w:sz="0" w:space="0" w:color="auto"/>
        <w:left w:val="none" w:sz="0" w:space="0" w:color="auto"/>
        <w:bottom w:val="none" w:sz="0" w:space="0" w:color="auto"/>
        <w:right w:val="none" w:sz="0" w:space="0" w:color="auto"/>
      </w:divBdr>
      <w:divsChild>
        <w:div w:id="1424184336">
          <w:marLeft w:val="0"/>
          <w:marRight w:val="0"/>
          <w:marTop w:val="0"/>
          <w:marBottom w:val="0"/>
          <w:divBdr>
            <w:top w:val="none" w:sz="0" w:space="0" w:color="auto"/>
            <w:left w:val="none" w:sz="0" w:space="0" w:color="auto"/>
            <w:bottom w:val="none" w:sz="0" w:space="0" w:color="auto"/>
            <w:right w:val="none" w:sz="0" w:space="0" w:color="auto"/>
          </w:divBdr>
          <w:divsChild>
            <w:div w:id="1744791088">
              <w:marLeft w:val="0"/>
              <w:marRight w:val="0"/>
              <w:marTop w:val="0"/>
              <w:marBottom w:val="0"/>
              <w:divBdr>
                <w:top w:val="none" w:sz="0" w:space="0" w:color="auto"/>
                <w:left w:val="none" w:sz="0" w:space="0" w:color="auto"/>
                <w:bottom w:val="none" w:sz="0" w:space="0" w:color="auto"/>
                <w:right w:val="none" w:sz="0" w:space="0" w:color="auto"/>
              </w:divBdr>
              <w:divsChild>
                <w:div w:id="1969431297">
                  <w:marLeft w:val="0"/>
                  <w:marRight w:val="0"/>
                  <w:marTop w:val="0"/>
                  <w:marBottom w:val="0"/>
                  <w:divBdr>
                    <w:top w:val="none" w:sz="0" w:space="0" w:color="auto"/>
                    <w:left w:val="none" w:sz="0" w:space="0" w:color="auto"/>
                    <w:bottom w:val="none" w:sz="0" w:space="0" w:color="auto"/>
                    <w:right w:val="none" w:sz="0" w:space="0" w:color="auto"/>
                  </w:divBdr>
                  <w:divsChild>
                    <w:div w:id="8138878">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1549">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02916663">
      <w:bodyDiv w:val="1"/>
      <w:marLeft w:val="0"/>
      <w:marRight w:val="0"/>
      <w:marTop w:val="0"/>
      <w:marBottom w:val="0"/>
      <w:divBdr>
        <w:top w:val="none" w:sz="0" w:space="0" w:color="auto"/>
        <w:left w:val="none" w:sz="0" w:space="0" w:color="auto"/>
        <w:bottom w:val="none" w:sz="0" w:space="0" w:color="auto"/>
        <w:right w:val="none" w:sz="0" w:space="0" w:color="auto"/>
      </w:divBdr>
      <w:divsChild>
        <w:div w:id="839076174">
          <w:marLeft w:val="0"/>
          <w:marRight w:val="0"/>
          <w:marTop w:val="0"/>
          <w:marBottom w:val="0"/>
          <w:divBdr>
            <w:top w:val="none" w:sz="0" w:space="0" w:color="auto"/>
            <w:left w:val="none" w:sz="0" w:space="0" w:color="auto"/>
            <w:bottom w:val="none" w:sz="0" w:space="0" w:color="auto"/>
            <w:right w:val="none" w:sz="0" w:space="0" w:color="auto"/>
          </w:divBdr>
          <w:divsChild>
            <w:div w:id="1975526657">
              <w:marLeft w:val="0"/>
              <w:marRight w:val="0"/>
              <w:marTop w:val="0"/>
              <w:marBottom w:val="0"/>
              <w:divBdr>
                <w:top w:val="none" w:sz="0" w:space="0" w:color="auto"/>
                <w:left w:val="none" w:sz="0" w:space="0" w:color="auto"/>
                <w:bottom w:val="none" w:sz="0" w:space="0" w:color="auto"/>
                <w:right w:val="none" w:sz="0" w:space="0" w:color="auto"/>
              </w:divBdr>
              <w:divsChild>
                <w:div w:id="116916994">
                  <w:marLeft w:val="0"/>
                  <w:marRight w:val="0"/>
                  <w:marTop w:val="0"/>
                  <w:marBottom w:val="0"/>
                  <w:divBdr>
                    <w:top w:val="none" w:sz="0" w:space="0" w:color="auto"/>
                    <w:left w:val="none" w:sz="0" w:space="0" w:color="auto"/>
                    <w:bottom w:val="none" w:sz="0" w:space="0" w:color="auto"/>
                    <w:right w:val="none" w:sz="0" w:space="0" w:color="auto"/>
                  </w:divBdr>
                  <w:divsChild>
                    <w:div w:id="4547155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2025279547">
      <w:bodyDiv w:val="1"/>
      <w:marLeft w:val="0"/>
      <w:marRight w:val="0"/>
      <w:marTop w:val="0"/>
      <w:marBottom w:val="0"/>
      <w:divBdr>
        <w:top w:val="none" w:sz="0" w:space="0" w:color="auto"/>
        <w:left w:val="none" w:sz="0" w:space="0" w:color="auto"/>
        <w:bottom w:val="none" w:sz="0" w:space="0" w:color="auto"/>
        <w:right w:val="none" w:sz="0" w:space="0" w:color="auto"/>
      </w:divBdr>
      <w:divsChild>
        <w:div w:id="164369179">
          <w:marLeft w:val="0"/>
          <w:marRight w:val="0"/>
          <w:marTop w:val="0"/>
          <w:marBottom w:val="0"/>
          <w:divBdr>
            <w:top w:val="none" w:sz="0" w:space="0" w:color="auto"/>
            <w:left w:val="none" w:sz="0" w:space="0" w:color="auto"/>
            <w:bottom w:val="none" w:sz="0" w:space="0" w:color="auto"/>
            <w:right w:val="none" w:sz="0" w:space="0" w:color="auto"/>
          </w:divBdr>
          <w:divsChild>
            <w:div w:id="1153377216">
              <w:marLeft w:val="0"/>
              <w:marRight w:val="0"/>
              <w:marTop w:val="0"/>
              <w:marBottom w:val="0"/>
              <w:divBdr>
                <w:top w:val="none" w:sz="0" w:space="0" w:color="auto"/>
                <w:left w:val="none" w:sz="0" w:space="0" w:color="auto"/>
                <w:bottom w:val="none" w:sz="0" w:space="0" w:color="auto"/>
                <w:right w:val="none" w:sz="0" w:space="0" w:color="auto"/>
              </w:divBdr>
              <w:divsChild>
                <w:div w:id="879392658">
                  <w:marLeft w:val="0"/>
                  <w:marRight w:val="0"/>
                  <w:marTop w:val="0"/>
                  <w:marBottom w:val="0"/>
                  <w:divBdr>
                    <w:top w:val="none" w:sz="0" w:space="0" w:color="auto"/>
                    <w:left w:val="none" w:sz="0" w:space="0" w:color="auto"/>
                    <w:bottom w:val="none" w:sz="0" w:space="0" w:color="auto"/>
                    <w:right w:val="none" w:sz="0" w:space="0" w:color="auto"/>
                  </w:divBdr>
                  <w:divsChild>
                    <w:div w:id="11438167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5408">
      <w:bodyDiv w:val="1"/>
      <w:marLeft w:val="0"/>
      <w:marRight w:val="0"/>
      <w:marTop w:val="0"/>
      <w:marBottom w:val="0"/>
      <w:divBdr>
        <w:top w:val="none" w:sz="0" w:space="0" w:color="auto"/>
        <w:left w:val="none" w:sz="0" w:space="0" w:color="auto"/>
        <w:bottom w:val="none" w:sz="0" w:space="0" w:color="auto"/>
        <w:right w:val="none" w:sz="0" w:space="0" w:color="auto"/>
      </w:divBdr>
      <w:divsChild>
        <w:div w:id="1088963779">
          <w:marLeft w:val="0"/>
          <w:marRight w:val="0"/>
          <w:marTop w:val="0"/>
          <w:marBottom w:val="0"/>
          <w:divBdr>
            <w:top w:val="none" w:sz="0" w:space="0" w:color="auto"/>
            <w:left w:val="none" w:sz="0" w:space="0" w:color="auto"/>
            <w:bottom w:val="none" w:sz="0" w:space="0" w:color="auto"/>
            <w:right w:val="none" w:sz="0" w:space="0" w:color="auto"/>
          </w:divBdr>
          <w:divsChild>
            <w:div w:id="1720977730">
              <w:marLeft w:val="0"/>
              <w:marRight w:val="0"/>
              <w:marTop w:val="0"/>
              <w:marBottom w:val="0"/>
              <w:divBdr>
                <w:top w:val="none" w:sz="0" w:space="0" w:color="auto"/>
                <w:left w:val="none" w:sz="0" w:space="0" w:color="auto"/>
                <w:bottom w:val="none" w:sz="0" w:space="0" w:color="auto"/>
                <w:right w:val="none" w:sz="0" w:space="0" w:color="auto"/>
              </w:divBdr>
              <w:divsChild>
                <w:div w:id="568424339">
                  <w:marLeft w:val="0"/>
                  <w:marRight w:val="0"/>
                  <w:marTop w:val="0"/>
                  <w:marBottom w:val="0"/>
                  <w:divBdr>
                    <w:top w:val="none" w:sz="0" w:space="0" w:color="auto"/>
                    <w:left w:val="none" w:sz="0" w:space="0" w:color="auto"/>
                    <w:bottom w:val="none" w:sz="0" w:space="0" w:color="auto"/>
                    <w:right w:val="none" w:sz="0" w:space="0" w:color="auto"/>
                  </w:divBdr>
                  <w:divsChild>
                    <w:div w:id="13526074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80f0b89cadf27e1094b85866da8e95db&amp;_xfercite=%3ccite%20cc%3d%22USA%22%3e%3c%21%5bCDATA%5b2012%20Pa.%20PUC%20LEXIS%201134%5d%5d%3e%3c%2fcite%3e&amp;_butType=3&amp;_butStat=2&amp;_butNum=7&amp;_butInline=1&amp;_butinfo=%3ccite%20cc%3d%22USA%22%3e%3c%21%5bCDATA%5b443%20A.2d%201373%5d%5d%3e%3c%2fcite%3e&amp;_fmtstr=FULL&amp;docnum=2&amp;_startdoc=1&amp;wchp=dGLzVzk-zSkAl&amp;_md5=808381084003de9fa5d8fd79d09f85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820336a2949da7e77d5b53fe214d75c7&amp;_xfercite=%3ccite%20cc%3d%22USA%22%3e%3c%21%5bCDATA%5b2015%20Pa.%20PUC%20LEXIS%20600%5d%5d%3e%3c%2fcite%3e&amp;_butType=4&amp;_butStat=0&amp;_butNum=11&amp;_butInline=1&amp;_butinfo=52%20PA%20CODE%2056.35&amp;_fmtstr=FULL&amp;docnum=5&amp;_startdoc=1&amp;wchp=dGLzVzk-zSkAW&amp;_md5=2cf8f8537901c3e97e44b2e89331b2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6A2F-8E4D-479A-8ECA-EE6D6CEB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8759</Words>
  <Characters>49931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58573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Farner, Joyce</cp:lastModifiedBy>
  <cp:revision>7</cp:revision>
  <cp:lastPrinted>2016-05-05T11:46:00Z</cp:lastPrinted>
  <dcterms:created xsi:type="dcterms:W3CDTF">2016-04-20T14:02:00Z</dcterms:created>
  <dcterms:modified xsi:type="dcterms:W3CDTF">2016-05-05T11:46:00Z</dcterms:modified>
</cp:coreProperties>
</file>