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BE5F2D">
      <w:pPr>
        <w:spacing w:line="360" w:lineRule="auto"/>
        <w:rPr>
          <w:sz w:val="24"/>
          <w:szCs w:val="24"/>
        </w:rPr>
      </w:pPr>
    </w:p>
    <w:p w:rsidR="00565132" w:rsidRDefault="00565132" w:rsidP="00BE5F2D">
      <w:pPr>
        <w:spacing w:line="360" w:lineRule="auto"/>
        <w:rPr>
          <w:sz w:val="24"/>
          <w:szCs w:val="24"/>
        </w:rPr>
      </w:pPr>
    </w:p>
    <w:p w:rsidR="001B6D2A" w:rsidRDefault="001B6D2A" w:rsidP="00E52738">
      <w:pPr>
        <w:tabs>
          <w:tab w:val="left" w:pos="-720"/>
        </w:tabs>
        <w:suppressAutoHyphens/>
        <w:rPr>
          <w:bCs/>
          <w:spacing w:val="-3"/>
          <w:sz w:val="24"/>
          <w:szCs w:val="24"/>
        </w:rPr>
      </w:pPr>
      <w:r>
        <w:rPr>
          <w:bCs/>
          <w:spacing w:val="-3"/>
          <w:sz w:val="24"/>
          <w:szCs w:val="24"/>
        </w:rPr>
        <w:t>Cornelius Mahon</w:t>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p>
    <w:p w:rsidR="00565132" w:rsidRDefault="00565132" w:rsidP="00E52738">
      <w:pPr>
        <w:tabs>
          <w:tab w:val="left" w:pos="-720"/>
        </w:tabs>
        <w:suppressAutoHyphens/>
        <w:rPr>
          <w:bCs/>
          <w:spacing w:val="-3"/>
          <w:sz w:val="24"/>
          <w:szCs w:val="24"/>
        </w:rPr>
      </w:pP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p>
    <w:p w:rsidR="001B6D2A" w:rsidRDefault="00565132" w:rsidP="00E52738">
      <w:pPr>
        <w:tabs>
          <w:tab w:val="left" w:pos="-720"/>
        </w:tabs>
        <w:suppressAutoHyphens/>
        <w:rPr>
          <w:bCs/>
          <w:spacing w:val="-3"/>
          <w:sz w:val="24"/>
          <w:szCs w:val="24"/>
        </w:rPr>
      </w:pPr>
      <w:r>
        <w:rPr>
          <w:bCs/>
          <w:spacing w:val="-3"/>
          <w:sz w:val="24"/>
          <w:szCs w:val="24"/>
        </w:rPr>
        <w:tab/>
      </w:r>
      <w:r w:rsidR="001B6D2A">
        <w:rPr>
          <w:bCs/>
          <w:spacing w:val="-3"/>
          <w:sz w:val="24"/>
          <w:szCs w:val="24"/>
        </w:rPr>
        <w:t>v.</w:t>
      </w:r>
      <w:r w:rsidR="001B6D2A">
        <w:rPr>
          <w:bCs/>
          <w:spacing w:val="-3"/>
          <w:sz w:val="24"/>
          <w:szCs w:val="24"/>
        </w:rPr>
        <w:tab/>
      </w:r>
      <w:r w:rsidR="001B6D2A">
        <w:rPr>
          <w:bCs/>
          <w:spacing w:val="-3"/>
          <w:sz w:val="24"/>
          <w:szCs w:val="24"/>
        </w:rPr>
        <w:tab/>
      </w:r>
      <w:r w:rsidR="001B6D2A">
        <w:rPr>
          <w:bCs/>
          <w:spacing w:val="-3"/>
          <w:sz w:val="24"/>
          <w:szCs w:val="24"/>
        </w:rPr>
        <w:tab/>
      </w:r>
      <w:r w:rsidR="001B6D2A">
        <w:rPr>
          <w:bCs/>
          <w:spacing w:val="-3"/>
          <w:sz w:val="24"/>
          <w:szCs w:val="24"/>
        </w:rPr>
        <w:tab/>
      </w:r>
      <w:r w:rsidR="001B6D2A">
        <w:rPr>
          <w:bCs/>
          <w:spacing w:val="-3"/>
          <w:sz w:val="24"/>
          <w:szCs w:val="24"/>
        </w:rPr>
        <w:tab/>
      </w:r>
      <w:r w:rsidR="001B6D2A">
        <w:rPr>
          <w:bCs/>
          <w:spacing w:val="-3"/>
          <w:sz w:val="24"/>
          <w:szCs w:val="24"/>
        </w:rPr>
        <w:tab/>
        <w:t>:</w:t>
      </w:r>
      <w:r w:rsidR="00A612F3">
        <w:rPr>
          <w:bCs/>
          <w:spacing w:val="-3"/>
          <w:sz w:val="24"/>
          <w:szCs w:val="24"/>
        </w:rPr>
        <w:tab/>
      </w:r>
      <w:r>
        <w:rPr>
          <w:bCs/>
          <w:spacing w:val="-3"/>
          <w:sz w:val="24"/>
          <w:szCs w:val="24"/>
        </w:rPr>
        <w:tab/>
      </w:r>
      <w:r w:rsidR="00A612F3">
        <w:rPr>
          <w:bCs/>
          <w:spacing w:val="-3"/>
          <w:sz w:val="24"/>
          <w:szCs w:val="24"/>
        </w:rPr>
        <w:t>F-2016-2522267</w:t>
      </w:r>
    </w:p>
    <w:p w:rsidR="00565132" w:rsidRDefault="00565132" w:rsidP="00E52738">
      <w:pPr>
        <w:tabs>
          <w:tab w:val="left" w:pos="-720"/>
        </w:tabs>
        <w:suppressAutoHyphens/>
        <w:rPr>
          <w:bCs/>
          <w:spacing w:val="-3"/>
          <w:sz w:val="24"/>
          <w:szCs w:val="24"/>
        </w:rPr>
      </w:pP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p>
    <w:p w:rsidR="001B6D2A" w:rsidRDefault="001B6D2A" w:rsidP="00E52738">
      <w:pPr>
        <w:tabs>
          <w:tab w:val="left" w:pos="-720"/>
        </w:tabs>
        <w:suppressAutoHyphens/>
        <w:rPr>
          <w:bCs/>
          <w:spacing w:val="-3"/>
          <w:sz w:val="24"/>
          <w:szCs w:val="24"/>
        </w:rPr>
      </w:pPr>
      <w:r>
        <w:rPr>
          <w:bCs/>
          <w:spacing w:val="-3"/>
          <w:sz w:val="24"/>
          <w:szCs w:val="24"/>
        </w:rPr>
        <w:t>PPL Electric Utilities Corporation</w:t>
      </w:r>
      <w:r>
        <w:rPr>
          <w:bCs/>
          <w:spacing w:val="-3"/>
          <w:sz w:val="24"/>
          <w:szCs w:val="24"/>
        </w:rPr>
        <w:tab/>
      </w:r>
      <w:r>
        <w:rPr>
          <w:bCs/>
          <w:spacing w:val="-3"/>
          <w:sz w:val="24"/>
          <w:szCs w:val="24"/>
        </w:rPr>
        <w:tab/>
      </w:r>
      <w:r>
        <w:rPr>
          <w:bCs/>
          <w:spacing w:val="-3"/>
          <w:sz w:val="24"/>
          <w:szCs w:val="24"/>
        </w:rPr>
        <w:tab/>
        <w:t>:</w:t>
      </w:r>
    </w:p>
    <w:p w:rsidR="001B6D2A" w:rsidRDefault="001B6D2A" w:rsidP="00E52738">
      <w:pPr>
        <w:tabs>
          <w:tab w:val="left" w:pos="-720"/>
        </w:tabs>
        <w:suppressAutoHyphens/>
        <w:rPr>
          <w:bCs/>
          <w:spacing w:val="-3"/>
          <w:sz w:val="24"/>
          <w:szCs w:val="24"/>
        </w:rPr>
      </w:pPr>
    </w:p>
    <w:p w:rsidR="001B6D2A" w:rsidRDefault="001B6D2A" w:rsidP="00E52738">
      <w:pPr>
        <w:tabs>
          <w:tab w:val="left" w:pos="-720"/>
        </w:tabs>
        <w:suppressAutoHyphens/>
        <w:rPr>
          <w:bCs/>
          <w:spacing w:val="-3"/>
          <w:sz w:val="24"/>
          <w:szCs w:val="24"/>
        </w:rPr>
      </w:pPr>
    </w:p>
    <w:p w:rsidR="00565132" w:rsidRDefault="00565132" w:rsidP="00E52738">
      <w:pPr>
        <w:tabs>
          <w:tab w:val="left" w:pos="-720"/>
        </w:tabs>
        <w:suppressAutoHyphens/>
        <w:rPr>
          <w:bCs/>
          <w:spacing w:val="-3"/>
          <w:sz w:val="24"/>
          <w:szCs w:val="24"/>
        </w:rPr>
      </w:pPr>
    </w:p>
    <w:p w:rsidR="000F1894" w:rsidRDefault="00CB495C" w:rsidP="000F1894">
      <w:pPr>
        <w:jc w:val="center"/>
        <w:rPr>
          <w:b/>
          <w:caps/>
          <w:sz w:val="24"/>
          <w:szCs w:val="24"/>
          <w:u w:val="single"/>
        </w:rPr>
      </w:pPr>
      <w:r>
        <w:rPr>
          <w:b/>
          <w:caps/>
          <w:sz w:val="24"/>
          <w:szCs w:val="24"/>
          <w:u w:val="single"/>
        </w:rPr>
        <w:t>INitial decision</w:t>
      </w:r>
    </w:p>
    <w:p w:rsidR="00565132" w:rsidRPr="00E514FA" w:rsidRDefault="00565132" w:rsidP="000F1894">
      <w:pPr>
        <w:jc w:val="center"/>
        <w:rPr>
          <w:b/>
          <w:sz w:val="24"/>
          <w:szCs w:val="24"/>
        </w:rPr>
      </w:pPr>
    </w:p>
    <w:p w:rsidR="006A21C2" w:rsidRPr="006A21C2" w:rsidRDefault="006A21C2" w:rsidP="001B6D2A">
      <w:pP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565132" w:rsidRDefault="00565132" w:rsidP="000F1894">
      <w:pPr>
        <w:jc w:val="center"/>
        <w:rPr>
          <w:sz w:val="24"/>
          <w:szCs w:val="24"/>
        </w:rPr>
      </w:pPr>
    </w:p>
    <w:p w:rsidR="005F0642" w:rsidRDefault="005F0642" w:rsidP="000F1894">
      <w:pPr>
        <w:jc w:val="center"/>
        <w:rPr>
          <w:sz w:val="24"/>
          <w:szCs w:val="24"/>
        </w:rPr>
      </w:pPr>
    </w:p>
    <w:p w:rsidR="00CB495C" w:rsidRDefault="005F0642" w:rsidP="00565132">
      <w:pPr>
        <w:spacing w:line="360" w:lineRule="auto"/>
        <w:jc w:val="center"/>
        <w:rPr>
          <w:sz w:val="24"/>
          <w:szCs w:val="24"/>
          <w:u w:val="single"/>
        </w:rPr>
      </w:pPr>
      <w:r w:rsidRPr="005F0642">
        <w:rPr>
          <w:sz w:val="24"/>
          <w:szCs w:val="24"/>
          <w:u w:val="single"/>
        </w:rPr>
        <w:t>INTRODUCTION</w:t>
      </w:r>
    </w:p>
    <w:p w:rsidR="001B6D2A" w:rsidRDefault="001B6D2A" w:rsidP="00565132">
      <w:pPr>
        <w:spacing w:line="360" w:lineRule="auto"/>
        <w:jc w:val="center"/>
        <w:rPr>
          <w:sz w:val="24"/>
          <w:szCs w:val="24"/>
          <w:u w:val="single"/>
        </w:rPr>
      </w:pPr>
    </w:p>
    <w:p w:rsidR="005F0642" w:rsidRPr="001B6D2A" w:rsidRDefault="001B6D2A" w:rsidP="001B6D2A">
      <w:pPr>
        <w:spacing w:line="360" w:lineRule="auto"/>
        <w:ind w:firstLine="1440"/>
        <w:rPr>
          <w:sz w:val="24"/>
          <w:szCs w:val="24"/>
        </w:rPr>
      </w:pPr>
      <w:r w:rsidRPr="001B6D2A">
        <w:rPr>
          <w:sz w:val="24"/>
          <w:szCs w:val="24"/>
        </w:rPr>
        <w:t xml:space="preserve">This Initial Decision </w:t>
      </w:r>
      <w:r w:rsidR="006D7C4D">
        <w:rPr>
          <w:sz w:val="24"/>
          <w:szCs w:val="24"/>
        </w:rPr>
        <w:t xml:space="preserve">denies and </w:t>
      </w:r>
      <w:r w:rsidRPr="001B6D2A">
        <w:rPr>
          <w:sz w:val="24"/>
          <w:szCs w:val="24"/>
        </w:rPr>
        <w:t>dismisses Cornelius Mahon’s Formal Complaint for failure to meet the burden of proof.</w:t>
      </w:r>
    </w:p>
    <w:p w:rsidR="005F0642" w:rsidRPr="005F0642" w:rsidRDefault="005F0642" w:rsidP="00565132">
      <w:pPr>
        <w:spacing w:line="360" w:lineRule="auto"/>
        <w:jc w:val="center"/>
        <w:rPr>
          <w:sz w:val="24"/>
          <w:szCs w:val="24"/>
          <w:u w:val="single"/>
        </w:rPr>
      </w:pPr>
    </w:p>
    <w:p w:rsidR="00CB495C" w:rsidRPr="00DC4452" w:rsidRDefault="006A21C2" w:rsidP="00565132">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CB495C" w:rsidRDefault="00CB495C" w:rsidP="00B41924">
      <w:pPr>
        <w:spacing w:line="360" w:lineRule="auto"/>
        <w:rPr>
          <w:sz w:val="24"/>
          <w:szCs w:val="24"/>
        </w:rPr>
      </w:pPr>
    </w:p>
    <w:p w:rsidR="00EF5BDC" w:rsidRDefault="001B6D2A" w:rsidP="001B6D2A">
      <w:pPr>
        <w:spacing w:line="360" w:lineRule="auto"/>
        <w:ind w:firstLine="1440"/>
        <w:rPr>
          <w:sz w:val="24"/>
          <w:szCs w:val="24"/>
        </w:rPr>
      </w:pPr>
      <w:r>
        <w:rPr>
          <w:sz w:val="24"/>
          <w:szCs w:val="24"/>
        </w:rPr>
        <w:t xml:space="preserve">On January 4, 2016, Cornelius Mahon filed a Formal Complaint alleging that there was a meter malfunction for 11 months that resulted in a balance </w:t>
      </w:r>
      <w:r w:rsidR="00B23520">
        <w:rPr>
          <w:sz w:val="24"/>
          <w:szCs w:val="24"/>
        </w:rPr>
        <w:t xml:space="preserve">due </w:t>
      </w:r>
      <w:r>
        <w:rPr>
          <w:sz w:val="24"/>
          <w:szCs w:val="24"/>
        </w:rPr>
        <w:t>of approximately $2,400.</w:t>
      </w:r>
      <w:r w:rsidR="00B23520">
        <w:rPr>
          <w:sz w:val="24"/>
          <w:szCs w:val="24"/>
        </w:rPr>
        <w:t xml:space="preserve">  He does not want to be responsible for the balance.</w:t>
      </w:r>
      <w:r w:rsidR="004700F7">
        <w:rPr>
          <w:sz w:val="24"/>
          <w:szCs w:val="24"/>
        </w:rPr>
        <w:t xml:space="preserve">  This is a timely appeal of an informal decision </w:t>
      </w:r>
      <w:r w:rsidR="005F3462">
        <w:rPr>
          <w:sz w:val="24"/>
          <w:szCs w:val="24"/>
        </w:rPr>
        <w:t xml:space="preserve">at Case No. 3348599, </w:t>
      </w:r>
      <w:r w:rsidR="004700F7">
        <w:rPr>
          <w:sz w:val="24"/>
          <w:szCs w:val="24"/>
        </w:rPr>
        <w:t xml:space="preserve">rendered by the Commission’s Bureau of Consumer Services.  </w:t>
      </w:r>
      <w:proofErr w:type="gramStart"/>
      <w:r w:rsidR="004700F7">
        <w:rPr>
          <w:sz w:val="24"/>
          <w:szCs w:val="24"/>
        </w:rPr>
        <w:t>(BCS).</w:t>
      </w:r>
      <w:proofErr w:type="gramEnd"/>
      <w:r w:rsidR="004700F7">
        <w:rPr>
          <w:sz w:val="24"/>
          <w:szCs w:val="24"/>
        </w:rPr>
        <w:t xml:space="preserve">  This is a </w:t>
      </w:r>
      <w:r w:rsidR="004700F7" w:rsidRPr="004700F7">
        <w:rPr>
          <w:i/>
          <w:sz w:val="24"/>
          <w:szCs w:val="24"/>
        </w:rPr>
        <w:t>de novo</w:t>
      </w:r>
      <w:r w:rsidR="004700F7">
        <w:rPr>
          <w:sz w:val="24"/>
          <w:szCs w:val="24"/>
        </w:rPr>
        <w:t xml:space="preserve"> review of that decision.</w:t>
      </w:r>
      <w:r w:rsidR="00D5693F">
        <w:rPr>
          <w:sz w:val="24"/>
          <w:szCs w:val="24"/>
        </w:rPr>
        <w:t xml:space="preserve">  BCS found the Complainant responsible for the accrued bill.</w:t>
      </w:r>
    </w:p>
    <w:p w:rsidR="00EF5BDC" w:rsidRDefault="00EF5BDC" w:rsidP="001B6D2A">
      <w:pPr>
        <w:spacing w:line="360" w:lineRule="auto"/>
        <w:ind w:firstLine="1440"/>
        <w:rPr>
          <w:sz w:val="24"/>
          <w:szCs w:val="24"/>
        </w:rPr>
      </w:pPr>
    </w:p>
    <w:p w:rsidR="00EF5BDC" w:rsidRDefault="00EF5BDC" w:rsidP="001B6D2A">
      <w:pPr>
        <w:spacing w:line="360" w:lineRule="auto"/>
        <w:ind w:firstLine="1440"/>
        <w:rPr>
          <w:sz w:val="24"/>
          <w:szCs w:val="24"/>
        </w:rPr>
      </w:pPr>
      <w:r>
        <w:rPr>
          <w:sz w:val="24"/>
          <w:szCs w:val="24"/>
        </w:rPr>
        <w:t xml:space="preserve">On January 25, 2016, PPL Electric Utilities Corporation (PPL) filed an Answer to the Formal Complaint. </w:t>
      </w:r>
      <w:r w:rsidR="00996B91">
        <w:rPr>
          <w:sz w:val="24"/>
          <w:szCs w:val="24"/>
        </w:rPr>
        <w:t xml:space="preserve"> </w:t>
      </w:r>
      <w:r w:rsidR="00210209">
        <w:rPr>
          <w:sz w:val="24"/>
          <w:szCs w:val="24"/>
        </w:rPr>
        <w:t xml:space="preserve">In its Answer, PPL explains that there was a meter malfunction, but that </w:t>
      </w:r>
      <w:r w:rsidR="00210209">
        <w:rPr>
          <w:sz w:val="24"/>
          <w:szCs w:val="24"/>
        </w:rPr>
        <w:lastRenderedPageBreak/>
        <w:t xml:space="preserve">the rotary meter kept track </w:t>
      </w:r>
      <w:r w:rsidR="00A17028">
        <w:rPr>
          <w:sz w:val="24"/>
          <w:szCs w:val="24"/>
        </w:rPr>
        <w:t xml:space="preserve">of usage </w:t>
      </w:r>
      <w:r w:rsidR="00210209">
        <w:rPr>
          <w:sz w:val="24"/>
          <w:szCs w:val="24"/>
        </w:rPr>
        <w:t>accurately.  PPL asserts that the make-up bill is appropriate and in accordance with regulation.</w:t>
      </w:r>
      <w:r>
        <w:rPr>
          <w:sz w:val="24"/>
          <w:szCs w:val="24"/>
        </w:rPr>
        <w:t xml:space="preserve"> </w:t>
      </w:r>
    </w:p>
    <w:p w:rsidR="00EF5BDC" w:rsidRDefault="00EF5BDC" w:rsidP="001B6D2A">
      <w:pPr>
        <w:spacing w:line="360" w:lineRule="auto"/>
        <w:ind w:firstLine="1440"/>
        <w:rPr>
          <w:sz w:val="24"/>
          <w:szCs w:val="24"/>
        </w:rPr>
      </w:pPr>
    </w:p>
    <w:p w:rsidR="00EF5BDC" w:rsidRDefault="00EF5BDC" w:rsidP="001B6D2A">
      <w:pPr>
        <w:spacing w:line="360" w:lineRule="auto"/>
        <w:ind w:firstLine="1440"/>
        <w:rPr>
          <w:sz w:val="24"/>
          <w:szCs w:val="24"/>
        </w:rPr>
      </w:pPr>
      <w:r>
        <w:rPr>
          <w:sz w:val="24"/>
          <w:szCs w:val="24"/>
        </w:rPr>
        <w:t>On February 23, 2016, a Telephone Hearing Notice was issued setting the date for hearing on March 24, 2016.</w:t>
      </w:r>
      <w:r w:rsidR="00C711EB">
        <w:rPr>
          <w:sz w:val="24"/>
          <w:szCs w:val="24"/>
        </w:rPr>
        <w:t xml:space="preserve">  That date was later changed to April 24, 2016.</w:t>
      </w:r>
    </w:p>
    <w:p w:rsidR="00EF5BDC" w:rsidRDefault="00EF5BDC" w:rsidP="001B6D2A">
      <w:pPr>
        <w:spacing w:line="360" w:lineRule="auto"/>
        <w:ind w:firstLine="1440"/>
        <w:rPr>
          <w:sz w:val="24"/>
          <w:szCs w:val="24"/>
        </w:rPr>
      </w:pPr>
    </w:p>
    <w:p w:rsidR="00EF5BDC" w:rsidRDefault="00EF5BDC" w:rsidP="001B6D2A">
      <w:pPr>
        <w:spacing w:line="360" w:lineRule="auto"/>
        <w:ind w:firstLine="1440"/>
        <w:rPr>
          <w:sz w:val="24"/>
          <w:szCs w:val="24"/>
        </w:rPr>
      </w:pPr>
      <w:r>
        <w:rPr>
          <w:sz w:val="24"/>
          <w:szCs w:val="24"/>
        </w:rPr>
        <w:t>On February 24, 2016, I issued a Prehearing Order setting forth various rules for the hearing.</w:t>
      </w:r>
    </w:p>
    <w:p w:rsidR="00EF5BDC" w:rsidRDefault="00EF5BDC" w:rsidP="001B6D2A">
      <w:pPr>
        <w:spacing w:line="360" w:lineRule="auto"/>
        <w:ind w:firstLine="1440"/>
        <w:rPr>
          <w:sz w:val="24"/>
          <w:szCs w:val="24"/>
        </w:rPr>
      </w:pPr>
    </w:p>
    <w:p w:rsidR="001B6D2A" w:rsidRPr="00B41924" w:rsidRDefault="00EF5BDC" w:rsidP="001B6D2A">
      <w:pPr>
        <w:spacing w:line="360" w:lineRule="auto"/>
        <w:ind w:firstLine="1440"/>
        <w:rPr>
          <w:sz w:val="24"/>
          <w:szCs w:val="24"/>
        </w:rPr>
      </w:pPr>
      <w:r>
        <w:rPr>
          <w:sz w:val="24"/>
          <w:szCs w:val="24"/>
        </w:rPr>
        <w:t xml:space="preserve">On </w:t>
      </w:r>
      <w:r w:rsidR="000B1E9A">
        <w:rPr>
          <w:sz w:val="24"/>
          <w:szCs w:val="24"/>
        </w:rPr>
        <w:t>April</w:t>
      </w:r>
      <w:r>
        <w:rPr>
          <w:sz w:val="24"/>
          <w:szCs w:val="24"/>
        </w:rPr>
        <w:t xml:space="preserve"> 14, 2016, the hearing convened as scheduled.  The Complainant appeared</w:t>
      </w:r>
      <w:r w:rsidR="00F34919">
        <w:rPr>
          <w:sz w:val="24"/>
          <w:szCs w:val="24"/>
        </w:rPr>
        <w:t xml:space="preserve"> on his own behalf.</w:t>
      </w:r>
      <w:r>
        <w:rPr>
          <w:sz w:val="24"/>
          <w:szCs w:val="24"/>
        </w:rPr>
        <w:t xml:space="preserve">  Counsel did not object to the assistance.  The Complainant did not proffer any exhibits.  PPL appeared and was represented by counsel.  PPL proffered </w:t>
      </w:r>
      <w:r w:rsidR="00813AAF">
        <w:rPr>
          <w:sz w:val="24"/>
          <w:szCs w:val="24"/>
        </w:rPr>
        <w:t>three</w:t>
      </w:r>
      <w:r>
        <w:rPr>
          <w:sz w:val="24"/>
          <w:szCs w:val="24"/>
        </w:rPr>
        <w:t xml:space="preserve"> exhibits; all were entered into the record. </w:t>
      </w:r>
      <w:r w:rsidR="001B6D2A">
        <w:rPr>
          <w:sz w:val="24"/>
          <w:szCs w:val="24"/>
        </w:rPr>
        <w:t xml:space="preserve"> </w:t>
      </w:r>
      <w:r w:rsidR="00AF12DA">
        <w:rPr>
          <w:sz w:val="24"/>
          <w:szCs w:val="24"/>
        </w:rPr>
        <w:t>The record closed on April 27, 2016, with receipt of the 26</w:t>
      </w:r>
      <w:r w:rsidR="00813AAF">
        <w:rPr>
          <w:sz w:val="24"/>
          <w:szCs w:val="24"/>
        </w:rPr>
        <w:t>-</w:t>
      </w:r>
      <w:r w:rsidR="00AF12DA">
        <w:rPr>
          <w:sz w:val="24"/>
          <w:szCs w:val="24"/>
        </w:rPr>
        <w:t>page typewritten transcript of the hearing.  This matter is now ready for decision.</w:t>
      </w:r>
    </w:p>
    <w:p w:rsidR="00CB495C" w:rsidRPr="00DC4452" w:rsidRDefault="00CB495C" w:rsidP="00F625D9">
      <w:pPr>
        <w:spacing w:line="360" w:lineRule="auto"/>
        <w:jc w:val="center"/>
        <w:rPr>
          <w:sz w:val="24"/>
          <w:szCs w:val="24"/>
          <w:u w:val="single"/>
        </w:rPr>
      </w:pPr>
    </w:p>
    <w:p w:rsidR="00CB495C" w:rsidRPr="00DC4452" w:rsidRDefault="00CB495C" w:rsidP="00996B91">
      <w:pPr>
        <w:spacing w:line="360" w:lineRule="auto"/>
        <w:jc w:val="center"/>
        <w:rPr>
          <w:sz w:val="24"/>
          <w:szCs w:val="24"/>
          <w:u w:val="single"/>
        </w:rPr>
      </w:pPr>
      <w:r w:rsidRPr="00DC4452">
        <w:rPr>
          <w:sz w:val="24"/>
          <w:szCs w:val="24"/>
          <w:u w:val="single"/>
        </w:rPr>
        <w:t>FINDINGS OF FACT</w:t>
      </w:r>
    </w:p>
    <w:p w:rsidR="00CB495C" w:rsidRDefault="00CB495C" w:rsidP="00996B91">
      <w:pPr>
        <w:spacing w:line="360" w:lineRule="auto"/>
        <w:jc w:val="center"/>
        <w:rPr>
          <w:sz w:val="24"/>
          <w:szCs w:val="24"/>
          <w:u w:val="single"/>
        </w:rPr>
      </w:pPr>
    </w:p>
    <w:p w:rsidR="00AE6234" w:rsidRPr="00AE6234" w:rsidRDefault="00AE6234" w:rsidP="00A92AD3">
      <w:pPr>
        <w:pStyle w:val="ListParagraph"/>
        <w:numPr>
          <w:ilvl w:val="0"/>
          <w:numId w:val="33"/>
        </w:numPr>
        <w:spacing w:line="360" w:lineRule="auto"/>
        <w:ind w:left="0" w:firstLine="1440"/>
        <w:rPr>
          <w:sz w:val="24"/>
          <w:szCs w:val="24"/>
        </w:rPr>
      </w:pPr>
      <w:r w:rsidRPr="00AE6234">
        <w:rPr>
          <w:sz w:val="24"/>
          <w:szCs w:val="24"/>
        </w:rPr>
        <w:t>The Complainant is Cornelius Mahon of 18 Broad Street, P.O. Box 171</w:t>
      </w:r>
      <w:r>
        <w:rPr>
          <w:sz w:val="24"/>
          <w:szCs w:val="24"/>
        </w:rPr>
        <w:t>,</w:t>
      </w:r>
    </w:p>
    <w:p w:rsidR="00AE6234" w:rsidRDefault="00AE6234" w:rsidP="00A92AD3">
      <w:pPr>
        <w:spacing w:line="360" w:lineRule="auto"/>
        <w:rPr>
          <w:sz w:val="24"/>
          <w:szCs w:val="24"/>
        </w:rPr>
      </w:pPr>
      <w:proofErr w:type="gramStart"/>
      <w:r w:rsidRPr="00AE6234">
        <w:rPr>
          <w:sz w:val="24"/>
          <w:szCs w:val="24"/>
        </w:rPr>
        <w:t>Beaver Meadows</w:t>
      </w:r>
      <w:r>
        <w:rPr>
          <w:sz w:val="24"/>
          <w:szCs w:val="24"/>
        </w:rPr>
        <w:t>,</w:t>
      </w:r>
      <w:r w:rsidRPr="00AE6234">
        <w:rPr>
          <w:sz w:val="24"/>
          <w:szCs w:val="24"/>
        </w:rPr>
        <w:t xml:space="preserve"> Pennsylvania 18216</w:t>
      </w:r>
      <w:r>
        <w:rPr>
          <w:sz w:val="24"/>
          <w:szCs w:val="24"/>
        </w:rPr>
        <w:t>.</w:t>
      </w:r>
      <w:proofErr w:type="gramEnd"/>
    </w:p>
    <w:p w:rsidR="00AE6234" w:rsidRDefault="00AE6234" w:rsidP="00A92AD3">
      <w:pPr>
        <w:spacing w:line="360" w:lineRule="auto"/>
        <w:rPr>
          <w:sz w:val="24"/>
          <w:szCs w:val="24"/>
        </w:rPr>
      </w:pPr>
    </w:p>
    <w:p w:rsidR="00AE6234" w:rsidRDefault="00AE6234" w:rsidP="00A92AD3">
      <w:pPr>
        <w:pStyle w:val="ListParagraph"/>
        <w:numPr>
          <w:ilvl w:val="0"/>
          <w:numId w:val="33"/>
        </w:numPr>
        <w:spacing w:line="360" w:lineRule="auto"/>
        <w:ind w:left="0" w:firstLine="1440"/>
        <w:rPr>
          <w:sz w:val="24"/>
          <w:szCs w:val="24"/>
        </w:rPr>
      </w:pPr>
      <w:r>
        <w:rPr>
          <w:sz w:val="24"/>
          <w:szCs w:val="24"/>
        </w:rPr>
        <w:t>The Respondent is PPL Electric Utilities Corporation, a jurisdictional public utility.</w:t>
      </w:r>
    </w:p>
    <w:p w:rsidR="006937DB" w:rsidRDefault="006937DB" w:rsidP="006937DB">
      <w:pPr>
        <w:pStyle w:val="ListParagraph"/>
        <w:spacing w:line="360" w:lineRule="auto"/>
        <w:ind w:left="1440"/>
        <w:rPr>
          <w:sz w:val="24"/>
          <w:szCs w:val="24"/>
        </w:rPr>
      </w:pPr>
    </w:p>
    <w:p w:rsidR="005F3462" w:rsidRDefault="005F3462" w:rsidP="005F3462">
      <w:pPr>
        <w:pStyle w:val="ListParagraph"/>
        <w:numPr>
          <w:ilvl w:val="0"/>
          <w:numId w:val="33"/>
        </w:numPr>
        <w:spacing w:line="360" w:lineRule="auto"/>
        <w:ind w:left="0" w:firstLine="1440"/>
        <w:rPr>
          <w:sz w:val="24"/>
          <w:szCs w:val="24"/>
        </w:rPr>
      </w:pPr>
      <w:r>
        <w:rPr>
          <w:sz w:val="24"/>
          <w:szCs w:val="24"/>
        </w:rPr>
        <w:t>Brian Mahon testified on behalf of the Complainant.  Tr. at 4.</w:t>
      </w:r>
    </w:p>
    <w:p w:rsidR="00AE6234" w:rsidRPr="00AE6234" w:rsidRDefault="00AE6234" w:rsidP="00A92AD3">
      <w:pPr>
        <w:spacing w:line="360" w:lineRule="auto"/>
        <w:rPr>
          <w:sz w:val="24"/>
          <w:szCs w:val="24"/>
        </w:rPr>
      </w:pPr>
    </w:p>
    <w:p w:rsidR="00C62E5F" w:rsidRDefault="00A92AD3" w:rsidP="00A92AD3">
      <w:pPr>
        <w:pStyle w:val="ListParagraph"/>
        <w:numPr>
          <w:ilvl w:val="0"/>
          <w:numId w:val="33"/>
        </w:numPr>
        <w:spacing w:line="360" w:lineRule="auto"/>
        <w:ind w:left="0" w:firstLine="1440"/>
        <w:rPr>
          <w:sz w:val="24"/>
          <w:szCs w:val="24"/>
        </w:rPr>
      </w:pPr>
      <w:r>
        <w:rPr>
          <w:sz w:val="24"/>
          <w:szCs w:val="24"/>
        </w:rPr>
        <w:t>On April 24, 2015, PPL identified a meter malfunction at the Complainant’s meter.</w:t>
      </w:r>
      <w:r w:rsidR="00AF12DA">
        <w:rPr>
          <w:sz w:val="24"/>
          <w:szCs w:val="24"/>
        </w:rPr>
        <w:t xml:space="preserve">  Tr. at 12.</w:t>
      </w:r>
    </w:p>
    <w:p w:rsidR="00A92AD3" w:rsidRPr="00A92AD3" w:rsidRDefault="00A92AD3" w:rsidP="00A92AD3">
      <w:pPr>
        <w:pStyle w:val="ListParagraph"/>
        <w:spacing w:line="360" w:lineRule="auto"/>
        <w:rPr>
          <w:sz w:val="24"/>
          <w:szCs w:val="24"/>
        </w:rPr>
      </w:pPr>
    </w:p>
    <w:p w:rsidR="00A92AD3" w:rsidRDefault="00A92AD3" w:rsidP="00A92AD3">
      <w:pPr>
        <w:pStyle w:val="ListParagraph"/>
        <w:numPr>
          <w:ilvl w:val="0"/>
          <w:numId w:val="33"/>
        </w:numPr>
        <w:spacing w:line="360" w:lineRule="auto"/>
        <w:ind w:left="0" w:firstLine="1440"/>
        <w:rPr>
          <w:sz w:val="24"/>
          <w:szCs w:val="24"/>
        </w:rPr>
      </w:pPr>
      <w:r>
        <w:rPr>
          <w:sz w:val="24"/>
          <w:szCs w:val="24"/>
        </w:rPr>
        <w:t>On April 24, 2015, PPL removed the malfunctioning meter and replac</w:t>
      </w:r>
      <w:r w:rsidR="000D56D7">
        <w:rPr>
          <w:sz w:val="24"/>
          <w:szCs w:val="24"/>
        </w:rPr>
        <w:t>ed</w:t>
      </w:r>
      <w:r>
        <w:rPr>
          <w:sz w:val="24"/>
          <w:szCs w:val="24"/>
        </w:rPr>
        <w:t xml:space="preserve"> it </w:t>
      </w:r>
      <w:r w:rsidR="00813AAF">
        <w:rPr>
          <w:sz w:val="24"/>
          <w:szCs w:val="24"/>
        </w:rPr>
        <w:t xml:space="preserve">with </w:t>
      </w:r>
      <w:r>
        <w:rPr>
          <w:sz w:val="24"/>
          <w:szCs w:val="24"/>
        </w:rPr>
        <w:t>a properly functioning meter.</w:t>
      </w:r>
      <w:r w:rsidR="00AF12DA">
        <w:rPr>
          <w:sz w:val="24"/>
          <w:szCs w:val="24"/>
        </w:rPr>
        <w:t xml:space="preserve">  </w:t>
      </w:r>
      <w:r w:rsidR="00D36920">
        <w:rPr>
          <w:sz w:val="24"/>
          <w:szCs w:val="24"/>
        </w:rPr>
        <w:t>Tr. at 13.</w:t>
      </w:r>
    </w:p>
    <w:p w:rsidR="005F3462" w:rsidRPr="005F3462" w:rsidRDefault="005F3462" w:rsidP="005F3462">
      <w:pPr>
        <w:pStyle w:val="ListParagraph"/>
        <w:rPr>
          <w:sz w:val="24"/>
          <w:szCs w:val="24"/>
        </w:rPr>
      </w:pPr>
    </w:p>
    <w:p w:rsidR="00A92AD3" w:rsidRDefault="00A92AD3" w:rsidP="00A92AD3">
      <w:pPr>
        <w:pStyle w:val="ListParagraph"/>
        <w:numPr>
          <w:ilvl w:val="0"/>
          <w:numId w:val="33"/>
        </w:numPr>
        <w:spacing w:line="360" w:lineRule="auto"/>
        <w:ind w:left="0" w:firstLine="1440"/>
        <w:rPr>
          <w:sz w:val="24"/>
          <w:szCs w:val="24"/>
        </w:rPr>
      </w:pPr>
      <w:r>
        <w:rPr>
          <w:sz w:val="24"/>
          <w:szCs w:val="24"/>
        </w:rPr>
        <w:lastRenderedPageBreak/>
        <w:t>Complainant’s manual meter kept account of the actual usage.</w:t>
      </w:r>
      <w:r w:rsidR="00D36920">
        <w:rPr>
          <w:sz w:val="24"/>
          <w:szCs w:val="24"/>
        </w:rPr>
        <w:t xml:space="preserve">  </w:t>
      </w:r>
      <w:r w:rsidR="00C711EB">
        <w:rPr>
          <w:sz w:val="24"/>
          <w:szCs w:val="24"/>
        </w:rPr>
        <w:t>Tr. at 9.</w:t>
      </w:r>
    </w:p>
    <w:p w:rsidR="00186DEA" w:rsidRDefault="00186DEA" w:rsidP="00186DEA">
      <w:pPr>
        <w:pStyle w:val="ListParagraph"/>
        <w:spacing w:line="360" w:lineRule="auto"/>
        <w:ind w:left="1440"/>
        <w:rPr>
          <w:sz w:val="24"/>
          <w:szCs w:val="24"/>
        </w:rPr>
      </w:pPr>
    </w:p>
    <w:p w:rsidR="00A92AD3" w:rsidRDefault="00A92AD3" w:rsidP="00A92AD3">
      <w:pPr>
        <w:pStyle w:val="ListParagraph"/>
        <w:numPr>
          <w:ilvl w:val="0"/>
          <w:numId w:val="33"/>
        </w:numPr>
        <w:spacing w:line="360" w:lineRule="auto"/>
        <w:ind w:left="0" w:firstLine="1440"/>
        <w:rPr>
          <w:sz w:val="24"/>
          <w:szCs w:val="24"/>
        </w:rPr>
      </w:pPr>
      <w:r>
        <w:rPr>
          <w:sz w:val="24"/>
          <w:szCs w:val="24"/>
        </w:rPr>
        <w:t>On May 7, 2015, PPL billed the Complainant for his actual usage.</w:t>
      </w:r>
      <w:r w:rsidR="00D36920">
        <w:rPr>
          <w:sz w:val="24"/>
          <w:szCs w:val="24"/>
        </w:rPr>
        <w:t xml:space="preserve">  Tr.</w:t>
      </w:r>
      <w:r w:rsidR="00B961F9">
        <w:rPr>
          <w:sz w:val="24"/>
          <w:szCs w:val="24"/>
        </w:rPr>
        <w:t> </w:t>
      </w:r>
      <w:r w:rsidR="00D36920">
        <w:rPr>
          <w:sz w:val="24"/>
          <w:szCs w:val="24"/>
        </w:rPr>
        <w:t>at</w:t>
      </w:r>
      <w:r w:rsidR="00996B91">
        <w:rPr>
          <w:sz w:val="24"/>
          <w:szCs w:val="24"/>
        </w:rPr>
        <w:t> </w:t>
      </w:r>
      <w:r w:rsidR="00D36920">
        <w:rPr>
          <w:sz w:val="24"/>
          <w:szCs w:val="24"/>
        </w:rPr>
        <w:t>15.</w:t>
      </w:r>
    </w:p>
    <w:p w:rsidR="00A92AD3" w:rsidRPr="00A92AD3" w:rsidRDefault="00A92AD3" w:rsidP="00A92AD3">
      <w:pPr>
        <w:pStyle w:val="ListParagraph"/>
        <w:spacing w:line="360" w:lineRule="auto"/>
        <w:rPr>
          <w:sz w:val="24"/>
          <w:szCs w:val="24"/>
        </w:rPr>
      </w:pPr>
    </w:p>
    <w:p w:rsidR="00A92AD3" w:rsidRDefault="00A92AD3" w:rsidP="00A92AD3">
      <w:pPr>
        <w:pStyle w:val="ListParagraph"/>
        <w:numPr>
          <w:ilvl w:val="0"/>
          <w:numId w:val="33"/>
        </w:numPr>
        <w:spacing w:line="360" w:lineRule="auto"/>
        <w:ind w:left="0" w:firstLine="1440"/>
        <w:rPr>
          <w:sz w:val="24"/>
          <w:szCs w:val="24"/>
        </w:rPr>
      </w:pPr>
      <w:r>
        <w:rPr>
          <w:sz w:val="24"/>
          <w:szCs w:val="24"/>
        </w:rPr>
        <w:t>On May 7, 2015, PPL billed the Complainant for 18,071 kWh that amounted to $2,404.96; PPL also explained in its letter to the Complainant what had happened and offered a payment arrangement to assist with the accrued bill.</w:t>
      </w:r>
      <w:r w:rsidR="00D36920">
        <w:rPr>
          <w:sz w:val="24"/>
          <w:szCs w:val="24"/>
        </w:rPr>
        <w:t xml:space="preserve">  Tr. at 15.</w:t>
      </w:r>
    </w:p>
    <w:p w:rsidR="00A92AD3" w:rsidRPr="00A92AD3" w:rsidRDefault="00A92AD3" w:rsidP="00996B91">
      <w:pPr>
        <w:pStyle w:val="ListParagraph"/>
        <w:spacing w:line="360" w:lineRule="auto"/>
        <w:rPr>
          <w:sz w:val="24"/>
          <w:szCs w:val="24"/>
        </w:rPr>
      </w:pPr>
    </w:p>
    <w:p w:rsidR="00CB495C" w:rsidRPr="00DC4452" w:rsidRDefault="00CB495C" w:rsidP="00996B91">
      <w:pPr>
        <w:spacing w:line="360" w:lineRule="auto"/>
        <w:jc w:val="center"/>
        <w:rPr>
          <w:sz w:val="24"/>
          <w:szCs w:val="24"/>
          <w:u w:val="single"/>
        </w:rPr>
      </w:pPr>
      <w:r w:rsidRPr="00DC4452">
        <w:rPr>
          <w:sz w:val="24"/>
          <w:szCs w:val="24"/>
          <w:u w:val="single"/>
        </w:rPr>
        <w:t>DISCUSSION</w:t>
      </w:r>
    </w:p>
    <w:p w:rsidR="00CB495C" w:rsidRPr="00DC4452" w:rsidRDefault="00CB495C" w:rsidP="00A92AD3">
      <w:pPr>
        <w:rPr>
          <w:sz w:val="24"/>
          <w:szCs w:val="24"/>
          <w:u w:val="single"/>
        </w:rPr>
      </w:pPr>
    </w:p>
    <w:p w:rsidR="00A92AD3" w:rsidRDefault="00A92AD3" w:rsidP="00A92AD3">
      <w:pPr>
        <w:spacing w:line="360" w:lineRule="auto"/>
        <w:rPr>
          <w:sz w:val="24"/>
          <w:szCs w:val="24"/>
        </w:rPr>
      </w:pPr>
      <w:r w:rsidRPr="003C19D0">
        <w:rPr>
          <w:sz w:val="24"/>
          <w:szCs w:val="24"/>
          <w:u w:val="single"/>
        </w:rPr>
        <w:t xml:space="preserve">Burden of </w:t>
      </w:r>
      <w:r>
        <w:rPr>
          <w:sz w:val="24"/>
          <w:szCs w:val="24"/>
          <w:u w:val="single"/>
        </w:rPr>
        <w:t>p</w:t>
      </w:r>
      <w:r w:rsidRPr="003C19D0">
        <w:rPr>
          <w:sz w:val="24"/>
          <w:szCs w:val="24"/>
          <w:u w:val="single"/>
        </w:rPr>
        <w:t>roof</w:t>
      </w:r>
      <w:r>
        <w:rPr>
          <w:sz w:val="24"/>
          <w:szCs w:val="24"/>
        </w:rPr>
        <w:t>:</w:t>
      </w:r>
    </w:p>
    <w:p w:rsidR="00A92AD3" w:rsidRDefault="00A92AD3" w:rsidP="00A92AD3">
      <w:pPr>
        <w:spacing w:line="360" w:lineRule="auto"/>
        <w:rPr>
          <w:sz w:val="24"/>
          <w:szCs w:val="24"/>
        </w:rPr>
      </w:pPr>
    </w:p>
    <w:p w:rsidR="00A92AD3" w:rsidRDefault="00A92AD3" w:rsidP="00A92AD3">
      <w:pPr>
        <w:spacing w:line="360" w:lineRule="auto"/>
        <w:ind w:firstLine="1440"/>
        <w:rPr>
          <w:spacing w:val="-3"/>
          <w:sz w:val="24"/>
          <w:szCs w:val="24"/>
        </w:rPr>
      </w:pPr>
      <w:r w:rsidRPr="002325C9">
        <w:rPr>
          <w:sz w:val="24"/>
          <w:szCs w:val="24"/>
        </w:rPr>
        <w:t>The Complainant has the burden of proving</w:t>
      </w:r>
      <w:r>
        <w:rPr>
          <w:sz w:val="24"/>
          <w:szCs w:val="24"/>
        </w:rPr>
        <w:t xml:space="preserve"> his</w:t>
      </w:r>
      <w:r w:rsidRPr="002325C9">
        <w:rPr>
          <w:sz w:val="24"/>
          <w:szCs w:val="24"/>
        </w:rPr>
        <w:t xml:space="preserve"> case.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w:t>
      </w:r>
      <w:r w:rsidR="00813AAF">
        <w:rPr>
          <w:sz w:val="24"/>
          <w:szCs w:val="24"/>
        </w:rPr>
        <w:t xml:space="preserve"> </w:t>
      </w:r>
      <w:r>
        <w:rPr>
          <w:sz w:val="24"/>
          <w:szCs w:val="24"/>
        </w:rPr>
        <w:t xml:space="preserve">332(a).  </w:t>
      </w:r>
      <w:r w:rsidRPr="002325C9">
        <w:rPr>
          <w:spacing w:val="-3"/>
          <w:sz w:val="24"/>
          <w:szCs w:val="24"/>
        </w:rPr>
        <w:t xml:space="preserve">A complainant must show that the named utility is responsible or accountable for the problem described in the Complaint in order to prevail.  </w:t>
      </w:r>
      <w:proofErr w:type="gramStart"/>
      <w:r w:rsidRPr="002325C9">
        <w:rPr>
          <w:spacing w:val="-3"/>
          <w:sz w:val="24"/>
          <w:szCs w:val="24"/>
          <w:u w:val="single"/>
        </w:rPr>
        <w:t>Patterson v. Bell Telephone Company of Pennsylvania</w:t>
      </w:r>
      <w:r>
        <w:rPr>
          <w:spacing w:val="-3"/>
          <w:sz w:val="24"/>
          <w:szCs w:val="24"/>
        </w:rPr>
        <w:t>, 72 Pa.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Pr>
          <w:spacing w:val="-3"/>
          <w:sz w:val="24"/>
          <w:szCs w:val="24"/>
        </w:rPr>
        <w:t>a.</w:t>
      </w:r>
      <w:r w:rsidRPr="002325C9">
        <w:rPr>
          <w:spacing w:val="-3"/>
          <w:sz w:val="24"/>
          <w:szCs w:val="24"/>
        </w:rPr>
        <w:t xml:space="preserve"> PUC 300 (1976).</w:t>
      </w:r>
      <w:proofErr w:type="gramEnd"/>
      <w:r w:rsidRPr="002325C9">
        <w:rPr>
          <w:spacing w:val="-3"/>
          <w:sz w:val="24"/>
          <w:szCs w:val="24"/>
        </w:rPr>
        <w:t xml:space="preserve">  This must be shown by a preponderance of the evidence.  </w:t>
      </w:r>
      <w:proofErr w:type="gramStart"/>
      <w:r w:rsidRPr="002325C9">
        <w:rPr>
          <w:spacing w:val="-3"/>
          <w:sz w:val="24"/>
          <w:szCs w:val="24"/>
          <w:u w:val="single"/>
        </w:rPr>
        <w:t xml:space="preserve">Samuel J. </w:t>
      </w:r>
      <w:proofErr w:type="spellStart"/>
      <w:r w:rsidRPr="002325C9">
        <w:rPr>
          <w:spacing w:val="-3"/>
          <w:sz w:val="24"/>
          <w:szCs w:val="24"/>
          <w:u w:val="single"/>
        </w:rPr>
        <w:t>Lansberry</w:t>
      </w:r>
      <w:proofErr w:type="spellEnd"/>
      <w:r w:rsidRPr="002325C9">
        <w:rPr>
          <w:spacing w:val="-3"/>
          <w:sz w:val="24"/>
          <w:szCs w:val="24"/>
          <w:u w:val="single"/>
        </w:rPr>
        <w:t>, Inc.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578 A.2d 600 (</w:t>
      </w:r>
      <w:r>
        <w:rPr>
          <w:spacing w:val="-3"/>
          <w:sz w:val="24"/>
          <w:szCs w:val="24"/>
        </w:rPr>
        <w:t>Pa.Cmwlth.</w:t>
      </w:r>
      <w:r w:rsidRPr="002325C9">
        <w:rPr>
          <w:spacing w:val="-3"/>
          <w:sz w:val="24"/>
          <w:szCs w:val="24"/>
        </w:rPr>
        <w:t xml:space="preserve">1990), </w:t>
      </w:r>
      <w:proofErr w:type="spellStart"/>
      <w:r w:rsidRPr="002325C9">
        <w:rPr>
          <w:i/>
          <w:spacing w:val="-3"/>
          <w:sz w:val="24"/>
          <w:szCs w:val="24"/>
        </w:rPr>
        <w:t>alloc</w:t>
      </w:r>
      <w:proofErr w:type="spellEnd"/>
      <w:r w:rsidRPr="002325C9">
        <w:rPr>
          <w:i/>
          <w:spacing w:val="-3"/>
          <w:sz w:val="24"/>
          <w:szCs w:val="24"/>
        </w:rPr>
        <w:t>.</w:t>
      </w:r>
      <w:proofErr w:type="gramEnd"/>
      <w:r w:rsidRPr="002325C9">
        <w:rPr>
          <w:i/>
          <w:spacing w:val="-3"/>
          <w:sz w:val="24"/>
          <w:szCs w:val="24"/>
        </w:rPr>
        <w:t xml:space="preserve"> </w:t>
      </w:r>
      <w:proofErr w:type="gramStart"/>
      <w:r w:rsidRPr="002325C9">
        <w:rPr>
          <w:i/>
          <w:spacing w:val="-3"/>
          <w:sz w:val="24"/>
          <w:szCs w:val="24"/>
        </w:rPr>
        <w:t>den.</w:t>
      </w:r>
      <w:r w:rsidRPr="002325C9">
        <w:rPr>
          <w:spacing w:val="-3"/>
          <w:sz w:val="24"/>
          <w:szCs w:val="24"/>
        </w:rPr>
        <w:t>,</w:t>
      </w:r>
      <w:r>
        <w:rPr>
          <w:spacing w:val="-3"/>
          <w:sz w:val="24"/>
          <w:szCs w:val="24"/>
        </w:rPr>
        <w:t xml:space="preserve"> </w:t>
      </w:r>
      <w:r w:rsidRPr="002325C9">
        <w:rPr>
          <w:spacing w:val="-3"/>
          <w:sz w:val="24"/>
          <w:szCs w:val="24"/>
        </w:rPr>
        <w:t>602 A.2d 863 (</w:t>
      </w:r>
      <w:r>
        <w:rPr>
          <w:spacing w:val="-3"/>
          <w:sz w:val="24"/>
          <w:szCs w:val="24"/>
        </w:rPr>
        <w:t xml:space="preserve">Pa. </w:t>
      </w:r>
      <w:r w:rsidRPr="002325C9">
        <w:rPr>
          <w:spacing w:val="-3"/>
          <w:sz w:val="24"/>
          <w:szCs w:val="24"/>
        </w:rPr>
        <w:t>1992).</w:t>
      </w:r>
      <w:proofErr w:type="gramEnd"/>
      <w:r w:rsidRPr="002325C9">
        <w:rPr>
          <w:spacing w:val="-3"/>
          <w:sz w:val="24"/>
          <w:szCs w:val="24"/>
        </w:rPr>
        <w:t xml:space="preserve">  That is, by presenting evidence more convincing, by even the smallest amount, than that presented by the other party.  </w:t>
      </w:r>
      <w:proofErr w:type="gramStart"/>
      <w:r w:rsidRPr="002325C9">
        <w:rPr>
          <w:spacing w:val="-3"/>
          <w:sz w:val="24"/>
          <w:szCs w:val="24"/>
          <w:u w:val="single"/>
        </w:rPr>
        <w:t>Se-Ling Hosiery v. Mar</w:t>
      </w:r>
      <w:r>
        <w:rPr>
          <w:spacing w:val="-3"/>
          <w:sz w:val="24"/>
          <w:szCs w:val="24"/>
          <w:u w:val="single"/>
        </w:rPr>
        <w:t>g</w:t>
      </w:r>
      <w:r w:rsidRPr="002325C9">
        <w:rPr>
          <w:spacing w:val="-3"/>
          <w:sz w:val="24"/>
          <w:szCs w:val="24"/>
          <w:u w:val="single"/>
        </w:rPr>
        <w:t>ulies</w:t>
      </w:r>
      <w:r w:rsidRPr="002325C9">
        <w:rPr>
          <w:spacing w:val="-3"/>
          <w:sz w:val="24"/>
          <w:szCs w:val="24"/>
        </w:rPr>
        <w:t>, 70 A.2d 854 (</w:t>
      </w:r>
      <w:r>
        <w:rPr>
          <w:spacing w:val="-3"/>
          <w:sz w:val="24"/>
          <w:szCs w:val="24"/>
        </w:rPr>
        <w:t xml:space="preserve">Pa. </w:t>
      </w:r>
      <w:r w:rsidRPr="002325C9">
        <w:rPr>
          <w:spacing w:val="-3"/>
          <w:sz w:val="24"/>
          <w:szCs w:val="24"/>
        </w:rPr>
        <w:t>1950).</w:t>
      </w:r>
      <w:proofErr w:type="gramEnd"/>
      <w:r w:rsidRPr="002325C9">
        <w:rPr>
          <w:spacing w:val="-3"/>
          <w:sz w:val="24"/>
          <w:szCs w:val="24"/>
        </w:rPr>
        <w:t xml:space="preserve">  Additionally, any finding of fact necessary to support the Commission’s adjudication must be based upon substantial evidence.  </w:t>
      </w:r>
      <w:proofErr w:type="gramStart"/>
      <w:r w:rsidRPr="002325C9">
        <w:rPr>
          <w:spacing w:val="-3"/>
          <w:sz w:val="24"/>
          <w:szCs w:val="24"/>
          <w:u w:val="single"/>
        </w:rPr>
        <w:t>Mill</w:t>
      </w:r>
      <w:r>
        <w:rPr>
          <w:spacing w:val="-3"/>
          <w:sz w:val="24"/>
          <w:szCs w:val="24"/>
          <w:u w:val="single"/>
        </w:rPr>
        <w:t> </w:t>
      </w:r>
      <w:r w:rsidRPr="002325C9">
        <w:rPr>
          <w:spacing w:val="-3"/>
          <w:sz w:val="24"/>
          <w:szCs w:val="24"/>
          <w:u w:val="single"/>
        </w:rPr>
        <w:t xml:space="preserve">v. </w:t>
      </w:r>
      <w:proofErr w:type="spellStart"/>
      <w:r w:rsidRPr="002325C9">
        <w:rPr>
          <w:spacing w:val="-3"/>
          <w:sz w:val="24"/>
          <w:szCs w:val="24"/>
          <w:u w:val="single"/>
        </w:rPr>
        <w:t>Comm’w</w:t>
      </w:r>
      <w:proofErr w:type="spellEnd"/>
      <w:r w:rsidRPr="002325C9">
        <w:rPr>
          <w:spacing w:val="-3"/>
          <w:sz w:val="24"/>
          <w:szCs w:val="24"/>
          <w:u w:val="single"/>
        </w:rPr>
        <w:t>.,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447 A.2d 1100 (</w:t>
      </w:r>
      <w:proofErr w:type="spellStart"/>
      <w:r>
        <w:rPr>
          <w:spacing w:val="-3"/>
          <w:sz w:val="24"/>
          <w:szCs w:val="24"/>
        </w:rPr>
        <w:t>Pa.Cmwlth</w:t>
      </w:r>
      <w:proofErr w:type="spellEnd"/>
      <w:r>
        <w:rPr>
          <w:spacing w:val="-3"/>
          <w:sz w:val="24"/>
          <w:szCs w:val="24"/>
        </w:rPr>
        <w:t xml:space="preserve">. </w:t>
      </w:r>
      <w:r w:rsidRPr="002325C9">
        <w:rPr>
          <w:spacing w:val="-3"/>
          <w:sz w:val="24"/>
          <w:szCs w:val="24"/>
        </w:rPr>
        <w:t xml:space="preserve">1982); </w:t>
      </w:r>
      <w:proofErr w:type="spellStart"/>
      <w:r w:rsidRPr="002325C9">
        <w:rPr>
          <w:spacing w:val="-3"/>
          <w:sz w:val="24"/>
          <w:szCs w:val="24"/>
          <w:u w:val="single"/>
        </w:rPr>
        <w:t>Edan</w:t>
      </w:r>
      <w:proofErr w:type="spellEnd"/>
      <w:r w:rsidRPr="002325C9">
        <w:rPr>
          <w:spacing w:val="-3"/>
          <w:sz w:val="24"/>
          <w:szCs w:val="24"/>
          <w:u w:val="single"/>
        </w:rPr>
        <w:t xml:space="preserve"> Transportation Corp. v. P</w:t>
      </w:r>
      <w:r w:rsidR="00813AAF">
        <w:rPr>
          <w:spacing w:val="-3"/>
          <w:sz w:val="24"/>
          <w:szCs w:val="24"/>
          <w:u w:val="single"/>
        </w:rPr>
        <w:t>a. Pub.</w:t>
      </w:r>
      <w:proofErr w:type="gramEnd"/>
      <w:r w:rsidR="00813AAF">
        <w:rPr>
          <w:spacing w:val="-3"/>
          <w:sz w:val="24"/>
          <w:szCs w:val="24"/>
          <w:u w:val="single"/>
        </w:rPr>
        <w:t xml:space="preserve"> </w:t>
      </w:r>
      <w:proofErr w:type="gramStart"/>
      <w:r w:rsidR="00813AAF">
        <w:rPr>
          <w:spacing w:val="-3"/>
          <w:sz w:val="24"/>
          <w:szCs w:val="24"/>
          <w:u w:val="single"/>
        </w:rPr>
        <w:t xml:space="preserve">Util. </w:t>
      </w:r>
      <w:proofErr w:type="spellStart"/>
      <w:r>
        <w:rPr>
          <w:spacing w:val="-3"/>
          <w:sz w:val="24"/>
          <w:szCs w:val="24"/>
          <w:u w:val="single"/>
        </w:rPr>
        <w:t>Comm’n</w:t>
      </w:r>
      <w:proofErr w:type="spellEnd"/>
      <w:r>
        <w:rPr>
          <w:spacing w:val="-3"/>
          <w:sz w:val="24"/>
          <w:szCs w:val="24"/>
        </w:rPr>
        <w:t>, 623 A.2d 6 (</w:t>
      </w:r>
      <w:proofErr w:type="spellStart"/>
      <w:r>
        <w:rPr>
          <w:spacing w:val="-3"/>
          <w:sz w:val="24"/>
          <w:szCs w:val="24"/>
        </w:rPr>
        <w:t>Pa.Cmwlth</w:t>
      </w:r>
      <w:proofErr w:type="spellEnd"/>
      <w:r>
        <w:rPr>
          <w:spacing w:val="-3"/>
          <w:sz w:val="24"/>
          <w:szCs w:val="24"/>
        </w:rPr>
        <w:t>. 1993);</w:t>
      </w:r>
      <w:r w:rsidRPr="002325C9">
        <w:rPr>
          <w:spacing w:val="-3"/>
          <w:sz w:val="24"/>
          <w:szCs w:val="24"/>
        </w:rPr>
        <w:t xml:space="preserve"> 2</w:t>
      </w:r>
      <w:r>
        <w:rPr>
          <w:spacing w:val="-3"/>
          <w:sz w:val="24"/>
          <w:szCs w:val="24"/>
        </w:rPr>
        <w:t> </w:t>
      </w:r>
      <w:proofErr w:type="spellStart"/>
      <w:r w:rsidRPr="002325C9">
        <w:rPr>
          <w:spacing w:val="-3"/>
          <w:sz w:val="24"/>
          <w:szCs w:val="24"/>
        </w:rPr>
        <w:t>Pa.C.S</w:t>
      </w:r>
      <w:proofErr w:type="spellEnd"/>
      <w:r w:rsidRPr="002325C9">
        <w:rPr>
          <w:spacing w:val="-3"/>
          <w:sz w:val="24"/>
          <w:szCs w:val="24"/>
        </w:rPr>
        <w:t>.</w:t>
      </w:r>
      <w:proofErr w:type="gramEnd"/>
      <w:r w:rsidRPr="002325C9">
        <w:rPr>
          <w:spacing w:val="-3"/>
          <w:sz w:val="24"/>
          <w:szCs w:val="24"/>
        </w:rPr>
        <w:t xml:space="preserve"> §</w:t>
      </w:r>
      <w:r w:rsidR="00813AAF">
        <w:rPr>
          <w:spacing w:val="-3"/>
          <w:sz w:val="24"/>
          <w:szCs w:val="24"/>
        </w:rPr>
        <w:t> </w:t>
      </w:r>
      <w:r w:rsidRPr="002325C9">
        <w:rPr>
          <w:spacing w:val="-3"/>
          <w:sz w:val="24"/>
          <w:szCs w:val="24"/>
        </w:rPr>
        <w:t xml:space="preserve">704.  More is required than a mere trace of evidence or a suspicion of the existence of a fact sought to be established.  </w:t>
      </w:r>
      <w:proofErr w:type="gramStart"/>
      <w:r w:rsidRPr="002325C9">
        <w:rPr>
          <w:spacing w:val="-3"/>
          <w:sz w:val="24"/>
          <w:szCs w:val="24"/>
          <w:u w:val="single"/>
        </w:rPr>
        <w:t>Norfolk and Western Ry.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413 A.2d 1037 (</w:t>
      </w:r>
      <w:r>
        <w:rPr>
          <w:spacing w:val="-3"/>
          <w:sz w:val="24"/>
          <w:szCs w:val="24"/>
        </w:rPr>
        <w:t xml:space="preserve">Pa. </w:t>
      </w:r>
      <w:r w:rsidRPr="002325C9">
        <w:rPr>
          <w:spacing w:val="-3"/>
          <w:sz w:val="24"/>
          <w:szCs w:val="24"/>
        </w:rPr>
        <w:t xml:space="preserve">1980); </w:t>
      </w:r>
      <w:r w:rsidRPr="002325C9">
        <w:rPr>
          <w:spacing w:val="-3"/>
          <w:sz w:val="24"/>
          <w:szCs w:val="24"/>
          <w:u w:val="single"/>
        </w:rPr>
        <w:t>Erie Resistor Corp. v. Unemployment Compensation Bd. of Review</w:t>
      </w:r>
      <w:r w:rsidRPr="002325C9">
        <w:rPr>
          <w:spacing w:val="-3"/>
          <w:sz w:val="24"/>
          <w:szCs w:val="24"/>
        </w:rPr>
        <w:t>, 166 A.2d 96 (</w:t>
      </w:r>
      <w:proofErr w:type="spellStart"/>
      <w:r>
        <w:rPr>
          <w:spacing w:val="-3"/>
          <w:sz w:val="24"/>
          <w:szCs w:val="24"/>
        </w:rPr>
        <w:t>Pa.Super</w:t>
      </w:r>
      <w:proofErr w:type="spellEnd"/>
      <w:r>
        <w:rPr>
          <w:spacing w:val="-3"/>
          <w:sz w:val="24"/>
          <w:szCs w:val="24"/>
        </w:rPr>
        <w:t xml:space="preserve">. </w:t>
      </w:r>
      <w:r w:rsidRPr="002325C9">
        <w:rPr>
          <w:spacing w:val="-3"/>
          <w:sz w:val="24"/>
          <w:szCs w:val="24"/>
        </w:rPr>
        <w:t xml:space="preserve">1960); </w:t>
      </w:r>
      <w:r w:rsidRPr="002325C9">
        <w:rPr>
          <w:spacing w:val="-3"/>
          <w:sz w:val="24"/>
          <w:szCs w:val="24"/>
          <w:u w:val="single"/>
        </w:rPr>
        <w:t>Murphy v. Commonwealth, Dep’t.</w:t>
      </w:r>
      <w:proofErr w:type="gramEnd"/>
      <w:r w:rsidRPr="002325C9">
        <w:rPr>
          <w:spacing w:val="-3"/>
          <w:sz w:val="24"/>
          <w:szCs w:val="24"/>
          <w:u w:val="single"/>
        </w:rPr>
        <w:t xml:space="preserve"> </w:t>
      </w:r>
      <w:proofErr w:type="gramStart"/>
      <w:r w:rsidRPr="002325C9">
        <w:rPr>
          <w:spacing w:val="-3"/>
          <w:sz w:val="24"/>
          <w:szCs w:val="24"/>
          <w:u w:val="single"/>
        </w:rPr>
        <w:t>of</w:t>
      </w:r>
      <w:proofErr w:type="gramEnd"/>
      <w:r w:rsidRPr="002325C9">
        <w:rPr>
          <w:spacing w:val="-3"/>
          <w:sz w:val="24"/>
          <w:szCs w:val="24"/>
          <w:u w:val="single"/>
        </w:rPr>
        <w:t xml:space="preserve"> Public Welfare, White Haven Center</w:t>
      </w:r>
      <w:r w:rsidRPr="002325C9">
        <w:rPr>
          <w:spacing w:val="-3"/>
          <w:sz w:val="24"/>
          <w:szCs w:val="24"/>
        </w:rPr>
        <w:t>, 480 A.2d 382 (</w:t>
      </w:r>
      <w:proofErr w:type="spellStart"/>
      <w:r>
        <w:rPr>
          <w:spacing w:val="-3"/>
          <w:sz w:val="24"/>
          <w:szCs w:val="24"/>
        </w:rPr>
        <w:t>Pa.Cmwlth</w:t>
      </w:r>
      <w:proofErr w:type="spellEnd"/>
      <w:r>
        <w:rPr>
          <w:spacing w:val="-3"/>
          <w:sz w:val="24"/>
          <w:szCs w:val="24"/>
        </w:rPr>
        <w:t xml:space="preserve">. </w:t>
      </w:r>
      <w:r w:rsidRPr="002325C9">
        <w:rPr>
          <w:spacing w:val="-3"/>
          <w:sz w:val="24"/>
          <w:szCs w:val="24"/>
        </w:rPr>
        <w:t>1984).</w:t>
      </w:r>
    </w:p>
    <w:p w:rsidR="00A92AD3" w:rsidRDefault="00A92AD3" w:rsidP="00A92AD3">
      <w:pPr>
        <w:spacing w:line="360" w:lineRule="auto"/>
        <w:ind w:firstLine="1440"/>
        <w:rPr>
          <w:spacing w:val="-3"/>
          <w:sz w:val="24"/>
          <w:szCs w:val="24"/>
        </w:rPr>
      </w:pPr>
    </w:p>
    <w:p w:rsidR="00996B91" w:rsidRDefault="00996B91" w:rsidP="00533224">
      <w:pPr>
        <w:spacing w:line="360" w:lineRule="auto"/>
        <w:rPr>
          <w:spacing w:val="-3"/>
          <w:sz w:val="24"/>
          <w:szCs w:val="24"/>
          <w:u w:val="single"/>
        </w:rPr>
      </w:pPr>
    </w:p>
    <w:p w:rsidR="00533224" w:rsidRDefault="00533224" w:rsidP="00533224">
      <w:pPr>
        <w:spacing w:line="360" w:lineRule="auto"/>
        <w:rPr>
          <w:spacing w:val="-3"/>
          <w:sz w:val="24"/>
          <w:szCs w:val="24"/>
        </w:rPr>
      </w:pPr>
      <w:r w:rsidRPr="00533224">
        <w:rPr>
          <w:spacing w:val="-3"/>
          <w:sz w:val="24"/>
          <w:szCs w:val="24"/>
          <w:u w:val="single"/>
        </w:rPr>
        <w:lastRenderedPageBreak/>
        <w:t>Background</w:t>
      </w:r>
      <w:r>
        <w:rPr>
          <w:spacing w:val="-3"/>
          <w:sz w:val="24"/>
          <w:szCs w:val="24"/>
        </w:rPr>
        <w:t>:</w:t>
      </w:r>
    </w:p>
    <w:p w:rsidR="00996B91" w:rsidRDefault="00996B91" w:rsidP="00533224">
      <w:pPr>
        <w:spacing w:line="360" w:lineRule="auto"/>
        <w:rPr>
          <w:spacing w:val="-3"/>
          <w:sz w:val="24"/>
          <w:szCs w:val="24"/>
        </w:rPr>
      </w:pPr>
    </w:p>
    <w:p w:rsidR="008D45C5" w:rsidRDefault="00E744FA" w:rsidP="00533224">
      <w:pPr>
        <w:spacing w:line="360" w:lineRule="auto"/>
        <w:ind w:firstLine="1440"/>
        <w:rPr>
          <w:spacing w:val="-3"/>
          <w:sz w:val="24"/>
          <w:szCs w:val="24"/>
        </w:rPr>
      </w:pPr>
      <w:r>
        <w:rPr>
          <w:spacing w:val="-3"/>
          <w:sz w:val="24"/>
          <w:szCs w:val="24"/>
        </w:rPr>
        <w:t xml:space="preserve">Sometime in May of 2014, the Complainant’s </w:t>
      </w:r>
      <w:r w:rsidR="00846151">
        <w:rPr>
          <w:spacing w:val="-3"/>
          <w:sz w:val="24"/>
          <w:szCs w:val="24"/>
        </w:rPr>
        <w:t>automated meter</w:t>
      </w:r>
      <w:r w:rsidR="0082735C">
        <w:rPr>
          <w:spacing w:val="-3"/>
          <w:sz w:val="24"/>
          <w:szCs w:val="24"/>
        </w:rPr>
        <w:t xml:space="preserve"> reader</w:t>
      </w:r>
      <w:r w:rsidR="00846151">
        <w:rPr>
          <w:spacing w:val="-3"/>
          <w:sz w:val="24"/>
          <w:szCs w:val="24"/>
        </w:rPr>
        <w:t xml:space="preserve"> (AMR)</w:t>
      </w:r>
      <w:r>
        <w:rPr>
          <w:spacing w:val="-3"/>
          <w:sz w:val="24"/>
          <w:szCs w:val="24"/>
        </w:rPr>
        <w:t xml:space="preserve"> malfunctioned and stopped recording usage. </w:t>
      </w:r>
      <w:r w:rsidR="007949B7">
        <w:rPr>
          <w:spacing w:val="-3"/>
          <w:sz w:val="24"/>
          <w:szCs w:val="24"/>
        </w:rPr>
        <w:t xml:space="preserve"> </w:t>
      </w:r>
      <w:proofErr w:type="gramStart"/>
      <w:r w:rsidR="007949B7">
        <w:rPr>
          <w:spacing w:val="-3"/>
          <w:sz w:val="24"/>
          <w:szCs w:val="24"/>
        </w:rPr>
        <w:t>Tr. at 8,</w:t>
      </w:r>
      <w:r w:rsidR="00E9197F">
        <w:rPr>
          <w:spacing w:val="-3"/>
          <w:sz w:val="24"/>
          <w:szCs w:val="24"/>
        </w:rPr>
        <w:t xml:space="preserve"> </w:t>
      </w:r>
      <w:r w:rsidR="007949B7">
        <w:rPr>
          <w:spacing w:val="-3"/>
          <w:sz w:val="24"/>
          <w:szCs w:val="24"/>
        </w:rPr>
        <w:t>9, 10.</w:t>
      </w:r>
      <w:proofErr w:type="gramEnd"/>
      <w:r w:rsidR="007949B7">
        <w:rPr>
          <w:spacing w:val="-3"/>
          <w:sz w:val="24"/>
          <w:szCs w:val="24"/>
        </w:rPr>
        <w:t xml:space="preserve">  </w:t>
      </w:r>
      <w:r>
        <w:rPr>
          <w:spacing w:val="-3"/>
          <w:sz w:val="24"/>
          <w:szCs w:val="24"/>
        </w:rPr>
        <w:t xml:space="preserve"> </w:t>
      </w:r>
      <w:r w:rsidR="0082735C">
        <w:rPr>
          <w:spacing w:val="-3"/>
          <w:sz w:val="24"/>
          <w:szCs w:val="24"/>
        </w:rPr>
        <w:t>The Complainant</w:t>
      </w:r>
      <w:r w:rsidR="00C711EB">
        <w:rPr>
          <w:spacing w:val="-3"/>
          <w:sz w:val="24"/>
          <w:szCs w:val="24"/>
        </w:rPr>
        <w:t xml:space="preserve">’s </w:t>
      </w:r>
      <w:r w:rsidR="0082735C">
        <w:rPr>
          <w:spacing w:val="-3"/>
          <w:sz w:val="24"/>
          <w:szCs w:val="24"/>
        </w:rPr>
        <w:t xml:space="preserve">manual meter kept recording usage accurately.  </w:t>
      </w:r>
      <w:r w:rsidR="007949B7">
        <w:rPr>
          <w:spacing w:val="-3"/>
          <w:sz w:val="24"/>
          <w:szCs w:val="24"/>
        </w:rPr>
        <w:t xml:space="preserve">Tr. </w:t>
      </w:r>
      <w:proofErr w:type="gramStart"/>
      <w:r w:rsidR="007949B7">
        <w:rPr>
          <w:spacing w:val="-3"/>
          <w:sz w:val="24"/>
          <w:szCs w:val="24"/>
        </w:rPr>
        <w:t>at</w:t>
      </w:r>
      <w:r w:rsidR="00E9197F">
        <w:rPr>
          <w:spacing w:val="-3"/>
          <w:sz w:val="24"/>
          <w:szCs w:val="24"/>
        </w:rPr>
        <w:t xml:space="preserve"> </w:t>
      </w:r>
      <w:r w:rsidR="007949B7">
        <w:rPr>
          <w:spacing w:val="-3"/>
          <w:sz w:val="24"/>
          <w:szCs w:val="24"/>
        </w:rPr>
        <w:t xml:space="preserve"> 9</w:t>
      </w:r>
      <w:proofErr w:type="gramEnd"/>
      <w:r w:rsidR="007949B7">
        <w:rPr>
          <w:spacing w:val="-3"/>
          <w:sz w:val="24"/>
          <w:szCs w:val="24"/>
        </w:rPr>
        <w:t xml:space="preserve">.  </w:t>
      </w:r>
      <w:r>
        <w:rPr>
          <w:spacing w:val="-3"/>
          <w:sz w:val="24"/>
          <w:szCs w:val="24"/>
        </w:rPr>
        <w:t xml:space="preserve">The Complainant received service from PPL since March 2012.  His bills ranged from about $100 in the warm months to over $300 in the cold months.  </w:t>
      </w:r>
      <w:proofErr w:type="gramStart"/>
      <w:r w:rsidR="007949B7">
        <w:rPr>
          <w:spacing w:val="-3"/>
          <w:sz w:val="24"/>
          <w:szCs w:val="24"/>
        </w:rPr>
        <w:t xml:space="preserve">PPL </w:t>
      </w:r>
      <w:proofErr w:type="spellStart"/>
      <w:r w:rsidR="007949B7">
        <w:rPr>
          <w:spacing w:val="-3"/>
          <w:sz w:val="24"/>
          <w:szCs w:val="24"/>
        </w:rPr>
        <w:t>Exh</w:t>
      </w:r>
      <w:proofErr w:type="spellEnd"/>
      <w:r w:rsidR="007949B7">
        <w:rPr>
          <w:spacing w:val="-3"/>
          <w:sz w:val="24"/>
          <w:szCs w:val="24"/>
        </w:rPr>
        <w:t>.</w:t>
      </w:r>
      <w:proofErr w:type="gramEnd"/>
      <w:r w:rsidR="007949B7">
        <w:rPr>
          <w:spacing w:val="-3"/>
          <w:sz w:val="24"/>
          <w:szCs w:val="24"/>
        </w:rPr>
        <w:t xml:space="preserve"> 1.  </w:t>
      </w:r>
      <w:r>
        <w:rPr>
          <w:spacing w:val="-3"/>
          <w:sz w:val="24"/>
          <w:szCs w:val="24"/>
        </w:rPr>
        <w:t xml:space="preserve">From June 6, 2014 to April 27, 2015, the Complainant was receiving radically reduced electric bills of approximately $14 per month.  </w:t>
      </w:r>
      <w:proofErr w:type="gramStart"/>
      <w:r w:rsidR="007949B7">
        <w:rPr>
          <w:spacing w:val="-3"/>
          <w:sz w:val="24"/>
          <w:szCs w:val="24"/>
        </w:rPr>
        <w:t xml:space="preserve">PPL </w:t>
      </w:r>
      <w:proofErr w:type="spellStart"/>
      <w:r w:rsidR="007949B7">
        <w:rPr>
          <w:spacing w:val="-3"/>
          <w:sz w:val="24"/>
          <w:szCs w:val="24"/>
        </w:rPr>
        <w:t>Exh</w:t>
      </w:r>
      <w:proofErr w:type="spellEnd"/>
      <w:r w:rsidR="007949B7">
        <w:rPr>
          <w:spacing w:val="-3"/>
          <w:sz w:val="24"/>
          <w:szCs w:val="24"/>
        </w:rPr>
        <w:t>.</w:t>
      </w:r>
      <w:proofErr w:type="gramEnd"/>
      <w:r w:rsidR="007949B7">
        <w:rPr>
          <w:spacing w:val="-3"/>
          <w:sz w:val="24"/>
          <w:szCs w:val="24"/>
        </w:rPr>
        <w:t xml:space="preserve"> 1.  </w:t>
      </w:r>
      <w:r>
        <w:rPr>
          <w:spacing w:val="-3"/>
          <w:sz w:val="24"/>
          <w:szCs w:val="24"/>
        </w:rPr>
        <w:t xml:space="preserve">Despite the </w:t>
      </w:r>
      <w:r w:rsidR="00C42137">
        <w:rPr>
          <w:spacing w:val="-3"/>
          <w:sz w:val="24"/>
          <w:szCs w:val="24"/>
        </w:rPr>
        <w:t>significant</w:t>
      </w:r>
      <w:r>
        <w:rPr>
          <w:spacing w:val="-3"/>
          <w:sz w:val="24"/>
          <w:szCs w:val="24"/>
        </w:rPr>
        <w:t xml:space="preserve"> and unexplained reduction, the Complainant did not alert PPL.  Eleven months went by.  </w:t>
      </w:r>
    </w:p>
    <w:p w:rsidR="008D45C5" w:rsidRDefault="008D45C5" w:rsidP="00533224">
      <w:pPr>
        <w:spacing w:line="360" w:lineRule="auto"/>
        <w:ind w:firstLine="1440"/>
        <w:rPr>
          <w:spacing w:val="-3"/>
          <w:sz w:val="24"/>
          <w:szCs w:val="24"/>
        </w:rPr>
      </w:pPr>
    </w:p>
    <w:p w:rsidR="00533224" w:rsidRDefault="00E744FA" w:rsidP="00533224">
      <w:pPr>
        <w:spacing w:line="360" w:lineRule="auto"/>
        <w:ind w:firstLine="1440"/>
        <w:rPr>
          <w:spacing w:val="-3"/>
          <w:sz w:val="24"/>
          <w:szCs w:val="24"/>
        </w:rPr>
      </w:pPr>
      <w:r>
        <w:rPr>
          <w:spacing w:val="-3"/>
          <w:sz w:val="24"/>
          <w:szCs w:val="24"/>
        </w:rPr>
        <w:t>An internal procedure at PPL alerted PPL</w:t>
      </w:r>
      <w:r w:rsidR="007949B7">
        <w:rPr>
          <w:spacing w:val="-3"/>
          <w:sz w:val="24"/>
          <w:szCs w:val="24"/>
        </w:rPr>
        <w:t xml:space="preserve"> to the error on or about April 24, 2015.  </w:t>
      </w:r>
      <w:proofErr w:type="gramStart"/>
      <w:r w:rsidR="007949B7">
        <w:rPr>
          <w:spacing w:val="-3"/>
          <w:sz w:val="24"/>
          <w:szCs w:val="24"/>
        </w:rPr>
        <w:t>Tr. at 12.</w:t>
      </w:r>
      <w:proofErr w:type="gramEnd"/>
      <w:r w:rsidR="007949B7">
        <w:rPr>
          <w:spacing w:val="-3"/>
          <w:sz w:val="24"/>
          <w:szCs w:val="24"/>
        </w:rPr>
        <w:t xml:space="preserve">  </w:t>
      </w:r>
      <w:r w:rsidR="00846151">
        <w:rPr>
          <w:spacing w:val="-3"/>
          <w:sz w:val="24"/>
          <w:szCs w:val="24"/>
        </w:rPr>
        <w:t>On May 7, 2015, PPL sent the Complainant a make-up bill for the electric service the Complainant used.</w:t>
      </w:r>
      <w:r w:rsidR="0082735C">
        <w:rPr>
          <w:spacing w:val="-3"/>
          <w:sz w:val="24"/>
          <w:szCs w:val="24"/>
        </w:rPr>
        <w:t xml:space="preserve">  That bill was $2,404.96, for 18,071 kWh of electric service used by the Complainant between May 2014 and April 2015.  </w:t>
      </w:r>
      <w:r w:rsidR="005462D5">
        <w:rPr>
          <w:spacing w:val="-3"/>
          <w:sz w:val="24"/>
          <w:szCs w:val="24"/>
        </w:rPr>
        <w:t xml:space="preserve">The Complainant’s position is that the error is PPL’s and </w:t>
      </w:r>
      <w:r w:rsidR="00C42137">
        <w:rPr>
          <w:spacing w:val="-3"/>
          <w:sz w:val="24"/>
          <w:szCs w:val="24"/>
        </w:rPr>
        <w:t>he</w:t>
      </w:r>
      <w:r w:rsidR="005462D5">
        <w:rPr>
          <w:spacing w:val="-3"/>
          <w:sz w:val="24"/>
          <w:szCs w:val="24"/>
        </w:rPr>
        <w:t xml:space="preserve"> should not have to pay for the electric service he used from May 2014 through April 2015.</w:t>
      </w:r>
    </w:p>
    <w:p w:rsidR="005462D5" w:rsidRDefault="005462D5" w:rsidP="0082735C">
      <w:pPr>
        <w:spacing w:line="360" w:lineRule="auto"/>
        <w:rPr>
          <w:spacing w:val="-3"/>
          <w:sz w:val="24"/>
          <w:szCs w:val="24"/>
          <w:u w:val="single"/>
        </w:rPr>
      </w:pPr>
    </w:p>
    <w:p w:rsidR="0082735C" w:rsidRDefault="0082735C" w:rsidP="0082735C">
      <w:pPr>
        <w:spacing w:line="360" w:lineRule="auto"/>
        <w:rPr>
          <w:spacing w:val="-3"/>
          <w:sz w:val="24"/>
          <w:szCs w:val="24"/>
        </w:rPr>
      </w:pPr>
      <w:r w:rsidRPr="0082735C">
        <w:rPr>
          <w:spacing w:val="-3"/>
          <w:sz w:val="24"/>
          <w:szCs w:val="24"/>
          <w:u w:val="single"/>
        </w:rPr>
        <w:t>Legal Standard</w:t>
      </w:r>
      <w:r>
        <w:rPr>
          <w:spacing w:val="-3"/>
          <w:sz w:val="24"/>
          <w:szCs w:val="24"/>
        </w:rPr>
        <w:t>:</w:t>
      </w:r>
    </w:p>
    <w:p w:rsidR="00995D75" w:rsidRDefault="00995D75" w:rsidP="0082735C">
      <w:pPr>
        <w:spacing w:line="360" w:lineRule="auto"/>
        <w:rPr>
          <w:spacing w:val="-3"/>
          <w:sz w:val="24"/>
          <w:szCs w:val="24"/>
        </w:rPr>
      </w:pPr>
    </w:p>
    <w:p w:rsidR="0082735C" w:rsidRDefault="005462D5" w:rsidP="0082735C">
      <w:pPr>
        <w:spacing w:line="360" w:lineRule="auto"/>
        <w:ind w:firstLine="1440"/>
        <w:rPr>
          <w:spacing w:val="-3"/>
          <w:sz w:val="24"/>
          <w:szCs w:val="24"/>
        </w:rPr>
      </w:pPr>
      <w:r>
        <w:rPr>
          <w:spacing w:val="-3"/>
          <w:sz w:val="24"/>
          <w:szCs w:val="24"/>
        </w:rPr>
        <w:t xml:space="preserve">When the actual meter reading establishes that the customer was </w:t>
      </w:r>
      <w:proofErr w:type="spellStart"/>
      <w:r>
        <w:rPr>
          <w:spacing w:val="-3"/>
          <w:sz w:val="24"/>
          <w:szCs w:val="24"/>
        </w:rPr>
        <w:t>underbilled</w:t>
      </w:r>
      <w:proofErr w:type="spellEnd"/>
      <w:r>
        <w:rPr>
          <w:spacing w:val="-3"/>
          <w:sz w:val="24"/>
          <w:szCs w:val="24"/>
        </w:rPr>
        <w:t xml:space="preserve"> due to an error in the registration of the remote reading device, the public utility may render a bill for the uncollected amount.  </w:t>
      </w:r>
      <w:r w:rsidR="00C711EB">
        <w:rPr>
          <w:spacing w:val="-3"/>
          <w:sz w:val="24"/>
          <w:szCs w:val="24"/>
        </w:rPr>
        <w:t>If the rebilling exceeds the otherwise normal estimated bill for the billing period during which the bill is issued by at least 50% or at least $50, the p</w:t>
      </w:r>
      <w:r w:rsidR="003B750B">
        <w:rPr>
          <w:spacing w:val="-3"/>
          <w:sz w:val="24"/>
          <w:szCs w:val="24"/>
        </w:rPr>
        <w:t>ublic utility shall comply with</w:t>
      </w:r>
      <w:r w:rsidR="00717DE4">
        <w:rPr>
          <w:spacing w:val="-3"/>
          <w:sz w:val="24"/>
          <w:szCs w:val="24"/>
        </w:rPr>
        <w:t xml:space="preserve"> </w:t>
      </w:r>
      <w:r w:rsidR="00C711EB">
        <w:rPr>
          <w:spacing w:val="-3"/>
          <w:sz w:val="24"/>
          <w:szCs w:val="24"/>
        </w:rPr>
        <w:t xml:space="preserve">§ 56.14.  52 </w:t>
      </w:r>
      <w:proofErr w:type="spellStart"/>
      <w:r w:rsidR="00C711EB">
        <w:rPr>
          <w:spacing w:val="-3"/>
          <w:sz w:val="24"/>
          <w:szCs w:val="24"/>
        </w:rPr>
        <w:t>Pa.Code</w:t>
      </w:r>
      <w:proofErr w:type="spellEnd"/>
      <w:r w:rsidR="00C711EB">
        <w:rPr>
          <w:spacing w:val="-3"/>
          <w:sz w:val="24"/>
          <w:szCs w:val="24"/>
        </w:rPr>
        <w:t xml:space="preserve"> § 56.12(5</w:t>
      </w:r>
      <w:proofErr w:type="gramStart"/>
      <w:r w:rsidR="00C711EB">
        <w:rPr>
          <w:spacing w:val="-3"/>
          <w:sz w:val="24"/>
          <w:szCs w:val="24"/>
        </w:rPr>
        <w:t>)(</w:t>
      </w:r>
      <w:proofErr w:type="gramEnd"/>
      <w:r w:rsidR="00C711EB">
        <w:rPr>
          <w:spacing w:val="-3"/>
          <w:sz w:val="24"/>
          <w:szCs w:val="24"/>
        </w:rPr>
        <w:t xml:space="preserve">ii).  </w:t>
      </w:r>
    </w:p>
    <w:p w:rsidR="00C711EB" w:rsidRDefault="00C711EB" w:rsidP="0082735C">
      <w:pPr>
        <w:spacing w:line="360" w:lineRule="auto"/>
        <w:ind w:firstLine="1440"/>
        <w:rPr>
          <w:spacing w:val="-3"/>
          <w:sz w:val="24"/>
          <w:szCs w:val="24"/>
        </w:rPr>
      </w:pPr>
    </w:p>
    <w:p w:rsidR="00A6515F" w:rsidRDefault="00C711EB" w:rsidP="0082735C">
      <w:pPr>
        <w:spacing w:line="360" w:lineRule="auto"/>
        <w:ind w:firstLine="1440"/>
        <w:rPr>
          <w:spacing w:val="-3"/>
          <w:sz w:val="24"/>
          <w:szCs w:val="24"/>
        </w:rPr>
      </w:pPr>
      <w:r>
        <w:rPr>
          <w:spacing w:val="-3"/>
          <w:sz w:val="24"/>
          <w:szCs w:val="24"/>
        </w:rPr>
        <w:t xml:space="preserve">When a public utility renders a make-up bill for previously unbilled public utility service which accrued within the past </w:t>
      </w:r>
      <w:r w:rsidR="00821035">
        <w:rPr>
          <w:spacing w:val="-3"/>
          <w:sz w:val="24"/>
          <w:szCs w:val="24"/>
        </w:rPr>
        <w:t>four</w:t>
      </w:r>
      <w:r>
        <w:rPr>
          <w:spacing w:val="-3"/>
          <w:sz w:val="24"/>
          <w:szCs w:val="24"/>
        </w:rPr>
        <w:t xml:space="preserve"> years resulting from public utility billing error, meter failure, leakage that could not reasonably have been detected or loss of service, or four or more consecutive estimated bills and the make-up bill exceeds the otherwise normal estimated bill for the </w:t>
      </w:r>
    </w:p>
    <w:p w:rsidR="00A6515F" w:rsidRDefault="00A6515F" w:rsidP="0082735C">
      <w:pPr>
        <w:spacing w:line="360" w:lineRule="auto"/>
        <w:ind w:firstLine="1440"/>
        <w:rPr>
          <w:spacing w:val="-3"/>
          <w:sz w:val="24"/>
          <w:szCs w:val="24"/>
        </w:rPr>
      </w:pPr>
    </w:p>
    <w:p w:rsidR="00C711EB" w:rsidRDefault="00C711EB" w:rsidP="00A6515F">
      <w:pPr>
        <w:spacing w:line="360" w:lineRule="auto"/>
        <w:rPr>
          <w:spacing w:val="-3"/>
          <w:sz w:val="24"/>
          <w:szCs w:val="24"/>
        </w:rPr>
      </w:pPr>
      <w:proofErr w:type="gramStart"/>
      <w:r>
        <w:rPr>
          <w:spacing w:val="-3"/>
          <w:sz w:val="24"/>
          <w:szCs w:val="24"/>
        </w:rPr>
        <w:lastRenderedPageBreak/>
        <w:t>billing</w:t>
      </w:r>
      <w:proofErr w:type="gramEnd"/>
      <w:r>
        <w:rPr>
          <w:spacing w:val="-3"/>
          <w:sz w:val="24"/>
          <w:szCs w:val="24"/>
        </w:rPr>
        <w:t xml:space="preserve"> period during which the make-up bill is issued by at least 50% or at least $50, whichever is the greater:</w:t>
      </w:r>
    </w:p>
    <w:p w:rsidR="006C0719" w:rsidRDefault="006C0719" w:rsidP="006C0719">
      <w:pPr>
        <w:rPr>
          <w:spacing w:val="-3"/>
          <w:sz w:val="24"/>
          <w:szCs w:val="24"/>
        </w:rPr>
      </w:pPr>
    </w:p>
    <w:p w:rsidR="00C711EB" w:rsidRDefault="00C711EB" w:rsidP="00A6515F">
      <w:pPr>
        <w:pStyle w:val="ListParagraph"/>
        <w:numPr>
          <w:ilvl w:val="0"/>
          <w:numId w:val="36"/>
        </w:numPr>
        <w:rPr>
          <w:spacing w:val="-3"/>
          <w:sz w:val="24"/>
          <w:szCs w:val="24"/>
        </w:rPr>
      </w:pPr>
      <w:r>
        <w:rPr>
          <w:spacing w:val="-3"/>
          <w:sz w:val="24"/>
          <w:szCs w:val="24"/>
        </w:rPr>
        <w:t>The public utility shall explain the bill to the customer and make a reasonable attempt to amortize the bill.</w:t>
      </w:r>
    </w:p>
    <w:p w:rsidR="00A6515F" w:rsidRDefault="00A6515F" w:rsidP="00A6515F">
      <w:pPr>
        <w:pStyle w:val="ListParagraph"/>
        <w:ind w:left="1800"/>
        <w:rPr>
          <w:spacing w:val="-3"/>
          <w:sz w:val="24"/>
          <w:szCs w:val="24"/>
        </w:rPr>
      </w:pPr>
    </w:p>
    <w:p w:rsidR="00DE4D05" w:rsidRDefault="00C711EB" w:rsidP="00A6515F">
      <w:pPr>
        <w:pStyle w:val="ListParagraph"/>
        <w:numPr>
          <w:ilvl w:val="0"/>
          <w:numId w:val="36"/>
        </w:numPr>
        <w:rPr>
          <w:spacing w:val="-3"/>
          <w:sz w:val="24"/>
          <w:szCs w:val="24"/>
        </w:rPr>
      </w:pPr>
      <w:r>
        <w:rPr>
          <w:spacing w:val="-3"/>
          <w:sz w:val="24"/>
          <w:szCs w:val="24"/>
        </w:rPr>
        <w:t>The period of the amortization may at the option of the customer, extend at least as long as</w:t>
      </w:r>
      <w:r w:rsidR="00DE4D05">
        <w:rPr>
          <w:spacing w:val="-3"/>
          <w:sz w:val="24"/>
          <w:szCs w:val="24"/>
        </w:rPr>
        <w:t>:</w:t>
      </w:r>
    </w:p>
    <w:p w:rsidR="00A6515F" w:rsidRDefault="00A6515F" w:rsidP="00A6515F">
      <w:pPr>
        <w:pStyle w:val="ListParagraph"/>
        <w:ind w:left="1800"/>
        <w:rPr>
          <w:spacing w:val="-3"/>
          <w:sz w:val="24"/>
          <w:szCs w:val="24"/>
        </w:rPr>
      </w:pPr>
    </w:p>
    <w:p w:rsidR="00DE4D05" w:rsidRDefault="00DE4D05" w:rsidP="00DE4D05">
      <w:pPr>
        <w:pStyle w:val="ListParagraph"/>
        <w:numPr>
          <w:ilvl w:val="0"/>
          <w:numId w:val="37"/>
        </w:numPr>
        <w:spacing w:line="360" w:lineRule="auto"/>
        <w:rPr>
          <w:spacing w:val="-3"/>
          <w:sz w:val="24"/>
          <w:szCs w:val="24"/>
        </w:rPr>
      </w:pPr>
      <w:r>
        <w:rPr>
          <w:spacing w:val="-3"/>
          <w:sz w:val="24"/>
          <w:szCs w:val="24"/>
        </w:rPr>
        <w:t>The period during which the excess amount accrued.</w:t>
      </w:r>
    </w:p>
    <w:p w:rsidR="00A6515F" w:rsidRDefault="00A6515F" w:rsidP="00A6515F">
      <w:pPr>
        <w:pStyle w:val="ListParagraph"/>
        <w:ind w:left="2520"/>
        <w:rPr>
          <w:spacing w:val="-3"/>
          <w:sz w:val="24"/>
          <w:szCs w:val="24"/>
        </w:rPr>
      </w:pPr>
    </w:p>
    <w:p w:rsidR="00DE4D05" w:rsidRDefault="00DE4D05" w:rsidP="00A6515F">
      <w:pPr>
        <w:pStyle w:val="ListParagraph"/>
        <w:numPr>
          <w:ilvl w:val="0"/>
          <w:numId w:val="37"/>
        </w:numPr>
        <w:rPr>
          <w:spacing w:val="-3"/>
          <w:sz w:val="24"/>
          <w:szCs w:val="24"/>
        </w:rPr>
      </w:pPr>
      <w:r>
        <w:rPr>
          <w:spacing w:val="-3"/>
          <w:sz w:val="24"/>
          <w:szCs w:val="24"/>
        </w:rPr>
        <w:t>Necessary so that the quantity of service billed in any one billing period is not greater that the normal estimated quantity for that period plus 50%.</w:t>
      </w:r>
    </w:p>
    <w:p w:rsidR="00A6515F" w:rsidRDefault="00A6515F" w:rsidP="00A6515F">
      <w:pPr>
        <w:pStyle w:val="ListParagraph"/>
        <w:ind w:left="2520"/>
        <w:rPr>
          <w:spacing w:val="-3"/>
          <w:sz w:val="24"/>
          <w:szCs w:val="24"/>
        </w:rPr>
      </w:pPr>
    </w:p>
    <w:p w:rsidR="00C711EB" w:rsidRPr="00DE4D05" w:rsidRDefault="00DE4D05" w:rsidP="00DE4D05">
      <w:pPr>
        <w:spacing w:line="360" w:lineRule="auto"/>
        <w:rPr>
          <w:spacing w:val="-3"/>
          <w:sz w:val="24"/>
          <w:szCs w:val="24"/>
        </w:rPr>
      </w:pPr>
      <w:proofErr w:type="gramStart"/>
      <w:r>
        <w:rPr>
          <w:spacing w:val="-3"/>
          <w:sz w:val="24"/>
          <w:szCs w:val="24"/>
        </w:rPr>
        <w:t xml:space="preserve">52 </w:t>
      </w:r>
      <w:proofErr w:type="spellStart"/>
      <w:r>
        <w:rPr>
          <w:spacing w:val="-3"/>
          <w:sz w:val="24"/>
          <w:szCs w:val="24"/>
        </w:rPr>
        <w:t>Pa.Code</w:t>
      </w:r>
      <w:proofErr w:type="spellEnd"/>
      <w:r>
        <w:rPr>
          <w:spacing w:val="-3"/>
          <w:sz w:val="24"/>
          <w:szCs w:val="24"/>
        </w:rPr>
        <w:t xml:space="preserve"> § 56.14</w:t>
      </w:r>
      <w:r w:rsidR="00A6515F">
        <w:rPr>
          <w:spacing w:val="-3"/>
          <w:sz w:val="24"/>
          <w:szCs w:val="24"/>
        </w:rPr>
        <w:t>.</w:t>
      </w:r>
      <w:proofErr w:type="gramEnd"/>
      <w:r w:rsidR="00C711EB" w:rsidRPr="00DE4D05">
        <w:rPr>
          <w:spacing w:val="-3"/>
          <w:sz w:val="24"/>
          <w:szCs w:val="24"/>
        </w:rPr>
        <w:t xml:space="preserve">  </w:t>
      </w:r>
    </w:p>
    <w:p w:rsidR="005462D5" w:rsidRDefault="005462D5" w:rsidP="0082735C">
      <w:pPr>
        <w:spacing w:line="360" w:lineRule="auto"/>
        <w:ind w:firstLine="1440"/>
        <w:rPr>
          <w:spacing w:val="-3"/>
          <w:sz w:val="24"/>
          <w:szCs w:val="24"/>
        </w:rPr>
      </w:pPr>
    </w:p>
    <w:p w:rsidR="004700F7" w:rsidRDefault="005462D5" w:rsidP="0082735C">
      <w:pPr>
        <w:spacing w:line="360" w:lineRule="auto"/>
        <w:ind w:firstLine="1440"/>
        <w:rPr>
          <w:spacing w:val="-3"/>
          <w:sz w:val="24"/>
          <w:szCs w:val="24"/>
        </w:rPr>
      </w:pPr>
      <w:r>
        <w:rPr>
          <w:spacing w:val="-3"/>
          <w:sz w:val="24"/>
          <w:szCs w:val="24"/>
        </w:rPr>
        <w:t xml:space="preserve">PPL followed the regulation exactly.  </w:t>
      </w:r>
      <w:r w:rsidR="004700F7">
        <w:rPr>
          <w:spacing w:val="-3"/>
          <w:sz w:val="24"/>
          <w:szCs w:val="24"/>
        </w:rPr>
        <w:t>Indeed, t</w:t>
      </w:r>
      <w:r>
        <w:rPr>
          <w:spacing w:val="-3"/>
          <w:sz w:val="24"/>
          <w:szCs w:val="24"/>
        </w:rPr>
        <w:t>he Complainant knew he was receiving a substantially reduced bill</w:t>
      </w:r>
      <w:r w:rsidR="004700F7">
        <w:rPr>
          <w:spacing w:val="-3"/>
          <w:sz w:val="24"/>
          <w:szCs w:val="24"/>
        </w:rPr>
        <w:t xml:space="preserve">, and knew he was using electricity.  The Complainant </w:t>
      </w:r>
      <w:r>
        <w:rPr>
          <w:spacing w:val="-3"/>
          <w:sz w:val="24"/>
          <w:szCs w:val="24"/>
        </w:rPr>
        <w:t>should have contacted PPL to find out why</w:t>
      </w:r>
      <w:r w:rsidR="004700F7">
        <w:rPr>
          <w:spacing w:val="-3"/>
          <w:sz w:val="24"/>
          <w:szCs w:val="24"/>
        </w:rPr>
        <w:t xml:space="preserve"> his bill reflected no </w:t>
      </w:r>
      <w:proofErr w:type="spellStart"/>
      <w:r w:rsidR="004700F7">
        <w:rPr>
          <w:spacing w:val="-3"/>
          <w:sz w:val="24"/>
          <w:szCs w:val="24"/>
        </w:rPr>
        <w:t>kWh</w:t>
      </w:r>
      <w:r w:rsidR="00C468B1">
        <w:rPr>
          <w:spacing w:val="-3"/>
          <w:sz w:val="24"/>
          <w:szCs w:val="24"/>
        </w:rPr>
        <w:t>s</w:t>
      </w:r>
      <w:proofErr w:type="spellEnd"/>
      <w:r w:rsidR="00C468B1">
        <w:rPr>
          <w:spacing w:val="-3"/>
          <w:sz w:val="24"/>
          <w:szCs w:val="24"/>
        </w:rPr>
        <w:t>’</w:t>
      </w:r>
      <w:r>
        <w:rPr>
          <w:spacing w:val="-3"/>
          <w:sz w:val="24"/>
          <w:szCs w:val="24"/>
        </w:rPr>
        <w:t xml:space="preserve"> </w:t>
      </w:r>
      <w:r w:rsidR="00C42137">
        <w:rPr>
          <w:spacing w:val="-3"/>
          <w:sz w:val="24"/>
          <w:szCs w:val="24"/>
        </w:rPr>
        <w:t xml:space="preserve">usage </w:t>
      </w:r>
      <w:r>
        <w:rPr>
          <w:spacing w:val="-3"/>
          <w:sz w:val="24"/>
          <w:szCs w:val="24"/>
        </w:rPr>
        <w:t>and the error would have been discovered sooner</w:t>
      </w:r>
      <w:r w:rsidR="004700F7">
        <w:rPr>
          <w:spacing w:val="-3"/>
          <w:sz w:val="24"/>
          <w:szCs w:val="24"/>
        </w:rPr>
        <w:t>,</w:t>
      </w:r>
      <w:r>
        <w:rPr>
          <w:spacing w:val="-3"/>
          <w:sz w:val="24"/>
          <w:szCs w:val="24"/>
        </w:rPr>
        <w:t xml:space="preserve"> and the Complainant would not have </w:t>
      </w:r>
      <w:r w:rsidR="00C42137">
        <w:rPr>
          <w:spacing w:val="-3"/>
          <w:sz w:val="24"/>
          <w:szCs w:val="24"/>
        </w:rPr>
        <w:t>an</w:t>
      </w:r>
      <w:r>
        <w:rPr>
          <w:spacing w:val="-3"/>
          <w:sz w:val="24"/>
          <w:szCs w:val="24"/>
        </w:rPr>
        <w:t xml:space="preserve"> accrued balance.  </w:t>
      </w:r>
      <w:r w:rsidR="008D45C5">
        <w:rPr>
          <w:spacing w:val="-3"/>
          <w:sz w:val="24"/>
          <w:szCs w:val="24"/>
        </w:rPr>
        <w:t xml:space="preserve">PPL should have uncovered the error before </w:t>
      </w:r>
      <w:r w:rsidR="003B750B">
        <w:rPr>
          <w:spacing w:val="-3"/>
          <w:sz w:val="24"/>
          <w:szCs w:val="24"/>
        </w:rPr>
        <w:t>11</w:t>
      </w:r>
      <w:r w:rsidR="008D45C5">
        <w:rPr>
          <w:spacing w:val="-3"/>
          <w:sz w:val="24"/>
          <w:szCs w:val="24"/>
        </w:rPr>
        <w:t xml:space="preserve"> months passed.  </w:t>
      </w:r>
      <w:r>
        <w:rPr>
          <w:spacing w:val="-3"/>
          <w:sz w:val="24"/>
          <w:szCs w:val="24"/>
        </w:rPr>
        <w:t>Nonetheless, in accordance with the regulation, PPL is entitled to be paid for the electric service</w:t>
      </w:r>
      <w:r w:rsidR="004700F7">
        <w:rPr>
          <w:spacing w:val="-3"/>
          <w:sz w:val="24"/>
          <w:szCs w:val="24"/>
        </w:rPr>
        <w:t xml:space="preserve"> they </w:t>
      </w:r>
      <w:r>
        <w:rPr>
          <w:spacing w:val="-3"/>
          <w:sz w:val="24"/>
          <w:szCs w:val="24"/>
        </w:rPr>
        <w:t>rendered</w:t>
      </w:r>
      <w:r w:rsidR="004700F7">
        <w:rPr>
          <w:spacing w:val="-3"/>
          <w:sz w:val="24"/>
          <w:szCs w:val="24"/>
        </w:rPr>
        <w:t xml:space="preserve"> to the Complainant</w:t>
      </w:r>
      <w:r>
        <w:rPr>
          <w:spacing w:val="-3"/>
          <w:sz w:val="24"/>
          <w:szCs w:val="24"/>
        </w:rPr>
        <w:t xml:space="preserve">.  </w:t>
      </w:r>
      <w:r w:rsidR="00880725">
        <w:rPr>
          <w:spacing w:val="-3"/>
          <w:sz w:val="24"/>
          <w:szCs w:val="24"/>
        </w:rPr>
        <w:t>And, the Complainant is entitled to pay for the accrued balance over an 11</w:t>
      </w:r>
      <w:r w:rsidR="00C468B1">
        <w:rPr>
          <w:spacing w:val="-3"/>
          <w:sz w:val="24"/>
          <w:szCs w:val="24"/>
        </w:rPr>
        <w:t xml:space="preserve"> </w:t>
      </w:r>
      <w:r w:rsidR="00880725">
        <w:rPr>
          <w:spacing w:val="-3"/>
          <w:sz w:val="24"/>
          <w:szCs w:val="24"/>
        </w:rPr>
        <w:t xml:space="preserve">month period.  </w:t>
      </w:r>
      <w:r w:rsidR="008D45C5">
        <w:rPr>
          <w:spacing w:val="-3"/>
          <w:sz w:val="24"/>
          <w:szCs w:val="24"/>
        </w:rPr>
        <w:t>There is nothing in the record to suggest that the Complainant did not use the electric service for which PPL billed him.</w:t>
      </w:r>
    </w:p>
    <w:p w:rsidR="00DE4D05" w:rsidRDefault="00DE4D05" w:rsidP="0082735C">
      <w:pPr>
        <w:spacing w:line="360" w:lineRule="auto"/>
        <w:ind w:firstLine="1440"/>
        <w:rPr>
          <w:spacing w:val="-3"/>
          <w:sz w:val="24"/>
          <w:szCs w:val="24"/>
        </w:rPr>
      </w:pPr>
    </w:p>
    <w:p w:rsidR="00C42137" w:rsidRDefault="00C42137" w:rsidP="00C42137">
      <w:pPr>
        <w:spacing w:line="360" w:lineRule="auto"/>
        <w:rPr>
          <w:spacing w:val="-3"/>
          <w:sz w:val="24"/>
          <w:szCs w:val="24"/>
        </w:rPr>
      </w:pPr>
      <w:r w:rsidRPr="00C42137">
        <w:rPr>
          <w:spacing w:val="-3"/>
          <w:sz w:val="24"/>
          <w:szCs w:val="24"/>
          <w:u w:val="single"/>
        </w:rPr>
        <w:t>Summary</w:t>
      </w:r>
      <w:r>
        <w:rPr>
          <w:spacing w:val="-3"/>
          <w:sz w:val="24"/>
          <w:szCs w:val="24"/>
        </w:rPr>
        <w:t>:</w:t>
      </w:r>
    </w:p>
    <w:p w:rsidR="00995D75" w:rsidRDefault="00995D75" w:rsidP="00C42137">
      <w:pPr>
        <w:spacing w:line="360" w:lineRule="auto"/>
        <w:rPr>
          <w:spacing w:val="-3"/>
          <w:sz w:val="24"/>
          <w:szCs w:val="24"/>
        </w:rPr>
      </w:pPr>
    </w:p>
    <w:p w:rsidR="005462D5" w:rsidRDefault="004700F7" w:rsidP="0082735C">
      <w:pPr>
        <w:spacing w:line="360" w:lineRule="auto"/>
        <w:ind w:firstLine="1440"/>
        <w:rPr>
          <w:spacing w:val="-3"/>
          <w:sz w:val="24"/>
          <w:szCs w:val="24"/>
        </w:rPr>
      </w:pPr>
      <w:r>
        <w:rPr>
          <w:spacing w:val="-3"/>
          <w:sz w:val="24"/>
          <w:szCs w:val="24"/>
        </w:rPr>
        <w:t>The Complainant failed to prove that PPL</w:t>
      </w:r>
      <w:r w:rsidRPr="002325C9">
        <w:rPr>
          <w:spacing w:val="-3"/>
          <w:sz w:val="24"/>
          <w:szCs w:val="24"/>
        </w:rPr>
        <w:t xml:space="preserve"> is responsible or accountable for the problem described in the Complaint.  </w:t>
      </w:r>
      <w:r w:rsidR="00D5693F">
        <w:rPr>
          <w:spacing w:val="-3"/>
          <w:sz w:val="24"/>
          <w:szCs w:val="24"/>
        </w:rPr>
        <w:t>The Complainant is responsible for the accrued bill</w:t>
      </w:r>
      <w:r w:rsidR="00880725">
        <w:rPr>
          <w:spacing w:val="-3"/>
          <w:sz w:val="24"/>
          <w:szCs w:val="24"/>
        </w:rPr>
        <w:t xml:space="preserve"> and is entitled to pay over an 11</w:t>
      </w:r>
      <w:r w:rsidR="00C468B1">
        <w:rPr>
          <w:spacing w:val="-3"/>
          <w:sz w:val="24"/>
          <w:szCs w:val="24"/>
        </w:rPr>
        <w:t xml:space="preserve"> </w:t>
      </w:r>
      <w:r w:rsidR="00880725">
        <w:rPr>
          <w:spacing w:val="-3"/>
          <w:sz w:val="24"/>
          <w:szCs w:val="24"/>
        </w:rPr>
        <w:t>month period.</w:t>
      </w:r>
      <w:r w:rsidR="00D5693F">
        <w:rPr>
          <w:spacing w:val="-3"/>
          <w:sz w:val="24"/>
          <w:szCs w:val="24"/>
        </w:rPr>
        <w:t xml:space="preserve">  </w:t>
      </w:r>
      <w:r w:rsidR="005462D5">
        <w:rPr>
          <w:spacing w:val="-3"/>
          <w:sz w:val="24"/>
          <w:szCs w:val="24"/>
        </w:rPr>
        <w:t>This Formal Complaint will be dismissed in the Order below.</w:t>
      </w:r>
    </w:p>
    <w:p w:rsidR="005E513C" w:rsidRDefault="005E513C" w:rsidP="00995D75">
      <w:pPr>
        <w:spacing w:line="360" w:lineRule="auto"/>
        <w:jc w:val="center"/>
        <w:rPr>
          <w:sz w:val="24"/>
          <w:szCs w:val="24"/>
          <w:u w:val="single"/>
        </w:rPr>
      </w:pPr>
    </w:p>
    <w:p w:rsidR="00186DEA" w:rsidRDefault="00186DEA" w:rsidP="00995D75">
      <w:pPr>
        <w:spacing w:line="360" w:lineRule="auto"/>
        <w:jc w:val="center"/>
        <w:rPr>
          <w:sz w:val="24"/>
          <w:szCs w:val="24"/>
          <w:u w:val="single"/>
        </w:rPr>
      </w:pPr>
    </w:p>
    <w:p w:rsidR="00186DEA" w:rsidRDefault="00186DEA" w:rsidP="00995D75">
      <w:pPr>
        <w:spacing w:line="360" w:lineRule="auto"/>
        <w:jc w:val="center"/>
        <w:rPr>
          <w:sz w:val="24"/>
          <w:szCs w:val="24"/>
          <w:u w:val="single"/>
        </w:rPr>
      </w:pPr>
    </w:p>
    <w:p w:rsidR="00186DEA" w:rsidRDefault="00186DEA" w:rsidP="00995D75">
      <w:pPr>
        <w:spacing w:line="360" w:lineRule="auto"/>
        <w:jc w:val="center"/>
        <w:rPr>
          <w:sz w:val="24"/>
          <w:szCs w:val="24"/>
          <w:u w:val="single"/>
        </w:rPr>
      </w:pPr>
    </w:p>
    <w:p w:rsidR="00CB495C" w:rsidRDefault="00CB495C" w:rsidP="00995D75">
      <w:pPr>
        <w:spacing w:line="360" w:lineRule="auto"/>
        <w:jc w:val="center"/>
        <w:rPr>
          <w:sz w:val="24"/>
          <w:szCs w:val="24"/>
          <w:u w:val="single"/>
        </w:rPr>
      </w:pPr>
      <w:r w:rsidRPr="00DC4452">
        <w:rPr>
          <w:sz w:val="24"/>
          <w:szCs w:val="24"/>
          <w:u w:val="single"/>
        </w:rPr>
        <w:lastRenderedPageBreak/>
        <w:t>CONCLUSIONS OF LAW</w:t>
      </w:r>
    </w:p>
    <w:p w:rsidR="005462D5" w:rsidRPr="005462D5" w:rsidRDefault="005462D5" w:rsidP="00995D75">
      <w:pPr>
        <w:spacing w:line="360" w:lineRule="auto"/>
        <w:jc w:val="center"/>
        <w:rPr>
          <w:sz w:val="24"/>
          <w:szCs w:val="24"/>
        </w:rPr>
      </w:pPr>
    </w:p>
    <w:p w:rsidR="005462D5" w:rsidRDefault="005462D5" w:rsidP="00995D75">
      <w:pPr>
        <w:pStyle w:val="ListParagraph"/>
        <w:numPr>
          <w:ilvl w:val="0"/>
          <w:numId w:val="34"/>
        </w:numPr>
        <w:spacing w:line="360" w:lineRule="auto"/>
        <w:ind w:left="0" w:firstLine="1440"/>
        <w:rPr>
          <w:sz w:val="24"/>
          <w:szCs w:val="24"/>
        </w:rPr>
      </w:pPr>
      <w:r w:rsidRPr="005462D5">
        <w:rPr>
          <w:sz w:val="24"/>
          <w:szCs w:val="24"/>
        </w:rPr>
        <w:t>The Commission has jurisdiction over the subject matter and the parties.</w:t>
      </w:r>
      <w:r>
        <w:rPr>
          <w:sz w:val="24"/>
          <w:szCs w:val="24"/>
        </w:rPr>
        <w:t xml:space="preserve">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701.</w:t>
      </w:r>
    </w:p>
    <w:p w:rsidR="005462D5" w:rsidRDefault="005462D5" w:rsidP="00995D75">
      <w:pPr>
        <w:pStyle w:val="ListParagraph"/>
        <w:spacing w:line="360" w:lineRule="auto"/>
        <w:ind w:left="1440"/>
        <w:rPr>
          <w:sz w:val="24"/>
          <w:szCs w:val="24"/>
        </w:rPr>
      </w:pPr>
    </w:p>
    <w:p w:rsidR="005F3462" w:rsidRPr="005F3462" w:rsidRDefault="005462D5" w:rsidP="005F3462">
      <w:pPr>
        <w:pStyle w:val="ListParagraph"/>
        <w:numPr>
          <w:ilvl w:val="0"/>
          <w:numId w:val="34"/>
        </w:numPr>
        <w:spacing w:line="360" w:lineRule="auto"/>
        <w:ind w:left="0" w:firstLine="1440"/>
        <w:rPr>
          <w:sz w:val="24"/>
          <w:szCs w:val="24"/>
        </w:rPr>
      </w:pPr>
      <w:r>
        <w:rPr>
          <w:sz w:val="24"/>
          <w:szCs w:val="24"/>
        </w:rPr>
        <w:t xml:space="preserve">The Complainant bears the burden of proof.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332(a).</w:t>
      </w:r>
      <w:r w:rsidR="005F3462" w:rsidRPr="005F3462">
        <w:rPr>
          <w:spacing w:val="-3"/>
          <w:sz w:val="24"/>
          <w:szCs w:val="24"/>
        </w:rPr>
        <w:t xml:space="preserve"> </w:t>
      </w:r>
    </w:p>
    <w:p w:rsidR="005F3462" w:rsidRPr="005F3462" w:rsidRDefault="005F3462" w:rsidP="00FE144A">
      <w:pPr>
        <w:pStyle w:val="ListParagraph"/>
        <w:spacing w:line="360" w:lineRule="auto"/>
        <w:ind w:left="0" w:firstLine="1440"/>
        <w:rPr>
          <w:spacing w:val="-3"/>
          <w:sz w:val="24"/>
          <w:szCs w:val="24"/>
        </w:rPr>
      </w:pPr>
      <w:bookmarkStart w:id="0" w:name="_GoBack"/>
      <w:bookmarkEnd w:id="0"/>
    </w:p>
    <w:p w:rsidR="005F3462" w:rsidRDefault="005F3462" w:rsidP="005F3462">
      <w:pPr>
        <w:pStyle w:val="ListParagraph"/>
        <w:numPr>
          <w:ilvl w:val="0"/>
          <w:numId w:val="34"/>
        </w:numPr>
        <w:spacing w:line="360" w:lineRule="auto"/>
        <w:ind w:left="0" w:firstLine="1440"/>
        <w:rPr>
          <w:sz w:val="24"/>
          <w:szCs w:val="24"/>
        </w:rPr>
      </w:pPr>
      <w:r>
        <w:rPr>
          <w:spacing w:val="-3"/>
          <w:sz w:val="24"/>
          <w:szCs w:val="24"/>
        </w:rPr>
        <w:t xml:space="preserve">The Complainant failed to meet his burden of proof.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332(a).</w:t>
      </w:r>
    </w:p>
    <w:p w:rsidR="005462D5" w:rsidRPr="005462D5" w:rsidRDefault="005462D5" w:rsidP="00995D75">
      <w:pPr>
        <w:pStyle w:val="ListParagraph"/>
        <w:spacing w:line="360" w:lineRule="auto"/>
        <w:rPr>
          <w:sz w:val="24"/>
          <w:szCs w:val="24"/>
        </w:rPr>
      </w:pPr>
    </w:p>
    <w:p w:rsidR="005462D5" w:rsidRDefault="005462D5" w:rsidP="00995D75">
      <w:pPr>
        <w:pStyle w:val="ListParagraph"/>
        <w:numPr>
          <w:ilvl w:val="0"/>
          <w:numId w:val="34"/>
        </w:numPr>
        <w:spacing w:line="360" w:lineRule="auto"/>
        <w:ind w:left="0" w:firstLine="1440"/>
        <w:rPr>
          <w:spacing w:val="-3"/>
          <w:sz w:val="24"/>
          <w:szCs w:val="24"/>
        </w:rPr>
      </w:pPr>
      <w:r w:rsidRPr="005462D5">
        <w:rPr>
          <w:spacing w:val="-3"/>
          <w:sz w:val="24"/>
          <w:szCs w:val="24"/>
        </w:rPr>
        <w:t xml:space="preserve">When the actual meter reading establishes that the customer was </w:t>
      </w:r>
      <w:proofErr w:type="spellStart"/>
      <w:r w:rsidRPr="005462D5">
        <w:rPr>
          <w:spacing w:val="-3"/>
          <w:sz w:val="24"/>
          <w:szCs w:val="24"/>
        </w:rPr>
        <w:t>underbilled</w:t>
      </w:r>
      <w:proofErr w:type="spellEnd"/>
      <w:r w:rsidRPr="005462D5">
        <w:rPr>
          <w:spacing w:val="-3"/>
          <w:sz w:val="24"/>
          <w:szCs w:val="24"/>
        </w:rPr>
        <w:t xml:space="preserve"> due to an error in the registration of the remote reading device, the public utility may render a bill for the uncollected amount.  52 </w:t>
      </w:r>
      <w:proofErr w:type="spellStart"/>
      <w:r w:rsidRPr="005462D5">
        <w:rPr>
          <w:spacing w:val="-3"/>
          <w:sz w:val="24"/>
          <w:szCs w:val="24"/>
        </w:rPr>
        <w:t>Pa.Code</w:t>
      </w:r>
      <w:proofErr w:type="spellEnd"/>
      <w:r w:rsidRPr="005462D5">
        <w:rPr>
          <w:spacing w:val="-3"/>
          <w:sz w:val="24"/>
          <w:szCs w:val="24"/>
        </w:rPr>
        <w:t xml:space="preserve"> §</w:t>
      </w:r>
      <w:r w:rsidR="00813AAF">
        <w:rPr>
          <w:spacing w:val="-3"/>
          <w:sz w:val="24"/>
          <w:szCs w:val="24"/>
        </w:rPr>
        <w:t xml:space="preserve"> </w:t>
      </w:r>
      <w:r w:rsidRPr="005462D5">
        <w:rPr>
          <w:spacing w:val="-3"/>
          <w:sz w:val="24"/>
          <w:szCs w:val="24"/>
        </w:rPr>
        <w:t>56.12(5</w:t>
      </w:r>
      <w:proofErr w:type="gramStart"/>
      <w:r w:rsidRPr="005462D5">
        <w:rPr>
          <w:spacing w:val="-3"/>
          <w:sz w:val="24"/>
          <w:szCs w:val="24"/>
        </w:rPr>
        <w:t>)(</w:t>
      </w:r>
      <w:proofErr w:type="gramEnd"/>
      <w:r w:rsidRPr="005462D5">
        <w:rPr>
          <w:spacing w:val="-3"/>
          <w:sz w:val="24"/>
          <w:szCs w:val="24"/>
        </w:rPr>
        <w:t>ii).</w:t>
      </w:r>
    </w:p>
    <w:p w:rsidR="004700F7" w:rsidRPr="004700F7" w:rsidRDefault="004700F7" w:rsidP="00995D75">
      <w:pPr>
        <w:pStyle w:val="ListParagraph"/>
        <w:spacing w:line="360" w:lineRule="auto"/>
        <w:rPr>
          <w:spacing w:val="-3"/>
          <w:sz w:val="24"/>
          <w:szCs w:val="24"/>
        </w:rPr>
      </w:pPr>
    </w:p>
    <w:p w:rsidR="00DE4D05" w:rsidRDefault="00DE4D05" w:rsidP="00DE4D05">
      <w:pPr>
        <w:pStyle w:val="ListParagraph"/>
        <w:numPr>
          <w:ilvl w:val="0"/>
          <w:numId w:val="34"/>
        </w:numPr>
        <w:spacing w:line="360" w:lineRule="auto"/>
        <w:ind w:left="0" w:firstLine="1440"/>
        <w:rPr>
          <w:spacing w:val="-3"/>
          <w:sz w:val="24"/>
          <w:szCs w:val="24"/>
        </w:rPr>
      </w:pPr>
      <w:r w:rsidRPr="00DE4D05">
        <w:rPr>
          <w:sz w:val="24"/>
          <w:szCs w:val="24"/>
        </w:rPr>
        <w:t xml:space="preserve"> </w:t>
      </w:r>
      <w:r w:rsidRPr="00DE4D05">
        <w:rPr>
          <w:spacing w:val="-3"/>
          <w:sz w:val="24"/>
          <w:szCs w:val="24"/>
        </w:rPr>
        <w:t xml:space="preserve">When a public utility renders a make-up bill for previously unbilled public utility service which accrued within the past </w:t>
      </w:r>
      <w:r w:rsidR="003B750B">
        <w:rPr>
          <w:spacing w:val="-3"/>
          <w:sz w:val="24"/>
          <w:szCs w:val="24"/>
        </w:rPr>
        <w:t>four</w:t>
      </w:r>
      <w:r w:rsidRPr="00DE4D05">
        <w:rPr>
          <w:spacing w:val="-3"/>
          <w:sz w:val="24"/>
          <w:szCs w:val="24"/>
        </w:rPr>
        <w:t xml:space="preserve"> years resulting from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the greater:</w:t>
      </w:r>
    </w:p>
    <w:p w:rsidR="00C67479" w:rsidRPr="00DE4D05" w:rsidRDefault="00C67479" w:rsidP="00C67479">
      <w:pPr>
        <w:pStyle w:val="ListParagraph"/>
        <w:ind w:left="1440"/>
        <w:rPr>
          <w:spacing w:val="-3"/>
          <w:sz w:val="24"/>
          <w:szCs w:val="24"/>
        </w:rPr>
      </w:pPr>
    </w:p>
    <w:p w:rsidR="00DE4D05" w:rsidRDefault="00DE4D05" w:rsidP="00C67479">
      <w:pPr>
        <w:pStyle w:val="ListParagraph"/>
        <w:numPr>
          <w:ilvl w:val="0"/>
          <w:numId w:val="38"/>
        </w:numPr>
        <w:rPr>
          <w:spacing w:val="-3"/>
          <w:sz w:val="24"/>
          <w:szCs w:val="24"/>
        </w:rPr>
      </w:pPr>
      <w:r>
        <w:rPr>
          <w:spacing w:val="-3"/>
          <w:sz w:val="24"/>
          <w:szCs w:val="24"/>
        </w:rPr>
        <w:t>The public utility shall explain the bill to the customer and make a reasonable attempt to amortize the bill.</w:t>
      </w:r>
    </w:p>
    <w:p w:rsidR="00C67479" w:rsidRDefault="00C67479" w:rsidP="00C67479">
      <w:pPr>
        <w:pStyle w:val="ListParagraph"/>
        <w:ind w:left="1800"/>
        <w:rPr>
          <w:spacing w:val="-3"/>
          <w:sz w:val="24"/>
          <w:szCs w:val="24"/>
        </w:rPr>
      </w:pPr>
    </w:p>
    <w:p w:rsidR="00DE4D05" w:rsidRDefault="00DE4D05" w:rsidP="00C67479">
      <w:pPr>
        <w:pStyle w:val="ListParagraph"/>
        <w:numPr>
          <w:ilvl w:val="0"/>
          <w:numId w:val="38"/>
        </w:numPr>
        <w:rPr>
          <w:spacing w:val="-3"/>
          <w:sz w:val="24"/>
          <w:szCs w:val="24"/>
        </w:rPr>
      </w:pPr>
      <w:r>
        <w:rPr>
          <w:spacing w:val="-3"/>
          <w:sz w:val="24"/>
          <w:szCs w:val="24"/>
        </w:rPr>
        <w:t>The period of the amortization may at the option of the customer, extend at least as long as:</w:t>
      </w:r>
    </w:p>
    <w:p w:rsidR="00C67479" w:rsidRDefault="00C67479" w:rsidP="00C67479">
      <w:pPr>
        <w:pStyle w:val="ListParagraph"/>
        <w:ind w:left="1800"/>
        <w:rPr>
          <w:spacing w:val="-3"/>
          <w:sz w:val="24"/>
          <w:szCs w:val="24"/>
        </w:rPr>
      </w:pPr>
    </w:p>
    <w:p w:rsidR="00DE4D05" w:rsidRDefault="00DE4D05" w:rsidP="00DE4D05">
      <w:pPr>
        <w:pStyle w:val="ListParagraph"/>
        <w:numPr>
          <w:ilvl w:val="0"/>
          <w:numId w:val="39"/>
        </w:numPr>
        <w:spacing w:line="360" w:lineRule="auto"/>
        <w:rPr>
          <w:spacing w:val="-3"/>
          <w:sz w:val="24"/>
          <w:szCs w:val="24"/>
        </w:rPr>
      </w:pPr>
      <w:r>
        <w:rPr>
          <w:spacing w:val="-3"/>
          <w:sz w:val="24"/>
          <w:szCs w:val="24"/>
        </w:rPr>
        <w:t>The period during which the excess amount accrued.</w:t>
      </w:r>
    </w:p>
    <w:p w:rsidR="00C67479" w:rsidRDefault="00C67479" w:rsidP="00C67479">
      <w:pPr>
        <w:pStyle w:val="ListParagraph"/>
        <w:ind w:left="2520"/>
        <w:rPr>
          <w:spacing w:val="-3"/>
          <w:sz w:val="24"/>
          <w:szCs w:val="24"/>
        </w:rPr>
      </w:pPr>
    </w:p>
    <w:p w:rsidR="00DE4D05" w:rsidRDefault="00DE4D05" w:rsidP="00C67479">
      <w:pPr>
        <w:pStyle w:val="ListParagraph"/>
        <w:numPr>
          <w:ilvl w:val="0"/>
          <w:numId w:val="39"/>
        </w:numPr>
        <w:rPr>
          <w:spacing w:val="-3"/>
          <w:sz w:val="24"/>
          <w:szCs w:val="24"/>
        </w:rPr>
      </w:pPr>
      <w:r>
        <w:rPr>
          <w:spacing w:val="-3"/>
          <w:sz w:val="24"/>
          <w:szCs w:val="24"/>
        </w:rPr>
        <w:t>Necessary so that the quantity of service billed in any one billing period is not greater that the normal estimated quantity for that period plus 50%.</w:t>
      </w:r>
    </w:p>
    <w:p w:rsidR="00C67479" w:rsidRDefault="00C67479" w:rsidP="00C67479">
      <w:pPr>
        <w:pStyle w:val="ListParagraph"/>
        <w:ind w:left="2520"/>
        <w:rPr>
          <w:spacing w:val="-3"/>
          <w:sz w:val="24"/>
          <w:szCs w:val="24"/>
        </w:rPr>
      </w:pPr>
    </w:p>
    <w:p w:rsidR="00DE4D05" w:rsidRDefault="00DE4D05" w:rsidP="00DE4D05">
      <w:pPr>
        <w:spacing w:line="360" w:lineRule="auto"/>
        <w:rPr>
          <w:spacing w:val="-3"/>
          <w:sz w:val="24"/>
          <w:szCs w:val="24"/>
        </w:rPr>
      </w:pPr>
      <w:proofErr w:type="gramStart"/>
      <w:r>
        <w:rPr>
          <w:spacing w:val="-3"/>
          <w:sz w:val="24"/>
          <w:szCs w:val="24"/>
        </w:rPr>
        <w:t xml:space="preserve">52 </w:t>
      </w:r>
      <w:proofErr w:type="spellStart"/>
      <w:r>
        <w:rPr>
          <w:spacing w:val="-3"/>
          <w:sz w:val="24"/>
          <w:szCs w:val="24"/>
        </w:rPr>
        <w:t>Pa.Code</w:t>
      </w:r>
      <w:proofErr w:type="spellEnd"/>
      <w:r>
        <w:rPr>
          <w:spacing w:val="-3"/>
          <w:sz w:val="24"/>
          <w:szCs w:val="24"/>
        </w:rPr>
        <w:t xml:space="preserve"> § 56.14.</w:t>
      </w:r>
      <w:proofErr w:type="gramEnd"/>
      <w:r w:rsidRPr="00DE4D05">
        <w:rPr>
          <w:spacing w:val="-3"/>
          <w:sz w:val="24"/>
          <w:szCs w:val="24"/>
        </w:rPr>
        <w:t xml:space="preserve">  </w:t>
      </w:r>
    </w:p>
    <w:p w:rsidR="00C67479" w:rsidRDefault="00C67479" w:rsidP="00DE4D05">
      <w:pPr>
        <w:spacing w:line="360" w:lineRule="auto"/>
        <w:rPr>
          <w:spacing w:val="-3"/>
          <w:sz w:val="24"/>
          <w:szCs w:val="24"/>
        </w:rPr>
      </w:pPr>
    </w:p>
    <w:p w:rsidR="00880725" w:rsidRPr="00880725" w:rsidRDefault="00880725" w:rsidP="00880725">
      <w:pPr>
        <w:pStyle w:val="ListParagraph"/>
        <w:numPr>
          <w:ilvl w:val="0"/>
          <w:numId w:val="41"/>
        </w:numPr>
        <w:spacing w:line="360" w:lineRule="auto"/>
        <w:ind w:left="0" w:firstLine="1440"/>
        <w:rPr>
          <w:spacing w:val="-3"/>
          <w:sz w:val="24"/>
          <w:szCs w:val="24"/>
        </w:rPr>
      </w:pPr>
      <w:r>
        <w:rPr>
          <w:spacing w:val="-3"/>
          <w:sz w:val="24"/>
          <w:szCs w:val="24"/>
        </w:rPr>
        <w:t>The Complainant must pay his regular monthly bill plus 1/11</w:t>
      </w:r>
      <w:r w:rsidRPr="00880725">
        <w:rPr>
          <w:spacing w:val="-3"/>
          <w:sz w:val="24"/>
          <w:szCs w:val="24"/>
          <w:vertAlign w:val="superscript"/>
        </w:rPr>
        <w:t>th</w:t>
      </w:r>
      <w:r>
        <w:rPr>
          <w:spacing w:val="-3"/>
          <w:sz w:val="24"/>
          <w:szCs w:val="24"/>
        </w:rPr>
        <w:t xml:space="preserve"> of the make</w:t>
      </w:r>
      <w:r w:rsidR="003B750B">
        <w:rPr>
          <w:spacing w:val="-3"/>
          <w:sz w:val="24"/>
          <w:szCs w:val="24"/>
        </w:rPr>
        <w:noBreakHyphen/>
      </w:r>
      <w:r>
        <w:rPr>
          <w:spacing w:val="-3"/>
          <w:sz w:val="24"/>
          <w:szCs w:val="24"/>
        </w:rPr>
        <w:t>up bill each month.</w:t>
      </w:r>
    </w:p>
    <w:p w:rsidR="00CB495C" w:rsidRDefault="00CB495C" w:rsidP="00995D75">
      <w:pPr>
        <w:spacing w:line="360" w:lineRule="auto"/>
        <w:jc w:val="center"/>
        <w:rPr>
          <w:sz w:val="24"/>
          <w:szCs w:val="24"/>
          <w:u w:val="single"/>
        </w:rPr>
      </w:pPr>
      <w:r w:rsidRPr="00DC4452">
        <w:rPr>
          <w:sz w:val="24"/>
          <w:szCs w:val="24"/>
          <w:u w:val="single"/>
        </w:rPr>
        <w:lastRenderedPageBreak/>
        <w:t>ORDER</w:t>
      </w:r>
    </w:p>
    <w:p w:rsidR="00995D75" w:rsidRPr="00DC4452" w:rsidRDefault="00995D75" w:rsidP="00995D75">
      <w:pPr>
        <w:spacing w:line="360" w:lineRule="auto"/>
        <w:jc w:val="center"/>
        <w:rPr>
          <w:sz w:val="24"/>
          <w:szCs w:val="24"/>
          <w:u w:val="single"/>
        </w:rPr>
      </w:pPr>
    </w:p>
    <w:p w:rsidR="005C3634" w:rsidRDefault="005C3634" w:rsidP="00CB495C">
      <w:pPr>
        <w:jc w:val="center"/>
        <w:rPr>
          <w:sz w:val="24"/>
          <w:szCs w:val="24"/>
          <w:u w:val="single"/>
        </w:rPr>
      </w:pPr>
    </w:p>
    <w:p w:rsidR="00BE5F2D" w:rsidRDefault="00995D75" w:rsidP="00995D75">
      <w:pPr>
        <w:spacing w:line="360" w:lineRule="auto"/>
        <w:rPr>
          <w:sz w:val="24"/>
          <w:szCs w:val="24"/>
        </w:rPr>
      </w:pPr>
      <w:r>
        <w:rPr>
          <w:sz w:val="24"/>
          <w:szCs w:val="24"/>
        </w:rPr>
        <w:tab/>
      </w:r>
      <w:r>
        <w:rPr>
          <w:sz w:val="24"/>
          <w:szCs w:val="24"/>
        </w:rPr>
        <w:tab/>
      </w:r>
      <w:r w:rsidR="00BE5F2D">
        <w:rPr>
          <w:sz w:val="24"/>
          <w:szCs w:val="24"/>
        </w:rPr>
        <w:t>THEREFORE,</w:t>
      </w:r>
    </w:p>
    <w:p w:rsidR="00BE5F2D" w:rsidRDefault="00BE5F2D" w:rsidP="00995D75">
      <w:pPr>
        <w:spacing w:line="360" w:lineRule="auto"/>
        <w:rPr>
          <w:sz w:val="24"/>
          <w:szCs w:val="24"/>
        </w:rPr>
      </w:pPr>
    </w:p>
    <w:p w:rsidR="00BE5F2D" w:rsidRDefault="00995D75" w:rsidP="00995D75">
      <w:pPr>
        <w:spacing w:line="360" w:lineRule="auto"/>
        <w:rPr>
          <w:sz w:val="24"/>
          <w:szCs w:val="24"/>
        </w:rPr>
      </w:pPr>
      <w:r>
        <w:rPr>
          <w:sz w:val="24"/>
          <w:szCs w:val="24"/>
        </w:rPr>
        <w:tab/>
      </w:r>
      <w:r>
        <w:rPr>
          <w:sz w:val="24"/>
          <w:szCs w:val="24"/>
        </w:rPr>
        <w:tab/>
      </w:r>
      <w:r w:rsidR="00BE5F2D">
        <w:rPr>
          <w:sz w:val="24"/>
          <w:szCs w:val="24"/>
        </w:rPr>
        <w:t>IT IS ORDERED</w:t>
      </w:r>
      <w:r w:rsidR="005E78AE">
        <w:rPr>
          <w:sz w:val="24"/>
          <w:szCs w:val="24"/>
        </w:rPr>
        <w:t>:</w:t>
      </w:r>
    </w:p>
    <w:p w:rsidR="004700F7" w:rsidRDefault="004700F7" w:rsidP="00995D75">
      <w:pPr>
        <w:spacing w:line="360" w:lineRule="auto"/>
        <w:rPr>
          <w:sz w:val="24"/>
          <w:szCs w:val="24"/>
        </w:rPr>
      </w:pPr>
    </w:p>
    <w:p w:rsidR="004700F7" w:rsidRDefault="004700F7" w:rsidP="00905D46">
      <w:pPr>
        <w:pStyle w:val="ListParagraph"/>
        <w:numPr>
          <w:ilvl w:val="0"/>
          <w:numId w:val="35"/>
        </w:numPr>
        <w:spacing w:line="360" w:lineRule="auto"/>
        <w:ind w:left="0" w:firstLine="1440"/>
        <w:rPr>
          <w:sz w:val="24"/>
          <w:szCs w:val="24"/>
        </w:rPr>
      </w:pPr>
      <w:r>
        <w:rPr>
          <w:sz w:val="24"/>
          <w:szCs w:val="24"/>
        </w:rPr>
        <w:t xml:space="preserve">That the Formal Complaint of Cornelius Mahon is </w:t>
      </w:r>
      <w:r w:rsidR="00E25BF3">
        <w:rPr>
          <w:sz w:val="24"/>
          <w:szCs w:val="24"/>
        </w:rPr>
        <w:t xml:space="preserve">denied and </w:t>
      </w:r>
      <w:r>
        <w:rPr>
          <w:sz w:val="24"/>
          <w:szCs w:val="24"/>
        </w:rPr>
        <w:t>dismissed.</w:t>
      </w:r>
    </w:p>
    <w:p w:rsidR="00C42137" w:rsidRDefault="00C42137" w:rsidP="00995D75">
      <w:pPr>
        <w:pStyle w:val="ListParagraph"/>
        <w:spacing w:line="360" w:lineRule="auto"/>
        <w:ind w:left="1350"/>
        <w:rPr>
          <w:sz w:val="24"/>
          <w:szCs w:val="24"/>
        </w:rPr>
      </w:pPr>
    </w:p>
    <w:p w:rsidR="004700F7" w:rsidRPr="004700F7" w:rsidRDefault="004700F7" w:rsidP="00041B89">
      <w:pPr>
        <w:pStyle w:val="ListParagraph"/>
        <w:numPr>
          <w:ilvl w:val="0"/>
          <w:numId w:val="35"/>
        </w:numPr>
        <w:ind w:left="0" w:firstLine="1440"/>
        <w:rPr>
          <w:sz w:val="24"/>
          <w:szCs w:val="24"/>
        </w:rPr>
      </w:pPr>
      <w:r>
        <w:rPr>
          <w:sz w:val="24"/>
          <w:szCs w:val="24"/>
        </w:rPr>
        <w:t>That the Secretary’s Bureau shall mark Docket No. F-2016-2522267 closed.</w:t>
      </w:r>
    </w:p>
    <w:p w:rsidR="004700F7" w:rsidRPr="00BE5F2D" w:rsidRDefault="004700F7" w:rsidP="00BE5F2D">
      <w:pPr>
        <w:rPr>
          <w:sz w:val="24"/>
          <w:szCs w:val="24"/>
        </w:rPr>
      </w:pPr>
    </w:p>
    <w:p w:rsidR="005C3634" w:rsidRDefault="005C3634" w:rsidP="00CB495C">
      <w:pPr>
        <w:jc w:val="center"/>
        <w:rPr>
          <w:sz w:val="24"/>
          <w:szCs w:val="24"/>
          <w:u w:val="single"/>
        </w:rPr>
      </w:pPr>
    </w:p>
    <w:p w:rsidR="00821287" w:rsidRDefault="00821287" w:rsidP="00CB495C">
      <w:pPr>
        <w:jc w:val="center"/>
        <w:rPr>
          <w:sz w:val="24"/>
          <w:szCs w:val="24"/>
          <w:u w:val="single"/>
        </w:rPr>
      </w:pPr>
    </w:p>
    <w:p w:rsidR="00BE5F2D" w:rsidRPr="00BE5F2D" w:rsidRDefault="00BE5F2D" w:rsidP="00BE5F2D">
      <w:pPr>
        <w:spacing w:line="360" w:lineRule="auto"/>
        <w:rPr>
          <w:sz w:val="24"/>
          <w:szCs w:val="24"/>
        </w:rPr>
      </w:pPr>
    </w:p>
    <w:p w:rsidR="00E0337C" w:rsidRDefault="005C3634" w:rsidP="00E0337C">
      <w:r w:rsidRPr="00995D75">
        <w:rPr>
          <w:sz w:val="24"/>
          <w:szCs w:val="24"/>
        </w:rPr>
        <w:t>Date:</w:t>
      </w:r>
      <w:r w:rsidR="00995D75">
        <w:rPr>
          <w:sz w:val="24"/>
          <w:szCs w:val="24"/>
        </w:rPr>
        <w:t xml:space="preserve">  </w:t>
      </w:r>
      <w:r w:rsidR="00AF12DA" w:rsidRPr="00995D75">
        <w:rPr>
          <w:sz w:val="24"/>
          <w:szCs w:val="24"/>
          <w:u w:val="single"/>
        </w:rPr>
        <w:t>April 2</w:t>
      </w:r>
      <w:r w:rsidR="00995D75">
        <w:rPr>
          <w:sz w:val="24"/>
          <w:szCs w:val="24"/>
          <w:u w:val="single"/>
        </w:rPr>
        <w:t>8</w:t>
      </w:r>
      <w:r w:rsidR="00AF12DA" w:rsidRPr="00995D75">
        <w:rPr>
          <w:sz w:val="24"/>
          <w:szCs w:val="24"/>
          <w:u w:val="single"/>
        </w:rPr>
        <w:t>, 2016</w:t>
      </w:r>
      <w:r>
        <w:rPr>
          <w:sz w:val="24"/>
          <w:szCs w:val="24"/>
        </w:rPr>
        <w:tab/>
      </w:r>
      <w:r>
        <w:rPr>
          <w:sz w:val="24"/>
          <w:szCs w:val="24"/>
        </w:rPr>
        <w:tab/>
      </w:r>
      <w:r>
        <w:rPr>
          <w:sz w:val="24"/>
          <w:szCs w:val="24"/>
        </w:rPr>
        <w:tab/>
      </w:r>
      <w:r>
        <w:rPr>
          <w:sz w:val="24"/>
          <w:szCs w:val="24"/>
        </w:rPr>
        <w:tab/>
      </w:r>
      <w:r w:rsidR="00DC4452">
        <w:rPr>
          <w:sz w:val="24"/>
          <w:szCs w:val="24"/>
        </w:rPr>
        <w:tab/>
      </w:r>
      <w:r w:rsidR="00E0337C">
        <w:rPr>
          <w:u w:val="single"/>
        </w:rPr>
        <w:tab/>
      </w:r>
      <w:r w:rsidR="00E0337C">
        <w:rPr>
          <w:u w:val="single"/>
        </w:rPr>
        <w:tab/>
      </w:r>
      <w:r w:rsidR="00E0337C" w:rsidRPr="00E0337C">
        <w:rPr>
          <w:sz w:val="24"/>
          <w:szCs w:val="24"/>
          <w:u w:val="single"/>
        </w:rPr>
        <w:t>/s/</w:t>
      </w:r>
      <w:r w:rsidR="00E0337C">
        <w:rPr>
          <w:u w:val="single"/>
        </w:rPr>
        <w:tab/>
      </w:r>
      <w:r w:rsidR="00E0337C">
        <w:rPr>
          <w:u w:val="single"/>
        </w:rPr>
        <w:tab/>
      </w:r>
      <w:r w:rsidR="00E0337C">
        <w:rPr>
          <w:u w:val="single"/>
        </w:rPr>
        <w:tab/>
      </w:r>
      <w:r w:rsidR="00E0337C">
        <w:rPr>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C1" w:rsidRDefault="00184EC1">
      <w:r>
        <w:separator/>
      </w:r>
    </w:p>
  </w:endnote>
  <w:endnote w:type="continuationSeparator" w:id="0">
    <w:p w:rsidR="00184EC1" w:rsidRDefault="0018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FE144A">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C1" w:rsidRDefault="00184EC1">
      <w:r>
        <w:separator/>
      </w:r>
    </w:p>
  </w:footnote>
  <w:footnote w:type="continuationSeparator" w:id="0">
    <w:p w:rsidR="00184EC1" w:rsidRDefault="00184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1BA8"/>
    <w:multiLevelType w:val="hybridMultilevel"/>
    <w:tmpl w:val="5F9421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C755F5"/>
    <w:multiLevelType w:val="hybridMultilevel"/>
    <w:tmpl w:val="A626AE6A"/>
    <w:lvl w:ilvl="0" w:tplc="773E2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E1209"/>
    <w:multiLevelType w:val="hybridMultilevel"/>
    <w:tmpl w:val="41A4B53C"/>
    <w:lvl w:ilvl="0" w:tplc="E74E2060">
      <w:start w:val="1"/>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0A27606"/>
    <w:multiLevelType w:val="hybridMultilevel"/>
    <w:tmpl w:val="E8C8FC26"/>
    <w:lvl w:ilvl="0" w:tplc="479A673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02100AC"/>
    <w:multiLevelType w:val="hybridMultilevel"/>
    <w:tmpl w:val="47227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F1414"/>
    <w:multiLevelType w:val="hybridMultilevel"/>
    <w:tmpl w:val="0952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nsid w:val="653859B0"/>
    <w:multiLevelType w:val="hybridMultilevel"/>
    <w:tmpl w:val="CF2E9CEE"/>
    <w:lvl w:ilvl="0" w:tplc="4510F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D09B6"/>
    <w:multiLevelType w:val="hybridMultilevel"/>
    <w:tmpl w:val="21A40302"/>
    <w:lvl w:ilvl="0" w:tplc="D500E55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A3A66FA"/>
    <w:multiLevelType w:val="hybridMultilevel"/>
    <w:tmpl w:val="C5DC19B6"/>
    <w:lvl w:ilvl="0" w:tplc="FB1298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1"/>
  </w:num>
  <w:num w:numId="3">
    <w:abstractNumId w:val="26"/>
  </w:num>
  <w:num w:numId="4">
    <w:abstractNumId w:val="2"/>
  </w:num>
  <w:num w:numId="5">
    <w:abstractNumId w:val="21"/>
  </w:num>
  <w:num w:numId="6">
    <w:abstractNumId w:val="13"/>
  </w:num>
  <w:num w:numId="7">
    <w:abstractNumId w:val="8"/>
  </w:num>
  <w:num w:numId="8">
    <w:abstractNumId w:val="0"/>
  </w:num>
  <w:num w:numId="9">
    <w:abstractNumId w:val="22"/>
  </w:num>
  <w:num w:numId="10">
    <w:abstractNumId w:val="27"/>
  </w:num>
  <w:num w:numId="11">
    <w:abstractNumId w:val="25"/>
  </w:num>
  <w:num w:numId="12">
    <w:abstractNumId w:val="40"/>
  </w:num>
  <w:num w:numId="13">
    <w:abstractNumId w:val="1"/>
  </w:num>
  <w:num w:numId="14">
    <w:abstractNumId w:val="9"/>
  </w:num>
  <w:num w:numId="15">
    <w:abstractNumId w:val="32"/>
  </w:num>
  <w:num w:numId="16">
    <w:abstractNumId w:val="36"/>
  </w:num>
  <w:num w:numId="17">
    <w:abstractNumId w:val="15"/>
  </w:num>
  <w:num w:numId="18">
    <w:abstractNumId w:val="5"/>
  </w:num>
  <w:num w:numId="19">
    <w:abstractNumId w:val="28"/>
  </w:num>
  <w:num w:numId="20">
    <w:abstractNumId w:val="3"/>
  </w:num>
  <w:num w:numId="21">
    <w:abstractNumId w:val="6"/>
  </w:num>
  <w:num w:numId="22">
    <w:abstractNumId w:val="19"/>
  </w:num>
  <w:num w:numId="23">
    <w:abstractNumId w:val="20"/>
  </w:num>
  <w:num w:numId="24">
    <w:abstractNumId w:val="38"/>
  </w:num>
  <w:num w:numId="25">
    <w:abstractNumId w:val="35"/>
  </w:num>
  <w:num w:numId="26">
    <w:abstractNumId w:val="4"/>
  </w:num>
  <w:num w:numId="27">
    <w:abstractNumId w:val="24"/>
  </w:num>
  <w:num w:numId="28">
    <w:abstractNumId w:val="14"/>
  </w:num>
  <w:num w:numId="29">
    <w:abstractNumId w:val="18"/>
  </w:num>
  <w:num w:numId="30">
    <w:abstractNumId w:val="11"/>
  </w:num>
  <w:num w:numId="31">
    <w:abstractNumId w:val="37"/>
  </w:num>
  <w:num w:numId="32">
    <w:abstractNumId w:val="30"/>
  </w:num>
  <w:num w:numId="33">
    <w:abstractNumId w:val="23"/>
  </w:num>
  <w:num w:numId="34">
    <w:abstractNumId w:val="33"/>
  </w:num>
  <w:num w:numId="35">
    <w:abstractNumId w:val="29"/>
  </w:num>
  <w:num w:numId="36">
    <w:abstractNumId w:val="16"/>
  </w:num>
  <w:num w:numId="37">
    <w:abstractNumId w:val="34"/>
  </w:num>
  <w:num w:numId="38">
    <w:abstractNumId w:val="39"/>
  </w:num>
  <w:num w:numId="39">
    <w:abstractNumId w:val="12"/>
  </w:num>
  <w:num w:numId="40">
    <w:abstractNumId w:val="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1B89"/>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1E9A"/>
    <w:rsid w:val="000B5F6A"/>
    <w:rsid w:val="000C02C6"/>
    <w:rsid w:val="000C6F32"/>
    <w:rsid w:val="000D2CE8"/>
    <w:rsid w:val="000D56D7"/>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3DE7"/>
    <w:rsid w:val="00184EC1"/>
    <w:rsid w:val="00186DEA"/>
    <w:rsid w:val="00187B87"/>
    <w:rsid w:val="001930DE"/>
    <w:rsid w:val="00193B6C"/>
    <w:rsid w:val="001A4CC0"/>
    <w:rsid w:val="001A721E"/>
    <w:rsid w:val="001B123C"/>
    <w:rsid w:val="001B3235"/>
    <w:rsid w:val="001B6D2A"/>
    <w:rsid w:val="001C20B7"/>
    <w:rsid w:val="001C715B"/>
    <w:rsid w:val="001D3206"/>
    <w:rsid w:val="001D6FCF"/>
    <w:rsid w:val="001E4FAC"/>
    <w:rsid w:val="001F0787"/>
    <w:rsid w:val="001F08B4"/>
    <w:rsid w:val="001F2116"/>
    <w:rsid w:val="001F3112"/>
    <w:rsid w:val="001F6FC1"/>
    <w:rsid w:val="001F7F73"/>
    <w:rsid w:val="0020095D"/>
    <w:rsid w:val="00200D69"/>
    <w:rsid w:val="00210209"/>
    <w:rsid w:val="00215221"/>
    <w:rsid w:val="00220C5E"/>
    <w:rsid w:val="00223E7E"/>
    <w:rsid w:val="00234619"/>
    <w:rsid w:val="0023520D"/>
    <w:rsid w:val="00235C44"/>
    <w:rsid w:val="00236FF7"/>
    <w:rsid w:val="002416AB"/>
    <w:rsid w:val="0024496F"/>
    <w:rsid w:val="00244D86"/>
    <w:rsid w:val="00251D19"/>
    <w:rsid w:val="0025370D"/>
    <w:rsid w:val="002573B8"/>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A167D"/>
    <w:rsid w:val="003B715B"/>
    <w:rsid w:val="003B750B"/>
    <w:rsid w:val="003C050F"/>
    <w:rsid w:val="003C0716"/>
    <w:rsid w:val="003C1C7A"/>
    <w:rsid w:val="003C3664"/>
    <w:rsid w:val="003C7143"/>
    <w:rsid w:val="003D139F"/>
    <w:rsid w:val="003D15FA"/>
    <w:rsid w:val="003D4779"/>
    <w:rsid w:val="003D77FF"/>
    <w:rsid w:val="003D7EC6"/>
    <w:rsid w:val="003E292B"/>
    <w:rsid w:val="003E594B"/>
    <w:rsid w:val="003F155A"/>
    <w:rsid w:val="003F5796"/>
    <w:rsid w:val="003F5965"/>
    <w:rsid w:val="003F69BF"/>
    <w:rsid w:val="00402359"/>
    <w:rsid w:val="00405FA0"/>
    <w:rsid w:val="004064A8"/>
    <w:rsid w:val="004107FD"/>
    <w:rsid w:val="00412840"/>
    <w:rsid w:val="00417087"/>
    <w:rsid w:val="0042160A"/>
    <w:rsid w:val="0042193A"/>
    <w:rsid w:val="00422E29"/>
    <w:rsid w:val="00424A76"/>
    <w:rsid w:val="00427E73"/>
    <w:rsid w:val="004312BE"/>
    <w:rsid w:val="00431BEF"/>
    <w:rsid w:val="00442854"/>
    <w:rsid w:val="00453B16"/>
    <w:rsid w:val="0046339D"/>
    <w:rsid w:val="004700F7"/>
    <w:rsid w:val="00476C8A"/>
    <w:rsid w:val="00486535"/>
    <w:rsid w:val="00490174"/>
    <w:rsid w:val="004917C1"/>
    <w:rsid w:val="00491C99"/>
    <w:rsid w:val="00495450"/>
    <w:rsid w:val="00495B88"/>
    <w:rsid w:val="004A1805"/>
    <w:rsid w:val="004A5AD6"/>
    <w:rsid w:val="004C2124"/>
    <w:rsid w:val="004C3EFA"/>
    <w:rsid w:val="004D1B54"/>
    <w:rsid w:val="004D3108"/>
    <w:rsid w:val="004D46FD"/>
    <w:rsid w:val="004D65F3"/>
    <w:rsid w:val="004E187E"/>
    <w:rsid w:val="004E20CB"/>
    <w:rsid w:val="004E2912"/>
    <w:rsid w:val="004E2B03"/>
    <w:rsid w:val="004E533F"/>
    <w:rsid w:val="004F2D3D"/>
    <w:rsid w:val="005032B5"/>
    <w:rsid w:val="00515937"/>
    <w:rsid w:val="00517AD1"/>
    <w:rsid w:val="00523780"/>
    <w:rsid w:val="00526B2A"/>
    <w:rsid w:val="00530D1B"/>
    <w:rsid w:val="00531226"/>
    <w:rsid w:val="00531409"/>
    <w:rsid w:val="00533224"/>
    <w:rsid w:val="00535DF7"/>
    <w:rsid w:val="00542107"/>
    <w:rsid w:val="005462D5"/>
    <w:rsid w:val="00553EEB"/>
    <w:rsid w:val="00564C41"/>
    <w:rsid w:val="00565132"/>
    <w:rsid w:val="0056706A"/>
    <w:rsid w:val="00582896"/>
    <w:rsid w:val="00584798"/>
    <w:rsid w:val="0059070D"/>
    <w:rsid w:val="00592C86"/>
    <w:rsid w:val="00594E78"/>
    <w:rsid w:val="005A33D0"/>
    <w:rsid w:val="005B13B6"/>
    <w:rsid w:val="005B250B"/>
    <w:rsid w:val="005B3C00"/>
    <w:rsid w:val="005B6749"/>
    <w:rsid w:val="005B6EF5"/>
    <w:rsid w:val="005B7834"/>
    <w:rsid w:val="005C28EC"/>
    <w:rsid w:val="005C2971"/>
    <w:rsid w:val="005C3634"/>
    <w:rsid w:val="005D19C4"/>
    <w:rsid w:val="005D2DEE"/>
    <w:rsid w:val="005D4630"/>
    <w:rsid w:val="005D4D0C"/>
    <w:rsid w:val="005D5E04"/>
    <w:rsid w:val="005D7724"/>
    <w:rsid w:val="005E2068"/>
    <w:rsid w:val="005E3007"/>
    <w:rsid w:val="005E513C"/>
    <w:rsid w:val="005E6321"/>
    <w:rsid w:val="005E6C27"/>
    <w:rsid w:val="005E78AE"/>
    <w:rsid w:val="005F0642"/>
    <w:rsid w:val="005F17F5"/>
    <w:rsid w:val="005F3462"/>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56848"/>
    <w:rsid w:val="0066237B"/>
    <w:rsid w:val="006656FC"/>
    <w:rsid w:val="00670720"/>
    <w:rsid w:val="00675607"/>
    <w:rsid w:val="00675986"/>
    <w:rsid w:val="006937DB"/>
    <w:rsid w:val="00695694"/>
    <w:rsid w:val="006A21C2"/>
    <w:rsid w:val="006A3B47"/>
    <w:rsid w:val="006A7A0A"/>
    <w:rsid w:val="006C0719"/>
    <w:rsid w:val="006C1047"/>
    <w:rsid w:val="006C3226"/>
    <w:rsid w:val="006D4BB7"/>
    <w:rsid w:val="006D75BD"/>
    <w:rsid w:val="006D7C4D"/>
    <w:rsid w:val="006E4407"/>
    <w:rsid w:val="006F44F9"/>
    <w:rsid w:val="007015FC"/>
    <w:rsid w:val="007114E7"/>
    <w:rsid w:val="0071588F"/>
    <w:rsid w:val="00717DE4"/>
    <w:rsid w:val="0073239A"/>
    <w:rsid w:val="0073727C"/>
    <w:rsid w:val="00744232"/>
    <w:rsid w:val="00744AF3"/>
    <w:rsid w:val="00747E56"/>
    <w:rsid w:val="00751672"/>
    <w:rsid w:val="0075510C"/>
    <w:rsid w:val="00766C8E"/>
    <w:rsid w:val="0077255F"/>
    <w:rsid w:val="00775593"/>
    <w:rsid w:val="00782A08"/>
    <w:rsid w:val="00786153"/>
    <w:rsid w:val="00790EF3"/>
    <w:rsid w:val="00791ABB"/>
    <w:rsid w:val="00792C70"/>
    <w:rsid w:val="007949B7"/>
    <w:rsid w:val="007965B0"/>
    <w:rsid w:val="007A49B5"/>
    <w:rsid w:val="007A6509"/>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3AAF"/>
    <w:rsid w:val="008142EB"/>
    <w:rsid w:val="0081669B"/>
    <w:rsid w:val="0081696C"/>
    <w:rsid w:val="00821035"/>
    <w:rsid w:val="00821287"/>
    <w:rsid w:val="008228F3"/>
    <w:rsid w:val="00823F91"/>
    <w:rsid w:val="00824683"/>
    <w:rsid w:val="0082735C"/>
    <w:rsid w:val="008354C5"/>
    <w:rsid w:val="0083691D"/>
    <w:rsid w:val="00840FD3"/>
    <w:rsid w:val="00841779"/>
    <w:rsid w:val="00846151"/>
    <w:rsid w:val="008506A0"/>
    <w:rsid w:val="00851A4F"/>
    <w:rsid w:val="00866264"/>
    <w:rsid w:val="008663C0"/>
    <w:rsid w:val="008746E1"/>
    <w:rsid w:val="0087572C"/>
    <w:rsid w:val="008803F7"/>
    <w:rsid w:val="00880725"/>
    <w:rsid w:val="00881C76"/>
    <w:rsid w:val="0088763C"/>
    <w:rsid w:val="00893B0E"/>
    <w:rsid w:val="00893F0B"/>
    <w:rsid w:val="00894839"/>
    <w:rsid w:val="0089761B"/>
    <w:rsid w:val="008A0235"/>
    <w:rsid w:val="008A60E2"/>
    <w:rsid w:val="008B1A8B"/>
    <w:rsid w:val="008B282A"/>
    <w:rsid w:val="008B2B8B"/>
    <w:rsid w:val="008D45C5"/>
    <w:rsid w:val="008D6D09"/>
    <w:rsid w:val="008D761F"/>
    <w:rsid w:val="008E3BE1"/>
    <w:rsid w:val="008E5A53"/>
    <w:rsid w:val="008F013A"/>
    <w:rsid w:val="008F1DBC"/>
    <w:rsid w:val="008F22F9"/>
    <w:rsid w:val="008F554F"/>
    <w:rsid w:val="008F6AC3"/>
    <w:rsid w:val="00905D46"/>
    <w:rsid w:val="009077E3"/>
    <w:rsid w:val="00910EF2"/>
    <w:rsid w:val="00913B17"/>
    <w:rsid w:val="009166DD"/>
    <w:rsid w:val="0091672D"/>
    <w:rsid w:val="00917129"/>
    <w:rsid w:val="00922FE6"/>
    <w:rsid w:val="0093170C"/>
    <w:rsid w:val="009342E4"/>
    <w:rsid w:val="009445E9"/>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5D75"/>
    <w:rsid w:val="00995E0A"/>
    <w:rsid w:val="00996B91"/>
    <w:rsid w:val="009A475D"/>
    <w:rsid w:val="009A5C49"/>
    <w:rsid w:val="009B1C06"/>
    <w:rsid w:val="009B44FC"/>
    <w:rsid w:val="009C0983"/>
    <w:rsid w:val="009C22D0"/>
    <w:rsid w:val="009D5A08"/>
    <w:rsid w:val="009E69A1"/>
    <w:rsid w:val="009F24FB"/>
    <w:rsid w:val="009F4939"/>
    <w:rsid w:val="009F620C"/>
    <w:rsid w:val="009F7BD8"/>
    <w:rsid w:val="00A022C7"/>
    <w:rsid w:val="00A02D20"/>
    <w:rsid w:val="00A0627A"/>
    <w:rsid w:val="00A107BC"/>
    <w:rsid w:val="00A17028"/>
    <w:rsid w:val="00A22653"/>
    <w:rsid w:val="00A23BC5"/>
    <w:rsid w:val="00A24F45"/>
    <w:rsid w:val="00A345AE"/>
    <w:rsid w:val="00A409B8"/>
    <w:rsid w:val="00A4383B"/>
    <w:rsid w:val="00A470ED"/>
    <w:rsid w:val="00A475EE"/>
    <w:rsid w:val="00A523A9"/>
    <w:rsid w:val="00A52E9C"/>
    <w:rsid w:val="00A612F3"/>
    <w:rsid w:val="00A6515F"/>
    <w:rsid w:val="00A67786"/>
    <w:rsid w:val="00A67C1E"/>
    <w:rsid w:val="00A7050E"/>
    <w:rsid w:val="00A761ED"/>
    <w:rsid w:val="00A76B1D"/>
    <w:rsid w:val="00A86505"/>
    <w:rsid w:val="00A92AD3"/>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234"/>
    <w:rsid w:val="00AE6D1F"/>
    <w:rsid w:val="00AF12DA"/>
    <w:rsid w:val="00AF2068"/>
    <w:rsid w:val="00AF7EAE"/>
    <w:rsid w:val="00B03092"/>
    <w:rsid w:val="00B0541E"/>
    <w:rsid w:val="00B13849"/>
    <w:rsid w:val="00B23067"/>
    <w:rsid w:val="00B23520"/>
    <w:rsid w:val="00B2590D"/>
    <w:rsid w:val="00B25DF3"/>
    <w:rsid w:val="00B32E66"/>
    <w:rsid w:val="00B34848"/>
    <w:rsid w:val="00B40E21"/>
    <w:rsid w:val="00B41924"/>
    <w:rsid w:val="00B45676"/>
    <w:rsid w:val="00B45F71"/>
    <w:rsid w:val="00B5018B"/>
    <w:rsid w:val="00B57687"/>
    <w:rsid w:val="00B625D9"/>
    <w:rsid w:val="00B665D7"/>
    <w:rsid w:val="00B70860"/>
    <w:rsid w:val="00B71D02"/>
    <w:rsid w:val="00B7743C"/>
    <w:rsid w:val="00B810E7"/>
    <w:rsid w:val="00B87994"/>
    <w:rsid w:val="00B922CF"/>
    <w:rsid w:val="00B94E3D"/>
    <w:rsid w:val="00B961F9"/>
    <w:rsid w:val="00BA47D2"/>
    <w:rsid w:val="00BA61F7"/>
    <w:rsid w:val="00BB3104"/>
    <w:rsid w:val="00BB352A"/>
    <w:rsid w:val="00BB7304"/>
    <w:rsid w:val="00BC2D8F"/>
    <w:rsid w:val="00BC2DE6"/>
    <w:rsid w:val="00BC7240"/>
    <w:rsid w:val="00BC74D2"/>
    <w:rsid w:val="00BC7AF5"/>
    <w:rsid w:val="00BD42F1"/>
    <w:rsid w:val="00BE1D82"/>
    <w:rsid w:val="00BE5F2D"/>
    <w:rsid w:val="00BE6352"/>
    <w:rsid w:val="00BF5F04"/>
    <w:rsid w:val="00C019B6"/>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137"/>
    <w:rsid w:val="00C426F5"/>
    <w:rsid w:val="00C45D4C"/>
    <w:rsid w:val="00C468B1"/>
    <w:rsid w:val="00C47400"/>
    <w:rsid w:val="00C477B5"/>
    <w:rsid w:val="00C546D2"/>
    <w:rsid w:val="00C61510"/>
    <w:rsid w:val="00C61561"/>
    <w:rsid w:val="00C62E5F"/>
    <w:rsid w:val="00C6634A"/>
    <w:rsid w:val="00C67479"/>
    <w:rsid w:val="00C7068E"/>
    <w:rsid w:val="00C711EB"/>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0F5B"/>
    <w:rsid w:val="00D32326"/>
    <w:rsid w:val="00D34B76"/>
    <w:rsid w:val="00D35F74"/>
    <w:rsid w:val="00D36920"/>
    <w:rsid w:val="00D4029A"/>
    <w:rsid w:val="00D416A5"/>
    <w:rsid w:val="00D50C56"/>
    <w:rsid w:val="00D5488B"/>
    <w:rsid w:val="00D55074"/>
    <w:rsid w:val="00D55AA4"/>
    <w:rsid w:val="00D5693F"/>
    <w:rsid w:val="00D5720C"/>
    <w:rsid w:val="00D6261D"/>
    <w:rsid w:val="00D6598A"/>
    <w:rsid w:val="00D65F4B"/>
    <w:rsid w:val="00D671F6"/>
    <w:rsid w:val="00D71653"/>
    <w:rsid w:val="00D72436"/>
    <w:rsid w:val="00D8063C"/>
    <w:rsid w:val="00D926F9"/>
    <w:rsid w:val="00D93182"/>
    <w:rsid w:val="00D961B5"/>
    <w:rsid w:val="00DA7FD6"/>
    <w:rsid w:val="00DB1328"/>
    <w:rsid w:val="00DB1981"/>
    <w:rsid w:val="00DB7EE0"/>
    <w:rsid w:val="00DC4452"/>
    <w:rsid w:val="00DD2411"/>
    <w:rsid w:val="00DD3E7F"/>
    <w:rsid w:val="00DD6040"/>
    <w:rsid w:val="00DE0ECC"/>
    <w:rsid w:val="00DE1193"/>
    <w:rsid w:val="00DE2348"/>
    <w:rsid w:val="00DE3943"/>
    <w:rsid w:val="00DE4D05"/>
    <w:rsid w:val="00DE562E"/>
    <w:rsid w:val="00DE6FB0"/>
    <w:rsid w:val="00DE77F8"/>
    <w:rsid w:val="00DF0138"/>
    <w:rsid w:val="00DF294A"/>
    <w:rsid w:val="00DF57F5"/>
    <w:rsid w:val="00E00EAF"/>
    <w:rsid w:val="00E0236A"/>
    <w:rsid w:val="00E0337C"/>
    <w:rsid w:val="00E11739"/>
    <w:rsid w:val="00E12F72"/>
    <w:rsid w:val="00E15A2D"/>
    <w:rsid w:val="00E15B2B"/>
    <w:rsid w:val="00E23F95"/>
    <w:rsid w:val="00E25BF3"/>
    <w:rsid w:val="00E267A5"/>
    <w:rsid w:val="00E32DA2"/>
    <w:rsid w:val="00E35AC9"/>
    <w:rsid w:val="00E413A9"/>
    <w:rsid w:val="00E5003A"/>
    <w:rsid w:val="00E514FA"/>
    <w:rsid w:val="00E51D1F"/>
    <w:rsid w:val="00E51E4C"/>
    <w:rsid w:val="00E52738"/>
    <w:rsid w:val="00E54852"/>
    <w:rsid w:val="00E56529"/>
    <w:rsid w:val="00E6135C"/>
    <w:rsid w:val="00E659AC"/>
    <w:rsid w:val="00E66725"/>
    <w:rsid w:val="00E67591"/>
    <w:rsid w:val="00E67A2A"/>
    <w:rsid w:val="00E728B0"/>
    <w:rsid w:val="00E744FA"/>
    <w:rsid w:val="00E75758"/>
    <w:rsid w:val="00E75BC0"/>
    <w:rsid w:val="00E85ECC"/>
    <w:rsid w:val="00E9197F"/>
    <w:rsid w:val="00E9292D"/>
    <w:rsid w:val="00EA0FFF"/>
    <w:rsid w:val="00EA2B0E"/>
    <w:rsid w:val="00EA319E"/>
    <w:rsid w:val="00EA56F6"/>
    <w:rsid w:val="00EA77CE"/>
    <w:rsid w:val="00EB1948"/>
    <w:rsid w:val="00EB1DAB"/>
    <w:rsid w:val="00EB1EEE"/>
    <w:rsid w:val="00EC15BD"/>
    <w:rsid w:val="00EC38D5"/>
    <w:rsid w:val="00EC41CE"/>
    <w:rsid w:val="00EC477B"/>
    <w:rsid w:val="00ED0F47"/>
    <w:rsid w:val="00EE34BE"/>
    <w:rsid w:val="00EE7E40"/>
    <w:rsid w:val="00EF5BDC"/>
    <w:rsid w:val="00EF6C7F"/>
    <w:rsid w:val="00F2180F"/>
    <w:rsid w:val="00F31732"/>
    <w:rsid w:val="00F31F04"/>
    <w:rsid w:val="00F327E2"/>
    <w:rsid w:val="00F34919"/>
    <w:rsid w:val="00F34A38"/>
    <w:rsid w:val="00F375FF"/>
    <w:rsid w:val="00F50C2B"/>
    <w:rsid w:val="00F566E6"/>
    <w:rsid w:val="00F625D9"/>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4DCA"/>
    <w:rsid w:val="00FC4DD1"/>
    <w:rsid w:val="00FD1DCC"/>
    <w:rsid w:val="00FD2E3D"/>
    <w:rsid w:val="00FE144A"/>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D49F-D1DC-4B3A-892C-B14AE9CA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7</cp:revision>
  <cp:lastPrinted>2016-05-04T13:17:00Z</cp:lastPrinted>
  <dcterms:created xsi:type="dcterms:W3CDTF">2016-05-06T14:32:00Z</dcterms:created>
  <dcterms:modified xsi:type="dcterms:W3CDTF">2016-05-06T14:49:00Z</dcterms:modified>
</cp:coreProperties>
</file>