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61" w:rsidRPr="00B86671" w:rsidRDefault="00A63361" w:rsidP="00A63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671">
        <w:rPr>
          <w:rFonts w:ascii="Times New Roman" w:hAnsi="Times New Roman" w:cs="Times New Roman"/>
          <w:b/>
          <w:sz w:val="24"/>
          <w:szCs w:val="24"/>
        </w:rPr>
        <w:t>BEFORE THE</w:t>
      </w:r>
    </w:p>
    <w:p w:rsidR="00A63361" w:rsidRPr="00B86671" w:rsidRDefault="00A63361" w:rsidP="00A63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671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:rsidR="00A63361" w:rsidRPr="00B86671" w:rsidRDefault="00A63361" w:rsidP="00A63361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A63361" w:rsidRPr="00B86671" w:rsidRDefault="00A63361" w:rsidP="00A633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361" w:rsidRPr="00B86671" w:rsidRDefault="00A63361" w:rsidP="00A633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361" w:rsidRPr="00B86671" w:rsidRDefault="00A63361" w:rsidP="00A63361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86671">
        <w:rPr>
          <w:rFonts w:ascii="Times New Roman" w:eastAsia="Calibri" w:hAnsi="Times New Roman" w:cs="Times New Roman"/>
          <w:sz w:val="24"/>
          <w:szCs w:val="24"/>
        </w:rPr>
        <w:t>Alderwoods (Pennsylvania), Inc., a wholly</w:t>
      </w:r>
      <w:r w:rsidRPr="00B86671">
        <w:rPr>
          <w:rFonts w:ascii="Times New Roman" w:eastAsia="Calibri" w:hAnsi="Times New Roman" w:cs="Times New Roman"/>
          <w:sz w:val="24"/>
          <w:szCs w:val="24"/>
        </w:rPr>
        <w:tab/>
      </w:r>
      <w:r w:rsidRPr="00B8667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63361" w:rsidRPr="00B86671" w:rsidRDefault="00A63361" w:rsidP="00A63361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86671">
        <w:rPr>
          <w:rFonts w:ascii="Times New Roman" w:eastAsia="Calibri" w:hAnsi="Times New Roman" w:cs="Times New Roman"/>
          <w:sz w:val="24"/>
          <w:szCs w:val="24"/>
        </w:rPr>
        <w:t>owned subsidiary of Service Corporation</w:t>
      </w:r>
      <w:r w:rsidRPr="00B86671">
        <w:rPr>
          <w:rFonts w:ascii="Times New Roman" w:eastAsia="Calibri" w:hAnsi="Times New Roman" w:cs="Times New Roman"/>
          <w:sz w:val="24"/>
          <w:szCs w:val="24"/>
        </w:rPr>
        <w:tab/>
      </w:r>
      <w:r w:rsidRPr="00B8667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63361" w:rsidRPr="00B86671" w:rsidRDefault="00A63361" w:rsidP="00A63361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86671">
        <w:rPr>
          <w:rFonts w:ascii="Times New Roman" w:eastAsia="Calibri" w:hAnsi="Times New Roman" w:cs="Times New Roman"/>
          <w:sz w:val="24"/>
          <w:szCs w:val="24"/>
        </w:rPr>
        <w:t>International, t/a Burton L. Hirsch Funeral Home</w:t>
      </w:r>
      <w:r w:rsidRPr="00B8667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63361" w:rsidRPr="00B86671" w:rsidRDefault="00A63361" w:rsidP="00A63361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B86671">
        <w:rPr>
          <w:rFonts w:ascii="Times New Roman" w:hAnsi="Times New Roman" w:cs="Times New Roman"/>
          <w:sz w:val="24"/>
          <w:szCs w:val="24"/>
        </w:rPr>
        <w:t>:</w:t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</w:p>
    <w:p w:rsidR="00A63361" w:rsidRPr="00B86671" w:rsidRDefault="00A63361" w:rsidP="00A63361">
      <w:pPr>
        <w:rPr>
          <w:rFonts w:ascii="Times New Roman" w:hAnsi="Times New Roman" w:cs="Times New Roman"/>
          <w:sz w:val="24"/>
          <w:szCs w:val="24"/>
        </w:rPr>
      </w:pPr>
      <w:r w:rsidRPr="00B86671">
        <w:rPr>
          <w:rFonts w:ascii="Times New Roman" w:hAnsi="Times New Roman" w:cs="Times New Roman"/>
          <w:sz w:val="24"/>
          <w:szCs w:val="24"/>
        </w:rPr>
        <w:tab/>
        <w:t>v.</w:t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  <w:t>:</w:t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  <w:t>C-2016-2522634</w:t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</w:p>
    <w:p w:rsidR="00A63361" w:rsidRPr="00B86671" w:rsidRDefault="00A63361" w:rsidP="00A63361">
      <w:pPr>
        <w:rPr>
          <w:rFonts w:ascii="Times New Roman" w:hAnsi="Times New Roman" w:cs="Times New Roman"/>
          <w:sz w:val="24"/>
          <w:szCs w:val="24"/>
        </w:rPr>
      </w:pP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  <w:t>:</w:t>
      </w:r>
    </w:p>
    <w:p w:rsidR="00A63361" w:rsidRPr="00B86671" w:rsidRDefault="00A63361" w:rsidP="00A63361">
      <w:pPr>
        <w:rPr>
          <w:rFonts w:ascii="Times New Roman" w:hAnsi="Times New Roman" w:cs="Times New Roman"/>
          <w:sz w:val="24"/>
          <w:szCs w:val="24"/>
        </w:rPr>
      </w:pPr>
      <w:r w:rsidRPr="00B86671">
        <w:rPr>
          <w:rFonts w:ascii="Times New Roman" w:hAnsi="Times New Roman" w:cs="Times New Roman"/>
          <w:sz w:val="24"/>
          <w:szCs w:val="24"/>
        </w:rPr>
        <w:t>Duquesne Light Company</w:t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  <w:t>:</w:t>
      </w:r>
    </w:p>
    <w:p w:rsidR="00A63361" w:rsidRDefault="00A63361" w:rsidP="00A63361">
      <w:pPr>
        <w:rPr>
          <w:rFonts w:ascii="Times New Roman" w:hAnsi="Times New Roman" w:cs="Times New Roman"/>
          <w:sz w:val="24"/>
          <w:szCs w:val="24"/>
        </w:rPr>
      </w:pP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  <w:r w:rsidRPr="00B86671">
        <w:rPr>
          <w:rFonts w:ascii="Times New Roman" w:hAnsi="Times New Roman" w:cs="Times New Roman"/>
          <w:sz w:val="24"/>
          <w:szCs w:val="24"/>
        </w:rPr>
        <w:tab/>
      </w:r>
    </w:p>
    <w:p w:rsidR="005A4CFA" w:rsidRPr="00B86671" w:rsidRDefault="005A4CFA" w:rsidP="00A63361">
      <w:pPr>
        <w:rPr>
          <w:rFonts w:ascii="Times New Roman" w:hAnsi="Times New Roman" w:cs="Times New Roman"/>
          <w:sz w:val="24"/>
          <w:szCs w:val="24"/>
        </w:rPr>
      </w:pPr>
    </w:p>
    <w:p w:rsidR="00A63361" w:rsidRPr="00B86671" w:rsidRDefault="00A63361" w:rsidP="00A633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4CFA" w:rsidRDefault="00B473E4" w:rsidP="00A63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THIRD</w:t>
      </w:r>
      <w:r w:rsidR="00A63361" w:rsidRPr="00B86671">
        <w:rPr>
          <w:rFonts w:ascii="Times New Roman" w:hAnsi="Times New Roman" w:cs="Times New Roman"/>
          <w:b/>
          <w:bCs/>
          <w:sz w:val="24"/>
          <w:szCs w:val="24"/>
        </w:rPr>
        <w:t xml:space="preserve"> INTERIM ORDER</w:t>
      </w:r>
    </w:p>
    <w:p w:rsidR="005A4CFA" w:rsidRDefault="00A63361" w:rsidP="00A633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B29">
        <w:rPr>
          <w:rFonts w:ascii="Times New Roman" w:hAnsi="Times New Roman" w:cs="Times New Roman"/>
          <w:b/>
          <w:bCs/>
          <w:sz w:val="24"/>
          <w:szCs w:val="24"/>
        </w:rPr>
        <w:t>GRANTING</w:t>
      </w:r>
      <w:r w:rsidRPr="00B86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5A4CFA">
        <w:rPr>
          <w:rFonts w:ascii="Times New Roman" w:hAnsi="Times New Roman" w:cs="Times New Roman"/>
          <w:b/>
          <w:bCs/>
          <w:sz w:val="24"/>
          <w:szCs w:val="24"/>
        </w:rPr>
        <w:t>PARTIES’CONSENT MOTION</w:t>
      </w:r>
      <w:r w:rsidRPr="008C7B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63361" w:rsidRDefault="00A63361" w:rsidP="00A633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B29">
        <w:rPr>
          <w:rFonts w:ascii="Times New Roman" w:hAnsi="Times New Roman" w:cs="Times New Roman"/>
          <w:b/>
          <w:bCs/>
          <w:sz w:val="24"/>
          <w:szCs w:val="24"/>
          <w:u w:val="single"/>
        </w:rPr>
        <w:t>TO CONTINUE PREHEARING CONFERENCE</w:t>
      </w:r>
    </w:p>
    <w:p w:rsidR="005A4CFA" w:rsidRDefault="005A4CFA" w:rsidP="005A4C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1FF5" w:rsidRDefault="00FB0690" w:rsidP="005A4CFA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/>
          <w:sz w:val="24"/>
          <w:szCs w:val="24"/>
        </w:rPr>
        <w:tab/>
      </w:r>
      <w:r w:rsidRPr="00FB0690">
        <w:rPr>
          <w:rFonts w:ascii="Times New Roman" w:hAnsi="Times New Roman"/>
          <w:sz w:val="24"/>
          <w:szCs w:val="24"/>
        </w:rPr>
        <w:tab/>
        <w:t xml:space="preserve">By </w:t>
      </w:r>
      <w:r w:rsidR="00722324">
        <w:rPr>
          <w:rFonts w:ascii="Times New Roman" w:hAnsi="Times New Roman"/>
          <w:sz w:val="24"/>
          <w:szCs w:val="24"/>
        </w:rPr>
        <w:t>n</w:t>
      </w:r>
      <w:r w:rsidRPr="00FB0690">
        <w:rPr>
          <w:rFonts w:ascii="Times New Roman" w:hAnsi="Times New Roman"/>
          <w:sz w:val="24"/>
          <w:szCs w:val="24"/>
        </w:rPr>
        <w:t xml:space="preserve">otice dated </w:t>
      </w:r>
      <w:r w:rsidR="00722324">
        <w:rPr>
          <w:rFonts w:ascii="Times New Roman" w:hAnsi="Times New Roman"/>
          <w:sz w:val="24"/>
          <w:szCs w:val="24"/>
        </w:rPr>
        <w:t>April 7</w:t>
      </w:r>
      <w:r w:rsidRPr="00FB0690">
        <w:rPr>
          <w:rFonts w:ascii="Times New Roman" w:hAnsi="Times New Roman"/>
          <w:sz w:val="24"/>
          <w:szCs w:val="24"/>
        </w:rPr>
        <w:t>, 201</w:t>
      </w:r>
      <w:r w:rsidR="00722324">
        <w:rPr>
          <w:rFonts w:ascii="Times New Roman" w:hAnsi="Times New Roman"/>
          <w:sz w:val="24"/>
          <w:szCs w:val="24"/>
        </w:rPr>
        <w:t>6</w:t>
      </w:r>
      <w:r w:rsidRPr="00FB0690">
        <w:rPr>
          <w:rFonts w:ascii="Times New Roman" w:hAnsi="Times New Roman"/>
          <w:sz w:val="24"/>
          <w:szCs w:val="24"/>
        </w:rPr>
        <w:t xml:space="preserve">, the </w:t>
      </w:r>
      <w:r w:rsidR="00722324">
        <w:rPr>
          <w:rFonts w:ascii="Times New Roman" w:hAnsi="Times New Roman"/>
          <w:sz w:val="24"/>
          <w:szCs w:val="24"/>
        </w:rPr>
        <w:t>P</w:t>
      </w:r>
      <w:r w:rsidRPr="00FB0690">
        <w:rPr>
          <w:rFonts w:ascii="Times New Roman" w:hAnsi="Times New Roman"/>
          <w:sz w:val="24"/>
          <w:szCs w:val="24"/>
        </w:rPr>
        <w:t>arties were informed that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722324">
        <w:rPr>
          <w:rFonts w:ascii="Times New Roman" w:hAnsi="Times New Roman" w:cs="Times New Roman"/>
          <w:spacing w:val="-3"/>
          <w:sz w:val="24"/>
          <w:szCs w:val="24"/>
        </w:rPr>
        <w:t xml:space="preserve">n initial prehearing conference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was scheduled before me for this proceeding on Tuesday, </w:t>
      </w:r>
      <w:r w:rsidR="00722324">
        <w:rPr>
          <w:rFonts w:ascii="Times New Roman" w:hAnsi="Times New Roman" w:cs="Times New Roman"/>
          <w:spacing w:val="-3"/>
          <w:sz w:val="24"/>
          <w:szCs w:val="24"/>
        </w:rPr>
        <w:t>May 1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7, 201</w:t>
      </w:r>
      <w:r w:rsidR="00722324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instrText>fillin "Day &amp; Date" \d ""</w:instrTex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 at 10:00 a.m.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instrText>fillin "Time" \d ""</w:instrTex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  On </w:t>
      </w:r>
      <w:r w:rsidR="00D41FF5">
        <w:rPr>
          <w:rFonts w:ascii="Times New Roman" w:hAnsi="Times New Roman" w:cs="Times New Roman"/>
          <w:spacing w:val="-3"/>
          <w:sz w:val="24"/>
          <w:szCs w:val="24"/>
        </w:rPr>
        <w:t>April 12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, 201</w:t>
      </w:r>
      <w:r w:rsidR="00D41FF5">
        <w:rPr>
          <w:rFonts w:ascii="Times New Roman" w:hAnsi="Times New Roman" w:cs="Times New Roman"/>
          <w:spacing w:val="-3"/>
          <w:sz w:val="24"/>
          <w:szCs w:val="24"/>
        </w:rPr>
        <w:t>6, I issued an interim order directing the Parties to file by Friday, May 13,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41FF5">
        <w:rPr>
          <w:rFonts w:ascii="Times New Roman" w:hAnsi="Times New Roman" w:cs="Times New Roman"/>
          <w:spacing w:val="-3"/>
          <w:sz w:val="24"/>
          <w:szCs w:val="24"/>
        </w:rPr>
        <w:t>2016, their prehearing memoranda setting forth a brief history of the proceeding, the issues they intended to present, a listing of their proposed witnesses and the subject of their testimony, and copies of any exhibits or documents they intended to present at the hearing.</w:t>
      </w:r>
    </w:p>
    <w:p w:rsidR="00D41FF5" w:rsidRDefault="00D41FF5" w:rsidP="00FB0690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CE61B5" w:rsidRDefault="00D41FF5" w:rsidP="00FB0690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On May 3, 2016, the Parties filed</w:t>
      </w:r>
      <w:r w:rsidR="005A4C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onsent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otion to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ontinue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rehearing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>onference.  In the motion, Respondent Duquesne Light represented that its authorized representative and one of its attorney</w:t>
      </w:r>
      <w:r w:rsidR="005A4CFA">
        <w:rPr>
          <w:rFonts w:ascii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had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3"/>
          <w:sz w:val="24"/>
          <w:szCs w:val="24"/>
        </w:rPr>
        <w:t>scheduling conflict on May 17, 201</w:t>
      </w:r>
      <w:r w:rsidR="00073404">
        <w:rPr>
          <w:rFonts w:ascii="Times New Roman" w:hAnsi="Times New Roman" w:cs="Times New Roman"/>
          <w:spacing w:val="-3"/>
          <w:sz w:val="24"/>
          <w:szCs w:val="24"/>
        </w:rPr>
        <w:t>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in another matter pending before the Commission.</w:t>
      </w:r>
      <w:r w:rsidR="00B473E4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The Parties also submitted that Complainant </w:t>
      </w:r>
      <w:r w:rsidR="00CE61B5" w:rsidRPr="00B86671">
        <w:rPr>
          <w:rFonts w:ascii="Times New Roman" w:eastAsia="Calibri" w:hAnsi="Times New Roman" w:cs="Times New Roman"/>
          <w:sz w:val="24"/>
          <w:szCs w:val="24"/>
        </w:rPr>
        <w:t>Hirsch Funeral Home</w:t>
      </w:r>
      <w:r w:rsidR="00CE61B5">
        <w:rPr>
          <w:rFonts w:ascii="Times New Roman" w:eastAsia="Calibri" w:hAnsi="Times New Roman" w:cs="Times New Roman"/>
          <w:sz w:val="24"/>
          <w:szCs w:val="24"/>
        </w:rPr>
        <w:t xml:space="preserve"> had filed a Petition for Interlocutory Review, which is pending.  The Parties assert</w:t>
      </w:r>
      <w:r w:rsidR="00073404">
        <w:rPr>
          <w:rFonts w:ascii="Times New Roman" w:eastAsia="Calibri" w:hAnsi="Times New Roman" w:cs="Times New Roman"/>
          <w:sz w:val="24"/>
          <w:szCs w:val="24"/>
        </w:rPr>
        <w:t>ed</w:t>
      </w:r>
      <w:r w:rsidR="00CE61B5">
        <w:rPr>
          <w:rFonts w:ascii="Times New Roman" w:eastAsia="Calibri" w:hAnsi="Times New Roman" w:cs="Times New Roman"/>
          <w:sz w:val="24"/>
          <w:szCs w:val="24"/>
        </w:rPr>
        <w:t xml:space="preserve"> that under 52 Pa.Code § 5.303, the Commission has thirty days in which to respond to the Petition.</w:t>
      </w:r>
    </w:p>
    <w:p w:rsidR="00FB0690" w:rsidRPr="00FB0690" w:rsidRDefault="00FB0690" w:rsidP="00FB069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Default="00FB0690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  <w:t xml:space="preserve">Pursuant to 52 Pa.Code § 1.15(b), a request for a change of the scheduled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prehearing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hearing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conference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date shall be submitted by motion in writing, filed no later than five (5) days prior to the hearing with the Pennsylvania Public Utility Commission (Commission).  The motion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lastRenderedPageBreak/>
        <w:t>must state the facts upon which the request rests.  Only for good cause shown will requests for continuance be considered (52 Pa.Code §</w:t>
      </w:r>
      <w:r w:rsidR="005A4C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1.15(b)).</w:t>
      </w:r>
    </w:p>
    <w:p w:rsidR="005A4CFA" w:rsidRPr="00FB0690" w:rsidRDefault="005A4CFA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Default="00FB0690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  <w:t xml:space="preserve">After due consideration, I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will grant the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motion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 in the ordering paragraph below. 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Additionally, I will extend the time for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filing of the Parties’ memoranda. </w:t>
      </w:r>
    </w:p>
    <w:p w:rsidR="00CE61B5" w:rsidRPr="00FB0690" w:rsidRDefault="00CE61B5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Default="00FB0690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 </w:t>
      </w:r>
      <w:r w:rsidR="00395F9E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>arties are encouraged to talk with each other to resolve this matter or some portion thereof.  It is the Commission’s policy to encourage settlements.  52 Pa.Code §</w:t>
      </w:r>
      <w:r w:rsidR="005A4C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5.231. </w:t>
      </w:r>
    </w:p>
    <w:p w:rsidR="005A4CFA" w:rsidRPr="00FB0690" w:rsidRDefault="005A4CFA" w:rsidP="005A4CFA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Default="00FB0690" w:rsidP="005A4CFA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>THEREFORE,</w:t>
      </w:r>
    </w:p>
    <w:p w:rsidR="005A4CFA" w:rsidRPr="00FB0690" w:rsidRDefault="005A4CFA" w:rsidP="005A4CFA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Pr="00FB0690" w:rsidRDefault="00FB0690" w:rsidP="005A4CF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>IT IS ORDERED:</w:t>
      </w:r>
    </w:p>
    <w:p w:rsidR="00FB0690" w:rsidRPr="00FB0690" w:rsidRDefault="00FB0690" w:rsidP="005A4CF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:rsidR="00CE61B5" w:rsidRDefault="00FB0690" w:rsidP="005A4CFA">
      <w:pPr>
        <w:numPr>
          <w:ilvl w:val="0"/>
          <w:numId w:val="1"/>
        </w:numPr>
        <w:tabs>
          <w:tab w:val="clear" w:pos="2226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That the 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>Complainant’s and Respondent’s Consent Motion to Continue Prehearing Conference scheduled for May 17, 2016</w:t>
      </w:r>
      <w:r w:rsidR="00073404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 in this proceeding at Docket No. C-2016-2522634 is granted.</w:t>
      </w:r>
    </w:p>
    <w:p w:rsidR="00CE61B5" w:rsidRDefault="00CE61B5" w:rsidP="00CE61B5">
      <w:pPr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FC59F4" w:rsidRDefault="00FC59F4" w:rsidP="00FC59F4">
      <w:pPr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2.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CE61B5">
        <w:rPr>
          <w:rFonts w:ascii="Times New Roman" w:hAnsi="Times New Roman" w:cs="Times New Roman"/>
          <w:spacing w:val="-3"/>
          <w:sz w:val="24"/>
          <w:szCs w:val="24"/>
        </w:rPr>
        <w:t xml:space="preserve">That the date each Party must </w:t>
      </w:r>
      <w:r>
        <w:rPr>
          <w:rFonts w:ascii="Times New Roman" w:hAnsi="Times New Roman" w:cs="Times New Roman"/>
          <w:spacing w:val="-3"/>
          <w:sz w:val="24"/>
          <w:szCs w:val="24"/>
        </w:rPr>
        <w:t>file and distribute its prehearing memorandum setting forth a brief history of the proceeding, the issues they intended to present, a listing of their proposed witnesses and the subject of their testimony, and copies of any exhibits or documents they intended to present is extended from May 13, 2016</w:t>
      </w:r>
      <w:r w:rsidR="0067329A"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to </w:t>
      </w:r>
      <w:r w:rsidRPr="00FC59F4">
        <w:rPr>
          <w:rFonts w:ascii="Times New Roman" w:hAnsi="Times New Roman" w:cs="Times New Roman"/>
          <w:b/>
          <w:spacing w:val="-3"/>
          <w:sz w:val="24"/>
          <w:szCs w:val="24"/>
        </w:rPr>
        <w:t>Friday, May 27, 2016</w:t>
      </w:r>
      <w:r w:rsidR="0067329A">
        <w:rPr>
          <w:rFonts w:ascii="Times New Roman" w:hAnsi="Times New Roman" w:cs="Times New Roman"/>
          <w:b/>
          <w:spacing w:val="-3"/>
          <w:sz w:val="24"/>
          <w:szCs w:val="24"/>
        </w:rPr>
        <w:t>,</w:t>
      </w:r>
      <w:bookmarkStart w:id="0" w:name="_GoBack"/>
      <w:bookmarkEnd w:id="0"/>
      <w:r w:rsidR="000734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by </w:t>
      </w:r>
      <w:r w:rsidR="00073404" w:rsidRPr="00FC59F4">
        <w:rPr>
          <w:rFonts w:ascii="Times New Roman" w:hAnsi="Times New Roman" w:cs="Times New Roman"/>
          <w:b/>
          <w:spacing w:val="-3"/>
          <w:sz w:val="24"/>
          <w:szCs w:val="24"/>
        </w:rPr>
        <w:t>4:00 p.m.</w:t>
      </w:r>
    </w:p>
    <w:p w:rsidR="00FC59F4" w:rsidRDefault="00FC59F4" w:rsidP="00FC59F4">
      <w:pPr>
        <w:spacing w:line="36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FC59F4" w:rsidRDefault="00FC59F4" w:rsidP="00FC59F4">
      <w:pPr>
        <w:suppressAutoHyphens/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3.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That the Second Interim Order Concerning Prehearing Conference issued on April 12, 2016, shall remain in effect</w:t>
      </w:r>
      <w:r w:rsidR="00D51EA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except as modified by ordering paragraphs 1 and 2 above.</w:t>
      </w:r>
    </w:p>
    <w:p w:rsidR="00FC59F4" w:rsidRDefault="00FC59F4" w:rsidP="00FC59F4">
      <w:pPr>
        <w:suppressAutoHyphens/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:rsidR="00FB0690" w:rsidRPr="00FB0690" w:rsidRDefault="00FC59F4" w:rsidP="00FC59F4">
      <w:pPr>
        <w:suppressAutoHyphens/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FB0690" w:rsidRPr="00FB0690">
        <w:rPr>
          <w:rFonts w:ascii="Times New Roman" w:hAnsi="Times New Roman" w:cs="Times New Roman"/>
          <w:spacing w:val="-3"/>
          <w:sz w:val="24"/>
          <w:szCs w:val="24"/>
        </w:rPr>
        <w:t xml:space="preserve">That the Scheduling Staff of the Office of Administrative Law Judge shall reschedule this matter for an in-person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prehearing conference for the next available date in June 2016 </w:t>
      </w:r>
      <w:r w:rsidR="00FB0690" w:rsidRPr="00FB0690">
        <w:rPr>
          <w:rFonts w:ascii="Times New Roman" w:hAnsi="Times New Roman" w:cs="Times New Roman"/>
          <w:spacing w:val="-3"/>
          <w:sz w:val="24"/>
          <w:szCs w:val="24"/>
        </w:rPr>
        <w:t>and so notify the parties in writing.</w:t>
      </w:r>
    </w:p>
    <w:p w:rsidR="00FB0690" w:rsidRPr="00FB0690" w:rsidRDefault="00FC59F4" w:rsidP="00FB069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 w:val="24"/>
        </w:rPr>
      </w:pPr>
      <w:r w:rsidRPr="00FB0690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A27A8C" wp14:editId="5F4434B5">
            <wp:simplePos x="0" y="0"/>
            <wp:positionH relativeFrom="column">
              <wp:posOffset>2831465</wp:posOffset>
            </wp:positionH>
            <wp:positionV relativeFrom="paragraph">
              <wp:posOffset>100965</wp:posOffset>
            </wp:positionV>
            <wp:extent cx="2797810" cy="1162050"/>
            <wp:effectExtent l="0" t="0" r="2540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690" w:rsidRPr="00FB0690" w:rsidRDefault="00FB0690" w:rsidP="00FB0690">
      <w:pPr>
        <w:autoSpaceDE/>
        <w:autoSpaceDN/>
        <w:ind w:left="720"/>
        <w:contextualSpacing/>
        <w:rPr>
          <w:rFonts w:ascii="Times New Roman" w:hAnsi="Times New Roman" w:cs="Times New Roman"/>
          <w:spacing w:val="-3"/>
        </w:rPr>
      </w:pPr>
    </w:p>
    <w:p w:rsidR="00FB0690" w:rsidRPr="00FB0690" w:rsidRDefault="00FB0690" w:rsidP="00FB069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B0690">
        <w:rPr>
          <w:rFonts w:ascii="Times New Roman" w:hAnsi="Times New Roman" w:cs="Times New Roman"/>
          <w:spacing w:val="-3"/>
          <w:sz w:val="24"/>
          <w:szCs w:val="24"/>
        </w:rPr>
        <w:t>Date: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="00722324" w:rsidRPr="00722324">
        <w:rPr>
          <w:rFonts w:ascii="Times New Roman" w:hAnsi="Times New Roman" w:cs="Times New Roman"/>
          <w:spacing w:val="-3"/>
          <w:sz w:val="24"/>
          <w:szCs w:val="24"/>
          <w:u w:val="single"/>
        </w:rPr>
        <w:t>May 1</w:t>
      </w:r>
      <w:r w:rsidR="006F2488">
        <w:rPr>
          <w:rFonts w:ascii="Times New Roman" w:hAnsi="Times New Roman" w:cs="Times New Roman"/>
          <w:spacing w:val="-3"/>
          <w:sz w:val="24"/>
          <w:szCs w:val="24"/>
          <w:u w:val="single"/>
        </w:rPr>
        <w:t>1</w:t>
      </w:r>
      <w:r w:rsidR="00722324" w:rsidRPr="00722324">
        <w:rPr>
          <w:rFonts w:ascii="Times New Roman" w:hAnsi="Times New Roman" w:cs="Times New Roman"/>
          <w:spacing w:val="-3"/>
          <w:sz w:val="24"/>
          <w:szCs w:val="24"/>
          <w:u w:val="single"/>
        </w:rPr>
        <w:t>, 2016</w:t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B0690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F2488">
        <w:rPr>
          <w:rFonts w:ascii="Times New Roman" w:hAnsi="Times New Roman" w:cs="Times New Roman"/>
          <w:spacing w:val="-3"/>
          <w:sz w:val="24"/>
          <w:szCs w:val="24"/>
        </w:rPr>
        <w:tab/>
      </w:r>
    </w:p>
    <w:p w:rsidR="00B473E4" w:rsidRDefault="00B473E4" w:rsidP="00B473E4">
      <w:pPr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ALDERWOODS (PENNSYLVANIA), INC., A WHOLLY OWNED SUBSIDIARY OF SERVICE CORPORATION INTERNATIONAL, T/A BURTON L. HIRSCH FUNERAL HOME v. DUQUESNE LIGHT COMPANY</w:t>
      </w:r>
    </w:p>
    <w:p w:rsidR="00B473E4" w:rsidRDefault="00B473E4" w:rsidP="00B473E4">
      <w:pPr>
        <w:adjustRightInd w:val="0"/>
        <w:ind w:left="-720"/>
        <w:rPr>
          <w:rFonts w:ascii="Microsoft Sans Serif" w:hAnsi="Microsoft Sans Serif" w:cs="Microsoft Sans Serif"/>
          <w:sz w:val="24"/>
          <w:szCs w:val="24"/>
        </w:rPr>
      </w:pP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ALAN J CHARKEY ESQUIRE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WHITE AND WILLIAMS LLP 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ONE LIBERTY PLACE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1650 MARKET STREET SUITE 1800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19103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215.864.6312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i/>
          <w:sz w:val="24"/>
        </w:rPr>
        <w:t>Accepts E-service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i/>
          <w:sz w:val="24"/>
          <w:szCs w:val="22"/>
        </w:rPr>
      </w:pPr>
      <w:r>
        <w:rPr>
          <w:rFonts w:ascii="Microsoft Sans Serif" w:eastAsiaTheme="minorEastAsia" w:hAnsi="Microsoft Sans Serif" w:cs="Microsoft Sans Serif"/>
          <w:i/>
          <w:sz w:val="24"/>
        </w:rPr>
        <w:t>Representing Complainant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i/>
          <w:sz w:val="24"/>
        </w:rPr>
      </w:pP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i/>
          <w:sz w:val="24"/>
        </w:rPr>
      </w:pP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b/>
          <w:sz w:val="28"/>
          <w:szCs w:val="28"/>
        </w:rPr>
        <w:t>*</w:t>
      </w:r>
      <w:r>
        <w:rPr>
          <w:rFonts w:ascii="Microsoft Sans Serif" w:eastAsiaTheme="minorEastAsia" w:hAnsi="Microsoft Sans Serif" w:cs="Microsoft Sans Serif"/>
          <w:sz w:val="24"/>
        </w:rPr>
        <w:t>JEREMY V FARRELL ESQUIRE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b/>
          <w:sz w:val="28"/>
          <w:szCs w:val="28"/>
        </w:rPr>
        <w:t>*</w:t>
      </w:r>
      <w:r>
        <w:rPr>
          <w:rFonts w:ascii="Microsoft Sans Serif" w:eastAsiaTheme="minorEastAsia" w:hAnsi="Microsoft Sans Serif" w:cs="Microsoft Sans Serif"/>
          <w:sz w:val="24"/>
        </w:rPr>
        <w:t>BRADLEY S TUPI ESQUIRE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ERIN BECKER CONLIN ESQUIRE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TUCKER ARENSBERG PC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1500 ONE PPG PLACE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PITTSBURGH PA 15222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b/>
          <w:sz w:val="24"/>
        </w:rPr>
      </w:pPr>
      <w:r>
        <w:rPr>
          <w:rFonts w:ascii="Microsoft Sans Serif" w:eastAsiaTheme="minorEastAsia" w:hAnsi="Microsoft Sans Serif" w:cs="Microsoft Sans Serif"/>
          <w:b/>
          <w:sz w:val="24"/>
        </w:rPr>
        <w:t>412.566.1212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HAnsi" w:hAnsi="Microsoft Sans Serif" w:cs="Microsoft Sans Serif"/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b/>
          <w:sz w:val="28"/>
          <w:szCs w:val="28"/>
        </w:rPr>
        <w:t>*</w:t>
      </w:r>
      <w:r>
        <w:rPr>
          <w:rFonts w:ascii="Microsoft Sans Serif" w:eastAsiaTheme="minorEastAsia" w:hAnsi="Microsoft Sans Serif" w:cs="Microsoft Sans Serif"/>
          <w:i/>
          <w:sz w:val="24"/>
        </w:rPr>
        <w:t>Accepts E-service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i/>
          <w:sz w:val="24"/>
          <w:szCs w:val="22"/>
        </w:rPr>
      </w:pPr>
      <w:r>
        <w:rPr>
          <w:rFonts w:ascii="Microsoft Sans Serif" w:eastAsiaTheme="minorEastAsia" w:hAnsi="Microsoft Sans Serif" w:cs="Microsoft Sans Serif"/>
          <w:i/>
          <w:sz w:val="24"/>
        </w:rPr>
        <w:t>Representing Duquesne Light Company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i/>
          <w:sz w:val="24"/>
        </w:rPr>
      </w:pP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TISHEKIA WILLIAMS ESQUIRE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DUQUESNE LIGHT COMPANY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411 SEVENTH AVENUE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16</w:t>
      </w:r>
      <w:r>
        <w:rPr>
          <w:rFonts w:ascii="Microsoft Sans Serif" w:eastAsiaTheme="minorEastAsia" w:hAnsi="Microsoft Sans Serif" w:cs="Microsoft Sans Serif"/>
          <w:sz w:val="24"/>
          <w:vertAlign w:val="superscript"/>
        </w:rPr>
        <w:t>TH</w:t>
      </w:r>
      <w:r>
        <w:rPr>
          <w:rFonts w:ascii="Microsoft Sans Serif" w:eastAsiaTheme="minorEastAsia" w:hAnsi="Microsoft Sans Serif" w:cs="Microsoft Sans Serif"/>
          <w:sz w:val="24"/>
        </w:rPr>
        <w:t xml:space="preserve"> FLOOR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Theme="minorEastAsia" w:hAnsi="Microsoft Sans Serif" w:cs="Microsoft Sans Serif"/>
          <w:sz w:val="24"/>
        </w:rPr>
        <w:t>PITTSBURGH PA 15219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EastAsia" w:hAnsi="Microsoft Sans Serif" w:cs="Microsoft Sans Serif"/>
          <w:b/>
          <w:sz w:val="24"/>
        </w:rPr>
      </w:pPr>
      <w:r>
        <w:rPr>
          <w:rFonts w:ascii="Microsoft Sans Serif" w:eastAsiaTheme="minorEastAsia" w:hAnsi="Microsoft Sans Serif" w:cs="Microsoft Sans Serif"/>
          <w:b/>
          <w:sz w:val="24"/>
        </w:rPr>
        <w:t>412.393.1541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eastAsiaTheme="minorHAnsi" w:hAnsi="Microsoft Sans Serif" w:cs="Microsoft Sans Serif"/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i/>
          <w:sz w:val="24"/>
        </w:rPr>
        <w:t>Accepts E-service</w:t>
      </w:r>
    </w:p>
    <w:p w:rsidR="00B473E4" w:rsidRDefault="00B473E4" w:rsidP="00B473E4">
      <w:pPr>
        <w:tabs>
          <w:tab w:val="left" w:pos="9360"/>
        </w:tabs>
        <w:adjustRightInd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i/>
          <w:sz w:val="24"/>
        </w:rPr>
        <w:t>Representing Duquesne Light Company</w:t>
      </w:r>
    </w:p>
    <w:p w:rsidR="00B473E4" w:rsidRDefault="00B473E4" w:rsidP="00B473E4">
      <w:pPr>
        <w:pStyle w:val="FootnoteText"/>
        <w:spacing w:line="360" w:lineRule="auto"/>
        <w:ind w:left="1440" w:hanging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FB0690" w:rsidRPr="00FB0690" w:rsidRDefault="00FB0690" w:rsidP="00FB069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sectPr w:rsidR="00FB0690" w:rsidRPr="00FB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26" w:rsidRDefault="007A4326" w:rsidP="00FB0690">
      <w:r>
        <w:separator/>
      </w:r>
    </w:p>
  </w:endnote>
  <w:endnote w:type="continuationSeparator" w:id="0">
    <w:p w:rsidR="007A4326" w:rsidRDefault="007A4326" w:rsidP="00FB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26" w:rsidRDefault="007A4326" w:rsidP="00FB0690">
      <w:r>
        <w:separator/>
      </w:r>
    </w:p>
  </w:footnote>
  <w:footnote w:type="continuationSeparator" w:id="0">
    <w:p w:rsidR="007A4326" w:rsidRDefault="007A4326" w:rsidP="00FB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61"/>
    <w:rsid w:val="00073404"/>
    <w:rsid w:val="002F3D61"/>
    <w:rsid w:val="00395F9E"/>
    <w:rsid w:val="005A4CFA"/>
    <w:rsid w:val="0067329A"/>
    <w:rsid w:val="006F2488"/>
    <w:rsid w:val="00722324"/>
    <w:rsid w:val="007A4326"/>
    <w:rsid w:val="008B51A4"/>
    <w:rsid w:val="008C7B29"/>
    <w:rsid w:val="008E3AB8"/>
    <w:rsid w:val="00913F03"/>
    <w:rsid w:val="00A10CD2"/>
    <w:rsid w:val="00A63361"/>
    <w:rsid w:val="00AF3938"/>
    <w:rsid w:val="00B473E4"/>
    <w:rsid w:val="00CE61B5"/>
    <w:rsid w:val="00D3636D"/>
    <w:rsid w:val="00D41FF5"/>
    <w:rsid w:val="00D51EAC"/>
    <w:rsid w:val="00E12C36"/>
    <w:rsid w:val="00FB0690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61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06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690"/>
    <w:rPr>
      <w:rFonts w:ascii="CG Times (W1)" w:eastAsia="Times New Roman" w:hAnsi="CG Times (W1)" w:cs="CG Times (W1)"/>
      <w:sz w:val="20"/>
      <w:szCs w:val="20"/>
    </w:rPr>
  </w:style>
  <w:style w:type="character" w:styleId="FootnoteReference">
    <w:name w:val="footnote reference"/>
    <w:basedOn w:val="DefaultParagraphFont"/>
    <w:semiHidden/>
    <w:rsid w:val="00FB069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61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06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690"/>
    <w:rPr>
      <w:rFonts w:ascii="CG Times (W1)" w:eastAsia="Times New Roman" w:hAnsi="CG Times (W1)" w:cs="CG Times (W1)"/>
      <w:sz w:val="20"/>
      <w:szCs w:val="20"/>
    </w:rPr>
  </w:style>
  <w:style w:type="character" w:styleId="FootnoteReference">
    <w:name w:val="footnote reference"/>
    <w:basedOn w:val="DefaultParagraphFont"/>
    <w:semiHidden/>
    <w:rsid w:val="00FB06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Blanton, Leah</cp:lastModifiedBy>
  <cp:revision>8</cp:revision>
  <cp:lastPrinted>2016-05-11T14:05:00Z</cp:lastPrinted>
  <dcterms:created xsi:type="dcterms:W3CDTF">2016-05-10T20:05:00Z</dcterms:created>
  <dcterms:modified xsi:type="dcterms:W3CDTF">2016-05-11T14:13:00Z</dcterms:modified>
</cp:coreProperties>
</file>