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9B" w:rsidRDefault="00E36B9B" w:rsidP="00E36B9B">
      <w:pPr>
        <w:spacing w:line="240" w:lineRule="auto"/>
        <w:rPr>
          <w:b/>
        </w:rPr>
      </w:pPr>
      <w:bookmarkStart w:id="0" w:name="_GoBack"/>
      <w:bookmarkEnd w:id="0"/>
      <w:r>
        <w:rPr>
          <w:b/>
        </w:rPr>
        <w:t>BEFORE THE</w:t>
      </w:r>
    </w:p>
    <w:p w:rsidR="00E36B9B" w:rsidRDefault="00E36B9B" w:rsidP="00E36B9B">
      <w:pPr>
        <w:spacing w:line="240" w:lineRule="auto"/>
        <w:rPr>
          <w:b/>
        </w:rPr>
      </w:pPr>
      <w:r>
        <w:rPr>
          <w:b/>
        </w:rPr>
        <w:t>PENNSYLVANIA PUBLIC UTILITY COMMISSION</w:t>
      </w:r>
    </w:p>
    <w:p w:rsidR="00E36B9B" w:rsidRDefault="00E36B9B" w:rsidP="00E36B9B">
      <w:pPr>
        <w:spacing w:line="240" w:lineRule="auto"/>
        <w:rPr>
          <w:b/>
        </w:rPr>
      </w:pPr>
    </w:p>
    <w:p w:rsidR="00E36B9B" w:rsidRDefault="00E36B9B" w:rsidP="00E36B9B">
      <w:pPr>
        <w:spacing w:line="240" w:lineRule="auto"/>
        <w:rPr>
          <w:b/>
        </w:rPr>
      </w:pPr>
    </w:p>
    <w:p w:rsidR="00363702" w:rsidRDefault="00363702" w:rsidP="00E36B9B">
      <w:pPr>
        <w:spacing w:line="240" w:lineRule="auto"/>
        <w:rPr>
          <w:b/>
        </w:rPr>
      </w:pPr>
    </w:p>
    <w:p w:rsidR="00E36B9B" w:rsidRDefault="00E36B9B" w:rsidP="00E36B9B">
      <w:pPr>
        <w:spacing w:line="240" w:lineRule="auto"/>
        <w:jc w:val="left"/>
      </w:pPr>
      <w:r>
        <w:t xml:space="preserve">Joint Application of Pike County Light </w:t>
      </w:r>
      <w:r>
        <w:tab/>
      </w:r>
      <w:r>
        <w:tab/>
        <w:t>:</w:t>
      </w:r>
    </w:p>
    <w:p w:rsidR="00E36B9B" w:rsidRDefault="00E36B9B" w:rsidP="00E36B9B">
      <w:pPr>
        <w:spacing w:line="240" w:lineRule="auto"/>
        <w:jc w:val="left"/>
      </w:pPr>
      <w:r>
        <w:t>And Power Company, Buyer Corning Natural</w:t>
      </w:r>
      <w:r>
        <w:tab/>
        <w:t>:</w:t>
      </w:r>
    </w:p>
    <w:p w:rsidR="00E36B9B" w:rsidRDefault="00E36B9B" w:rsidP="00E36B9B">
      <w:pPr>
        <w:spacing w:line="240" w:lineRule="auto"/>
        <w:jc w:val="left"/>
      </w:pPr>
      <w:r>
        <w:t>Gas Holding Corporation and Seller Orange</w:t>
      </w:r>
      <w:r>
        <w:tab/>
      </w:r>
      <w:r>
        <w:tab/>
        <w:t>:</w:t>
      </w:r>
      <w:r>
        <w:tab/>
      </w:r>
      <w:r>
        <w:tab/>
        <w:t>A-2015-2517036</w:t>
      </w:r>
    </w:p>
    <w:p w:rsidR="00E36B9B" w:rsidRDefault="00E36B9B" w:rsidP="00E36B9B">
      <w:pPr>
        <w:spacing w:line="240" w:lineRule="auto"/>
        <w:jc w:val="left"/>
      </w:pPr>
      <w:r>
        <w:t>And Rockland Utilities, Inc. for a Certificate</w:t>
      </w:r>
      <w:r>
        <w:tab/>
      </w:r>
      <w:r>
        <w:tab/>
        <w:t>:</w:t>
      </w:r>
      <w:r>
        <w:tab/>
      </w:r>
      <w:r>
        <w:tab/>
        <w:t>A-2015-2517111</w:t>
      </w:r>
    </w:p>
    <w:p w:rsidR="00E36B9B" w:rsidRDefault="00E36B9B" w:rsidP="00E36B9B">
      <w:pPr>
        <w:spacing w:line="240" w:lineRule="auto"/>
        <w:jc w:val="left"/>
      </w:pPr>
      <w:r>
        <w:t>Of Public Convenience Approving the Transfer</w:t>
      </w:r>
      <w:r>
        <w:tab/>
        <w:t>:</w:t>
      </w:r>
      <w:r>
        <w:tab/>
      </w:r>
      <w:r>
        <w:tab/>
        <w:t>G-2015-2517113</w:t>
      </w:r>
    </w:p>
    <w:p w:rsidR="00E36B9B" w:rsidRDefault="00E36B9B" w:rsidP="00E36B9B">
      <w:pPr>
        <w:spacing w:line="240" w:lineRule="auto"/>
        <w:jc w:val="left"/>
      </w:pPr>
      <w:r>
        <w:t>By Sale of 100% of the Stock of Pike County</w:t>
      </w:r>
      <w:r>
        <w:tab/>
        <w:t>:</w:t>
      </w:r>
      <w:r>
        <w:tab/>
      </w:r>
      <w:r>
        <w:tab/>
        <w:t>G-2015-2517114</w:t>
      </w:r>
    </w:p>
    <w:p w:rsidR="00E36B9B" w:rsidRDefault="00E36B9B" w:rsidP="00E36B9B">
      <w:pPr>
        <w:spacing w:line="240" w:lineRule="auto"/>
        <w:jc w:val="left"/>
      </w:pPr>
      <w:r>
        <w:t>Light And Power Company from Seller Orange</w:t>
      </w:r>
      <w:r>
        <w:tab/>
        <w:t>:</w:t>
      </w:r>
      <w:r>
        <w:tab/>
      </w:r>
      <w:r>
        <w:tab/>
        <w:t>S-2015-2517115</w:t>
      </w:r>
    </w:p>
    <w:p w:rsidR="00E36B9B" w:rsidRDefault="00E36B9B" w:rsidP="00E36B9B">
      <w:pPr>
        <w:spacing w:line="240" w:lineRule="auto"/>
        <w:jc w:val="left"/>
      </w:pPr>
      <w:r>
        <w:t>And Rockland Utilities, Inc. to Buyer Corning</w:t>
      </w:r>
      <w:r>
        <w:tab/>
        <w:t>:</w:t>
      </w:r>
      <w:r>
        <w:tab/>
      </w:r>
      <w:r>
        <w:tab/>
        <w:t>S-2015-2517116</w:t>
      </w:r>
    </w:p>
    <w:p w:rsidR="00E36B9B" w:rsidRDefault="00E36B9B" w:rsidP="00E36B9B">
      <w:pPr>
        <w:spacing w:line="240" w:lineRule="auto"/>
        <w:jc w:val="left"/>
      </w:pPr>
      <w:r>
        <w:t>Natural Gas Holding Corporation</w:t>
      </w:r>
      <w:r>
        <w:tab/>
      </w:r>
      <w:r>
        <w:tab/>
      </w:r>
      <w:r>
        <w:tab/>
        <w:t>:</w:t>
      </w:r>
    </w:p>
    <w:p w:rsidR="00E36B9B" w:rsidRDefault="00E36B9B" w:rsidP="00E36B9B">
      <w:pPr>
        <w:spacing w:line="240" w:lineRule="auto"/>
        <w:jc w:val="left"/>
      </w:pPr>
    </w:p>
    <w:p w:rsidR="00363702" w:rsidRDefault="00363702" w:rsidP="00E36B9B">
      <w:pPr>
        <w:spacing w:line="240" w:lineRule="auto"/>
        <w:jc w:val="left"/>
      </w:pPr>
    </w:p>
    <w:p w:rsidR="00E36B9B" w:rsidRDefault="00E36B9B" w:rsidP="00E36B9B">
      <w:pPr>
        <w:jc w:val="left"/>
      </w:pPr>
    </w:p>
    <w:p w:rsidR="00E36B9B" w:rsidRDefault="00E36B9B" w:rsidP="00E36B9B">
      <w:pPr>
        <w:rPr>
          <w:b/>
        </w:rPr>
      </w:pPr>
      <w:r>
        <w:rPr>
          <w:b/>
        </w:rPr>
        <w:t>BRIEFING ORDER</w:t>
      </w:r>
    </w:p>
    <w:p w:rsidR="00963291" w:rsidRDefault="00363702" w:rsidP="00E36B9B">
      <w:pPr>
        <w:rPr>
          <w:b/>
        </w:rPr>
      </w:pPr>
      <w:r>
        <w:rPr>
          <w:b/>
        </w:rPr>
        <w:t>GRANTING A ONE-WEEK EXTENSION FROM THE SCHEDULE</w:t>
      </w:r>
    </w:p>
    <w:p w:rsidR="00E36B9B" w:rsidRDefault="00E36B9B" w:rsidP="00E36B9B">
      <w:pPr>
        <w:rPr>
          <w:b/>
        </w:rPr>
      </w:pPr>
    </w:p>
    <w:p w:rsidR="00E36B9B" w:rsidRDefault="00E36B9B" w:rsidP="00E36B9B">
      <w:pPr>
        <w:jc w:val="left"/>
      </w:pPr>
      <w:r>
        <w:tab/>
      </w:r>
      <w:r>
        <w:tab/>
        <w:t>On December 4, 2015, Pike County Light and Power Company (PCLP) and Orange and Rockland Utilities, Inc. (O&amp;R), (collectively Joint Applicants) filed a Joint Application seeking approval to transfer control and ownership interests to Corning natural Gas holding Corporation (CNGHC).  The Application asks for all necessary authority, approvals and certificates of public convenience pursuant to Sections 1102(a)(3), 2102(b) and 1901(a) and (c) of the Public Utility Code, 66 Pa.C.S. §§ 11102(a)(3), 2102(b) and 1901(a) and (c) regarding the transfer of all of O&amp;R's ownership interests in PCLP to CNGHC, the affiliated interest agreements, and the securities transactions involving Pike.</w:t>
      </w:r>
    </w:p>
    <w:p w:rsidR="00E36B9B" w:rsidRDefault="00E36B9B" w:rsidP="00E36B9B">
      <w:pPr>
        <w:jc w:val="left"/>
      </w:pPr>
    </w:p>
    <w:p w:rsidR="00E36B9B" w:rsidRDefault="00E36B9B" w:rsidP="00E36B9B">
      <w:pPr>
        <w:jc w:val="left"/>
      </w:pPr>
      <w:r>
        <w:tab/>
      </w:r>
      <w:r>
        <w:tab/>
        <w:t xml:space="preserve">Notice of the filings was published in the </w:t>
      </w:r>
      <w:r>
        <w:rPr>
          <w:i/>
        </w:rPr>
        <w:t>Pennsylvania Bulletin</w:t>
      </w:r>
      <w:r>
        <w:t xml:space="preserve"> on December 19, 2015, 45 Pa.B. 7272, and January 4, 2016 was set as the deadline for the filing of formal protests and petitions to intervene.  </w:t>
      </w:r>
    </w:p>
    <w:p w:rsidR="00E36B9B" w:rsidRDefault="00E36B9B" w:rsidP="00E36B9B">
      <w:pPr>
        <w:jc w:val="left"/>
      </w:pPr>
    </w:p>
    <w:p w:rsidR="00E36B9B" w:rsidRDefault="00E36B9B" w:rsidP="00E36B9B">
      <w:pPr>
        <w:jc w:val="left"/>
      </w:pPr>
      <w:r>
        <w:tab/>
      </w:r>
      <w:r>
        <w:tab/>
        <w:t xml:space="preserve">On December 23, 2015, the Office of Consumer Advocate (OCA) filed its Protest and Public Statement.  Also on December 23, 2015, the Office of Small Business Advocate filed its notice of appearance.  On January 12, 2016, a notice of prehearing conference was issued, scheduling the prehearing conference for Monday, February 1, 2016.  </w:t>
      </w:r>
    </w:p>
    <w:p w:rsidR="00E36B9B" w:rsidRDefault="00E36B9B" w:rsidP="00E36B9B">
      <w:pPr>
        <w:jc w:val="left"/>
      </w:pPr>
    </w:p>
    <w:p w:rsidR="00E36B9B" w:rsidRDefault="00E36B9B" w:rsidP="00E36B9B">
      <w:pPr>
        <w:jc w:val="left"/>
      </w:pPr>
      <w:r>
        <w:tab/>
      </w:r>
      <w:r>
        <w:tab/>
        <w:t>The Joint Applicants, OCA and OSBA filed prehearing memos.  The prehearing conference was held as scheduled, with the following counsel attending:  on behalf of PCLP, John J. Gallagher, Esq.; on behalf of O&amp;R, John Carley, Esq.; on behalf of CNGHC, Thomas J. Sniscak, Esq., and William Lehman, Esq.; on behalf of OCA, Aron J. Beatty, Esq., and Brandon Pierce, Esq.; and on behalf of OSBA, Daniel Asmus, Esq.</w:t>
      </w:r>
    </w:p>
    <w:p w:rsidR="00E36B9B" w:rsidRDefault="00E36B9B" w:rsidP="00E36B9B">
      <w:pPr>
        <w:jc w:val="left"/>
      </w:pPr>
    </w:p>
    <w:p w:rsidR="00E36B9B" w:rsidRDefault="00E36B9B" w:rsidP="00E36B9B">
      <w:pPr>
        <w:jc w:val="left"/>
      </w:pPr>
      <w:r>
        <w:tab/>
      </w:r>
      <w:r>
        <w:tab/>
        <w:t>The parties worked to establish a mutually acceptable litigation schedule, and agreed upon modifications to the Commission's discovery regulations.  These were adopted in the Scheduling Order issued March 19, 2016.</w:t>
      </w:r>
    </w:p>
    <w:p w:rsidR="00E36B9B" w:rsidRDefault="00E36B9B" w:rsidP="00E36B9B">
      <w:pPr>
        <w:jc w:val="left"/>
      </w:pPr>
    </w:p>
    <w:p w:rsidR="00E36B9B" w:rsidRDefault="00E36B9B" w:rsidP="00E36B9B">
      <w:pPr>
        <w:jc w:val="left"/>
      </w:pPr>
      <w:r>
        <w:tab/>
      </w:r>
      <w:r>
        <w:tab/>
        <w:t>The parties served their direct testimony according to the schedule.  PCL&amp;P and CNGHC served panel testimony and both were directed to re-serve testimony with only one individual's testimony per statement by orders dated March 25, 2016, and April 20, 2016.  OCA served its testimony according to the schedule.</w:t>
      </w:r>
    </w:p>
    <w:p w:rsidR="00E36B9B" w:rsidRDefault="00E36B9B" w:rsidP="00E36B9B">
      <w:pPr>
        <w:jc w:val="left"/>
      </w:pPr>
    </w:p>
    <w:p w:rsidR="00D71F51" w:rsidRDefault="00E36B9B" w:rsidP="00E36B9B">
      <w:pPr>
        <w:jc w:val="left"/>
      </w:pPr>
      <w:r>
        <w:tab/>
      </w:r>
      <w:r>
        <w:tab/>
        <w:t>The hearings were scheduled for Thursday and Friday, May 5</w:t>
      </w:r>
      <w:r w:rsidRPr="00E36B9B">
        <w:rPr>
          <w:vertAlign w:val="superscript"/>
        </w:rPr>
        <w:t>th</w:t>
      </w:r>
      <w:r>
        <w:t xml:space="preserve"> and 6</w:t>
      </w:r>
      <w:r w:rsidRPr="00E36B9B">
        <w:rPr>
          <w:vertAlign w:val="superscript"/>
        </w:rPr>
        <w:t>th</w:t>
      </w:r>
      <w:r>
        <w:t xml:space="preserve">, 2016.  The parties requested that the first day of hearings be canceled as they needed only one day of hearings and preferred Friday, May 6, 2016.  At the start of the hearing, the parties indicated that they were </w:t>
      </w:r>
      <w:r w:rsidR="00907F31">
        <w:t xml:space="preserve">pursuing settlement and wished for a delay to the start of the hearing in order to </w:t>
      </w:r>
      <w:r w:rsidR="00D71F51">
        <w:t>communicate with their offices regarding an offer.</w:t>
      </w:r>
    </w:p>
    <w:p w:rsidR="00D71F51" w:rsidRDefault="00D71F51" w:rsidP="00E36B9B">
      <w:pPr>
        <w:jc w:val="left"/>
      </w:pPr>
    </w:p>
    <w:p w:rsidR="00D71F51" w:rsidRDefault="00D71F51" w:rsidP="00E36B9B">
      <w:pPr>
        <w:jc w:val="left"/>
      </w:pPr>
      <w:r>
        <w:tab/>
      </w:r>
      <w:r>
        <w:tab/>
        <w:t>At this point, I informed the parties that I had questions which needed to be answered, and we engaged in an off-the-record discussion with all parties present to disseminate the questions.  The parties did not reach a settlement, and the Applicants were given the questions to address with the witnesses best able to provide responses during the hearing.  The hearing was held with the understanding that new issues raised by my questions could be addressed by the parties following the hearing if necessary.  OSBA was the part</w:t>
      </w:r>
      <w:r w:rsidR="00B9192A">
        <w:t xml:space="preserve">y seeking this assurance, and by email sent on May 13, 2016, indicated that they would not need to respond to the testimony produced by the questions.  </w:t>
      </w:r>
      <w:r>
        <w:t xml:space="preserve"> </w:t>
      </w:r>
    </w:p>
    <w:p w:rsidR="00D71F51" w:rsidRDefault="00D71F51" w:rsidP="00E36B9B">
      <w:pPr>
        <w:jc w:val="left"/>
      </w:pPr>
    </w:p>
    <w:p w:rsidR="00E36B9B" w:rsidRDefault="00D71F51" w:rsidP="00E36B9B">
      <w:pPr>
        <w:jc w:val="left"/>
      </w:pPr>
      <w:r>
        <w:lastRenderedPageBreak/>
        <w:tab/>
      </w:r>
      <w:r>
        <w:tab/>
        <w:t>On Friday</w:t>
      </w:r>
      <w:r w:rsidR="00B9192A">
        <w:t>, May 13, 2016, by email sent after I had left for the weekend, the parties asked for a one-week continuance for briefs, which were due May 20</w:t>
      </w:r>
      <w:r w:rsidR="00B9192A" w:rsidRPr="00B9192A">
        <w:rPr>
          <w:vertAlign w:val="superscript"/>
        </w:rPr>
        <w:t>th</w:t>
      </w:r>
      <w:r w:rsidR="00B9192A">
        <w:rPr>
          <w:vertAlign w:val="superscript"/>
        </w:rPr>
        <w:t xml:space="preserve"> </w:t>
      </w:r>
      <w:r w:rsidR="00B9192A">
        <w:t xml:space="preserve"> for main briefs and June 1</w:t>
      </w:r>
      <w:r w:rsidR="00B9192A" w:rsidRPr="00B9192A">
        <w:rPr>
          <w:vertAlign w:val="superscript"/>
        </w:rPr>
        <w:t>st</w:t>
      </w:r>
      <w:r w:rsidR="00B9192A">
        <w:t xml:space="preserve"> for reply briefs.  </w:t>
      </w:r>
      <w:r w:rsidR="00E36B9B">
        <w:t xml:space="preserve"> </w:t>
      </w:r>
      <w:r w:rsidR="00B9192A">
        <w:t xml:space="preserve">By responsive email on Monday, May 16, 2016, </w:t>
      </w:r>
      <w:r w:rsidR="00152CC6">
        <w:t xml:space="preserve">at 7:59 am., </w:t>
      </w:r>
      <w:r w:rsidR="00B9192A">
        <w:t xml:space="preserve">I indicated to the parties that pushing this briefing schedule further out made it much more likely that I would not have time to finish and issue my initial decision before I needed to concentrate my time on cases with statutory deadlines.  I informed the parties that I would allow the later due dates as long as they understood that the result might be that the decision might not be issued before the end of September.  I stated that I would consider the request an agreement to risking that the decision might not be finished before the end of September, and that this Briefing Order would be issued on Monday, May 16, 2016, in the afternoon if I had not heard from them. </w:t>
      </w:r>
    </w:p>
    <w:p w:rsidR="00152CC6" w:rsidRDefault="00152CC6" w:rsidP="00E36B9B">
      <w:pPr>
        <w:jc w:val="left"/>
      </w:pPr>
    </w:p>
    <w:p w:rsidR="00152CC6" w:rsidRDefault="00152CC6" w:rsidP="00E36B9B">
      <w:pPr>
        <w:jc w:val="left"/>
      </w:pPr>
      <w:r>
        <w:tab/>
      </w:r>
      <w:r>
        <w:tab/>
        <w:t xml:space="preserve">The parties did not indicate that they wished to withdraw their request.  </w:t>
      </w:r>
    </w:p>
    <w:p w:rsidR="00152CC6" w:rsidRDefault="00152CC6" w:rsidP="00E36B9B">
      <w:pPr>
        <w:jc w:val="left"/>
      </w:pPr>
    </w:p>
    <w:p w:rsidR="00363702" w:rsidRDefault="00363702" w:rsidP="00363702">
      <w:r>
        <w:t>ORDER</w:t>
      </w:r>
    </w:p>
    <w:p w:rsidR="00363702" w:rsidRDefault="00363702" w:rsidP="00363702"/>
    <w:p w:rsidR="00363702" w:rsidRDefault="00363702" w:rsidP="00363702"/>
    <w:p w:rsidR="00152CC6" w:rsidRDefault="00152CC6" w:rsidP="00E36B9B">
      <w:pPr>
        <w:jc w:val="left"/>
      </w:pPr>
      <w:r>
        <w:tab/>
      </w:r>
      <w:r>
        <w:tab/>
        <w:t>THEREFORE,</w:t>
      </w:r>
    </w:p>
    <w:p w:rsidR="00152CC6" w:rsidRDefault="00152CC6" w:rsidP="00E36B9B">
      <w:pPr>
        <w:jc w:val="left"/>
      </w:pPr>
    </w:p>
    <w:p w:rsidR="00152CC6" w:rsidRDefault="00152CC6" w:rsidP="00E36B9B">
      <w:pPr>
        <w:jc w:val="left"/>
      </w:pPr>
      <w:r>
        <w:tab/>
      </w:r>
      <w:r>
        <w:tab/>
        <w:t>IT IS ORDERED:</w:t>
      </w:r>
    </w:p>
    <w:p w:rsidR="00152CC6" w:rsidRDefault="00152CC6" w:rsidP="00363702">
      <w:pPr>
        <w:jc w:val="left"/>
      </w:pPr>
    </w:p>
    <w:p w:rsidR="00152CC6" w:rsidRDefault="00152CC6" w:rsidP="00363702">
      <w:pPr>
        <w:jc w:val="left"/>
      </w:pPr>
      <w:r>
        <w:tab/>
      </w:r>
      <w:r>
        <w:tab/>
        <w:t>1.</w:t>
      </w:r>
      <w:r>
        <w:tab/>
        <w:t>That the request for extension of time in which to file briefs is granted.</w:t>
      </w:r>
    </w:p>
    <w:p w:rsidR="00152CC6" w:rsidRDefault="00152CC6" w:rsidP="00363702">
      <w:pPr>
        <w:jc w:val="left"/>
      </w:pPr>
    </w:p>
    <w:p w:rsidR="00152CC6" w:rsidRDefault="00152CC6" w:rsidP="00363702">
      <w:pPr>
        <w:jc w:val="left"/>
      </w:pPr>
      <w:r>
        <w:tab/>
      </w:r>
      <w:r>
        <w:tab/>
        <w:t>2.</w:t>
      </w:r>
      <w:r>
        <w:tab/>
        <w:t>That the parties' main briefs shall be filed and served on or before Friday, May 27</w:t>
      </w:r>
      <w:r w:rsidRPr="00152CC6">
        <w:rPr>
          <w:vertAlign w:val="superscript"/>
        </w:rPr>
        <w:t>th</w:t>
      </w:r>
      <w:r>
        <w:t>, no later than noon.</w:t>
      </w:r>
    </w:p>
    <w:p w:rsidR="00152CC6" w:rsidRDefault="00152CC6" w:rsidP="00363702">
      <w:pPr>
        <w:jc w:val="left"/>
      </w:pPr>
    </w:p>
    <w:p w:rsidR="00152CC6" w:rsidRDefault="00152CC6" w:rsidP="00363702">
      <w:pPr>
        <w:jc w:val="left"/>
      </w:pPr>
      <w:r>
        <w:tab/>
      </w:r>
      <w:r>
        <w:tab/>
        <w:t>3.</w:t>
      </w:r>
      <w:r>
        <w:tab/>
        <w:t>That the parties' reply briefs shall be filed and served on or before Wednesday, June 8, 2016.</w:t>
      </w:r>
    </w:p>
    <w:p w:rsidR="00152CC6" w:rsidRDefault="00152CC6" w:rsidP="00363702">
      <w:pPr>
        <w:jc w:val="left"/>
      </w:pPr>
    </w:p>
    <w:p w:rsidR="00C04960" w:rsidRDefault="00152CC6" w:rsidP="00363702">
      <w:pPr>
        <w:jc w:val="left"/>
      </w:pPr>
      <w:r>
        <w:tab/>
      </w:r>
      <w:r>
        <w:tab/>
        <w:t>4.</w:t>
      </w:r>
      <w:r>
        <w:tab/>
        <w:t>B</w:t>
      </w:r>
      <w:r w:rsidR="00E36B9B">
        <w:t>riefs must comply with 52 Pa. Code §§ 5.501 and 5.502.</w:t>
      </w:r>
    </w:p>
    <w:p w:rsidR="00E36B9B" w:rsidRDefault="00E36B9B" w:rsidP="00363702">
      <w:pPr>
        <w:jc w:val="left"/>
      </w:pPr>
    </w:p>
    <w:p w:rsidR="00E36B9B" w:rsidRDefault="00152CC6" w:rsidP="00363702">
      <w:pPr>
        <w:jc w:val="left"/>
      </w:pPr>
      <w:r>
        <w:lastRenderedPageBreak/>
        <w:tab/>
      </w:r>
      <w:r>
        <w:tab/>
        <w:t>5.</w:t>
      </w:r>
      <w:r>
        <w:tab/>
      </w:r>
      <w:r w:rsidR="00E36B9B">
        <w:t xml:space="preserve">That due dates are in-hand and may be by electronic means on the due date if transmission occurs before </w:t>
      </w:r>
      <w:r>
        <w:t>noon for the main briefs and 4:00 pm for the reply briefs,</w:t>
      </w:r>
      <w:r w:rsidR="00E36B9B">
        <w:t xml:space="preserve"> and notice of electronic availability on the case-specific website or hard copies follow.  </w:t>
      </w:r>
    </w:p>
    <w:p w:rsidR="00E36B9B" w:rsidRDefault="00E36B9B" w:rsidP="00363702">
      <w:pPr>
        <w:jc w:val="left"/>
      </w:pPr>
    </w:p>
    <w:p w:rsidR="00E36B9B" w:rsidRDefault="00E36B9B" w:rsidP="00363702">
      <w:pPr>
        <w:jc w:val="left"/>
      </w:pPr>
      <w:r>
        <w:tab/>
      </w:r>
      <w:r>
        <w:tab/>
        <w:t>6.</w:t>
      </w:r>
      <w:r>
        <w:tab/>
        <w:t xml:space="preserve">Electronic service upon the administrative law judge shall include a version in WORD format.  </w:t>
      </w:r>
    </w:p>
    <w:p w:rsidR="00152CC6" w:rsidRDefault="00152CC6" w:rsidP="00363702">
      <w:pPr>
        <w:jc w:val="left"/>
      </w:pPr>
    </w:p>
    <w:p w:rsidR="00363702" w:rsidRDefault="00363702" w:rsidP="00363702">
      <w:pPr>
        <w:jc w:val="left"/>
      </w:pPr>
    </w:p>
    <w:p w:rsidR="00152CC6" w:rsidRPr="000C032A" w:rsidRDefault="00152CC6" w:rsidP="00152CC6">
      <w:pPr>
        <w:spacing w:line="240" w:lineRule="auto"/>
        <w:jc w:val="left"/>
        <w:rPr>
          <w:u w:val="single"/>
        </w:rPr>
      </w:pPr>
      <w:r>
        <w:t>Dated:</w:t>
      </w:r>
      <w:r>
        <w:tab/>
      </w:r>
      <w:r>
        <w:rPr>
          <w:u w:val="single"/>
        </w:rPr>
        <w:t>May 16, 2016</w:t>
      </w:r>
      <w:r w:rsidR="000C032A">
        <w:tab/>
      </w:r>
      <w:r w:rsidR="000C032A">
        <w:tab/>
      </w:r>
      <w:r w:rsidR="000C032A">
        <w:tab/>
      </w:r>
      <w:r w:rsidR="000C032A">
        <w:tab/>
      </w:r>
      <w:r w:rsidR="000C032A">
        <w:tab/>
      </w:r>
      <w:r w:rsidR="000C032A">
        <w:rPr>
          <w:u w:val="single"/>
        </w:rPr>
        <w:tab/>
      </w:r>
      <w:r w:rsidR="000C032A">
        <w:rPr>
          <w:u w:val="single"/>
        </w:rPr>
        <w:tab/>
      </w:r>
      <w:r w:rsidR="000C032A">
        <w:rPr>
          <w:u w:val="single"/>
        </w:rPr>
        <w:tab/>
      </w:r>
      <w:r w:rsidR="000C032A">
        <w:rPr>
          <w:u w:val="single"/>
        </w:rPr>
        <w:tab/>
      </w:r>
      <w:r w:rsidR="000C032A">
        <w:rPr>
          <w:u w:val="single"/>
        </w:rPr>
        <w:tab/>
      </w:r>
    </w:p>
    <w:p w:rsidR="00152CC6" w:rsidRDefault="000C032A" w:rsidP="00152CC6">
      <w:pPr>
        <w:spacing w:line="240" w:lineRule="auto"/>
        <w:jc w:val="left"/>
      </w:pPr>
      <w:r>
        <w:tab/>
      </w:r>
      <w:r>
        <w:tab/>
      </w:r>
      <w:r>
        <w:tab/>
      </w:r>
      <w:r>
        <w:tab/>
      </w:r>
      <w:r>
        <w:tab/>
      </w:r>
      <w:r>
        <w:tab/>
      </w:r>
      <w:r>
        <w:tab/>
      </w:r>
      <w:r w:rsidR="00152CC6">
        <w:t>Susan D. Colwell</w:t>
      </w:r>
    </w:p>
    <w:p w:rsidR="000C032A" w:rsidRDefault="006A0EBA" w:rsidP="00152CC6">
      <w:pPr>
        <w:spacing w:line="240" w:lineRule="auto"/>
        <w:jc w:val="left"/>
        <w:sectPr w:rsidR="000C032A" w:rsidSect="006A0EBA">
          <w:footerReference w:type="default" r:id="rId8"/>
          <w:pgSz w:w="12240" w:h="15840"/>
          <w:pgMar w:top="1296" w:right="1440" w:bottom="1296" w:left="1440" w:header="720" w:footer="720" w:gutter="0"/>
          <w:cols w:space="720"/>
          <w:titlePg/>
          <w:docGrid w:linePitch="360"/>
        </w:sectPr>
      </w:pPr>
      <w:r>
        <w:tab/>
      </w:r>
      <w:r>
        <w:tab/>
      </w:r>
      <w:r>
        <w:tab/>
      </w:r>
      <w:r>
        <w:tab/>
      </w:r>
      <w:r>
        <w:tab/>
      </w:r>
      <w:r>
        <w:tab/>
      </w:r>
      <w:r>
        <w:tab/>
      </w:r>
      <w:r w:rsidR="00152CC6">
        <w:t>Administrative Law Judge</w:t>
      </w:r>
    </w:p>
    <w:p w:rsidR="000C032A" w:rsidRDefault="000C032A" w:rsidP="000C032A">
      <w:pPr>
        <w:spacing w:line="240" w:lineRule="auto"/>
        <w:contextualSpacing/>
        <w:jc w:val="left"/>
        <w:rPr>
          <w:rFonts w:ascii="Microsoft Sans Serif"/>
          <w:b/>
          <w:u w:val="single"/>
        </w:rPr>
      </w:pPr>
      <w:r>
        <w:rPr>
          <w:rFonts w:ascii="Microsoft Sans Serif"/>
          <w:b/>
          <w:u w:val="single"/>
        </w:rPr>
        <w:lastRenderedPageBreak/>
        <w:t xml:space="preserve">A-2015-2517111 </w:t>
      </w:r>
      <w:r w:rsidRPr="00BE519A">
        <w:rPr>
          <w:rFonts w:ascii="Microsoft Sans Serif"/>
          <w:b/>
          <w:u w:val="single"/>
        </w:rPr>
        <w:t xml:space="preserve">JOINT APPLICATION OF PIKE COUNTY LIGHT AND POWER COMPANY, BUYER CORNING NATURAL GAS HOLDING CORPORATION AND SELLER ORANGE AND ROCKLAND UTILITIES, INC </w:t>
      </w:r>
    </w:p>
    <w:p w:rsidR="000C032A" w:rsidRDefault="000C032A" w:rsidP="000C032A">
      <w:pPr>
        <w:spacing w:line="240" w:lineRule="auto"/>
        <w:contextualSpacing/>
        <w:jc w:val="left"/>
        <w:rPr>
          <w:rFonts w:ascii="Microsoft Sans Serif"/>
          <w:b/>
          <w:u w:val="single"/>
        </w:rPr>
      </w:pPr>
    </w:p>
    <w:p w:rsidR="000C032A" w:rsidRDefault="000C032A" w:rsidP="000C032A">
      <w:pPr>
        <w:spacing w:line="240" w:lineRule="auto"/>
        <w:contextualSpacing/>
        <w:jc w:val="left"/>
        <w:rPr>
          <w:rFonts w:ascii="Microsoft Sans Serif"/>
        </w:rPr>
      </w:pPr>
      <w:r>
        <w:rPr>
          <w:rFonts w:ascii="Microsoft Sans Serif"/>
        </w:rPr>
        <w:t>THOMAS J SNISCAK ESQUIRE</w:t>
      </w:r>
    </w:p>
    <w:p w:rsidR="000C032A" w:rsidRDefault="000C032A" w:rsidP="000C032A">
      <w:pPr>
        <w:spacing w:line="240" w:lineRule="auto"/>
        <w:contextualSpacing/>
        <w:jc w:val="left"/>
        <w:rPr>
          <w:rFonts w:ascii="Microsoft Sans Serif"/>
        </w:rPr>
      </w:pPr>
      <w:r>
        <w:rPr>
          <w:rFonts w:ascii="Microsoft Sans Serif"/>
        </w:rPr>
        <w:t>WILLIAM E LEHMAN ESQUIRE</w:t>
      </w:r>
    </w:p>
    <w:p w:rsidR="000C032A" w:rsidRDefault="000C032A" w:rsidP="000C032A">
      <w:pPr>
        <w:spacing w:line="240" w:lineRule="auto"/>
        <w:contextualSpacing/>
        <w:jc w:val="left"/>
        <w:rPr>
          <w:rFonts w:ascii="Microsoft Sans Serif"/>
          <w:b/>
        </w:rPr>
      </w:pPr>
      <w:r>
        <w:rPr>
          <w:rFonts w:ascii="Microsoft Sans Serif"/>
        </w:rPr>
        <w:t xml:space="preserve">WHITNEY E SNYDER </w:t>
      </w:r>
      <w:r w:rsidRPr="00E910BD">
        <w:rPr>
          <w:rFonts w:ascii="Microsoft Sans Serif"/>
        </w:rPr>
        <w:t>ESQUIRE</w:t>
      </w:r>
      <w:r>
        <w:rPr>
          <w:rFonts w:ascii="Microsoft Sans Serif"/>
        </w:rPr>
        <w:cr/>
        <w:t>HAWKE MCKEON AND SNISCAK LLP</w:t>
      </w:r>
      <w:r>
        <w:rPr>
          <w:rFonts w:ascii="Microsoft Sans Serif"/>
        </w:rPr>
        <w:cr/>
        <w:t>100 N TENTH STREET</w:t>
      </w:r>
      <w:r>
        <w:rPr>
          <w:rFonts w:ascii="Microsoft Sans Serif"/>
        </w:rPr>
        <w:cr/>
        <w:t>HARRISBURG PA  17101</w:t>
      </w:r>
      <w:r>
        <w:rPr>
          <w:rFonts w:ascii="Microsoft Sans Serif"/>
        </w:rPr>
        <w:cr/>
      </w:r>
      <w:r>
        <w:rPr>
          <w:rFonts w:ascii="Microsoft Sans Serif"/>
          <w:b/>
        </w:rPr>
        <w:t>717.236.</w:t>
      </w:r>
      <w:r w:rsidRPr="00BE519A">
        <w:rPr>
          <w:rFonts w:ascii="Microsoft Sans Serif"/>
          <w:b/>
        </w:rPr>
        <w:t>1300</w:t>
      </w:r>
    </w:p>
    <w:p w:rsidR="000C032A" w:rsidRPr="00E910BD" w:rsidRDefault="000C032A" w:rsidP="000C032A">
      <w:pPr>
        <w:spacing w:line="240" w:lineRule="auto"/>
        <w:contextualSpacing/>
        <w:jc w:val="left"/>
        <w:rPr>
          <w:rFonts w:ascii="Microsoft Sans Serif"/>
          <w:i/>
        </w:rPr>
      </w:pPr>
      <w:r w:rsidRPr="00E910BD">
        <w:rPr>
          <w:rFonts w:ascii="Microsoft Sans Serif"/>
          <w:i/>
        </w:rPr>
        <w:t>Accepts E-service</w:t>
      </w:r>
    </w:p>
    <w:p w:rsidR="000C032A" w:rsidRPr="006A0EBA" w:rsidRDefault="000C032A" w:rsidP="000C032A">
      <w:pPr>
        <w:spacing w:line="240" w:lineRule="auto"/>
        <w:contextualSpacing/>
        <w:jc w:val="left"/>
        <w:rPr>
          <w:rFonts w:ascii="Microsoft Sans Serif"/>
          <w:i/>
        </w:rPr>
      </w:pPr>
      <w:r w:rsidRPr="00E910BD">
        <w:rPr>
          <w:rFonts w:ascii="Microsoft Sans Serif"/>
          <w:i/>
        </w:rPr>
        <w:t xml:space="preserve">Representing </w:t>
      </w:r>
      <w:r>
        <w:rPr>
          <w:rFonts w:ascii="Microsoft Sans Serif"/>
          <w:i/>
        </w:rPr>
        <w:t>Applicants:</w:t>
      </w:r>
      <w:r w:rsidRPr="00E910BD">
        <w:t xml:space="preserve"> </w:t>
      </w:r>
      <w:r w:rsidRPr="00E910BD">
        <w:rPr>
          <w:rFonts w:ascii="Microsoft Sans Serif"/>
          <w:i/>
        </w:rPr>
        <w:t>Pike County Light and Power Company (</w:t>
      </w:r>
      <w:r w:rsidRPr="00E910BD">
        <w:rPr>
          <w:rFonts w:ascii="Microsoft Sans Serif"/>
          <w:i/>
        </w:rPr>
        <w:t>“</w:t>
      </w:r>
      <w:r w:rsidRPr="00E910BD">
        <w:rPr>
          <w:rFonts w:ascii="Microsoft Sans Serif"/>
          <w:i/>
        </w:rPr>
        <w:t>PCL&amp;P</w:t>
      </w:r>
      <w:r w:rsidRPr="00E910BD">
        <w:rPr>
          <w:rFonts w:ascii="Microsoft Sans Serif"/>
          <w:i/>
        </w:rPr>
        <w:t>’”</w:t>
      </w:r>
      <w:r w:rsidRPr="00E910BD">
        <w:rPr>
          <w:rFonts w:ascii="Microsoft Sans Serif"/>
          <w:i/>
        </w:rPr>
        <w:t>), Corning Natural</w:t>
      </w:r>
      <w:r w:rsidR="006A0EBA">
        <w:rPr>
          <w:rFonts w:ascii="Microsoft Sans Serif"/>
          <w:i/>
        </w:rPr>
        <w:t xml:space="preserve"> </w:t>
      </w:r>
      <w:r w:rsidRPr="00E910BD">
        <w:rPr>
          <w:rFonts w:ascii="Microsoft Sans Serif"/>
          <w:i/>
        </w:rPr>
        <w:t>Gas Holding Corporation (</w:t>
      </w:r>
      <w:r w:rsidRPr="00E910BD">
        <w:rPr>
          <w:rFonts w:ascii="Microsoft Sans Serif"/>
          <w:i/>
        </w:rPr>
        <w:t>“</w:t>
      </w:r>
      <w:r w:rsidRPr="00E910BD">
        <w:rPr>
          <w:rFonts w:ascii="Microsoft Sans Serif"/>
          <w:i/>
        </w:rPr>
        <w:t>CNGHC</w:t>
      </w:r>
      <w:r w:rsidRPr="00E910BD">
        <w:rPr>
          <w:rFonts w:ascii="Microsoft Sans Serif"/>
          <w:i/>
        </w:rPr>
        <w:t>”</w:t>
      </w:r>
      <w:r w:rsidRPr="00E910BD">
        <w:rPr>
          <w:rFonts w:ascii="Microsoft Sans Serif"/>
          <w:i/>
        </w:rPr>
        <w:t xml:space="preserve">) and </w:t>
      </w:r>
      <w:r>
        <w:rPr>
          <w:rFonts w:ascii="Microsoft Sans Serif"/>
          <w:i/>
        </w:rPr>
        <w:t>Orange and Rockland Utilities, I</w:t>
      </w:r>
      <w:r w:rsidRPr="00E910BD">
        <w:rPr>
          <w:rFonts w:ascii="Microsoft Sans Serif"/>
          <w:i/>
        </w:rPr>
        <w:t>nc. (</w:t>
      </w:r>
      <w:r w:rsidRPr="00E910BD">
        <w:rPr>
          <w:rFonts w:ascii="Microsoft Sans Serif"/>
          <w:i/>
        </w:rPr>
        <w:t>“</w:t>
      </w:r>
      <w:r w:rsidRPr="00E910BD">
        <w:rPr>
          <w:rFonts w:ascii="Microsoft Sans Serif"/>
          <w:i/>
        </w:rPr>
        <w:t>Orange and</w:t>
      </w:r>
      <w:r w:rsidR="006A0EBA">
        <w:rPr>
          <w:rFonts w:ascii="Microsoft Sans Serif"/>
          <w:i/>
        </w:rPr>
        <w:t xml:space="preserve"> </w:t>
      </w:r>
      <w:r w:rsidRPr="00E910BD">
        <w:rPr>
          <w:rFonts w:ascii="Microsoft Sans Serif"/>
          <w:i/>
        </w:rPr>
        <w:t>Rockland</w:t>
      </w:r>
      <w:r w:rsidRPr="00E910BD">
        <w:rPr>
          <w:rFonts w:ascii="Microsoft Sans Serif"/>
          <w:i/>
        </w:rPr>
        <w:t>”</w:t>
      </w:r>
      <w:r w:rsidRPr="00E910BD">
        <w:rPr>
          <w:rFonts w:ascii="Microsoft Sans Serif"/>
          <w:i/>
        </w:rPr>
        <w:t xml:space="preserve">) </w:t>
      </w:r>
      <w:r w:rsidRPr="00E910BD">
        <w:rPr>
          <w:rFonts w:ascii="Microsoft Sans Serif"/>
          <w:i/>
        </w:rPr>
        <w:cr/>
      </w:r>
      <w:r w:rsidRPr="00E910BD">
        <w:rPr>
          <w:rFonts w:ascii="Microsoft Sans Serif"/>
          <w:i/>
        </w:rPr>
        <w:cr/>
      </w:r>
      <w:r>
        <w:rPr>
          <w:rFonts w:ascii="Microsoft Sans Serif"/>
        </w:rPr>
        <w:t>JOHN J GALLAGHER ESQUIRE</w:t>
      </w:r>
      <w:r>
        <w:rPr>
          <w:rFonts w:ascii="Microsoft Sans Serif"/>
        </w:rPr>
        <w:cr/>
        <w:t>711 FORREST RD</w:t>
      </w:r>
      <w:r>
        <w:rPr>
          <w:rFonts w:ascii="Microsoft Sans Serif"/>
        </w:rPr>
        <w:cr/>
        <w:t>HARRISBURG PA  17112</w:t>
      </w:r>
      <w:r>
        <w:rPr>
          <w:rFonts w:ascii="Microsoft Sans Serif"/>
        </w:rPr>
        <w:cr/>
      </w:r>
      <w:r>
        <w:rPr>
          <w:rFonts w:ascii="Microsoft Sans Serif"/>
          <w:b/>
        </w:rPr>
        <w:t>717.599.</w:t>
      </w:r>
      <w:r w:rsidRPr="00BE519A">
        <w:rPr>
          <w:rFonts w:ascii="Microsoft Sans Serif"/>
          <w:b/>
        </w:rPr>
        <w:t>5839</w:t>
      </w:r>
    </w:p>
    <w:p w:rsidR="000C032A" w:rsidRPr="00E910BD" w:rsidRDefault="000C032A" w:rsidP="000C032A">
      <w:pPr>
        <w:spacing w:line="240" w:lineRule="auto"/>
        <w:contextualSpacing/>
        <w:jc w:val="left"/>
        <w:rPr>
          <w:rFonts w:ascii="Microsoft Sans Serif"/>
          <w:i/>
        </w:rPr>
      </w:pPr>
      <w:r w:rsidRPr="00E910BD">
        <w:rPr>
          <w:rFonts w:ascii="Microsoft Sans Serif"/>
          <w:i/>
        </w:rPr>
        <w:t>Accepts E-service</w:t>
      </w:r>
    </w:p>
    <w:p w:rsidR="000C032A" w:rsidRDefault="000C032A" w:rsidP="000C032A">
      <w:pPr>
        <w:spacing w:line="240" w:lineRule="auto"/>
        <w:contextualSpacing/>
        <w:jc w:val="left"/>
        <w:rPr>
          <w:rFonts w:ascii="Microsoft Sans Serif"/>
          <w:b/>
        </w:rPr>
      </w:pPr>
      <w:r w:rsidRPr="00E910BD">
        <w:rPr>
          <w:rFonts w:ascii="Microsoft Sans Serif"/>
          <w:i/>
        </w:rPr>
        <w:t xml:space="preserve">Representing </w:t>
      </w:r>
      <w:r>
        <w:rPr>
          <w:rFonts w:ascii="Microsoft Sans Serif"/>
          <w:i/>
        </w:rPr>
        <w:t xml:space="preserve">Applicant: </w:t>
      </w:r>
      <w:r w:rsidRPr="00C064A3">
        <w:rPr>
          <w:rFonts w:ascii="Microsoft Sans Serif"/>
          <w:i/>
        </w:rPr>
        <w:t>Pike County Light &amp; Power &amp; Orange &amp; Rockland</w:t>
      </w:r>
    </w:p>
    <w:p w:rsidR="000C032A" w:rsidRDefault="000C032A" w:rsidP="000C032A">
      <w:pPr>
        <w:spacing w:line="240" w:lineRule="auto"/>
        <w:contextualSpacing/>
        <w:jc w:val="left"/>
        <w:rPr>
          <w:rFonts w:ascii="Microsoft Sans Serif"/>
          <w:b/>
        </w:rPr>
      </w:pPr>
    </w:p>
    <w:p w:rsidR="000C032A" w:rsidRPr="00C064A3" w:rsidRDefault="000C032A" w:rsidP="000C032A">
      <w:pPr>
        <w:spacing w:line="240" w:lineRule="auto"/>
        <w:contextualSpacing/>
        <w:jc w:val="left"/>
        <w:rPr>
          <w:rFonts w:ascii="Microsoft Sans Serif"/>
          <w:b/>
        </w:rPr>
      </w:pPr>
      <w:r>
        <w:rPr>
          <w:rFonts w:ascii="Microsoft Sans Serif"/>
        </w:rPr>
        <w:t>JOHN L CARLEY</w:t>
      </w:r>
    </w:p>
    <w:p w:rsidR="000C032A" w:rsidRDefault="000C032A" w:rsidP="000C032A">
      <w:pPr>
        <w:spacing w:line="240" w:lineRule="auto"/>
        <w:contextualSpacing/>
        <w:jc w:val="left"/>
        <w:rPr>
          <w:rFonts w:ascii="Microsoft Sans Serif"/>
          <w:b/>
        </w:rPr>
      </w:pPr>
      <w:r>
        <w:rPr>
          <w:rFonts w:ascii="Microsoft Sans Serif"/>
        </w:rPr>
        <w:t>ASSISTANT GENERAL COUNSEL</w:t>
      </w:r>
      <w:r>
        <w:rPr>
          <w:rFonts w:ascii="Microsoft Sans Serif"/>
        </w:rPr>
        <w:cr/>
        <w:t>PIKE COUNTY LIGHT &amp; POWER CO</w:t>
      </w:r>
      <w:r>
        <w:rPr>
          <w:rFonts w:ascii="Microsoft Sans Serif"/>
        </w:rPr>
        <w:cr/>
        <w:t>4 IRVING PLACE</w:t>
      </w:r>
      <w:r>
        <w:rPr>
          <w:rFonts w:ascii="Microsoft Sans Serif"/>
        </w:rPr>
        <w:cr/>
        <w:t>NEW YORK NY  10003</w:t>
      </w:r>
      <w:r>
        <w:rPr>
          <w:rFonts w:ascii="Microsoft Sans Serif"/>
        </w:rPr>
        <w:cr/>
      </w:r>
      <w:r>
        <w:rPr>
          <w:rFonts w:ascii="Microsoft Sans Serif"/>
          <w:b/>
        </w:rPr>
        <w:t>212.460.</w:t>
      </w:r>
      <w:r w:rsidRPr="00BE519A">
        <w:rPr>
          <w:rFonts w:ascii="Microsoft Sans Serif"/>
          <w:b/>
        </w:rPr>
        <w:t>2097</w:t>
      </w:r>
    </w:p>
    <w:p w:rsidR="000C032A" w:rsidRDefault="000C032A" w:rsidP="000C032A">
      <w:pPr>
        <w:spacing w:line="240" w:lineRule="auto"/>
        <w:contextualSpacing/>
        <w:jc w:val="left"/>
        <w:rPr>
          <w:rFonts w:ascii="Microsoft Sans Serif"/>
          <w:b/>
        </w:rPr>
      </w:pPr>
      <w:r w:rsidRPr="00E910BD">
        <w:rPr>
          <w:rFonts w:ascii="Microsoft Sans Serif"/>
          <w:i/>
        </w:rPr>
        <w:t xml:space="preserve">Representing </w:t>
      </w:r>
      <w:r w:rsidRPr="00C064A3">
        <w:rPr>
          <w:rFonts w:ascii="Microsoft Sans Serif"/>
          <w:i/>
        </w:rPr>
        <w:t>Applicant:</w:t>
      </w:r>
      <w:r>
        <w:rPr>
          <w:rFonts w:ascii="Microsoft Sans Serif"/>
          <w:i/>
        </w:rPr>
        <w:t xml:space="preserve"> </w:t>
      </w:r>
      <w:r w:rsidRPr="00C064A3">
        <w:rPr>
          <w:rFonts w:ascii="Microsoft Sans Serif"/>
          <w:i/>
        </w:rPr>
        <w:t>Pike County Light &amp; Power &amp; Orange &amp; Rockland</w:t>
      </w:r>
      <w:r w:rsidRPr="00C064A3">
        <w:rPr>
          <w:rFonts w:ascii="Microsoft Sans Serif"/>
          <w:i/>
        </w:rPr>
        <w:cr/>
      </w:r>
      <w:r>
        <w:rPr>
          <w:rFonts w:ascii="Microsoft Sans Serif"/>
        </w:rPr>
        <w:cr/>
        <w:t>DANIEL G ASMUS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BE519A">
        <w:rPr>
          <w:rFonts w:ascii="Microsoft Sans Serif"/>
          <w:b/>
        </w:rPr>
        <w:t>717.783.2525</w:t>
      </w:r>
    </w:p>
    <w:p w:rsidR="000C032A" w:rsidRPr="00C064A3" w:rsidRDefault="000C032A" w:rsidP="000C032A">
      <w:pPr>
        <w:spacing w:line="240" w:lineRule="auto"/>
        <w:contextualSpacing/>
        <w:jc w:val="left"/>
        <w:rPr>
          <w:rFonts w:ascii="Microsoft Sans Serif"/>
          <w:i/>
        </w:rPr>
      </w:pPr>
    </w:p>
    <w:p w:rsidR="000C032A" w:rsidRDefault="000C032A" w:rsidP="000C032A">
      <w:pPr>
        <w:spacing w:line="240" w:lineRule="auto"/>
        <w:contextualSpacing/>
        <w:jc w:val="left"/>
        <w:rPr>
          <w:rFonts w:ascii="Microsoft Sans Serif"/>
        </w:rPr>
      </w:pPr>
      <w:r>
        <w:rPr>
          <w:rFonts w:ascii="Microsoft Sans Serif"/>
        </w:rPr>
        <w:t>ARON J BEATTY ESQUIRE</w:t>
      </w:r>
    </w:p>
    <w:p w:rsidR="000C032A" w:rsidRDefault="000C032A" w:rsidP="000C032A">
      <w:pPr>
        <w:spacing w:line="240" w:lineRule="auto"/>
        <w:contextualSpacing/>
        <w:jc w:val="left"/>
        <w:rPr>
          <w:rFonts w:ascii="Microsoft Sans Serif"/>
        </w:rPr>
      </w:pPr>
      <w:r>
        <w:rPr>
          <w:rFonts w:ascii="Microsoft Sans Serif"/>
        </w:rPr>
        <w:t>BRANDON PIERCE ESQUIRE</w:t>
      </w:r>
      <w:r>
        <w:rPr>
          <w:rFonts w:ascii="Microsoft Sans Serif"/>
        </w:rPr>
        <w:cr/>
        <w:t>OFFICE OF CONSUMER ADVOCATE</w:t>
      </w:r>
      <w:r>
        <w:rPr>
          <w:rFonts w:ascii="Microsoft Sans Serif"/>
        </w:rPr>
        <w:cr/>
        <w:t xml:space="preserve">555 WALNUT STREET 5TH </w:t>
      </w:r>
      <w:proofErr w:type="gramStart"/>
      <w:r>
        <w:rPr>
          <w:rFonts w:ascii="Microsoft Sans Serif"/>
        </w:rPr>
        <w:t>FLOOR</w:t>
      </w:r>
      <w:proofErr w:type="gramEnd"/>
      <w:r>
        <w:rPr>
          <w:rFonts w:ascii="Microsoft Sans Serif"/>
        </w:rPr>
        <w:cr/>
        <w:t>HARRISBURG PA  17101</w:t>
      </w:r>
    </w:p>
    <w:p w:rsidR="000C032A" w:rsidRDefault="000C032A" w:rsidP="000C032A">
      <w:pPr>
        <w:spacing w:line="240" w:lineRule="auto"/>
        <w:contextualSpacing/>
        <w:jc w:val="left"/>
        <w:rPr>
          <w:rFonts w:ascii="Microsoft Sans Serif"/>
          <w:b/>
        </w:rPr>
      </w:pPr>
      <w:r>
        <w:rPr>
          <w:rFonts w:ascii="Microsoft Sans Serif"/>
          <w:b/>
        </w:rPr>
        <w:t>717.783.</w:t>
      </w:r>
      <w:r w:rsidRPr="00BE519A">
        <w:rPr>
          <w:rFonts w:ascii="Microsoft Sans Serif"/>
          <w:b/>
        </w:rPr>
        <w:t>5048</w:t>
      </w:r>
    </w:p>
    <w:p w:rsidR="000C032A" w:rsidRPr="00A54088" w:rsidRDefault="000C032A" w:rsidP="000C032A">
      <w:pPr>
        <w:spacing w:line="240" w:lineRule="auto"/>
        <w:contextualSpacing/>
        <w:jc w:val="left"/>
        <w:rPr>
          <w:rFonts w:ascii="Microsoft Sans Serif"/>
          <w:i/>
        </w:rPr>
      </w:pPr>
      <w:r w:rsidRPr="00A54088">
        <w:rPr>
          <w:rFonts w:ascii="Microsoft Sans Serif"/>
          <w:i/>
        </w:rPr>
        <w:t>Accepts E-service</w:t>
      </w:r>
    </w:p>
    <w:p w:rsidR="000C032A" w:rsidRPr="00C064A3" w:rsidRDefault="000C032A" w:rsidP="000C032A">
      <w:pPr>
        <w:spacing w:line="240" w:lineRule="auto"/>
        <w:contextualSpacing/>
        <w:jc w:val="left"/>
        <w:rPr>
          <w:rFonts w:ascii="Microsoft Sans Serif"/>
          <w:b/>
        </w:rPr>
      </w:pPr>
      <w:r w:rsidRPr="00A54088">
        <w:rPr>
          <w:rFonts w:ascii="Microsoft Sans Serif"/>
          <w:i/>
        </w:rPr>
        <w:t xml:space="preserve">Representing </w:t>
      </w:r>
      <w:r>
        <w:rPr>
          <w:rFonts w:ascii="Microsoft Sans Serif"/>
          <w:i/>
        </w:rPr>
        <w:t>Office of Consumer Advocate</w:t>
      </w:r>
      <w:r w:rsidRPr="00A54088">
        <w:rPr>
          <w:rFonts w:ascii="Microsoft Sans Serif"/>
          <w:i/>
        </w:rPr>
        <w:cr/>
      </w:r>
      <w:r>
        <w:rPr>
          <w:rFonts w:ascii="Microsoft Sans Serif"/>
        </w:rPr>
        <w:cr/>
      </w:r>
    </w:p>
    <w:sectPr w:rsidR="000C032A" w:rsidRPr="00C064A3" w:rsidSect="006A0E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B7" w:rsidRDefault="002E1CB7" w:rsidP="00152CC6">
      <w:pPr>
        <w:spacing w:line="240" w:lineRule="auto"/>
      </w:pPr>
      <w:r>
        <w:separator/>
      </w:r>
    </w:p>
  </w:endnote>
  <w:endnote w:type="continuationSeparator" w:id="0">
    <w:p w:rsidR="002E1CB7" w:rsidRDefault="002E1CB7" w:rsidP="00152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85566"/>
      <w:docPartObj>
        <w:docPartGallery w:val="Page Numbers (Bottom of Page)"/>
        <w:docPartUnique/>
      </w:docPartObj>
    </w:sdtPr>
    <w:sdtEndPr>
      <w:rPr>
        <w:noProof/>
        <w:sz w:val="20"/>
        <w:szCs w:val="20"/>
      </w:rPr>
    </w:sdtEndPr>
    <w:sdtContent>
      <w:p w:rsidR="00152CC6" w:rsidRPr="00363702" w:rsidRDefault="00152CC6">
        <w:pPr>
          <w:pStyle w:val="Footer"/>
          <w:rPr>
            <w:sz w:val="20"/>
            <w:szCs w:val="20"/>
          </w:rPr>
        </w:pPr>
        <w:r w:rsidRPr="00363702">
          <w:rPr>
            <w:sz w:val="20"/>
            <w:szCs w:val="20"/>
          </w:rPr>
          <w:fldChar w:fldCharType="begin"/>
        </w:r>
        <w:r w:rsidRPr="00363702">
          <w:rPr>
            <w:sz w:val="20"/>
            <w:szCs w:val="20"/>
          </w:rPr>
          <w:instrText xml:space="preserve"> PAGE   \* MERGEFORMAT </w:instrText>
        </w:r>
        <w:r w:rsidRPr="00363702">
          <w:rPr>
            <w:sz w:val="20"/>
            <w:szCs w:val="20"/>
          </w:rPr>
          <w:fldChar w:fldCharType="separate"/>
        </w:r>
        <w:r w:rsidR="001E7C2E">
          <w:rPr>
            <w:noProof/>
            <w:sz w:val="20"/>
            <w:szCs w:val="20"/>
          </w:rPr>
          <w:t>4</w:t>
        </w:r>
        <w:r w:rsidRPr="00363702">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2E" w:rsidRPr="00363702" w:rsidRDefault="001E7C2E">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B7" w:rsidRDefault="002E1CB7" w:rsidP="00152CC6">
      <w:pPr>
        <w:spacing w:line="240" w:lineRule="auto"/>
      </w:pPr>
      <w:r>
        <w:separator/>
      </w:r>
    </w:p>
  </w:footnote>
  <w:footnote w:type="continuationSeparator" w:id="0">
    <w:p w:rsidR="002E1CB7" w:rsidRDefault="002E1CB7" w:rsidP="00152C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9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032A"/>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CC6"/>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E7C2E"/>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1CB7"/>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A10"/>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702"/>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17CC"/>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EBA"/>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F31"/>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3291"/>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676B"/>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2A"/>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1F51"/>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B9B"/>
    <w:rsid w:val="00E3758E"/>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C6"/>
    <w:pPr>
      <w:tabs>
        <w:tab w:val="center" w:pos="4680"/>
        <w:tab w:val="right" w:pos="9360"/>
      </w:tabs>
      <w:spacing w:line="240" w:lineRule="auto"/>
    </w:pPr>
  </w:style>
  <w:style w:type="character" w:customStyle="1" w:styleId="HeaderChar">
    <w:name w:val="Header Char"/>
    <w:basedOn w:val="DefaultParagraphFont"/>
    <w:link w:val="Header"/>
    <w:uiPriority w:val="99"/>
    <w:rsid w:val="00152CC6"/>
  </w:style>
  <w:style w:type="paragraph" w:styleId="Footer">
    <w:name w:val="footer"/>
    <w:basedOn w:val="Normal"/>
    <w:link w:val="FooterChar"/>
    <w:uiPriority w:val="99"/>
    <w:unhideWhenUsed/>
    <w:rsid w:val="00152CC6"/>
    <w:pPr>
      <w:tabs>
        <w:tab w:val="center" w:pos="4680"/>
        <w:tab w:val="right" w:pos="9360"/>
      </w:tabs>
      <w:spacing w:line="240" w:lineRule="auto"/>
    </w:pPr>
  </w:style>
  <w:style w:type="character" w:customStyle="1" w:styleId="FooterChar">
    <w:name w:val="Footer Char"/>
    <w:basedOn w:val="DefaultParagraphFont"/>
    <w:link w:val="Footer"/>
    <w:uiPriority w:val="99"/>
    <w:rsid w:val="00152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C6"/>
    <w:pPr>
      <w:tabs>
        <w:tab w:val="center" w:pos="4680"/>
        <w:tab w:val="right" w:pos="9360"/>
      </w:tabs>
      <w:spacing w:line="240" w:lineRule="auto"/>
    </w:pPr>
  </w:style>
  <w:style w:type="character" w:customStyle="1" w:styleId="HeaderChar">
    <w:name w:val="Header Char"/>
    <w:basedOn w:val="DefaultParagraphFont"/>
    <w:link w:val="Header"/>
    <w:uiPriority w:val="99"/>
    <w:rsid w:val="00152CC6"/>
  </w:style>
  <w:style w:type="paragraph" w:styleId="Footer">
    <w:name w:val="footer"/>
    <w:basedOn w:val="Normal"/>
    <w:link w:val="FooterChar"/>
    <w:uiPriority w:val="99"/>
    <w:unhideWhenUsed/>
    <w:rsid w:val="00152CC6"/>
    <w:pPr>
      <w:tabs>
        <w:tab w:val="center" w:pos="4680"/>
        <w:tab w:val="right" w:pos="9360"/>
      </w:tabs>
      <w:spacing w:line="240" w:lineRule="auto"/>
    </w:pPr>
  </w:style>
  <w:style w:type="character" w:customStyle="1" w:styleId="FooterChar">
    <w:name w:val="Footer Char"/>
    <w:basedOn w:val="DefaultParagraphFont"/>
    <w:link w:val="Footer"/>
    <w:uiPriority w:val="99"/>
    <w:rsid w:val="0015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361E-BB65-47E6-BEF3-2A25F703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dcterms:created xsi:type="dcterms:W3CDTF">2016-05-17T17:27:00Z</dcterms:created>
  <dcterms:modified xsi:type="dcterms:W3CDTF">2016-05-17T17:57:00Z</dcterms:modified>
</cp:coreProperties>
</file>