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270C7A" w:rsidRDefault="00CF4780" w:rsidP="00270C7A">
      <w:pPr>
        <w:jc w:val="center"/>
        <w:rPr>
          <w:b/>
        </w:rPr>
      </w:pPr>
      <w:r w:rsidRPr="00270C7A">
        <w:rPr>
          <w:b/>
        </w:rPr>
        <w:t>BEFORE THE</w:t>
      </w:r>
    </w:p>
    <w:p w:rsidR="00CF4780" w:rsidRPr="00270C7A" w:rsidRDefault="00CF4780" w:rsidP="00270C7A">
      <w:pPr>
        <w:jc w:val="center"/>
        <w:rPr>
          <w:b/>
        </w:rPr>
      </w:pPr>
      <w:r w:rsidRPr="00270C7A">
        <w:rPr>
          <w:b/>
        </w:rPr>
        <w:t>PENNSYLVANIA PUBLIC UTILITY COMMISSION</w:t>
      </w:r>
    </w:p>
    <w:p w:rsidR="00B16FEE" w:rsidRPr="00270C7A" w:rsidRDefault="00B16FEE" w:rsidP="00270C7A">
      <w:pPr>
        <w:jc w:val="center"/>
        <w:rPr>
          <w:b/>
        </w:rPr>
      </w:pPr>
    </w:p>
    <w:p w:rsidR="00B16FEE" w:rsidRPr="00270C7A" w:rsidRDefault="00B16FEE" w:rsidP="00270C7A">
      <w:pPr>
        <w:jc w:val="center"/>
        <w:rPr>
          <w:b/>
        </w:rPr>
      </w:pPr>
    </w:p>
    <w:p w:rsidR="00B16FEE" w:rsidRPr="00270C7A" w:rsidRDefault="00B16FEE" w:rsidP="00270C7A">
      <w:pPr>
        <w:jc w:val="center"/>
        <w:rPr>
          <w:b/>
        </w:rPr>
      </w:pPr>
    </w:p>
    <w:p w:rsidR="00CF4780" w:rsidRPr="00270C7A" w:rsidRDefault="00305A49" w:rsidP="00270C7A">
      <w:r w:rsidRPr="00270C7A">
        <w:t>Lachele Logan</w:t>
      </w:r>
      <w:r w:rsidR="00A32938" w:rsidRPr="00270C7A">
        <w:tab/>
      </w:r>
      <w:r w:rsidR="00920C50" w:rsidRPr="00270C7A">
        <w:tab/>
      </w:r>
      <w:r w:rsidR="007018AA" w:rsidRPr="00270C7A">
        <w:tab/>
      </w:r>
      <w:r w:rsidR="007018AA" w:rsidRPr="00270C7A">
        <w:tab/>
      </w:r>
      <w:r w:rsidR="00CF4780" w:rsidRPr="00270C7A">
        <w:tab/>
      </w:r>
      <w:r w:rsidR="00B16FEE" w:rsidRPr="00270C7A">
        <w:tab/>
      </w:r>
      <w:r w:rsidR="00CF4780" w:rsidRPr="00270C7A">
        <w:t>:</w:t>
      </w:r>
    </w:p>
    <w:p w:rsidR="00CF4780" w:rsidRPr="00270C7A" w:rsidRDefault="00CF4780" w:rsidP="00270C7A">
      <w:r w:rsidRPr="00270C7A">
        <w:tab/>
      </w:r>
      <w:r w:rsidRPr="00270C7A">
        <w:tab/>
      </w:r>
      <w:r w:rsidRPr="00270C7A">
        <w:tab/>
      </w:r>
      <w:r w:rsidRPr="00270C7A">
        <w:tab/>
      </w:r>
      <w:r w:rsidRPr="00270C7A">
        <w:tab/>
      </w:r>
      <w:r w:rsidR="00B16FEE" w:rsidRPr="00270C7A">
        <w:tab/>
      </w:r>
      <w:r w:rsidRPr="00270C7A">
        <w:tab/>
        <w:t>:</w:t>
      </w:r>
    </w:p>
    <w:p w:rsidR="00CF4780" w:rsidRPr="00270C7A" w:rsidRDefault="00CF4780" w:rsidP="00270C7A">
      <w:r w:rsidRPr="00270C7A">
        <w:tab/>
        <w:t>v.</w:t>
      </w:r>
      <w:r w:rsidRPr="00270C7A">
        <w:tab/>
      </w:r>
      <w:r w:rsidRPr="00270C7A">
        <w:tab/>
      </w:r>
      <w:r w:rsidRPr="00270C7A">
        <w:tab/>
      </w:r>
      <w:r w:rsidRPr="00270C7A">
        <w:tab/>
      </w:r>
      <w:r w:rsidR="00B16FEE" w:rsidRPr="00270C7A">
        <w:tab/>
      </w:r>
      <w:r w:rsidRPr="00270C7A">
        <w:tab/>
        <w:t>:</w:t>
      </w:r>
      <w:r w:rsidRPr="00270C7A">
        <w:tab/>
      </w:r>
      <w:r w:rsidRPr="00270C7A">
        <w:tab/>
      </w:r>
      <w:r w:rsidR="00305A49" w:rsidRPr="00270C7A">
        <w:t>C</w:t>
      </w:r>
      <w:r w:rsidR="000962F2" w:rsidRPr="00270C7A">
        <w:t>-201</w:t>
      </w:r>
      <w:r w:rsidR="00A32938" w:rsidRPr="00270C7A">
        <w:t>5</w:t>
      </w:r>
      <w:r w:rsidR="000962F2" w:rsidRPr="00270C7A">
        <w:t>-</w:t>
      </w:r>
      <w:r w:rsidR="00317560" w:rsidRPr="00270C7A">
        <w:t>2</w:t>
      </w:r>
      <w:r w:rsidR="008F4A0C" w:rsidRPr="00270C7A">
        <w:t>4</w:t>
      </w:r>
      <w:r w:rsidR="00A32938" w:rsidRPr="00270C7A">
        <w:t>8</w:t>
      </w:r>
      <w:r w:rsidR="00305A49" w:rsidRPr="00270C7A">
        <w:t>4453</w:t>
      </w:r>
      <w:r w:rsidRPr="00270C7A">
        <w:tab/>
      </w:r>
      <w:r w:rsidRPr="00270C7A">
        <w:tab/>
      </w:r>
      <w:r w:rsidRPr="00270C7A">
        <w:tab/>
      </w:r>
      <w:r w:rsidRPr="00270C7A">
        <w:tab/>
      </w:r>
      <w:r w:rsidR="0060004E" w:rsidRPr="00270C7A">
        <w:tab/>
      </w:r>
      <w:r w:rsidR="0060004E" w:rsidRPr="00270C7A">
        <w:tab/>
      </w:r>
      <w:r w:rsidRPr="00270C7A">
        <w:tab/>
      </w:r>
      <w:r w:rsidR="00B16FEE" w:rsidRPr="00270C7A">
        <w:tab/>
      </w:r>
      <w:r w:rsidRPr="00270C7A">
        <w:tab/>
        <w:t>:</w:t>
      </w:r>
    </w:p>
    <w:p w:rsidR="00CF4780" w:rsidRPr="00270C7A" w:rsidRDefault="004E381E" w:rsidP="00270C7A">
      <w:r w:rsidRPr="00270C7A">
        <w:t>P</w:t>
      </w:r>
      <w:r w:rsidR="00305A49" w:rsidRPr="00270C7A">
        <w:t>hiladelphia Gas Works</w:t>
      </w:r>
      <w:r w:rsidR="00CF4780" w:rsidRPr="00270C7A">
        <w:tab/>
      </w:r>
      <w:r w:rsidR="00CF4780" w:rsidRPr="00270C7A">
        <w:tab/>
      </w:r>
      <w:r w:rsidR="00B16FEE" w:rsidRPr="00270C7A">
        <w:tab/>
      </w:r>
      <w:r w:rsidR="00CF4780" w:rsidRPr="00270C7A">
        <w:tab/>
        <w:t>:</w:t>
      </w:r>
    </w:p>
    <w:p w:rsidR="00B0450A" w:rsidRPr="00270C7A" w:rsidRDefault="00B0450A" w:rsidP="00270C7A">
      <w:pPr>
        <w:tabs>
          <w:tab w:val="left" w:pos="5040"/>
        </w:tabs>
        <w:jc w:val="both"/>
      </w:pPr>
    </w:p>
    <w:p w:rsidR="00B0450A" w:rsidRPr="00270C7A" w:rsidRDefault="00B0450A" w:rsidP="00270C7A">
      <w:pPr>
        <w:tabs>
          <w:tab w:val="left" w:pos="5040"/>
        </w:tabs>
        <w:jc w:val="both"/>
      </w:pPr>
    </w:p>
    <w:p w:rsidR="00B0450A" w:rsidRPr="00270C7A" w:rsidRDefault="00B0450A" w:rsidP="00270C7A">
      <w:pPr>
        <w:tabs>
          <w:tab w:val="left" w:pos="5040"/>
        </w:tabs>
        <w:jc w:val="both"/>
      </w:pPr>
    </w:p>
    <w:p w:rsidR="00B0450A" w:rsidRPr="00270C7A" w:rsidRDefault="00B0450A" w:rsidP="00270C7A">
      <w:pPr>
        <w:jc w:val="center"/>
        <w:rPr>
          <w:b/>
          <w:u w:val="single"/>
        </w:rPr>
      </w:pPr>
      <w:r w:rsidRPr="00270C7A">
        <w:rPr>
          <w:b/>
          <w:u w:val="single"/>
        </w:rPr>
        <w:t>INITIAL DECISION</w:t>
      </w:r>
    </w:p>
    <w:p w:rsidR="00B0450A" w:rsidRPr="00270C7A" w:rsidRDefault="00B0450A" w:rsidP="00270C7A">
      <w:pPr>
        <w:jc w:val="center"/>
        <w:rPr>
          <w:b/>
          <w:u w:val="single"/>
        </w:rPr>
      </w:pPr>
    </w:p>
    <w:p w:rsidR="00B0450A" w:rsidRPr="00270C7A" w:rsidRDefault="00B0450A" w:rsidP="00270C7A">
      <w:pPr>
        <w:jc w:val="center"/>
        <w:rPr>
          <w:b/>
          <w:u w:val="single"/>
        </w:rPr>
      </w:pPr>
    </w:p>
    <w:p w:rsidR="00B0450A" w:rsidRPr="00270C7A" w:rsidRDefault="00B0450A" w:rsidP="00270C7A">
      <w:pPr>
        <w:jc w:val="center"/>
      </w:pPr>
      <w:r w:rsidRPr="00270C7A">
        <w:t>Before</w:t>
      </w:r>
    </w:p>
    <w:p w:rsidR="00B0450A" w:rsidRPr="00270C7A" w:rsidRDefault="00B0450A" w:rsidP="00270C7A">
      <w:pPr>
        <w:jc w:val="center"/>
      </w:pPr>
      <w:r w:rsidRPr="00270C7A">
        <w:t>Angela T. Jones</w:t>
      </w:r>
    </w:p>
    <w:p w:rsidR="00B0450A" w:rsidRPr="00270C7A" w:rsidRDefault="00B0450A" w:rsidP="00270C7A">
      <w:pPr>
        <w:jc w:val="center"/>
      </w:pPr>
      <w:r w:rsidRPr="00270C7A">
        <w:t>Administrative Law Judge</w:t>
      </w:r>
    </w:p>
    <w:p w:rsidR="00B0450A" w:rsidRPr="00270C7A" w:rsidRDefault="00B0450A" w:rsidP="00270C7A">
      <w:pPr>
        <w:jc w:val="center"/>
      </w:pPr>
    </w:p>
    <w:p w:rsidR="00B0450A" w:rsidRPr="00270C7A" w:rsidRDefault="00B0450A" w:rsidP="00270C7A">
      <w:pPr>
        <w:jc w:val="center"/>
        <w:rPr>
          <w:u w:val="single"/>
        </w:rPr>
      </w:pPr>
    </w:p>
    <w:p w:rsidR="00B0450A" w:rsidRPr="00270C7A" w:rsidRDefault="00B0450A" w:rsidP="00270C7A">
      <w:pPr>
        <w:jc w:val="center"/>
        <w:rPr>
          <w:u w:val="single"/>
        </w:rPr>
      </w:pPr>
      <w:r w:rsidRPr="00270C7A">
        <w:rPr>
          <w:u w:val="single"/>
        </w:rPr>
        <w:t>INTRODUCTION</w:t>
      </w:r>
    </w:p>
    <w:p w:rsidR="00B0450A" w:rsidRPr="00270C7A" w:rsidRDefault="00B0450A" w:rsidP="00270C7A">
      <w:pPr>
        <w:jc w:val="center"/>
        <w:rPr>
          <w:u w:val="single"/>
        </w:rPr>
      </w:pPr>
    </w:p>
    <w:p w:rsidR="00B0450A" w:rsidRPr="00270C7A" w:rsidRDefault="00B0450A" w:rsidP="00270C7A">
      <w:pPr>
        <w:jc w:val="center"/>
        <w:rPr>
          <w:u w:val="single"/>
        </w:rPr>
      </w:pPr>
    </w:p>
    <w:p w:rsidR="00B16FEE" w:rsidRPr="00270C7A" w:rsidRDefault="00D516F9" w:rsidP="00270C7A">
      <w:pPr>
        <w:spacing w:line="360" w:lineRule="auto"/>
        <w:ind w:firstLine="1440"/>
      </w:pPr>
      <w:r w:rsidRPr="00270C7A">
        <w:t>T</w:t>
      </w:r>
      <w:r w:rsidR="00B0450A" w:rsidRPr="00270C7A">
        <w:t>he Complainant</w:t>
      </w:r>
      <w:r w:rsidR="00920C50" w:rsidRPr="00270C7A">
        <w:t xml:space="preserve"> file</w:t>
      </w:r>
      <w:r w:rsidRPr="00270C7A">
        <w:t>d</w:t>
      </w:r>
      <w:r w:rsidR="00920C50" w:rsidRPr="00270C7A">
        <w:t xml:space="preserve"> a formal complaint (Complaint) against P</w:t>
      </w:r>
      <w:r w:rsidR="00305A49" w:rsidRPr="00270C7A">
        <w:t>hiladelphia Gas Works</w:t>
      </w:r>
      <w:r w:rsidR="00920C50" w:rsidRPr="00270C7A">
        <w:t xml:space="preserve"> (P</w:t>
      </w:r>
      <w:r w:rsidR="00305A49" w:rsidRPr="00270C7A">
        <w:t>GW</w:t>
      </w:r>
      <w:r w:rsidR="00920C50" w:rsidRPr="00270C7A">
        <w:t xml:space="preserve"> or Respondent or Company). </w:t>
      </w:r>
      <w:r w:rsidR="00B0450A" w:rsidRPr="00270C7A">
        <w:t xml:space="preserve"> </w:t>
      </w:r>
      <w:r w:rsidR="00FB5975" w:rsidRPr="00270C7A">
        <w:t>The Complainant sustain</w:t>
      </w:r>
      <w:r w:rsidR="00A72115" w:rsidRPr="00270C7A">
        <w:t>ed in part</w:t>
      </w:r>
      <w:r w:rsidR="00FB5975" w:rsidRPr="00270C7A">
        <w:t xml:space="preserve"> the allegations of h</w:t>
      </w:r>
      <w:r w:rsidR="00A72115" w:rsidRPr="00270C7A">
        <w:t>er</w:t>
      </w:r>
      <w:r w:rsidR="00FB5975" w:rsidRPr="00270C7A">
        <w:t xml:space="preserve"> Complaint</w:t>
      </w:r>
      <w:r w:rsidR="001A7C3D">
        <w:t xml:space="preserve"> regarding incorrect charges on her bill</w:t>
      </w:r>
      <w:r w:rsidR="00A72115" w:rsidRPr="00270C7A">
        <w:t xml:space="preserve"> which Respondent admitted </w:t>
      </w:r>
      <w:r w:rsidR="00814C6C" w:rsidRPr="00270C7A">
        <w:t xml:space="preserve">to </w:t>
      </w:r>
      <w:r w:rsidR="00A72115" w:rsidRPr="00270C7A">
        <w:t>on the record</w:t>
      </w:r>
      <w:r w:rsidR="00FB5975" w:rsidRPr="00270C7A">
        <w:t>.</w:t>
      </w:r>
      <w:r w:rsidR="007A6714" w:rsidRPr="00270C7A">
        <w:t xml:space="preserve">  This decision d</w:t>
      </w:r>
      <w:r w:rsidR="00A72115" w:rsidRPr="00270C7A">
        <w:t>enies the remainder of the allegations as not substantiated</w:t>
      </w:r>
      <w:r w:rsidR="007A6714" w:rsidRPr="00270C7A">
        <w:t>.</w:t>
      </w:r>
      <w:r w:rsidR="007B5BFE" w:rsidRPr="00270C7A">
        <w:t xml:space="preserve">  This decision directs a civil penalty against the Respondent for admitted errors in billing</w:t>
      </w:r>
      <w:r w:rsidR="001A7C3D">
        <w:t xml:space="preserve"> the </w:t>
      </w:r>
      <w:r w:rsidR="007B5BFE" w:rsidRPr="00270C7A">
        <w:t>Complainant.</w:t>
      </w:r>
    </w:p>
    <w:p w:rsidR="00B0450A" w:rsidRPr="00270C7A" w:rsidRDefault="00B0450A" w:rsidP="00270C7A">
      <w:pPr>
        <w:spacing w:line="360" w:lineRule="auto"/>
        <w:ind w:firstLine="1440"/>
      </w:pPr>
    </w:p>
    <w:p w:rsidR="00B16FEE" w:rsidRPr="00270C7A" w:rsidRDefault="00B0450A" w:rsidP="00270C7A">
      <w:pPr>
        <w:jc w:val="center"/>
        <w:rPr>
          <w:u w:val="single"/>
        </w:rPr>
      </w:pPr>
      <w:r w:rsidRPr="00270C7A">
        <w:rPr>
          <w:u w:val="single"/>
        </w:rPr>
        <w:t>HISTORY OF THE PROCEEDING</w:t>
      </w:r>
    </w:p>
    <w:p w:rsidR="00B16FEE" w:rsidRPr="00270C7A" w:rsidRDefault="00B16FEE" w:rsidP="00270C7A">
      <w:pPr>
        <w:spacing w:line="360" w:lineRule="auto"/>
        <w:jc w:val="center"/>
      </w:pPr>
    </w:p>
    <w:p w:rsidR="003F4BF7" w:rsidRPr="00270C7A" w:rsidRDefault="00317560" w:rsidP="00270C7A">
      <w:pPr>
        <w:spacing w:line="360" w:lineRule="auto"/>
        <w:ind w:firstLine="1440"/>
      </w:pPr>
      <w:r w:rsidRPr="00270C7A">
        <w:t xml:space="preserve">On </w:t>
      </w:r>
      <w:r w:rsidR="00305A49" w:rsidRPr="00270C7A">
        <w:t>May 26</w:t>
      </w:r>
      <w:r w:rsidRPr="00270C7A">
        <w:t>, 201</w:t>
      </w:r>
      <w:r w:rsidR="00A32938" w:rsidRPr="00270C7A">
        <w:t>5</w:t>
      </w:r>
      <w:r w:rsidR="000962F2" w:rsidRPr="00270C7A">
        <w:t xml:space="preserve">, </w:t>
      </w:r>
      <w:r w:rsidR="00305A49" w:rsidRPr="00270C7A">
        <w:t>Lachele Logan</w:t>
      </w:r>
      <w:r w:rsidR="00FB5975" w:rsidRPr="00270C7A">
        <w:t xml:space="preserve"> </w:t>
      </w:r>
      <w:r w:rsidR="007B232C" w:rsidRPr="00270C7A">
        <w:t xml:space="preserve">(Complainant) filed a </w:t>
      </w:r>
      <w:r w:rsidR="00296C41" w:rsidRPr="00270C7A">
        <w:t>C</w:t>
      </w:r>
      <w:r w:rsidR="007B232C" w:rsidRPr="00270C7A">
        <w:t xml:space="preserve">omplaint with the </w:t>
      </w:r>
      <w:r w:rsidR="00FA2433" w:rsidRPr="00270C7A">
        <w:t xml:space="preserve">Pennsylvania Public Utility </w:t>
      </w:r>
      <w:r w:rsidR="000962F2" w:rsidRPr="00270C7A">
        <w:t xml:space="preserve">Commission </w:t>
      </w:r>
      <w:r w:rsidR="00FA2433" w:rsidRPr="00270C7A">
        <w:t xml:space="preserve">(PUC or Commission) </w:t>
      </w:r>
      <w:r w:rsidR="000962F2" w:rsidRPr="00270C7A">
        <w:t>a</w:t>
      </w:r>
      <w:r w:rsidR="007B232C" w:rsidRPr="00270C7A">
        <w:t>gains</w:t>
      </w:r>
      <w:r w:rsidR="000962F2" w:rsidRPr="00270C7A">
        <w:t>t</w:t>
      </w:r>
      <w:r w:rsidR="007B232C" w:rsidRPr="00270C7A">
        <w:t xml:space="preserve"> </w:t>
      </w:r>
      <w:r w:rsidR="00296C41" w:rsidRPr="00270C7A">
        <w:t>the Res</w:t>
      </w:r>
      <w:r w:rsidR="007B232C" w:rsidRPr="00270C7A">
        <w:t>pondent.</w:t>
      </w:r>
      <w:r w:rsidR="0060004E" w:rsidRPr="00270C7A">
        <w:t xml:space="preserve">  The </w:t>
      </w:r>
      <w:r w:rsidR="00296C41" w:rsidRPr="00270C7A">
        <w:t>C</w:t>
      </w:r>
      <w:r w:rsidR="0060004E" w:rsidRPr="00270C7A">
        <w:t xml:space="preserve">omplaint </w:t>
      </w:r>
      <w:r w:rsidR="00305A49" w:rsidRPr="00270C7A">
        <w:t xml:space="preserve">stated: (1) that there were incorrect charges on her bill, (2) that the Company was threatening to terminate her gas service or had already terminated her gas service, and (3) that she would like a payment arrangement.  The Complainant </w:t>
      </w:r>
      <w:r w:rsidR="00606E86" w:rsidRPr="00270C7A">
        <w:t xml:space="preserve">also </w:t>
      </w:r>
      <w:r w:rsidR="00305A49" w:rsidRPr="00270C7A">
        <w:t>provided information pertaining to her attempts to re-enroll in the Company’s customer responsibility program (CRP)</w:t>
      </w:r>
      <w:r w:rsidR="00606E86" w:rsidRPr="00270C7A">
        <w:t>.  The Complain</w:t>
      </w:r>
      <w:r w:rsidR="009B73DC" w:rsidRPr="00270C7A">
        <w:t>an</w:t>
      </w:r>
      <w:r w:rsidR="00606E86" w:rsidRPr="00270C7A">
        <w:t>t also alleged that her neighbors are ste</w:t>
      </w:r>
      <w:r w:rsidR="00307556" w:rsidRPr="00270C7A">
        <w:t>a</w:t>
      </w:r>
      <w:r w:rsidR="00606E86" w:rsidRPr="00270C7A">
        <w:t xml:space="preserve">ling her utility service through </w:t>
      </w:r>
      <w:r w:rsidR="00214C16" w:rsidRPr="00270C7A">
        <w:t>wireless fidelity (</w:t>
      </w:r>
      <w:r w:rsidR="00606E86" w:rsidRPr="00270C7A">
        <w:t>WiFi</w:t>
      </w:r>
      <w:r w:rsidR="00214C16" w:rsidRPr="00270C7A">
        <w:t>)</w:t>
      </w:r>
      <w:r w:rsidR="00012651" w:rsidRPr="00270C7A">
        <w:t xml:space="preserve">—a </w:t>
      </w:r>
      <w:r w:rsidR="00214C16" w:rsidRPr="00270C7A">
        <w:t>technology used to access the Internet</w:t>
      </w:r>
      <w:r w:rsidR="001A7C3D">
        <w:t>,</w:t>
      </w:r>
      <w:r w:rsidR="002C7873" w:rsidRPr="00270C7A">
        <w:t xml:space="preserve"> and </w:t>
      </w:r>
      <w:r w:rsidR="001A7C3D">
        <w:t xml:space="preserve">that </w:t>
      </w:r>
      <w:r w:rsidR="002C7873" w:rsidRPr="00270C7A">
        <w:t xml:space="preserve">she is billed for her neighbor’s </w:t>
      </w:r>
      <w:r w:rsidR="002C7873" w:rsidRPr="00270C7A">
        <w:lastRenderedPageBreak/>
        <w:t>gas usage</w:t>
      </w:r>
      <w:r w:rsidR="00606E86" w:rsidRPr="00270C7A">
        <w:t xml:space="preserve">.  </w:t>
      </w:r>
      <w:r w:rsidR="00A32938" w:rsidRPr="00270C7A">
        <w:t>T</w:t>
      </w:r>
      <w:r w:rsidR="00184760" w:rsidRPr="00270C7A">
        <w:t xml:space="preserve">he Complainant </w:t>
      </w:r>
      <w:r w:rsidR="00606E86" w:rsidRPr="00270C7A">
        <w:t xml:space="preserve">requested </w:t>
      </w:r>
      <w:r w:rsidR="001A7C3D">
        <w:t xml:space="preserve">the Commission </w:t>
      </w:r>
      <w:r w:rsidR="00606E86" w:rsidRPr="00270C7A">
        <w:t>to direct the Company to re-enroll her in CRP.</w:t>
      </w:r>
      <w:r w:rsidR="00955A77" w:rsidRPr="00270C7A">
        <w:t xml:space="preserve"> </w:t>
      </w:r>
    </w:p>
    <w:p w:rsidR="00000CAB" w:rsidRDefault="00000CAB" w:rsidP="00270C7A">
      <w:pPr>
        <w:spacing w:line="360" w:lineRule="auto"/>
        <w:ind w:firstLine="1440"/>
      </w:pPr>
    </w:p>
    <w:p w:rsidR="008B6C58" w:rsidRPr="00270C7A" w:rsidRDefault="00FA2433" w:rsidP="00270C7A">
      <w:pPr>
        <w:spacing w:line="360" w:lineRule="auto"/>
        <w:ind w:firstLine="1440"/>
      </w:pPr>
      <w:r w:rsidRPr="00270C7A">
        <w:t xml:space="preserve">The Complainant filed an informal complaint with the Commission’s Bureau of Consumer Services (BCS) at Case No. 3281153 on </w:t>
      </w:r>
      <w:r w:rsidR="00547980" w:rsidRPr="00270C7A">
        <w:t>September 4</w:t>
      </w:r>
      <w:r w:rsidRPr="00270C7A">
        <w:t>, 201</w:t>
      </w:r>
      <w:r w:rsidR="00547980" w:rsidRPr="00270C7A">
        <w:t>4</w:t>
      </w:r>
      <w:r w:rsidRPr="00270C7A">
        <w:t xml:space="preserve">.  </w:t>
      </w:r>
      <w:r w:rsidR="007500E6" w:rsidRPr="00270C7A">
        <w:t xml:space="preserve">On </w:t>
      </w:r>
      <w:r w:rsidRPr="00270C7A">
        <w:t xml:space="preserve">April 9, 2015, the BCS </w:t>
      </w:r>
      <w:r w:rsidR="007500E6" w:rsidRPr="00270C7A">
        <w:t xml:space="preserve">advised the Complainant that she needed to contact the local police concerning alleged crimes by the neighbors against her and her property.  BCS also advised the Complainant that </w:t>
      </w:r>
      <w:r w:rsidR="008B6C58" w:rsidRPr="00270C7A">
        <w:t>it was unable to help her with a payment arrangement.</w:t>
      </w:r>
    </w:p>
    <w:p w:rsidR="008B6C58" w:rsidRPr="00270C7A" w:rsidRDefault="008B6C58" w:rsidP="00270C7A">
      <w:pPr>
        <w:spacing w:line="360" w:lineRule="auto"/>
        <w:ind w:firstLine="1440"/>
      </w:pPr>
    </w:p>
    <w:p w:rsidR="003F4BF7" w:rsidRPr="00270C7A" w:rsidRDefault="003F4BF7" w:rsidP="00270C7A">
      <w:pPr>
        <w:spacing w:line="360" w:lineRule="auto"/>
        <w:ind w:firstLine="1440"/>
      </w:pPr>
      <w:r w:rsidRPr="00270C7A">
        <w:t xml:space="preserve">The Complaint was served electronically (eService) by the Commission’s Secretary on May 28, 2015, according to the audit history of the docket.  The eService is pursuant to the Waiver of Section 702 program, under which the Respondent waives the service requirements in 66 Pa.C.S. § 702. </w:t>
      </w:r>
    </w:p>
    <w:p w:rsidR="000962F2" w:rsidRPr="00270C7A" w:rsidRDefault="00955A77" w:rsidP="00270C7A">
      <w:pPr>
        <w:spacing w:line="360" w:lineRule="auto"/>
        <w:ind w:firstLine="1440"/>
      </w:pPr>
      <w:r w:rsidRPr="00270C7A">
        <w:t xml:space="preserve"> </w:t>
      </w:r>
      <w:r w:rsidR="007B232C" w:rsidRPr="00270C7A">
        <w:t xml:space="preserve"> </w:t>
      </w:r>
      <w:r w:rsidR="002124AF" w:rsidRPr="00270C7A">
        <w:t xml:space="preserve">  </w:t>
      </w:r>
    </w:p>
    <w:p w:rsidR="00FA2433" w:rsidRPr="00270C7A" w:rsidRDefault="007B232C" w:rsidP="00270C7A">
      <w:pPr>
        <w:spacing w:line="360" w:lineRule="auto"/>
        <w:ind w:firstLine="1440"/>
      </w:pPr>
      <w:r w:rsidRPr="00270C7A">
        <w:t xml:space="preserve">The Respondent filed an Answer on </w:t>
      </w:r>
      <w:r w:rsidR="00A10BA4" w:rsidRPr="00270C7A">
        <w:t>June </w:t>
      </w:r>
      <w:r w:rsidR="00012651" w:rsidRPr="00270C7A">
        <w:t>17</w:t>
      </w:r>
      <w:r w:rsidR="00D669E0" w:rsidRPr="00270C7A">
        <w:t>, 201</w:t>
      </w:r>
      <w:r w:rsidR="00BD7A6C" w:rsidRPr="00270C7A">
        <w:t>5</w:t>
      </w:r>
      <w:r w:rsidR="00D669E0" w:rsidRPr="00270C7A">
        <w:t>.  The Answer</w:t>
      </w:r>
      <w:r w:rsidR="002410C5" w:rsidRPr="00270C7A">
        <w:t xml:space="preserve"> </w:t>
      </w:r>
      <w:r w:rsidR="00A6134F" w:rsidRPr="00270C7A">
        <w:t xml:space="preserve">denied </w:t>
      </w:r>
      <w:r w:rsidR="002410C5" w:rsidRPr="00270C7A">
        <w:t xml:space="preserve">the </w:t>
      </w:r>
      <w:r w:rsidR="002C7873" w:rsidRPr="00270C7A">
        <w:t xml:space="preserve">allegations of the Complaint.  The </w:t>
      </w:r>
      <w:r w:rsidR="002410C5" w:rsidRPr="00270C7A">
        <w:t xml:space="preserve">Respondent </w:t>
      </w:r>
      <w:r w:rsidR="002C7873" w:rsidRPr="00270C7A">
        <w:t xml:space="preserve">stated that the </w:t>
      </w:r>
      <w:r w:rsidR="00A6134F" w:rsidRPr="00270C7A">
        <w:t xml:space="preserve">Complainant </w:t>
      </w:r>
      <w:r w:rsidR="002C7873" w:rsidRPr="00270C7A">
        <w:t>enrolled in CRP on May 1, 2008 with a beginning balance of $4,164.14.  On April 25, 2014, the Complainan</w:t>
      </w:r>
      <w:r w:rsidR="00A6134F" w:rsidRPr="00270C7A">
        <w:t>t</w:t>
      </w:r>
      <w:r w:rsidR="002C7873" w:rsidRPr="00270C7A">
        <w:t xml:space="preserve"> failed to recertify for CRP; and consequently, her participation in CRP was suspended with an arrears of $136.34</w:t>
      </w:r>
      <w:r w:rsidR="00FA2433" w:rsidRPr="00270C7A">
        <w:t>.  On November 5, 2014, Respondent received a Low Income Home Energy Assistance Program (LIHEAP) payment of $274.00 for Complainant’s service account.</w:t>
      </w:r>
    </w:p>
    <w:p w:rsidR="00FA2433" w:rsidRPr="00270C7A" w:rsidRDefault="00FA2433" w:rsidP="00270C7A">
      <w:pPr>
        <w:spacing w:line="360" w:lineRule="auto"/>
        <w:ind w:firstLine="1440"/>
      </w:pPr>
    </w:p>
    <w:p w:rsidR="00F73C86" w:rsidRPr="00270C7A" w:rsidRDefault="002E0BEF" w:rsidP="00270C7A">
      <w:pPr>
        <w:spacing w:line="360" w:lineRule="auto"/>
        <w:ind w:firstLine="1440"/>
      </w:pPr>
      <w:r w:rsidRPr="00270C7A">
        <w:t>The Respondent also stated that BCS tendered a decision on April 9, 2015</w:t>
      </w:r>
      <w:r w:rsidR="00D82B93" w:rsidRPr="00270C7A">
        <w:t>,</w:t>
      </w:r>
      <w:r w:rsidR="00E13EB1" w:rsidRPr="00270C7A">
        <w:t xml:space="preserve"> which dismissed </w:t>
      </w:r>
      <w:r w:rsidR="00F73C86" w:rsidRPr="00270C7A">
        <w:t>t</w:t>
      </w:r>
      <w:r w:rsidR="00E13EB1" w:rsidRPr="00270C7A">
        <w:t>he informal complaint.</w:t>
      </w:r>
      <w:r w:rsidR="00F73C86" w:rsidRPr="00270C7A">
        <w:t xml:space="preserve">  The Respondent requested that the Commission find against the Complainant and dismiss the Complaint.</w:t>
      </w:r>
    </w:p>
    <w:p w:rsidR="008C0B6A" w:rsidRPr="00270C7A" w:rsidRDefault="00417802" w:rsidP="00270C7A">
      <w:pPr>
        <w:spacing w:line="360" w:lineRule="auto"/>
        <w:ind w:firstLine="1440"/>
      </w:pPr>
      <w:r w:rsidRPr="00270C7A">
        <w:t xml:space="preserve">  </w:t>
      </w:r>
    </w:p>
    <w:p w:rsidR="005D0972" w:rsidRPr="00270C7A" w:rsidRDefault="005D0972" w:rsidP="00270C7A">
      <w:pPr>
        <w:spacing w:line="360" w:lineRule="auto"/>
        <w:ind w:firstLine="1440"/>
      </w:pPr>
      <w:r w:rsidRPr="00270C7A">
        <w:t xml:space="preserve">By Hearing Notice dated </w:t>
      </w:r>
      <w:r w:rsidR="001F56DA" w:rsidRPr="00270C7A">
        <w:t>July 2</w:t>
      </w:r>
      <w:r w:rsidR="00E72F70" w:rsidRPr="00270C7A">
        <w:t>1</w:t>
      </w:r>
      <w:r w:rsidRPr="00270C7A">
        <w:t>, 201</w:t>
      </w:r>
      <w:r w:rsidR="001F56DA" w:rsidRPr="00270C7A">
        <w:t>5</w:t>
      </w:r>
      <w:r w:rsidRPr="00270C7A">
        <w:t xml:space="preserve">, the matter was scheduled for </w:t>
      </w:r>
      <w:r w:rsidR="009F7080" w:rsidRPr="00270C7A">
        <w:t>i</w:t>
      </w:r>
      <w:r w:rsidRPr="00270C7A">
        <w:t xml:space="preserve">nitial </w:t>
      </w:r>
      <w:r w:rsidR="009F7080" w:rsidRPr="00270C7A">
        <w:t>h</w:t>
      </w:r>
      <w:r w:rsidRPr="00270C7A">
        <w:t>earing on T</w:t>
      </w:r>
      <w:r w:rsidR="001F56DA" w:rsidRPr="00270C7A">
        <w:t>h</w:t>
      </w:r>
      <w:r w:rsidRPr="00270C7A">
        <w:t>u</w:t>
      </w:r>
      <w:r w:rsidR="001F56DA" w:rsidRPr="00270C7A">
        <w:t>r</w:t>
      </w:r>
      <w:r w:rsidRPr="00270C7A">
        <w:t xml:space="preserve">sday, </w:t>
      </w:r>
      <w:r w:rsidR="001F56DA" w:rsidRPr="00270C7A">
        <w:t>Sept</w:t>
      </w:r>
      <w:r w:rsidRPr="00270C7A">
        <w:t>ember 1</w:t>
      </w:r>
      <w:r w:rsidR="00E72F70" w:rsidRPr="00270C7A">
        <w:t>0</w:t>
      </w:r>
      <w:r w:rsidRPr="00270C7A">
        <w:t>, 201</w:t>
      </w:r>
      <w:r w:rsidR="001F56DA" w:rsidRPr="00270C7A">
        <w:t>5</w:t>
      </w:r>
      <w:r w:rsidRPr="00270C7A">
        <w:t>, at</w:t>
      </w:r>
      <w:r w:rsidR="00992BC5" w:rsidRPr="00270C7A">
        <w:t xml:space="preserve"> 1</w:t>
      </w:r>
      <w:r w:rsidR="001F56DA" w:rsidRPr="00270C7A">
        <w:t>0</w:t>
      </w:r>
      <w:r w:rsidRPr="00270C7A">
        <w:t>:</w:t>
      </w:r>
      <w:r w:rsidR="001F56DA" w:rsidRPr="00270C7A">
        <w:t>0</w:t>
      </w:r>
      <w:r w:rsidRPr="00270C7A">
        <w:t xml:space="preserve">0 </w:t>
      </w:r>
      <w:r w:rsidR="001F56DA" w:rsidRPr="00270C7A">
        <w:t>a</w:t>
      </w:r>
      <w:r w:rsidRPr="00270C7A">
        <w:t xml:space="preserve">.m.  The </w:t>
      </w:r>
      <w:r w:rsidR="003E792E" w:rsidRPr="00270C7A">
        <w:t>matter was assigned to the undersigned Administrative Law Judge</w:t>
      </w:r>
      <w:r w:rsidR="00284D30" w:rsidRPr="00270C7A">
        <w:t xml:space="preserve"> (ALJ)</w:t>
      </w:r>
      <w:r w:rsidR="003E792E" w:rsidRPr="00270C7A">
        <w:t>, Angela T. Jones.</w:t>
      </w:r>
    </w:p>
    <w:p w:rsidR="00992BC5" w:rsidRPr="00270C7A" w:rsidRDefault="00992BC5" w:rsidP="00270C7A">
      <w:pPr>
        <w:spacing w:line="360" w:lineRule="auto"/>
        <w:ind w:firstLine="1440"/>
      </w:pPr>
    </w:p>
    <w:p w:rsidR="00C0782A" w:rsidRPr="00270C7A" w:rsidRDefault="009A1D98" w:rsidP="00270C7A">
      <w:pPr>
        <w:spacing w:line="360" w:lineRule="auto"/>
        <w:ind w:firstLine="1440"/>
      </w:pPr>
      <w:r w:rsidRPr="00270C7A">
        <w:t xml:space="preserve">A Prehearing Order was issued on </w:t>
      </w:r>
      <w:r w:rsidR="00E23A9C" w:rsidRPr="00270C7A">
        <w:t xml:space="preserve">July </w:t>
      </w:r>
      <w:r w:rsidR="00E72F70" w:rsidRPr="00270C7A">
        <w:t>2</w:t>
      </w:r>
      <w:r w:rsidRPr="00270C7A">
        <w:t>4, 201</w:t>
      </w:r>
      <w:r w:rsidR="00E23A9C" w:rsidRPr="00270C7A">
        <w:t>5</w:t>
      </w:r>
      <w:r w:rsidRPr="00270C7A">
        <w:t xml:space="preserve">, advising the parties of the date and time of the scheduled hearing, and informing them of the procedures applicable to this proceeding.  </w:t>
      </w:r>
    </w:p>
    <w:p w:rsidR="00E72F70" w:rsidRPr="00270C7A" w:rsidRDefault="00E23A9C" w:rsidP="00270C7A">
      <w:pPr>
        <w:spacing w:line="360" w:lineRule="auto"/>
        <w:ind w:firstLine="1440"/>
      </w:pPr>
      <w:bookmarkStart w:id="0" w:name="_GoBack"/>
      <w:bookmarkEnd w:id="0"/>
      <w:r w:rsidRPr="00270C7A">
        <w:lastRenderedPageBreak/>
        <w:t>On September 1</w:t>
      </w:r>
      <w:r w:rsidR="00E72F70" w:rsidRPr="00270C7A">
        <w:t>0</w:t>
      </w:r>
      <w:r w:rsidRPr="00270C7A">
        <w:t xml:space="preserve">, 2015, </w:t>
      </w:r>
      <w:r w:rsidR="00E72F70" w:rsidRPr="00270C7A">
        <w:t xml:space="preserve">the </w:t>
      </w:r>
      <w:r w:rsidR="009F7080" w:rsidRPr="00270C7A">
        <w:t>initial hearing</w:t>
      </w:r>
      <w:r w:rsidR="00E72F70" w:rsidRPr="00270C7A">
        <w:t xml:space="preserve"> convened as scheduled.  The Complainant was present and represented herself.  C</w:t>
      </w:r>
      <w:r w:rsidRPr="00270C7A">
        <w:t>ounsel for the Respondent</w:t>
      </w:r>
      <w:r w:rsidR="009F7080" w:rsidRPr="00270C7A">
        <w:t>, Laureto Farinas, Esquire,</w:t>
      </w:r>
      <w:r w:rsidR="00E72F70" w:rsidRPr="00270C7A">
        <w:t xml:space="preserve"> was present and was accompanied by one witness.  At the hearing the Complainant requested more time to see if she could obtain counsel to represent her.  The Respondent did not object to the request but request</w:t>
      </w:r>
      <w:r w:rsidR="00B511FD">
        <w:t>ed</w:t>
      </w:r>
      <w:r w:rsidR="008B05F2">
        <w:t xml:space="preserve"> </w:t>
      </w:r>
      <w:r w:rsidR="00E72F70" w:rsidRPr="00270C7A">
        <w:t>that the Complainant be given a deadline to obtain counsel.</w:t>
      </w:r>
    </w:p>
    <w:p w:rsidR="00E72F70" w:rsidRPr="00270C7A" w:rsidRDefault="00E72F70" w:rsidP="00270C7A">
      <w:pPr>
        <w:spacing w:line="360" w:lineRule="auto"/>
        <w:ind w:firstLine="1440"/>
      </w:pPr>
    </w:p>
    <w:p w:rsidR="000353FC" w:rsidRPr="00270C7A" w:rsidRDefault="00E72F70" w:rsidP="00270C7A">
      <w:pPr>
        <w:spacing w:line="360" w:lineRule="auto"/>
        <w:ind w:firstLine="1440"/>
      </w:pPr>
      <w:r w:rsidRPr="00270C7A">
        <w:t>By Order dated September 10, 2015, the Complainant’s request for an extension of time was granted.  Complainant was given until November 13, 2015 to obtain counsel.</w:t>
      </w:r>
      <w:r w:rsidR="007F3E22" w:rsidRPr="00270C7A">
        <w:t xml:space="preserve"> </w:t>
      </w:r>
      <w:r w:rsidR="00E23A9C" w:rsidRPr="00270C7A">
        <w:t xml:space="preserve"> </w:t>
      </w:r>
    </w:p>
    <w:p w:rsidR="0074267B" w:rsidRPr="00270C7A" w:rsidRDefault="0074267B" w:rsidP="00270C7A">
      <w:pPr>
        <w:spacing w:line="360" w:lineRule="auto"/>
        <w:ind w:firstLine="1440"/>
      </w:pPr>
    </w:p>
    <w:p w:rsidR="00184760" w:rsidRPr="00270C7A" w:rsidRDefault="000353FC" w:rsidP="00270C7A">
      <w:pPr>
        <w:spacing w:line="360" w:lineRule="auto"/>
        <w:ind w:firstLine="1440"/>
      </w:pPr>
      <w:r w:rsidRPr="00270C7A">
        <w:t xml:space="preserve">By </w:t>
      </w:r>
      <w:r w:rsidR="009F7080" w:rsidRPr="00270C7A">
        <w:t xml:space="preserve">Hearing Notice dated September 15, 2015, a further hearing was scheduled for December 14, 2015.  </w:t>
      </w:r>
      <w:r w:rsidR="007F3E22" w:rsidRPr="00270C7A">
        <w:t xml:space="preserve">  </w:t>
      </w:r>
    </w:p>
    <w:p w:rsidR="00184760" w:rsidRPr="00270C7A" w:rsidRDefault="00184760" w:rsidP="00270C7A">
      <w:pPr>
        <w:spacing w:line="360" w:lineRule="auto"/>
        <w:ind w:firstLine="1440"/>
      </w:pPr>
    </w:p>
    <w:p w:rsidR="00502FDA" w:rsidRPr="00270C7A" w:rsidRDefault="00CD6D25" w:rsidP="00270C7A">
      <w:pPr>
        <w:tabs>
          <w:tab w:val="left" w:pos="-1440"/>
          <w:tab w:val="left" w:pos="-720"/>
        </w:tabs>
        <w:suppressAutoHyphens/>
        <w:spacing w:line="360" w:lineRule="auto"/>
        <w:ind w:firstLine="1440"/>
        <w:rPr>
          <w:spacing w:val="-3"/>
        </w:rPr>
      </w:pPr>
      <w:r w:rsidRPr="00270C7A">
        <w:t xml:space="preserve">The </w:t>
      </w:r>
      <w:r w:rsidR="009F7080" w:rsidRPr="00270C7A">
        <w:t>further h</w:t>
      </w:r>
      <w:r w:rsidRPr="00270C7A">
        <w:t xml:space="preserve">earing convened as scheduled.  </w:t>
      </w:r>
      <w:r w:rsidRPr="00270C7A">
        <w:rPr>
          <w:spacing w:val="-3"/>
        </w:rPr>
        <w:t xml:space="preserve">The Complainant appeared </w:t>
      </w:r>
      <w:r w:rsidR="009F7080" w:rsidRPr="00270C7A">
        <w:rPr>
          <w:spacing w:val="-3"/>
        </w:rPr>
        <w:t>and again represented herself</w:t>
      </w:r>
      <w:r w:rsidRPr="00270C7A">
        <w:rPr>
          <w:spacing w:val="-3"/>
        </w:rPr>
        <w:t xml:space="preserve">.  </w:t>
      </w:r>
      <w:r w:rsidR="00087BDA" w:rsidRPr="00270C7A">
        <w:rPr>
          <w:spacing w:val="-3"/>
        </w:rPr>
        <w:t>M</w:t>
      </w:r>
      <w:r w:rsidR="009F7080" w:rsidRPr="00270C7A">
        <w:rPr>
          <w:spacing w:val="-3"/>
        </w:rPr>
        <w:t>r</w:t>
      </w:r>
      <w:r w:rsidR="00087BDA" w:rsidRPr="00270C7A">
        <w:rPr>
          <w:spacing w:val="-3"/>
        </w:rPr>
        <w:t xml:space="preserve">. </w:t>
      </w:r>
      <w:r w:rsidR="009F7080" w:rsidRPr="00270C7A">
        <w:rPr>
          <w:spacing w:val="-3"/>
        </w:rPr>
        <w:t>Farinas</w:t>
      </w:r>
      <w:r w:rsidRPr="00270C7A">
        <w:rPr>
          <w:spacing w:val="-3"/>
        </w:rPr>
        <w:t xml:space="preserve"> was present</w:t>
      </w:r>
      <w:r w:rsidR="009F7080" w:rsidRPr="00270C7A">
        <w:rPr>
          <w:spacing w:val="-3"/>
        </w:rPr>
        <w:t xml:space="preserve"> representing the Respondent and was</w:t>
      </w:r>
      <w:r w:rsidRPr="00270C7A">
        <w:rPr>
          <w:spacing w:val="-3"/>
        </w:rPr>
        <w:t xml:space="preserve"> accompanied by o</w:t>
      </w:r>
      <w:r w:rsidR="00087BDA" w:rsidRPr="00270C7A">
        <w:rPr>
          <w:spacing w:val="-3"/>
        </w:rPr>
        <w:t>ne</w:t>
      </w:r>
      <w:r w:rsidRPr="00270C7A">
        <w:rPr>
          <w:spacing w:val="-3"/>
        </w:rPr>
        <w:t xml:space="preserve"> witness.  </w:t>
      </w:r>
      <w:r w:rsidR="00502FDA" w:rsidRPr="00270C7A">
        <w:rPr>
          <w:spacing w:val="-3"/>
        </w:rPr>
        <w:t xml:space="preserve">Although the Respondent was directed </w:t>
      </w:r>
      <w:r w:rsidR="006121F7" w:rsidRPr="00270C7A">
        <w:rPr>
          <w:spacing w:val="-3"/>
        </w:rPr>
        <w:t xml:space="preserve">by Order dated July 24, 2015, </w:t>
      </w:r>
      <w:r w:rsidR="00502FDA" w:rsidRPr="00270C7A">
        <w:rPr>
          <w:spacing w:val="-3"/>
        </w:rPr>
        <w:t>to conduct a high bill investigation at 2660 North 31</w:t>
      </w:r>
      <w:r w:rsidR="00502FDA" w:rsidRPr="00270C7A">
        <w:rPr>
          <w:spacing w:val="-3"/>
          <w:vertAlign w:val="superscript"/>
        </w:rPr>
        <w:t>st</w:t>
      </w:r>
      <w:r w:rsidR="00502FDA" w:rsidRPr="00270C7A">
        <w:rPr>
          <w:spacing w:val="-3"/>
        </w:rPr>
        <w:t xml:space="preserve"> Street, Philadelphia, Pennsylvania, (service address) prior to the scheduled further hearing, th</w:t>
      </w:r>
      <w:r w:rsidR="006121F7" w:rsidRPr="00270C7A">
        <w:rPr>
          <w:spacing w:val="-3"/>
        </w:rPr>
        <w:t>e investig</w:t>
      </w:r>
      <w:r w:rsidR="00502FDA" w:rsidRPr="00270C7A">
        <w:rPr>
          <w:spacing w:val="-3"/>
        </w:rPr>
        <w:t>at</w:t>
      </w:r>
      <w:r w:rsidR="006121F7" w:rsidRPr="00270C7A">
        <w:rPr>
          <w:spacing w:val="-3"/>
        </w:rPr>
        <w:t>ion</w:t>
      </w:r>
      <w:r w:rsidR="00502FDA" w:rsidRPr="00270C7A">
        <w:rPr>
          <w:spacing w:val="-3"/>
        </w:rPr>
        <w:t xml:space="preserve"> did not occur.  The parties were directed to testify regarding the payment arrangement and to make arrangement</w:t>
      </w:r>
      <w:r w:rsidR="006121F7" w:rsidRPr="00270C7A">
        <w:rPr>
          <w:spacing w:val="-3"/>
        </w:rPr>
        <w:t>s</w:t>
      </w:r>
      <w:r w:rsidR="00502FDA" w:rsidRPr="00270C7A">
        <w:rPr>
          <w:spacing w:val="-3"/>
        </w:rPr>
        <w:t xml:space="preserve"> to conduct a high bill investigation on a mutual date agreed to by both parties.  </w:t>
      </w:r>
    </w:p>
    <w:p w:rsidR="00502FDA" w:rsidRPr="00270C7A" w:rsidRDefault="00502FDA" w:rsidP="00270C7A">
      <w:pPr>
        <w:tabs>
          <w:tab w:val="left" w:pos="-1440"/>
          <w:tab w:val="left" w:pos="-720"/>
        </w:tabs>
        <w:suppressAutoHyphens/>
        <w:spacing w:line="360" w:lineRule="auto"/>
        <w:ind w:firstLine="1440"/>
        <w:rPr>
          <w:spacing w:val="-3"/>
        </w:rPr>
      </w:pPr>
    </w:p>
    <w:p w:rsidR="009F7080" w:rsidRPr="00270C7A" w:rsidRDefault="00502FDA" w:rsidP="00270C7A">
      <w:pPr>
        <w:tabs>
          <w:tab w:val="left" w:pos="-1440"/>
          <w:tab w:val="left" w:pos="-720"/>
        </w:tabs>
        <w:suppressAutoHyphens/>
        <w:spacing w:line="360" w:lineRule="auto"/>
        <w:ind w:firstLine="1440"/>
        <w:rPr>
          <w:spacing w:val="-3"/>
        </w:rPr>
      </w:pPr>
      <w:r w:rsidRPr="00270C7A">
        <w:rPr>
          <w:spacing w:val="-3"/>
        </w:rPr>
        <w:t xml:space="preserve">The </w:t>
      </w:r>
      <w:r w:rsidR="00CD6D25" w:rsidRPr="00270C7A">
        <w:rPr>
          <w:spacing w:val="-3"/>
        </w:rPr>
        <w:t>Complainant</w:t>
      </w:r>
      <w:r w:rsidR="00C32B1B" w:rsidRPr="00270C7A">
        <w:rPr>
          <w:spacing w:val="-3"/>
        </w:rPr>
        <w:t xml:space="preserve"> </w:t>
      </w:r>
      <w:r w:rsidR="00CD6D25" w:rsidRPr="00270C7A">
        <w:rPr>
          <w:spacing w:val="-3"/>
        </w:rPr>
        <w:t>testified and present</w:t>
      </w:r>
      <w:r w:rsidR="009F7080" w:rsidRPr="00270C7A">
        <w:rPr>
          <w:spacing w:val="-3"/>
        </w:rPr>
        <w:t>ed the following</w:t>
      </w:r>
      <w:r w:rsidR="007F3E22" w:rsidRPr="00270C7A">
        <w:rPr>
          <w:spacing w:val="-3"/>
        </w:rPr>
        <w:t xml:space="preserve"> </w:t>
      </w:r>
      <w:r w:rsidR="001F7766" w:rsidRPr="00270C7A">
        <w:rPr>
          <w:spacing w:val="-3"/>
        </w:rPr>
        <w:t xml:space="preserve">seven </w:t>
      </w:r>
      <w:r w:rsidR="007F3E22" w:rsidRPr="00270C7A">
        <w:rPr>
          <w:spacing w:val="-3"/>
        </w:rPr>
        <w:t>exhibits</w:t>
      </w:r>
      <w:r w:rsidR="009F7080" w:rsidRPr="00270C7A">
        <w:rPr>
          <w:spacing w:val="-3"/>
        </w:rPr>
        <w:t>:</w:t>
      </w:r>
    </w:p>
    <w:p w:rsidR="009F7080" w:rsidRPr="00270C7A" w:rsidRDefault="009F7080" w:rsidP="00270C7A">
      <w:pPr>
        <w:pStyle w:val="ListParagraph"/>
        <w:numPr>
          <w:ilvl w:val="0"/>
          <w:numId w:val="39"/>
        </w:numPr>
        <w:tabs>
          <w:tab w:val="left" w:pos="-1440"/>
          <w:tab w:val="left" w:pos="-720"/>
        </w:tabs>
        <w:suppressAutoHyphens/>
        <w:ind w:right="1440"/>
        <w:rPr>
          <w:spacing w:val="-3"/>
        </w:rPr>
      </w:pPr>
      <w:r w:rsidRPr="00270C7A">
        <w:rPr>
          <w:spacing w:val="-3"/>
        </w:rPr>
        <w:t>Legal service agreement – Complainant Exhibit 1;</w:t>
      </w:r>
    </w:p>
    <w:p w:rsidR="009F7080" w:rsidRPr="00270C7A" w:rsidRDefault="009F7080" w:rsidP="00270C7A">
      <w:pPr>
        <w:pStyle w:val="ListParagraph"/>
        <w:numPr>
          <w:ilvl w:val="0"/>
          <w:numId w:val="39"/>
        </w:numPr>
        <w:tabs>
          <w:tab w:val="left" w:pos="-1440"/>
          <w:tab w:val="left" w:pos="-720"/>
        </w:tabs>
        <w:suppressAutoHyphens/>
        <w:ind w:right="1440"/>
        <w:rPr>
          <w:spacing w:val="-3"/>
        </w:rPr>
      </w:pPr>
      <w:r w:rsidRPr="00270C7A">
        <w:rPr>
          <w:spacing w:val="-3"/>
        </w:rPr>
        <w:t>2015 CRP agreement – Complainant Exhibit 2;</w:t>
      </w:r>
    </w:p>
    <w:p w:rsidR="009F7080" w:rsidRPr="00270C7A" w:rsidRDefault="001F7766" w:rsidP="00270C7A">
      <w:pPr>
        <w:pStyle w:val="ListParagraph"/>
        <w:numPr>
          <w:ilvl w:val="0"/>
          <w:numId w:val="39"/>
        </w:numPr>
        <w:tabs>
          <w:tab w:val="left" w:pos="-1440"/>
          <w:tab w:val="left" w:pos="-720"/>
        </w:tabs>
        <w:suppressAutoHyphens/>
        <w:ind w:right="1440"/>
        <w:rPr>
          <w:spacing w:val="-3"/>
        </w:rPr>
      </w:pPr>
      <w:r w:rsidRPr="00270C7A">
        <w:rPr>
          <w:spacing w:val="-3"/>
        </w:rPr>
        <w:t>May 2015 medical certification – Complainant Exhibit 3;</w:t>
      </w:r>
    </w:p>
    <w:p w:rsidR="001F7766" w:rsidRPr="00270C7A" w:rsidRDefault="001F7766" w:rsidP="00270C7A">
      <w:pPr>
        <w:pStyle w:val="ListParagraph"/>
        <w:numPr>
          <w:ilvl w:val="0"/>
          <w:numId w:val="39"/>
        </w:numPr>
        <w:tabs>
          <w:tab w:val="left" w:pos="-1440"/>
          <w:tab w:val="left" w:pos="-720"/>
        </w:tabs>
        <w:suppressAutoHyphens/>
        <w:ind w:right="1440"/>
        <w:rPr>
          <w:spacing w:val="-3"/>
        </w:rPr>
      </w:pPr>
      <w:r w:rsidRPr="00270C7A">
        <w:rPr>
          <w:spacing w:val="-3"/>
        </w:rPr>
        <w:t>Receipts for gas service payments – Complainant Exhibit 4;</w:t>
      </w:r>
    </w:p>
    <w:p w:rsidR="001F7766" w:rsidRPr="00270C7A" w:rsidRDefault="001F7766" w:rsidP="00270C7A">
      <w:pPr>
        <w:pStyle w:val="ListParagraph"/>
        <w:numPr>
          <w:ilvl w:val="0"/>
          <w:numId w:val="39"/>
        </w:numPr>
        <w:tabs>
          <w:tab w:val="left" w:pos="-1440"/>
          <w:tab w:val="left" w:pos="-720"/>
        </w:tabs>
        <w:suppressAutoHyphens/>
        <w:ind w:right="1440"/>
        <w:rPr>
          <w:spacing w:val="-3"/>
        </w:rPr>
      </w:pPr>
      <w:r w:rsidRPr="00270C7A">
        <w:rPr>
          <w:spacing w:val="-3"/>
        </w:rPr>
        <w:t>December 2015 letter from PGW – Complainant Exhibit 5;</w:t>
      </w:r>
    </w:p>
    <w:p w:rsidR="001F7766" w:rsidRPr="00270C7A" w:rsidRDefault="001F7766" w:rsidP="00270C7A">
      <w:pPr>
        <w:pStyle w:val="ListParagraph"/>
        <w:numPr>
          <w:ilvl w:val="0"/>
          <w:numId w:val="39"/>
        </w:numPr>
        <w:tabs>
          <w:tab w:val="left" w:pos="-1440"/>
          <w:tab w:val="left" w:pos="-720"/>
        </w:tabs>
        <w:suppressAutoHyphens/>
        <w:ind w:right="1440"/>
        <w:rPr>
          <w:spacing w:val="-3"/>
        </w:rPr>
      </w:pPr>
      <w:r w:rsidRPr="00270C7A">
        <w:rPr>
          <w:spacing w:val="-3"/>
        </w:rPr>
        <w:t>December 2015 receipt for gas service payment – Complainant Exhibit 6;</w:t>
      </w:r>
    </w:p>
    <w:p w:rsidR="001F7766" w:rsidRPr="00270C7A" w:rsidRDefault="001F7766" w:rsidP="00270C7A">
      <w:pPr>
        <w:pStyle w:val="ListParagraph"/>
        <w:numPr>
          <w:ilvl w:val="0"/>
          <w:numId w:val="39"/>
        </w:numPr>
        <w:tabs>
          <w:tab w:val="left" w:pos="-1440"/>
          <w:tab w:val="left" w:pos="-720"/>
        </w:tabs>
        <w:suppressAutoHyphens/>
        <w:ind w:right="1440"/>
        <w:rPr>
          <w:spacing w:val="-3"/>
        </w:rPr>
      </w:pPr>
      <w:r w:rsidRPr="00270C7A">
        <w:rPr>
          <w:spacing w:val="-3"/>
        </w:rPr>
        <w:t>November 2015 letter from PGW – Complainant Exhibit 7;</w:t>
      </w:r>
    </w:p>
    <w:p w:rsidR="001F7766" w:rsidRPr="00270C7A" w:rsidRDefault="001F7766" w:rsidP="00270C7A">
      <w:pPr>
        <w:tabs>
          <w:tab w:val="left" w:pos="-1440"/>
          <w:tab w:val="left" w:pos="-720"/>
        </w:tabs>
        <w:suppressAutoHyphens/>
        <w:spacing w:line="360" w:lineRule="auto"/>
        <w:ind w:left="1440"/>
        <w:rPr>
          <w:spacing w:val="-3"/>
        </w:rPr>
      </w:pPr>
    </w:p>
    <w:p w:rsidR="001F7766" w:rsidRPr="00270C7A" w:rsidRDefault="001F7766" w:rsidP="00270C7A">
      <w:pPr>
        <w:tabs>
          <w:tab w:val="left" w:pos="-1440"/>
          <w:tab w:val="left" w:pos="-720"/>
        </w:tabs>
        <w:suppressAutoHyphens/>
        <w:spacing w:line="360" w:lineRule="auto"/>
        <w:rPr>
          <w:spacing w:val="-3"/>
        </w:rPr>
      </w:pPr>
      <w:r w:rsidRPr="00270C7A">
        <w:rPr>
          <w:spacing w:val="-3"/>
        </w:rPr>
        <w:t xml:space="preserve">All seven exhibits were admitted into the record.  </w:t>
      </w:r>
      <w:r w:rsidR="007F3E22" w:rsidRPr="00270C7A">
        <w:rPr>
          <w:spacing w:val="-3"/>
        </w:rPr>
        <w:t xml:space="preserve"> </w:t>
      </w:r>
    </w:p>
    <w:p w:rsidR="001F7766" w:rsidRPr="00270C7A" w:rsidRDefault="001F7766" w:rsidP="00270C7A">
      <w:pPr>
        <w:tabs>
          <w:tab w:val="left" w:pos="-1440"/>
          <w:tab w:val="left" w:pos="-720"/>
        </w:tabs>
        <w:suppressAutoHyphens/>
        <w:spacing w:line="360" w:lineRule="auto"/>
        <w:rPr>
          <w:spacing w:val="-3"/>
        </w:rPr>
      </w:pPr>
    </w:p>
    <w:p w:rsidR="00CD6D25" w:rsidRPr="00270C7A" w:rsidRDefault="001F7766" w:rsidP="00270C7A">
      <w:pPr>
        <w:tabs>
          <w:tab w:val="left" w:pos="-1440"/>
          <w:tab w:val="left" w:pos="-720"/>
        </w:tabs>
        <w:suppressAutoHyphens/>
        <w:spacing w:line="360" w:lineRule="auto"/>
        <w:rPr>
          <w:spacing w:val="-3"/>
        </w:rPr>
      </w:pPr>
      <w:r w:rsidRPr="00270C7A">
        <w:rPr>
          <w:spacing w:val="-3"/>
        </w:rPr>
        <w:tab/>
      </w:r>
      <w:r w:rsidRPr="00270C7A">
        <w:rPr>
          <w:spacing w:val="-3"/>
        </w:rPr>
        <w:tab/>
      </w:r>
      <w:r w:rsidR="007F3E22" w:rsidRPr="00270C7A">
        <w:rPr>
          <w:spacing w:val="-3"/>
        </w:rPr>
        <w:t xml:space="preserve">Ms. </w:t>
      </w:r>
      <w:r w:rsidRPr="00270C7A">
        <w:rPr>
          <w:spacing w:val="-3"/>
        </w:rPr>
        <w:t>Jennifer Pearson</w:t>
      </w:r>
      <w:r w:rsidR="007F3E22" w:rsidRPr="00270C7A">
        <w:rPr>
          <w:spacing w:val="-3"/>
        </w:rPr>
        <w:t xml:space="preserve"> testified for the Respondent.  Respondent offered the following exhibits:</w:t>
      </w:r>
    </w:p>
    <w:p w:rsidR="00270C7A" w:rsidRDefault="00270C7A">
      <w:pPr>
        <w:rPr>
          <w:spacing w:val="-3"/>
        </w:rPr>
      </w:pPr>
      <w:r>
        <w:rPr>
          <w:spacing w:val="-3"/>
        </w:rPr>
        <w:br w:type="page"/>
      </w:r>
    </w:p>
    <w:p w:rsidR="00BD1E6C" w:rsidRPr="00270C7A" w:rsidRDefault="00502FDA" w:rsidP="00270C7A">
      <w:pPr>
        <w:pStyle w:val="ListParagraph"/>
        <w:numPr>
          <w:ilvl w:val="0"/>
          <w:numId w:val="34"/>
        </w:numPr>
        <w:tabs>
          <w:tab w:val="left" w:pos="-1440"/>
          <w:tab w:val="left" w:pos="-720"/>
        </w:tabs>
        <w:suppressAutoHyphens/>
        <w:rPr>
          <w:spacing w:val="-3"/>
        </w:rPr>
      </w:pPr>
      <w:r w:rsidRPr="00270C7A">
        <w:rPr>
          <w:spacing w:val="-3"/>
        </w:rPr>
        <w:lastRenderedPageBreak/>
        <w:t>Customer Contacts</w:t>
      </w:r>
      <w:r w:rsidR="007F3E22" w:rsidRPr="00270C7A">
        <w:rPr>
          <w:spacing w:val="-3"/>
        </w:rPr>
        <w:t xml:space="preserve"> – </w:t>
      </w:r>
      <w:r w:rsidR="00BD1E6C" w:rsidRPr="00270C7A">
        <w:rPr>
          <w:spacing w:val="-3"/>
        </w:rPr>
        <w:t>P</w:t>
      </w:r>
      <w:r w:rsidRPr="00270C7A">
        <w:rPr>
          <w:spacing w:val="-3"/>
        </w:rPr>
        <w:t>GW</w:t>
      </w:r>
      <w:r w:rsidR="007F3E22" w:rsidRPr="00270C7A">
        <w:rPr>
          <w:spacing w:val="-3"/>
        </w:rPr>
        <w:t xml:space="preserve"> Exhibit 1</w:t>
      </w:r>
      <w:r w:rsidR="00BD1E6C" w:rsidRPr="00270C7A">
        <w:rPr>
          <w:spacing w:val="-3"/>
        </w:rPr>
        <w:t>;</w:t>
      </w:r>
    </w:p>
    <w:p w:rsidR="00BD1E6C" w:rsidRPr="00270C7A" w:rsidRDefault="00502FDA" w:rsidP="00270C7A">
      <w:pPr>
        <w:pStyle w:val="ListParagraph"/>
        <w:numPr>
          <w:ilvl w:val="0"/>
          <w:numId w:val="34"/>
        </w:numPr>
        <w:tabs>
          <w:tab w:val="left" w:pos="-1440"/>
          <w:tab w:val="left" w:pos="-720"/>
        </w:tabs>
        <w:suppressAutoHyphens/>
        <w:rPr>
          <w:spacing w:val="-3"/>
        </w:rPr>
      </w:pPr>
      <w:r w:rsidRPr="00270C7A">
        <w:rPr>
          <w:spacing w:val="-3"/>
        </w:rPr>
        <w:t>Account Statement</w:t>
      </w:r>
      <w:r w:rsidR="007F3E22" w:rsidRPr="00270C7A">
        <w:rPr>
          <w:spacing w:val="-3"/>
        </w:rPr>
        <w:t xml:space="preserve"> – P</w:t>
      </w:r>
      <w:r w:rsidRPr="00270C7A">
        <w:rPr>
          <w:spacing w:val="-3"/>
        </w:rPr>
        <w:t>GW</w:t>
      </w:r>
      <w:r w:rsidR="007F3E22" w:rsidRPr="00270C7A">
        <w:rPr>
          <w:spacing w:val="-3"/>
        </w:rPr>
        <w:t xml:space="preserve"> </w:t>
      </w:r>
      <w:r w:rsidR="00BD1E6C" w:rsidRPr="00270C7A">
        <w:rPr>
          <w:spacing w:val="-3"/>
        </w:rPr>
        <w:t xml:space="preserve">Exhibit 2; </w:t>
      </w:r>
    </w:p>
    <w:p w:rsidR="00687DC4" w:rsidRPr="00270C7A" w:rsidRDefault="00687DC4" w:rsidP="00270C7A">
      <w:pPr>
        <w:pStyle w:val="ListParagraph"/>
        <w:numPr>
          <w:ilvl w:val="0"/>
          <w:numId w:val="34"/>
        </w:numPr>
        <w:tabs>
          <w:tab w:val="left" w:pos="-1440"/>
          <w:tab w:val="left" w:pos="-720"/>
        </w:tabs>
        <w:suppressAutoHyphens/>
        <w:rPr>
          <w:spacing w:val="-3"/>
        </w:rPr>
      </w:pPr>
      <w:r w:rsidRPr="00270C7A">
        <w:rPr>
          <w:spacing w:val="-3"/>
        </w:rPr>
        <w:t>Collection History – P</w:t>
      </w:r>
      <w:r w:rsidR="00502FDA" w:rsidRPr="00270C7A">
        <w:rPr>
          <w:spacing w:val="-3"/>
        </w:rPr>
        <w:t>GW</w:t>
      </w:r>
      <w:r w:rsidRPr="00270C7A">
        <w:rPr>
          <w:spacing w:val="-3"/>
        </w:rPr>
        <w:t xml:space="preserve"> </w:t>
      </w:r>
      <w:r w:rsidR="00BD1E6C" w:rsidRPr="00270C7A">
        <w:rPr>
          <w:spacing w:val="-3"/>
        </w:rPr>
        <w:t>Exhibit 3</w:t>
      </w:r>
      <w:r w:rsidRPr="00270C7A">
        <w:rPr>
          <w:spacing w:val="-3"/>
        </w:rPr>
        <w:t xml:space="preserve">; </w:t>
      </w:r>
      <w:r w:rsidR="00502FDA" w:rsidRPr="00270C7A">
        <w:rPr>
          <w:spacing w:val="-3"/>
        </w:rPr>
        <w:t xml:space="preserve">and </w:t>
      </w:r>
    </w:p>
    <w:p w:rsidR="00BD1E6C" w:rsidRPr="00270C7A" w:rsidRDefault="00502FDA" w:rsidP="00270C7A">
      <w:pPr>
        <w:pStyle w:val="ListParagraph"/>
        <w:numPr>
          <w:ilvl w:val="0"/>
          <w:numId w:val="34"/>
        </w:numPr>
        <w:tabs>
          <w:tab w:val="left" w:pos="-1440"/>
          <w:tab w:val="left" w:pos="-720"/>
        </w:tabs>
        <w:suppressAutoHyphens/>
        <w:rPr>
          <w:spacing w:val="-3"/>
        </w:rPr>
      </w:pPr>
      <w:r w:rsidRPr="00270C7A">
        <w:rPr>
          <w:spacing w:val="-3"/>
        </w:rPr>
        <w:t>CRP</w:t>
      </w:r>
      <w:r w:rsidR="00687DC4" w:rsidRPr="00270C7A">
        <w:rPr>
          <w:spacing w:val="-3"/>
        </w:rPr>
        <w:t xml:space="preserve"> </w:t>
      </w:r>
      <w:r w:rsidRPr="00270C7A">
        <w:rPr>
          <w:spacing w:val="-3"/>
        </w:rPr>
        <w:t xml:space="preserve">and Payment </w:t>
      </w:r>
      <w:r w:rsidR="00687DC4" w:rsidRPr="00270C7A">
        <w:rPr>
          <w:spacing w:val="-3"/>
        </w:rPr>
        <w:t>History – PECO Exhibit 4</w:t>
      </w:r>
      <w:r w:rsidR="00BD1E6C" w:rsidRPr="00270C7A">
        <w:rPr>
          <w:spacing w:val="-3"/>
        </w:rPr>
        <w:t>.</w:t>
      </w:r>
    </w:p>
    <w:p w:rsidR="007F3E22" w:rsidRPr="00270C7A" w:rsidRDefault="007F3E22" w:rsidP="00270C7A">
      <w:pPr>
        <w:tabs>
          <w:tab w:val="left" w:pos="-1440"/>
          <w:tab w:val="left" w:pos="-720"/>
        </w:tabs>
        <w:suppressAutoHyphens/>
        <w:spacing w:line="360" w:lineRule="auto"/>
        <w:rPr>
          <w:spacing w:val="-3"/>
        </w:rPr>
      </w:pPr>
    </w:p>
    <w:p w:rsidR="00BD1E6C" w:rsidRPr="00270C7A" w:rsidRDefault="00BD1E6C" w:rsidP="00270C7A">
      <w:pPr>
        <w:tabs>
          <w:tab w:val="left" w:pos="-1440"/>
          <w:tab w:val="left" w:pos="-720"/>
        </w:tabs>
        <w:suppressAutoHyphens/>
        <w:spacing w:line="360" w:lineRule="auto"/>
      </w:pPr>
      <w:r w:rsidRPr="00270C7A">
        <w:t xml:space="preserve">All </w:t>
      </w:r>
      <w:r w:rsidR="007F3E22" w:rsidRPr="00270C7A">
        <w:t>four</w:t>
      </w:r>
      <w:r w:rsidRPr="00270C7A">
        <w:t xml:space="preserve"> were admitted into the record.</w:t>
      </w:r>
    </w:p>
    <w:p w:rsidR="00BD1E6C" w:rsidRPr="00270C7A" w:rsidRDefault="00BD1E6C" w:rsidP="00270C7A">
      <w:pPr>
        <w:tabs>
          <w:tab w:val="left" w:pos="-1440"/>
          <w:tab w:val="left" w:pos="-720"/>
        </w:tabs>
        <w:suppressAutoHyphens/>
        <w:spacing w:line="360" w:lineRule="auto"/>
      </w:pPr>
    </w:p>
    <w:p w:rsidR="00927048" w:rsidRPr="00270C7A" w:rsidRDefault="004C593B" w:rsidP="00270C7A">
      <w:pPr>
        <w:tabs>
          <w:tab w:val="left" w:pos="-1440"/>
          <w:tab w:val="left" w:pos="-720"/>
        </w:tabs>
        <w:suppressAutoHyphens/>
        <w:spacing w:line="360" w:lineRule="auto"/>
        <w:ind w:firstLine="1440"/>
      </w:pPr>
      <w:r w:rsidRPr="00270C7A">
        <w:t xml:space="preserve">By Hearing Notice dated </w:t>
      </w:r>
      <w:r w:rsidR="00927048" w:rsidRPr="00270C7A">
        <w:t xml:space="preserve">December 15, 2015, a further hearing was scheduled for February 16, 2016.  </w:t>
      </w:r>
    </w:p>
    <w:p w:rsidR="00927048" w:rsidRPr="00270C7A" w:rsidRDefault="00927048" w:rsidP="00270C7A">
      <w:pPr>
        <w:tabs>
          <w:tab w:val="left" w:pos="-1440"/>
          <w:tab w:val="left" w:pos="-720"/>
        </w:tabs>
        <w:suppressAutoHyphens/>
        <w:spacing w:line="360" w:lineRule="auto"/>
        <w:ind w:firstLine="1440"/>
      </w:pPr>
    </w:p>
    <w:p w:rsidR="00CD6D25" w:rsidRPr="00270C7A" w:rsidRDefault="00502FDA" w:rsidP="00270C7A">
      <w:pPr>
        <w:tabs>
          <w:tab w:val="left" w:pos="-1440"/>
          <w:tab w:val="left" w:pos="-720"/>
        </w:tabs>
        <w:suppressAutoHyphens/>
        <w:spacing w:line="360" w:lineRule="auto"/>
        <w:ind w:firstLine="1440"/>
      </w:pPr>
      <w:r w:rsidRPr="00270C7A">
        <w:t xml:space="preserve">By Order dated December 21, 2015, the Respondent was directed to perform the high bill investigation between 9 a.m. and noon on January 5, 2016.  The Respondent was also directed </w:t>
      </w:r>
      <w:r w:rsidR="004C593B" w:rsidRPr="00270C7A">
        <w:t>to provide the appropriate documents to the Complainant regarding the refund of the sales tax on a meter that was no longer necessary at the service address.</w:t>
      </w:r>
    </w:p>
    <w:p w:rsidR="00927048" w:rsidRPr="00270C7A" w:rsidRDefault="00927048" w:rsidP="00270C7A">
      <w:pPr>
        <w:tabs>
          <w:tab w:val="left" w:pos="-1440"/>
          <w:tab w:val="left" w:pos="-720"/>
        </w:tabs>
        <w:suppressAutoHyphens/>
        <w:spacing w:line="360" w:lineRule="auto"/>
        <w:ind w:firstLine="1440"/>
      </w:pPr>
    </w:p>
    <w:p w:rsidR="0039531D" w:rsidRPr="00270C7A" w:rsidRDefault="00927048" w:rsidP="00270C7A">
      <w:pPr>
        <w:tabs>
          <w:tab w:val="left" w:pos="-1440"/>
          <w:tab w:val="left" w:pos="-720"/>
        </w:tabs>
        <w:suppressAutoHyphens/>
        <w:spacing w:line="360" w:lineRule="auto"/>
        <w:ind w:firstLine="1440"/>
      </w:pPr>
      <w:r w:rsidRPr="00270C7A">
        <w:t xml:space="preserve">The further hearing convened as scheduled on February 16, 2016.  The Complainant was present and represented herself.  Mr. Farinas was present on behalf of the Respondent and was accompanied </w:t>
      </w:r>
      <w:r w:rsidR="0039531D" w:rsidRPr="00270C7A">
        <w:t xml:space="preserve">by one witness.  As a preliminary matter, the Complainant expressed that she received a letter from the Respondent for a meter fee to conduct a meter test.  Mr. Farinas stated that the meter fee would be waived by the Respondent.  By Order dated February 17, 2016, the undersigned directed the Respondent to state in writing to the Complainant that the meter fee is waived.  </w:t>
      </w:r>
    </w:p>
    <w:p w:rsidR="0039531D" w:rsidRPr="00270C7A" w:rsidRDefault="0039531D" w:rsidP="00270C7A">
      <w:pPr>
        <w:tabs>
          <w:tab w:val="left" w:pos="-1440"/>
          <w:tab w:val="left" w:pos="-720"/>
        </w:tabs>
        <w:suppressAutoHyphens/>
        <w:spacing w:line="360" w:lineRule="auto"/>
        <w:ind w:firstLine="1440"/>
      </w:pPr>
    </w:p>
    <w:p w:rsidR="00927048" w:rsidRPr="00270C7A" w:rsidRDefault="0039531D" w:rsidP="00270C7A">
      <w:pPr>
        <w:tabs>
          <w:tab w:val="left" w:pos="-1440"/>
          <w:tab w:val="left" w:pos="-720"/>
        </w:tabs>
        <w:suppressAutoHyphens/>
        <w:spacing w:line="360" w:lineRule="auto"/>
        <w:ind w:firstLine="1440"/>
      </w:pPr>
      <w:r w:rsidRPr="00270C7A">
        <w:t>The Complainant provided no further exhibits.  The Respondent provided the following</w:t>
      </w:r>
      <w:r w:rsidR="00556CAC" w:rsidRPr="00270C7A">
        <w:t xml:space="preserve"> five</w:t>
      </w:r>
      <w:r w:rsidRPr="00270C7A">
        <w:t xml:space="preserve"> exhibits:</w:t>
      </w:r>
      <w:r w:rsidR="00927048" w:rsidRPr="00270C7A">
        <w:t xml:space="preserve"> </w:t>
      </w:r>
    </w:p>
    <w:p w:rsidR="004C593B" w:rsidRPr="00270C7A" w:rsidRDefault="004C593B" w:rsidP="00270C7A">
      <w:pPr>
        <w:tabs>
          <w:tab w:val="left" w:pos="-1440"/>
          <w:tab w:val="left" w:pos="-720"/>
        </w:tabs>
        <w:suppressAutoHyphens/>
        <w:spacing w:line="360" w:lineRule="auto"/>
        <w:ind w:firstLine="1440"/>
      </w:pPr>
    </w:p>
    <w:p w:rsidR="004C593B" w:rsidRPr="00270C7A" w:rsidRDefault="0039531D" w:rsidP="00270C7A">
      <w:pPr>
        <w:pStyle w:val="ListParagraph"/>
        <w:numPr>
          <w:ilvl w:val="0"/>
          <w:numId w:val="40"/>
        </w:numPr>
        <w:tabs>
          <w:tab w:val="left" w:pos="-1440"/>
          <w:tab w:val="left" w:pos="-720"/>
        </w:tabs>
        <w:suppressAutoHyphens/>
      </w:pPr>
      <w:r w:rsidRPr="00270C7A">
        <w:t xml:space="preserve">December letter from PGW </w:t>
      </w:r>
      <w:r w:rsidR="000D7565" w:rsidRPr="00270C7A">
        <w:t>t</w:t>
      </w:r>
      <w:r w:rsidRPr="00270C7A">
        <w:t>o</w:t>
      </w:r>
      <w:r w:rsidR="000D7565" w:rsidRPr="00270C7A">
        <w:t xml:space="preserve"> reconcile</w:t>
      </w:r>
      <w:r w:rsidRPr="00270C7A">
        <w:t xml:space="preserve"> tax – PGW Exhibit 8</w:t>
      </w:r>
      <w:r w:rsidRPr="00270C7A">
        <w:rPr>
          <w:rStyle w:val="FootnoteReference"/>
        </w:rPr>
        <w:footnoteReference w:id="1"/>
      </w:r>
      <w:r w:rsidRPr="00270C7A">
        <w:t>;</w:t>
      </w:r>
    </w:p>
    <w:p w:rsidR="000D7565" w:rsidRPr="00270C7A" w:rsidRDefault="000D7565" w:rsidP="00270C7A">
      <w:pPr>
        <w:pStyle w:val="ListParagraph"/>
        <w:numPr>
          <w:ilvl w:val="0"/>
          <w:numId w:val="40"/>
        </w:numPr>
        <w:tabs>
          <w:tab w:val="left" w:pos="-1440"/>
          <w:tab w:val="left" w:pos="-720"/>
        </w:tabs>
        <w:suppressAutoHyphens/>
      </w:pPr>
      <w:r w:rsidRPr="00270C7A">
        <w:t>PGW updated account statement – PGW Exhibit 9;</w:t>
      </w:r>
    </w:p>
    <w:p w:rsidR="000D7565" w:rsidRPr="00270C7A" w:rsidRDefault="000D7565" w:rsidP="00270C7A">
      <w:pPr>
        <w:pStyle w:val="ListParagraph"/>
        <w:numPr>
          <w:ilvl w:val="0"/>
          <w:numId w:val="40"/>
        </w:numPr>
        <w:tabs>
          <w:tab w:val="left" w:pos="-1440"/>
          <w:tab w:val="left" w:pos="-720"/>
        </w:tabs>
        <w:suppressAutoHyphens/>
      </w:pPr>
      <w:r w:rsidRPr="00270C7A">
        <w:t>Data on high bill field investigation –PGW Exhibit 10;</w:t>
      </w:r>
    </w:p>
    <w:p w:rsidR="000D7565" w:rsidRPr="00270C7A" w:rsidRDefault="000D7565" w:rsidP="00270C7A">
      <w:pPr>
        <w:pStyle w:val="ListParagraph"/>
        <w:numPr>
          <w:ilvl w:val="0"/>
          <w:numId w:val="40"/>
        </w:numPr>
        <w:tabs>
          <w:tab w:val="left" w:pos="-1440"/>
          <w:tab w:val="left" w:pos="-720"/>
        </w:tabs>
        <w:suppressAutoHyphens/>
      </w:pPr>
      <w:r w:rsidRPr="00270C7A">
        <w:t>Updated customer contacts – PGW Exhibit 11; and</w:t>
      </w:r>
    </w:p>
    <w:p w:rsidR="0039531D" w:rsidRPr="00270C7A" w:rsidRDefault="000D7565" w:rsidP="00270C7A">
      <w:pPr>
        <w:pStyle w:val="ListParagraph"/>
        <w:numPr>
          <w:ilvl w:val="0"/>
          <w:numId w:val="40"/>
        </w:numPr>
        <w:tabs>
          <w:tab w:val="left" w:pos="-1440"/>
          <w:tab w:val="left" w:pos="-720"/>
        </w:tabs>
        <w:suppressAutoHyphens/>
      </w:pPr>
      <w:r w:rsidRPr="00270C7A">
        <w:t>Meter test data – PGW Exhibit 12</w:t>
      </w:r>
    </w:p>
    <w:p w:rsidR="009724BD" w:rsidRPr="00270C7A" w:rsidRDefault="009724BD" w:rsidP="00270C7A">
      <w:pPr>
        <w:tabs>
          <w:tab w:val="left" w:pos="-1440"/>
          <w:tab w:val="left" w:pos="-720"/>
        </w:tabs>
        <w:suppressAutoHyphens/>
        <w:spacing w:line="360" w:lineRule="auto"/>
        <w:ind w:firstLine="1440"/>
      </w:pPr>
    </w:p>
    <w:p w:rsidR="000D7565" w:rsidRPr="00270C7A" w:rsidRDefault="000D7565" w:rsidP="00270C7A">
      <w:pPr>
        <w:tabs>
          <w:tab w:val="left" w:pos="-1440"/>
          <w:tab w:val="left" w:pos="-720"/>
        </w:tabs>
        <w:suppressAutoHyphens/>
        <w:spacing w:line="360" w:lineRule="auto"/>
      </w:pPr>
      <w:r w:rsidRPr="00270C7A">
        <w:lastRenderedPageBreak/>
        <w:t>PGW Exhibits 8 through 11 were admitted.  PGW requested that PGW 12 be revised and filed as a late-filed exhibit.  The request by PGW was granted by Order dated February 17, 2016</w:t>
      </w:r>
      <w:r w:rsidR="00331E94">
        <w:t xml:space="preserve">, </w:t>
      </w:r>
      <w:r w:rsidR="00DC1CB7" w:rsidRPr="00270C7A">
        <w:t xml:space="preserve">which also provided the procedure </w:t>
      </w:r>
      <w:r w:rsidRPr="00270C7A">
        <w:t>for the submission of the revised PGW Exhibit 12.</w:t>
      </w:r>
    </w:p>
    <w:p w:rsidR="007B5BFE" w:rsidRPr="00270C7A" w:rsidRDefault="007B5BFE" w:rsidP="00270C7A">
      <w:pPr>
        <w:tabs>
          <w:tab w:val="left" w:pos="-1440"/>
          <w:tab w:val="left" w:pos="-720"/>
        </w:tabs>
        <w:suppressAutoHyphens/>
        <w:spacing w:line="360" w:lineRule="auto"/>
      </w:pPr>
    </w:p>
    <w:p w:rsidR="00DC1CB7" w:rsidRPr="00270C7A" w:rsidRDefault="00DC1CB7" w:rsidP="00270C7A">
      <w:pPr>
        <w:tabs>
          <w:tab w:val="left" w:pos="-1440"/>
          <w:tab w:val="left" w:pos="-720"/>
        </w:tabs>
        <w:suppressAutoHyphens/>
        <w:spacing w:line="360" w:lineRule="auto"/>
      </w:pPr>
      <w:r w:rsidRPr="00270C7A">
        <w:tab/>
      </w:r>
      <w:r w:rsidRPr="00270C7A">
        <w:tab/>
        <w:t xml:space="preserve">By Order dated March 1, 2016, the revised PGW Exhibit 12 was admitted as there was no objection from the Complainant.  </w:t>
      </w:r>
      <w:r w:rsidR="005B3A4D" w:rsidRPr="00270C7A">
        <w:t>The evidentiary record closed on March 1, 2016 after the admission of revised PGW Exhibit 12.</w:t>
      </w:r>
    </w:p>
    <w:p w:rsidR="005B3A4D" w:rsidRPr="00270C7A" w:rsidRDefault="005B3A4D" w:rsidP="00270C7A">
      <w:pPr>
        <w:tabs>
          <w:tab w:val="left" w:pos="-1440"/>
          <w:tab w:val="left" w:pos="-720"/>
        </w:tabs>
        <w:suppressAutoHyphens/>
        <w:spacing w:line="360" w:lineRule="auto"/>
      </w:pPr>
    </w:p>
    <w:p w:rsidR="005B3A4D" w:rsidRPr="00270C7A" w:rsidRDefault="005B3A4D" w:rsidP="00270C7A">
      <w:pPr>
        <w:tabs>
          <w:tab w:val="left" w:pos="-1440"/>
          <w:tab w:val="left" w:pos="-720"/>
        </w:tabs>
        <w:suppressAutoHyphens/>
        <w:spacing w:line="360" w:lineRule="auto"/>
      </w:pPr>
      <w:r w:rsidRPr="00270C7A">
        <w:tab/>
      </w:r>
      <w:r w:rsidRPr="00270C7A">
        <w:tab/>
        <w:t>The Complainant sent</w:t>
      </w:r>
      <w:r w:rsidR="00B417D4">
        <w:t xml:space="preserve"> a</w:t>
      </w:r>
      <w:r w:rsidRPr="00270C7A">
        <w:t xml:space="preserve"> letter to the undersigned dated February 25, 2016 and another letter received by the undersigned on April 8, 2016.  Both letters referred to billing data and overlapping billing dates.  The undersigned by Orders dated March 14, 2016 and April 11, 2016, confirmed that the record for evidence was closed and that the data provided by the Complainant was not admitted, and therefore, would not be considered.</w:t>
      </w:r>
    </w:p>
    <w:p w:rsidR="005B3A4D" w:rsidRPr="00270C7A" w:rsidRDefault="005B3A4D" w:rsidP="00270C7A">
      <w:pPr>
        <w:tabs>
          <w:tab w:val="left" w:pos="-1440"/>
          <w:tab w:val="left" w:pos="-720"/>
        </w:tabs>
        <w:suppressAutoHyphens/>
        <w:spacing w:line="360" w:lineRule="auto"/>
      </w:pPr>
    </w:p>
    <w:p w:rsidR="00E76D1E" w:rsidRPr="00270C7A" w:rsidRDefault="005B3A4D" w:rsidP="00270C7A">
      <w:pPr>
        <w:tabs>
          <w:tab w:val="left" w:pos="-1440"/>
          <w:tab w:val="left" w:pos="-720"/>
        </w:tabs>
        <w:suppressAutoHyphens/>
        <w:spacing w:line="360" w:lineRule="auto"/>
      </w:pPr>
      <w:r w:rsidRPr="00270C7A">
        <w:tab/>
      </w:r>
      <w:r w:rsidRPr="00270C7A">
        <w:tab/>
        <w:t>The transcript was received on March 16, 2016 and consisted of 175 pages of transcribed testimony.  The record closed when the transcript was received.  This matter is ripe for decision.</w:t>
      </w:r>
    </w:p>
    <w:p w:rsidR="00AA5F9A" w:rsidRPr="00270C7A" w:rsidRDefault="00AA5F9A" w:rsidP="00270C7A">
      <w:pPr>
        <w:tabs>
          <w:tab w:val="left" w:pos="-1440"/>
          <w:tab w:val="left" w:pos="-720"/>
        </w:tabs>
        <w:suppressAutoHyphens/>
        <w:spacing w:line="360" w:lineRule="auto"/>
      </w:pPr>
    </w:p>
    <w:p w:rsidR="00AA5F9A" w:rsidRPr="00270C7A" w:rsidRDefault="00AA5F9A" w:rsidP="00270C7A">
      <w:pPr>
        <w:tabs>
          <w:tab w:val="left" w:pos="-1440"/>
          <w:tab w:val="left" w:pos="-720"/>
        </w:tabs>
        <w:suppressAutoHyphens/>
        <w:spacing w:line="360" w:lineRule="auto"/>
        <w:jc w:val="center"/>
        <w:rPr>
          <w:u w:val="single"/>
        </w:rPr>
      </w:pPr>
      <w:r w:rsidRPr="00270C7A">
        <w:rPr>
          <w:u w:val="single"/>
        </w:rPr>
        <w:t>STIPULATION</w:t>
      </w:r>
    </w:p>
    <w:p w:rsidR="00E76D1E" w:rsidRPr="00270C7A" w:rsidRDefault="00E76D1E" w:rsidP="00270C7A"/>
    <w:p w:rsidR="000A02A6" w:rsidRPr="00270C7A" w:rsidRDefault="00AA5F9A" w:rsidP="00270C7A">
      <w:pPr>
        <w:pStyle w:val="ListParagraph"/>
        <w:numPr>
          <w:ilvl w:val="0"/>
          <w:numId w:val="41"/>
        </w:numPr>
        <w:tabs>
          <w:tab w:val="left" w:pos="-180"/>
        </w:tabs>
        <w:spacing w:line="360" w:lineRule="auto"/>
        <w:ind w:left="0" w:firstLine="1440"/>
      </w:pPr>
      <w:r w:rsidRPr="00270C7A">
        <w:t xml:space="preserve">PGW agrees that the Complainant </w:t>
      </w:r>
      <w:r w:rsidR="005265BE" w:rsidRPr="00270C7A">
        <w:t xml:space="preserve">has </w:t>
      </w:r>
      <w:r w:rsidRPr="00270C7A">
        <w:t>ma</w:t>
      </w:r>
      <w:r w:rsidR="005265BE" w:rsidRPr="00270C7A">
        <w:t>d</w:t>
      </w:r>
      <w:r w:rsidRPr="00270C7A">
        <w:t xml:space="preserve">e monthly payments of $78.39 since </w:t>
      </w:r>
      <w:r w:rsidR="005265BE" w:rsidRPr="00270C7A">
        <w:t xml:space="preserve">she </w:t>
      </w:r>
      <w:r w:rsidRPr="00270C7A">
        <w:t>enrolled in CRP on July 1, 2015.</w:t>
      </w:r>
      <w:r w:rsidR="00766990" w:rsidRPr="00270C7A">
        <w:t xml:space="preserve">  Tr. 46-47</w:t>
      </w:r>
      <w:r w:rsidR="000A02A6" w:rsidRPr="00270C7A">
        <w:t>.</w:t>
      </w:r>
    </w:p>
    <w:p w:rsidR="000A02A6" w:rsidRPr="00270C7A" w:rsidRDefault="000A02A6" w:rsidP="00270C7A">
      <w:pPr>
        <w:tabs>
          <w:tab w:val="left" w:pos="-180"/>
        </w:tabs>
        <w:spacing w:line="360" w:lineRule="auto"/>
        <w:ind w:left="1440"/>
      </w:pPr>
    </w:p>
    <w:p w:rsidR="00AA5F9A" w:rsidRPr="00270C7A" w:rsidRDefault="000A02A6" w:rsidP="00270C7A">
      <w:pPr>
        <w:pStyle w:val="ListParagraph"/>
        <w:numPr>
          <w:ilvl w:val="0"/>
          <w:numId w:val="41"/>
        </w:numPr>
        <w:tabs>
          <w:tab w:val="left" w:pos="-180"/>
        </w:tabs>
        <w:spacing w:line="360" w:lineRule="auto"/>
        <w:ind w:left="0" w:firstLine="1440"/>
      </w:pPr>
      <w:r w:rsidRPr="00270C7A">
        <w:t>PGW will waive the meter testing fee.  Tr. 108-14.</w:t>
      </w:r>
      <w:r w:rsidR="00766990" w:rsidRPr="00270C7A">
        <w:t xml:space="preserve"> </w:t>
      </w:r>
    </w:p>
    <w:p w:rsidR="00766990" w:rsidRPr="00270C7A" w:rsidRDefault="00766990" w:rsidP="00270C7A">
      <w:pPr>
        <w:tabs>
          <w:tab w:val="left" w:pos="-180"/>
        </w:tabs>
        <w:spacing w:line="360" w:lineRule="auto"/>
        <w:ind w:left="1080"/>
      </w:pPr>
    </w:p>
    <w:p w:rsidR="00CD6D25" w:rsidRPr="00270C7A" w:rsidRDefault="00CD6D25" w:rsidP="00270C7A">
      <w:pPr>
        <w:spacing w:line="360" w:lineRule="auto"/>
        <w:jc w:val="center"/>
        <w:rPr>
          <w:u w:val="single"/>
        </w:rPr>
      </w:pPr>
      <w:r w:rsidRPr="00270C7A">
        <w:rPr>
          <w:u w:val="single"/>
        </w:rPr>
        <w:t>FINDINGS OF FACT</w:t>
      </w:r>
    </w:p>
    <w:p w:rsidR="00CD6D25" w:rsidRPr="00270C7A" w:rsidRDefault="00CD6D25" w:rsidP="00270C7A">
      <w:pPr>
        <w:spacing w:line="360" w:lineRule="auto"/>
        <w:jc w:val="center"/>
        <w:rPr>
          <w:u w:val="single"/>
        </w:rPr>
      </w:pPr>
    </w:p>
    <w:p w:rsidR="00CD6D25" w:rsidRPr="00270C7A" w:rsidRDefault="00CD6D25" w:rsidP="00270C7A">
      <w:pPr>
        <w:numPr>
          <w:ilvl w:val="0"/>
          <w:numId w:val="30"/>
        </w:numPr>
        <w:spacing w:line="360" w:lineRule="auto"/>
        <w:ind w:left="0" w:firstLine="1440"/>
      </w:pPr>
      <w:r w:rsidRPr="00270C7A">
        <w:t xml:space="preserve">The Complainant is </w:t>
      </w:r>
      <w:r w:rsidR="00556CAC" w:rsidRPr="00270C7A">
        <w:t>Lachele Logan</w:t>
      </w:r>
      <w:r w:rsidR="00137B13" w:rsidRPr="00270C7A">
        <w:t xml:space="preserve"> </w:t>
      </w:r>
      <w:r w:rsidR="00C32B1B" w:rsidRPr="00270C7A">
        <w:t xml:space="preserve">who </w:t>
      </w:r>
      <w:r w:rsidR="009303CF" w:rsidRPr="00270C7A">
        <w:t>resides and</w:t>
      </w:r>
      <w:r w:rsidR="00C32B1B" w:rsidRPr="00270C7A">
        <w:t xml:space="preserve"> a</w:t>
      </w:r>
      <w:r w:rsidR="009303CF" w:rsidRPr="00270C7A">
        <w:t>ccepts</w:t>
      </w:r>
      <w:r w:rsidRPr="00270C7A">
        <w:t xml:space="preserve"> </w:t>
      </w:r>
      <w:r w:rsidR="00AE037B" w:rsidRPr="00270C7A">
        <w:t>r</w:t>
      </w:r>
      <w:r w:rsidR="002972AC" w:rsidRPr="00270C7A">
        <w:t>es</w:t>
      </w:r>
      <w:r w:rsidR="0072063F" w:rsidRPr="00270C7A">
        <w:t>ponsibility for the res</w:t>
      </w:r>
      <w:r w:rsidR="002972AC" w:rsidRPr="00270C7A">
        <w:t xml:space="preserve">idential </w:t>
      </w:r>
      <w:r w:rsidR="00AA5F9A" w:rsidRPr="00270C7A">
        <w:t>gas</w:t>
      </w:r>
      <w:r w:rsidR="002972AC" w:rsidRPr="00270C7A">
        <w:t xml:space="preserve"> </w:t>
      </w:r>
      <w:r w:rsidR="00AE037B" w:rsidRPr="00270C7A">
        <w:t xml:space="preserve">service </w:t>
      </w:r>
      <w:r w:rsidRPr="00270C7A">
        <w:t xml:space="preserve">at </w:t>
      </w:r>
      <w:r w:rsidR="00AA5F9A" w:rsidRPr="00270C7A">
        <w:t xml:space="preserve">2660 North </w:t>
      </w:r>
      <w:r w:rsidR="0072063F" w:rsidRPr="00270C7A">
        <w:t>3</w:t>
      </w:r>
      <w:r w:rsidR="00AA5F9A" w:rsidRPr="00270C7A">
        <w:t>1</w:t>
      </w:r>
      <w:r w:rsidR="00AA5F9A" w:rsidRPr="00270C7A">
        <w:rPr>
          <w:vertAlign w:val="superscript"/>
        </w:rPr>
        <w:t>st</w:t>
      </w:r>
      <w:r w:rsidR="00AA5F9A" w:rsidRPr="00270C7A">
        <w:t xml:space="preserve"> Street</w:t>
      </w:r>
      <w:r w:rsidRPr="00270C7A">
        <w:t xml:space="preserve">, </w:t>
      </w:r>
      <w:r w:rsidR="0072063F" w:rsidRPr="00270C7A">
        <w:t>Philadelphia</w:t>
      </w:r>
      <w:r w:rsidRPr="00270C7A">
        <w:t xml:space="preserve">, Pennsylvania (service address).  Tr. </w:t>
      </w:r>
      <w:r w:rsidR="0072063F" w:rsidRPr="00270C7A">
        <w:t>5</w:t>
      </w:r>
      <w:r w:rsidR="009F5756" w:rsidRPr="00270C7A">
        <w:t>8</w:t>
      </w:r>
      <w:r w:rsidR="00AA5F9A" w:rsidRPr="00270C7A">
        <w:t>-59</w:t>
      </w:r>
      <w:r w:rsidRPr="00270C7A">
        <w:t>.</w:t>
      </w:r>
    </w:p>
    <w:p w:rsidR="00CE60DD" w:rsidRPr="00270C7A" w:rsidRDefault="00CE60DD" w:rsidP="00270C7A">
      <w:pPr>
        <w:spacing w:line="360" w:lineRule="auto"/>
        <w:ind w:left="720"/>
      </w:pPr>
    </w:p>
    <w:p w:rsidR="00CE60DD" w:rsidRPr="00270C7A" w:rsidRDefault="00CE60DD" w:rsidP="00270C7A">
      <w:pPr>
        <w:numPr>
          <w:ilvl w:val="0"/>
          <w:numId w:val="30"/>
        </w:numPr>
        <w:spacing w:line="360" w:lineRule="auto"/>
        <w:ind w:left="0" w:firstLine="1440"/>
      </w:pPr>
      <w:r w:rsidRPr="00270C7A">
        <w:t>The Respondent is P</w:t>
      </w:r>
      <w:r w:rsidR="00AA5F9A" w:rsidRPr="00270C7A">
        <w:t>hiladelphia Gas Works</w:t>
      </w:r>
      <w:r w:rsidRPr="00270C7A">
        <w:t>.</w:t>
      </w:r>
    </w:p>
    <w:p w:rsidR="009D178A" w:rsidRPr="00270C7A" w:rsidRDefault="0051026F" w:rsidP="00270C7A">
      <w:pPr>
        <w:numPr>
          <w:ilvl w:val="0"/>
          <w:numId w:val="30"/>
        </w:numPr>
        <w:spacing w:line="360" w:lineRule="auto"/>
        <w:ind w:left="0" w:firstLine="1440"/>
      </w:pPr>
      <w:r w:rsidRPr="00270C7A">
        <w:lastRenderedPageBreak/>
        <w:t xml:space="preserve">The </w:t>
      </w:r>
      <w:r w:rsidR="0072063F" w:rsidRPr="00270C7A">
        <w:t>Complainant</w:t>
      </w:r>
      <w:r w:rsidR="00AA5F9A" w:rsidRPr="00270C7A">
        <w:t xml:space="preserve"> is currently enrolled in CRP and has a payment arrangement for her gas service with terms of </w:t>
      </w:r>
      <w:r w:rsidR="00B417D4">
        <w:t>$</w:t>
      </w:r>
      <w:r w:rsidR="00AA5F9A" w:rsidRPr="00270C7A">
        <w:t xml:space="preserve">67.95 monthly payment plus $5.00 towards arrears for a total monthly payment of $72.95 over a period of six months.  Tr. 59, 60, </w:t>
      </w:r>
      <w:r w:rsidRPr="00270C7A">
        <w:t xml:space="preserve">76-77, </w:t>
      </w:r>
      <w:r w:rsidR="00DB2DB6" w:rsidRPr="00270C7A">
        <w:t xml:space="preserve">80, </w:t>
      </w:r>
      <w:r w:rsidR="00AA5F9A" w:rsidRPr="00270C7A">
        <w:t>Complainant Exhibit</w:t>
      </w:r>
      <w:r w:rsidR="005157DB" w:rsidRPr="00270C7A">
        <w:t>s</w:t>
      </w:r>
      <w:r w:rsidR="00AA5F9A" w:rsidRPr="00270C7A">
        <w:t xml:space="preserve"> 2</w:t>
      </w:r>
      <w:r w:rsidRPr="00270C7A">
        <w:t>,</w:t>
      </w:r>
      <w:r w:rsidR="005157DB" w:rsidRPr="00270C7A">
        <w:t xml:space="preserve"> 5,</w:t>
      </w:r>
      <w:r w:rsidRPr="00270C7A">
        <w:t xml:space="preserve"> PGW Exhibit</w:t>
      </w:r>
      <w:r w:rsidR="00DB2DB6" w:rsidRPr="00270C7A">
        <w:t>s</w:t>
      </w:r>
      <w:r w:rsidRPr="00270C7A">
        <w:t xml:space="preserve"> 1</w:t>
      </w:r>
      <w:r w:rsidR="00DB2DB6" w:rsidRPr="00270C7A">
        <w:t>, 4</w:t>
      </w:r>
      <w:r w:rsidR="005157DB" w:rsidRPr="00270C7A">
        <w:t>.</w:t>
      </w:r>
    </w:p>
    <w:p w:rsidR="005157DB" w:rsidRPr="00270C7A" w:rsidRDefault="005157DB" w:rsidP="00270C7A">
      <w:pPr>
        <w:pStyle w:val="ListParagraph"/>
      </w:pPr>
    </w:p>
    <w:p w:rsidR="005157DB" w:rsidRPr="00270C7A" w:rsidRDefault="005A46FE" w:rsidP="00270C7A">
      <w:pPr>
        <w:numPr>
          <w:ilvl w:val="0"/>
          <w:numId w:val="30"/>
        </w:numPr>
        <w:spacing w:line="360" w:lineRule="auto"/>
        <w:ind w:left="0" w:firstLine="1440"/>
      </w:pPr>
      <w:r>
        <w:t xml:space="preserve">The </w:t>
      </w:r>
      <w:r w:rsidR="005157DB" w:rsidRPr="00270C7A">
        <w:t>Complainan</w:t>
      </w:r>
      <w:r>
        <w:t>t’s</w:t>
      </w:r>
      <w:r w:rsidR="005157DB" w:rsidRPr="00270C7A">
        <w:t xml:space="preserve"> arrearage was $1,757.26 when she enrolled in CRP.  Tr. 80, PGW Exhibit 5.</w:t>
      </w:r>
    </w:p>
    <w:p w:rsidR="00891B53" w:rsidRPr="00270C7A" w:rsidRDefault="00891B53" w:rsidP="00270C7A">
      <w:pPr>
        <w:pStyle w:val="ListParagraph"/>
      </w:pPr>
    </w:p>
    <w:p w:rsidR="00891B53" w:rsidRPr="00270C7A" w:rsidRDefault="0051026F" w:rsidP="00270C7A">
      <w:pPr>
        <w:numPr>
          <w:ilvl w:val="0"/>
          <w:numId w:val="30"/>
        </w:numPr>
        <w:spacing w:line="360" w:lineRule="auto"/>
        <w:ind w:left="0" w:firstLine="1440"/>
      </w:pPr>
      <w:r w:rsidRPr="00270C7A">
        <w:t xml:space="preserve">The </w:t>
      </w:r>
      <w:r w:rsidR="00891B53" w:rsidRPr="00270C7A">
        <w:t>Complainant</w:t>
      </w:r>
      <w:r w:rsidR="00AA5F9A" w:rsidRPr="00270C7A">
        <w:t xml:space="preserve"> mad</w:t>
      </w:r>
      <w:r w:rsidR="005265BE" w:rsidRPr="00270C7A">
        <w:t>e</w:t>
      </w:r>
      <w:r w:rsidR="00AA5F9A" w:rsidRPr="00270C7A">
        <w:t xml:space="preserve"> a payment in the amount of $432.21 on July 1, 2015 to enroll in CRP.  Tr. 59</w:t>
      </w:r>
      <w:r w:rsidR="00441F85" w:rsidRPr="00270C7A">
        <w:t>, 75, PGW Exhibit 1</w:t>
      </w:r>
      <w:r w:rsidR="00AA5F9A" w:rsidRPr="00270C7A">
        <w:t>.</w:t>
      </w:r>
    </w:p>
    <w:p w:rsidR="00891B53" w:rsidRPr="00270C7A" w:rsidRDefault="00891B53" w:rsidP="00270C7A">
      <w:pPr>
        <w:pStyle w:val="ListParagraph"/>
      </w:pPr>
    </w:p>
    <w:p w:rsidR="0073682C" w:rsidRPr="00270C7A" w:rsidRDefault="0051026F" w:rsidP="00270C7A">
      <w:pPr>
        <w:numPr>
          <w:ilvl w:val="0"/>
          <w:numId w:val="30"/>
        </w:numPr>
        <w:spacing w:line="360" w:lineRule="auto"/>
        <w:ind w:left="0" w:firstLine="1440"/>
      </w:pPr>
      <w:r w:rsidRPr="00270C7A">
        <w:t xml:space="preserve">The </w:t>
      </w:r>
      <w:r w:rsidR="00891B53" w:rsidRPr="00270C7A">
        <w:t xml:space="preserve">Complainant </w:t>
      </w:r>
      <w:r w:rsidR="0073682C" w:rsidRPr="00270C7A">
        <w:t>paid to Respondent $7</w:t>
      </w:r>
      <w:r w:rsidR="005A46FE">
        <w:t>8.39 on December 14, 2015.  Tr. </w:t>
      </w:r>
      <w:r w:rsidR="0073682C" w:rsidRPr="00270C7A">
        <w:t>64, Complainant Exhibit 6.</w:t>
      </w:r>
    </w:p>
    <w:p w:rsidR="0073682C" w:rsidRPr="00270C7A" w:rsidRDefault="0073682C" w:rsidP="00270C7A">
      <w:pPr>
        <w:pStyle w:val="ListParagraph"/>
      </w:pPr>
    </w:p>
    <w:p w:rsidR="0073682C" w:rsidRPr="00270C7A" w:rsidRDefault="0051026F" w:rsidP="00270C7A">
      <w:pPr>
        <w:numPr>
          <w:ilvl w:val="0"/>
          <w:numId w:val="30"/>
        </w:numPr>
        <w:spacing w:line="360" w:lineRule="auto"/>
        <w:ind w:left="0" w:firstLine="1440"/>
      </w:pPr>
      <w:r w:rsidRPr="00270C7A">
        <w:t xml:space="preserve">The </w:t>
      </w:r>
      <w:r w:rsidR="0073682C" w:rsidRPr="00270C7A">
        <w:t>Complainant is the sole owner and only occupant at the service address.  Tr. 66</w:t>
      </w:r>
      <w:r w:rsidR="00B20AD5" w:rsidRPr="00270C7A">
        <w:t>, 68</w:t>
      </w:r>
      <w:r w:rsidR="0073682C" w:rsidRPr="00270C7A">
        <w:t>.</w:t>
      </w:r>
    </w:p>
    <w:p w:rsidR="00B20AD5" w:rsidRPr="00270C7A" w:rsidRDefault="00B20AD5" w:rsidP="00270C7A">
      <w:pPr>
        <w:pStyle w:val="ListParagraph"/>
      </w:pPr>
    </w:p>
    <w:p w:rsidR="00B20AD5" w:rsidRPr="00270C7A" w:rsidRDefault="00B20AD5" w:rsidP="00270C7A">
      <w:pPr>
        <w:numPr>
          <w:ilvl w:val="0"/>
          <w:numId w:val="30"/>
        </w:numPr>
        <w:spacing w:line="360" w:lineRule="auto"/>
        <w:ind w:left="0" w:firstLine="1440"/>
      </w:pPr>
      <w:r w:rsidRPr="00270C7A">
        <w:t>The service address was not always a single-family dwelling, because it once was two apartments.  Tr. 68.</w:t>
      </w:r>
    </w:p>
    <w:p w:rsidR="00B20AD5" w:rsidRPr="00270C7A" w:rsidRDefault="00B20AD5" w:rsidP="00270C7A">
      <w:pPr>
        <w:pStyle w:val="ListParagraph"/>
      </w:pPr>
    </w:p>
    <w:p w:rsidR="00B20AD5" w:rsidRPr="00270C7A" w:rsidRDefault="0051026F" w:rsidP="00270C7A">
      <w:pPr>
        <w:numPr>
          <w:ilvl w:val="0"/>
          <w:numId w:val="30"/>
        </w:numPr>
        <w:spacing w:line="360" w:lineRule="auto"/>
        <w:ind w:left="0" w:firstLine="1440"/>
      </w:pPr>
      <w:r w:rsidRPr="00270C7A">
        <w:t xml:space="preserve">The </w:t>
      </w:r>
      <w:r w:rsidR="00B20AD5" w:rsidRPr="00270C7A">
        <w:t>Complainant inherited the service address when her mother passed away in 2006</w:t>
      </w:r>
      <w:r w:rsidRPr="00270C7A">
        <w:t>, but there were still two meters at the property</w:t>
      </w:r>
      <w:r w:rsidR="00B20AD5" w:rsidRPr="00270C7A">
        <w:t>.  Tr. 68-69.</w:t>
      </w:r>
    </w:p>
    <w:p w:rsidR="0051026F" w:rsidRPr="00270C7A" w:rsidRDefault="0051026F" w:rsidP="00270C7A">
      <w:pPr>
        <w:pStyle w:val="ListParagraph"/>
      </w:pPr>
    </w:p>
    <w:p w:rsidR="0051026F" w:rsidRPr="00270C7A" w:rsidRDefault="0051026F" w:rsidP="00270C7A">
      <w:pPr>
        <w:numPr>
          <w:ilvl w:val="0"/>
          <w:numId w:val="30"/>
        </w:numPr>
        <w:spacing w:line="360" w:lineRule="auto"/>
        <w:ind w:left="0" w:firstLine="1440"/>
      </w:pPr>
      <w:r w:rsidRPr="00270C7A">
        <w:t xml:space="preserve">When there </w:t>
      </w:r>
      <w:r w:rsidR="00E5241B" w:rsidRPr="00270C7A">
        <w:t xml:space="preserve">is more than one account for service in </w:t>
      </w:r>
      <w:r w:rsidRPr="00270C7A">
        <w:t>a customer’s name</w:t>
      </w:r>
      <w:r w:rsidR="00E5241B" w:rsidRPr="00270C7A">
        <w:t xml:space="preserve"> with separate meters</w:t>
      </w:r>
      <w:r w:rsidRPr="00270C7A">
        <w:t>, the</w:t>
      </w:r>
      <w:r w:rsidR="00E5241B" w:rsidRPr="00270C7A">
        <w:t xml:space="preserve">re is a tax </w:t>
      </w:r>
      <w:r w:rsidR="00582AF3" w:rsidRPr="00270C7A">
        <w:t>assess</w:t>
      </w:r>
      <w:r w:rsidR="00E5241B" w:rsidRPr="00270C7A">
        <w:t xml:space="preserve">ed </w:t>
      </w:r>
      <w:r w:rsidRPr="00270C7A">
        <w:t>by both the city and state</w:t>
      </w:r>
      <w:r w:rsidR="00E5241B" w:rsidRPr="00270C7A">
        <w:t xml:space="preserve"> for the additional meter</w:t>
      </w:r>
      <w:r w:rsidRPr="00270C7A">
        <w:t>.  Tr. 77</w:t>
      </w:r>
      <w:r w:rsidR="00E5241B" w:rsidRPr="00270C7A">
        <w:t>, 85</w:t>
      </w:r>
      <w:r w:rsidRPr="00270C7A">
        <w:t>.</w:t>
      </w:r>
    </w:p>
    <w:p w:rsidR="0051026F" w:rsidRPr="00270C7A" w:rsidRDefault="0051026F" w:rsidP="00270C7A">
      <w:pPr>
        <w:pStyle w:val="ListParagraph"/>
      </w:pPr>
    </w:p>
    <w:p w:rsidR="0051026F" w:rsidRPr="00270C7A" w:rsidRDefault="0051026F" w:rsidP="00270C7A">
      <w:pPr>
        <w:numPr>
          <w:ilvl w:val="0"/>
          <w:numId w:val="30"/>
        </w:numPr>
        <w:spacing w:line="360" w:lineRule="auto"/>
        <w:ind w:left="0" w:firstLine="1440"/>
      </w:pPr>
      <w:r w:rsidRPr="00270C7A">
        <w:t xml:space="preserve">When the meter was removed, the </w:t>
      </w:r>
      <w:r w:rsidR="00582AF3" w:rsidRPr="00270C7A">
        <w:t>Complainant</w:t>
      </w:r>
      <w:r w:rsidRPr="00270C7A">
        <w:t>’s account was still taxed, because the meter that was removed corresponded to the account that was not taxed.  Tr. 77.</w:t>
      </w:r>
    </w:p>
    <w:p w:rsidR="0051026F" w:rsidRPr="00270C7A" w:rsidRDefault="0051026F" w:rsidP="00270C7A">
      <w:pPr>
        <w:pStyle w:val="ListParagraph"/>
      </w:pPr>
    </w:p>
    <w:p w:rsidR="007F1E91" w:rsidRPr="00270C7A" w:rsidRDefault="0051026F" w:rsidP="00270C7A">
      <w:pPr>
        <w:numPr>
          <w:ilvl w:val="0"/>
          <w:numId w:val="30"/>
        </w:numPr>
        <w:spacing w:line="360" w:lineRule="auto"/>
        <w:ind w:left="0" w:firstLine="1440"/>
      </w:pPr>
      <w:r w:rsidRPr="00270C7A">
        <w:t xml:space="preserve">The </w:t>
      </w:r>
      <w:r w:rsidR="007F1E91" w:rsidRPr="00270C7A">
        <w:t>taxes are $0.68 per month city tax and $4.76 per month state tax, which adds to the sum of ($0.68 + $4.76 = $5.44) $5.44 and causes the monthly payment to be $67.95 plus $5.44 ($67.95 + $5.44 = $73.39) $73.39 plus $5.00 towards arrears.  Tr. 77-78.</w:t>
      </w:r>
    </w:p>
    <w:p w:rsidR="00E5241B" w:rsidRPr="00270C7A" w:rsidRDefault="00E5241B" w:rsidP="00270C7A">
      <w:pPr>
        <w:pStyle w:val="ListParagraph"/>
      </w:pPr>
    </w:p>
    <w:p w:rsidR="0051026F" w:rsidRPr="00270C7A" w:rsidRDefault="007F1E91" w:rsidP="00270C7A">
      <w:pPr>
        <w:numPr>
          <w:ilvl w:val="0"/>
          <w:numId w:val="30"/>
        </w:numPr>
        <w:spacing w:line="360" w:lineRule="auto"/>
        <w:ind w:left="0" w:firstLine="1440"/>
      </w:pPr>
      <w:r w:rsidRPr="00270C7A">
        <w:lastRenderedPageBreak/>
        <w:t xml:space="preserve">When the Respondent is made aware that there has been a change in circumstance such that the taxes should no longer be </w:t>
      </w:r>
      <w:r w:rsidR="00582AF3" w:rsidRPr="00270C7A">
        <w:t>assess</w:t>
      </w:r>
      <w:r w:rsidRPr="00270C7A">
        <w:t xml:space="preserve">ed, the Respondent’s dispute resolution unit (DRU) is contacted and the DRU directs that </w:t>
      </w:r>
      <w:r w:rsidR="000B7D81">
        <w:t xml:space="preserve">the </w:t>
      </w:r>
      <w:r w:rsidRPr="00270C7A">
        <w:t>customer take</w:t>
      </w:r>
      <w:r w:rsidR="00582AF3" w:rsidRPr="00270C7A">
        <w:t xml:space="preserve"> steps</w:t>
      </w:r>
      <w:r w:rsidRPr="00270C7A">
        <w:t xml:space="preserve"> to obtain the refund from the taxes charged</w:t>
      </w:r>
      <w:r w:rsidR="00FD5E87" w:rsidRPr="00270C7A">
        <w:t xml:space="preserve"> by the city, the customer must petition the state to obtain a refund from the state</w:t>
      </w:r>
      <w:r w:rsidRPr="00270C7A">
        <w:t xml:space="preserve">.  Tr. 78. </w:t>
      </w:r>
    </w:p>
    <w:p w:rsidR="00B20AD5" w:rsidRPr="00270C7A" w:rsidRDefault="00B20AD5" w:rsidP="00270C7A">
      <w:pPr>
        <w:pStyle w:val="ListParagraph"/>
      </w:pPr>
    </w:p>
    <w:p w:rsidR="00B20AD5" w:rsidRPr="00270C7A" w:rsidRDefault="00B20AD5" w:rsidP="00270C7A">
      <w:pPr>
        <w:numPr>
          <w:ilvl w:val="0"/>
          <w:numId w:val="30"/>
        </w:numPr>
        <w:spacing w:line="360" w:lineRule="auto"/>
        <w:ind w:left="0" w:firstLine="1440"/>
      </w:pPr>
      <w:r w:rsidRPr="00270C7A">
        <w:t xml:space="preserve">In 2006, </w:t>
      </w:r>
      <w:r w:rsidR="0051026F" w:rsidRPr="00270C7A">
        <w:t xml:space="preserve">the </w:t>
      </w:r>
      <w:r w:rsidR="005A39CD" w:rsidRPr="00270C7A">
        <w:t xml:space="preserve">Respondent told </w:t>
      </w:r>
      <w:r w:rsidR="0051026F" w:rsidRPr="00270C7A">
        <w:t xml:space="preserve">the </w:t>
      </w:r>
      <w:r w:rsidRPr="00270C7A">
        <w:t>Complainant to combine the two meters into one for a single-family dwelling and to become eligible for CRP.  Tr. 69.</w:t>
      </w:r>
    </w:p>
    <w:p w:rsidR="00E5241B" w:rsidRPr="00270C7A" w:rsidRDefault="00E5241B" w:rsidP="00270C7A">
      <w:pPr>
        <w:pStyle w:val="ListParagraph"/>
      </w:pPr>
    </w:p>
    <w:p w:rsidR="00E5241B" w:rsidRPr="00270C7A" w:rsidRDefault="00E5241B" w:rsidP="00270C7A">
      <w:pPr>
        <w:numPr>
          <w:ilvl w:val="0"/>
          <w:numId w:val="30"/>
        </w:numPr>
        <w:spacing w:line="360" w:lineRule="auto"/>
        <w:ind w:left="0" w:firstLine="1440"/>
      </w:pPr>
      <w:r w:rsidRPr="00270C7A">
        <w:t xml:space="preserve">Complainant </w:t>
      </w:r>
      <w:r w:rsidR="00E74AA7" w:rsidRPr="00270C7A">
        <w:t>h</w:t>
      </w:r>
      <w:r w:rsidRPr="00270C7A">
        <w:t>as</w:t>
      </w:r>
      <w:r w:rsidR="00E74AA7" w:rsidRPr="00270C7A">
        <w:t xml:space="preserve"> been</w:t>
      </w:r>
      <w:r w:rsidRPr="00270C7A">
        <w:t xml:space="preserve"> </w:t>
      </w:r>
      <w:r w:rsidR="0019029B" w:rsidRPr="00270C7A">
        <w:t xml:space="preserve">assessed city and state </w:t>
      </w:r>
      <w:r w:rsidRPr="00270C7A">
        <w:t>taxe</w:t>
      </w:r>
      <w:r w:rsidR="0019029B" w:rsidRPr="00270C7A">
        <w:t>s</w:t>
      </w:r>
      <w:r w:rsidRPr="00270C7A">
        <w:t xml:space="preserve"> </w:t>
      </w:r>
      <w:r w:rsidR="0019029B" w:rsidRPr="00270C7A">
        <w:t>on her service account in error</w:t>
      </w:r>
      <w:r w:rsidRPr="00270C7A">
        <w:t>.  Tr. 8</w:t>
      </w:r>
      <w:r w:rsidR="0019029B" w:rsidRPr="00270C7A">
        <w:t>5-8</w:t>
      </w:r>
      <w:r w:rsidRPr="00270C7A">
        <w:t>7.</w:t>
      </w:r>
    </w:p>
    <w:p w:rsidR="0088742C" w:rsidRPr="00270C7A" w:rsidRDefault="0088742C" w:rsidP="00270C7A">
      <w:pPr>
        <w:pStyle w:val="ListParagraph"/>
      </w:pPr>
    </w:p>
    <w:p w:rsidR="0088742C" w:rsidRPr="00270C7A" w:rsidRDefault="0088742C" w:rsidP="00270C7A">
      <w:pPr>
        <w:numPr>
          <w:ilvl w:val="0"/>
          <w:numId w:val="30"/>
        </w:numPr>
        <w:spacing w:line="360" w:lineRule="auto"/>
        <w:ind w:left="0" w:firstLine="1440"/>
      </w:pPr>
      <w:r w:rsidRPr="00270C7A">
        <w:t xml:space="preserve">The Complainant is due a refund </w:t>
      </w:r>
      <w:r w:rsidR="00FF7A58" w:rsidRPr="00270C7A">
        <w:t>because she was assessed</w:t>
      </w:r>
      <w:r w:rsidRPr="00270C7A">
        <w:t xml:space="preserve"> city and state taxes on her service account in error.  Tr.  118-29, PGW Exhibit 8.</w:t>
      </w:r>
    </w:p>
    <w:p w:rsidR="00B20AD5" w:rsidRPr="00270C7A" w:rsidRDefault="00B20AD5" w:rsidP="00270C7A">
      <w:pPr>
        <w:pStyle w:val="ListParagraph"/>
      </w:pPr>
    </w:p>
    <w:p w:rsidR="00B20AD5" w:rsidRPr="00270C7A" w:rsidRDefault="0051026F" w:rsidP="00270C7A">
      <w:pPr>
        <w:numPr>
          <w:ilvl w:val="0"/>
          <w:numId w:val="30"/>
        </w:numPr>
        <w:spacing w:line="360" w:lineRule="auto"/>
        <w:ind w:left="0" w:firstLine="1440"/>
      </w:pPr>
      <w:r w:rsidRPr="00270C7A">
        <w:t xml:space="preserve">The </w:t>
      </w:r>
      <w:r w:rsidR="005A39CD" w:rsidRPr="00270C7A">
        <w:t xml:space="preserve">Complainant was not aware that </w:t>
      </w:r>
      <w:r w:rsidR="00FD5E87" w:rsidRPr="00270C7A">
        <w:t xml:space="preserve">she </w:t>
      </w:r>
      <w:r w:rsidR="005A39CD" w:rsidRPr="00270C7A">
        <w:t>had to pay taxes on one of the accounts</w:t>
      </w:r>
      <w:r w:rsidR="00E74AA7" w:rsidRPr="00270C7A">
        <w:t xml:space="preserve"> when two meters existed at the service address</w:t>
      </w:r>
      <w:r w:rsidR="005A39CD" w:rsidRPr="00270C7A">
        <w:t>.  Tr. 69.</w:t>
      </w:r>
    </w:p>
    <w:p w:rsidR="00E74AA7" w:rsidRPr="00270C7A" w:rsidRDefault="00E74AA7" w:rsidP="00270C7A">
      <w:pPr>
        <w:pStyle w:val="ListParagraph"/>
      </w:pPr>
    </w:p>
    <w:p w:rsidR="00FD5E87" w:rsidRPr="00270C7A" w:rsidRDefault="00FD5E87" w:rsidP="00270C7A">
      <w:pPr>
        <w:numPr>
          <w:ilvl w:val="0"/>
          <w:numId w:val="30"/>
        </w:numPr>
        <w:spacing w:line="360" w:lineRule="auto"/>
        <w:ind w:left="0" w:firstLine="1440"/>
      </w:pPr>
      <w:r w:rsidRPr="00270C7A">
        <w:t>The Respondent will change the code on the Complainant’s account so that her account will no longer be assessed city and state taxes.  Tr. 79</w:t>
      </w:r>
      <w:r w:rsidR="00E74AA7" w:rsidRPr="00270C7A">
        <w:t>, 87, 89</w:t>
      </w:r>
      <w:r w:rsidRPr="00270C7A">
        <w:t>.</w:t>
      </w:r>
    </w:p>
    <w:p w:rsidR="00FD5E87" w:rsidRPr="00270C7A" w:rsidRDefault="00FD5E87" w:rsidP="00270C7A">
      <w:pPr>
        <w:pStyle w:val="ListParagraph"/>
      </w:pPr>
    </w:p>
    <w:p w:rsidR="0029444D" w:rsidRPr="00270C7A" w:rsidRDefault="0029444D" w:rsidP="00270C7A">
      <w:pPr>
        <w:numPr>
          <w:ilvl w:val="0"/>
          <w:numId w:val="30"/>
        </w:numPr>
        <w:spacing w:line="360" w:lineRule="auto"/>
        <w:ind w:left="0" w:firstLine="1440"/>
      </w:pPr>
      <w:r w:rsidRPr="00270C7A">
        <w:t>The Complainant’s gas service has not been terminated.  Tr. 83, PGW Exhibit 3.</w:t>
      </w:r>
    </w:p>
    <w:p w:rsidR="0073682C" w:rsidRPr="00270C7A" w:rsidRDefault="0073682C" w:rsidP="00270C7A">
      <w:pPr>
        <w:pStyle w:val="ListParagraph"/>
      </w:pPr>
    </w:p>
    <w:p w:rsidR="0073682C" w:rsidRPr="00270C7A" w:rsidRDefault="0051026F" w:rsidP="00270C7A">
      <w:pPr>
        <w:numPr>
          <w:ilvl w:val="0"/>
          <w:numId w:val="30"/>
        </w:numPr>
        <w:spacing w:line="360" w:lineRule="auto"/>
        <w:ind w:left="0" w:firstLine="1440"/>
      </w:pPr>
      <w:r w:rsidRPr="00270C7A">
        <w:t xml:space="preserve">The </w:t>
      </w:r>
      <w:r w:rsidR="0073682C" w:rsidRPr="00270C7A">
        <w:t>Complainant’s gross monthly income is $755.10 from social security and contributions from the state.  Tr. 66-67.</w:t>
      </w:r>
    </w:p>
    <w:p w:rsidR="0073682C" w:rsidRPr="00270C7A" w:rsidRDefault="0073682C" w:rsidP="00270C7A">
      <w:pPr>
        <w:pStyle w:val="ListParagraph"/>
      </w:pPr>
    </w:p>
    <w:p w:rsidR="005A39CD" w:rsidRPr="00270C7A" w:rsidRDefault="005A39CD" w:rsidP="00270C7A">
      <w:pPr>
        <w:numPr>
          <w:ilvl w:val="0"/>
          <w:numId w:val="30"/>
        </w:numPr>
        <w:spacing w:line="360" w:lineRule="auto"/>
        <w:ind w:left="0" w:firstLine="1440"/>
      </w:pPr>
      <w:r w:rsidRPr="00270C7A">
        <w:t>Jennifer Pearson has been employed by PGW as a customer review officer for 17 months, and investigates formal and informal complaints filed by PGW customers at the PUC.  Tr. 72-73.</w:t>
      </w:r>
    </w:p>
    <w:p w:rsidR="005157DB" w:rsidRPr="00270C7A" w:rsidRDefault="005157DB" w:rsidP="00270C7A">
      <w:pPr>
        <w:pStyle w:val="ListParagraph"/>
      </w:pPr>
    </w:p>
    <w:p w:rsidR="005157DB" w:rsidRPr="00270C7A" w:rsidRDefault="005157DB" w:rsidP="00270C7A">
      <w:pPr>
        <w:numPr>
          <w:ilvl w:val="0"/>
          <w:numId w:val="30"/>
        </w:numPr>
        <w:spacing w:line="360" w:lineRule="auto"/>
        <w:ind w:left="0" w:firstLine="1440"/>
      </w:pPr>
      <w:r w:rsidRPr="00270C7A">
        <w:t>Ms. Pearson investigated this Complaint.  Tr. 81.</w:t>
      </w:r>
    </w:p>
    <w:p w:rsidR="005157DB" w:rsidRPr="00270C7A" w:rsidRDefault="005157DB" w:rsidP="00270C7A">
      <w:pPr>
        <w:pStyle w:val="ListParagraph"/>
      </w:pPr>
    </w:p>
    <w:p w:rsidR="0029444D" w:rsidRPr="00270C7A" w:rsidRDefault="0029444D" w:rsidP="00270C7A">
      <w:pPr>
        <w:numPr>
          <w:ilvl w:val="0"/>
          <w:numId w:val="30"/>
        </w:numPr>
        <w:spacing w:line="360" w:lineRule="auto"/>
        <w:ind w:left="0" w:firstLine="1440"/>
      </w:pPr>
      <w:r w:rsidRPr="00270C7A">
        <w:t xml:space="preserve">On January 5, 2016, a PGW technician went to the service address for a field investigation where he found three gas appliances: (1) a gas heater at 100,000 BTUs; (2) a </w:t>
      </w:r>
      <w:r w:rsidRPr="00270C7A">
        <w:lastRenderedPageBreak/>
        <w:t>gas range at 44,000 BTUs; and (3) a gas water heater at 40,000</w:t>
      </w:r>
      <w:r w:rsidR="00C04FBF">
        <w:t xml:space="preserve"> BTUs.  Tr. 145-46, PGW Exhibit </w:t>
      </w:r>
      <w:r w:rsidRPr="00270C7A">
        <w:t>10.</w:t>
      </w:r>
    </w:p>
    <w:p w:rsidR="0029444D" w:rsidRPr="00270C7A" w:rsidRDefault="0029444D" w:rsidP="00270C7A">
      <w:pPr>
        <w:pStyle w:val="ListParagraph"/>
      </w:pPr>
    </w:p>
    <w:p w:rsidR="0029444D" w:rsidRPr="00270C7A" w:rsidRDefault="0029444D" w:rsidP="00270C7A">
      <w:pPr>
        <w:numPr>
          <w:ilvl w:val="0"/>
          <w:numId w:val="30"/>
        </w:numPr>
        <w:spacing w:line="360" w:lineRule="auto"/>
        <w:ind w:left="0" w:firstLine="1440"/>
      </w:pPr>
      <w:r w:rsidRPr="00270C7A">
        <w:t>All of the gas appliances found at the service address were operational.  Tr. 146.</w:t>
      </w:r>
    </w:p>
    <w:p w:rsidR="0029444D" w:rsidRPr="00270C7A" w:rsidRDefault="0029444D" w:rsidP="00270C7A">
      <w:pPr>
        <w:pStyle w:val="ListParagraph"/>
      </w:pPr>
    </w:p>
    <w:p w:rsidR="004E0624" w:rsidRPr="00270C7A" w:rsidRDefault="004E0624" w:rsidP="00270C7A">
      <w:pPr>
        <w:numPr>
          <w:ilvl w:val="0"/>
          <w:numId w:val="30"/>
        </w:numPr>
        <w:spacing w:line="360" w:lineRule="auto"/>
        <w:ind w:left="0" w:firstLine="1440"/>
      </w:pPr>
      <w:r w:rsidRPr="00270C7A">
        <w:t>Nothing abnormal was reported in the investigation at the service address on January 5, 2016.  Tr. 146-49, PGW Exhibits 10, 11.</w:t>
      </w:r>
    </w:p>
    <w:p w:rsidR="004E0624" w:rsidRPr="00270C7A" w:rsidRDefault="004E0624" w:rsidP="00270C7A">
      <w:pPr>
        <w:pStyle w:val="ListParagraph"/>
      </w:pPr>
    </w:p>
    <w:p w:rsidR="004E0624" w:rsidRPr="00270C7A" w:rsidRDefault="004E0624" w:rsidP="00270C7A">
      <w:pPr>
        <w:numPr>
          <w:ilvl w:val="0"/>
          <w:numId w:val="30"/>
        </w:numPr>
        <w:spacing w:line="360" w:lineRule="auto"/>
        <w:ind w:left="0" w:firstLine="1440"/>
      </w:pPr>
      <w:r w:rsidRPr="00270C7A">
        <w:t>The meter at the service address tested as recording gas usage accurately.  Tr. 150, revised PGW Exhibit 12.</w:t>
      </w:r>
    </w:p>
    <w:p w:rsidR="004E0624" w:rsidRPr="00270C7A" w:rsidRDefault="004E0624" w:rsidP="005860CC">
      <w:pPr>
        <w:pStyle w:val="ListParagraph"/>
        <w:spacing w:line="360" w:lineRule="auto"/>
      </w:pPr>
    </w:p>
    <w:p w:rsidR="00CD6D25" w:rsidRPr="00270C7A" w:rsidRDefault="00CD6D25" w:rsidP="00270C7A">
      <w:pPr>
        <w:jc w:val="center"/>
        <w:rPr>
          <w:u w:val="single"/>
        </w:rPr>
      </w:pPr>
      <w:r w:rsidRPr="00270C7A">
        <w:rPr>
          <w:u w:val="single"/>
        </w:rPr>
        <w:t>DISCUSSION</w:t>
      </w:r>
    </w:p>
    <w:p w:rsidR="00CD6D25" w:rsidRPr="00270C7A" w:rsidRDefault="00CD6D25" w:rsidP="00270C7A">
      <w:pPr>
        <w:spacing w:line="360" w:lineRule="auto"/>
        <w:ind w:firstLine="1440"/>
      </w:pPr>
    </w:p>
    <w:p w:rsidR="008463A8" w:rsidRPr="00270C7A" w:rsidRDefault="008463A8" w:rsidP="00270C7A">
      <w:pPr>
        <w:numPr>
          <w:ilvl w:val="0"/>
          <w:numId w:val="33"/>
        </w:numPr>
        <w:spacing w:line="360" w:lineRule="auto"/>
        <w:rPr>
          <w:u w:val="single"/>
        </w:rPr>
      </w:pPr>
      <w:r w:rsidRPr="00270C7A">
        <w:rPr>
          <w:u w:val="single"/>
        </w:rPr>
        <w:t xml:space="preserve">Applicable Legal Standard </w:t>
      </w:r>
    </w:p>
    <w:p w:rsidR="003D212D" w:rsidRPr="00270C7A" w:rsidRDefault="003D212D" w:rsidP="00270C7A">
      <w:pPr>
        <w:spacing w:line="360" w:lineRule="auto"/>
        <w:ind w:firstLine="1440"/>
      </w:pPr>
    </w:p>
    <w:p w:rsidR="003D212D" w:rsidRPr="00270C7A" w:rsidRDefault="008463A8" w:rsidP="00270C7A">
      <w:pPr>
        <w:spacing w:line="360" w:lineRule="auto"/>
        <w:ind w:firstLine="1440"/>
      </w:pPr>
      <w:r w:rsidRPr="00270C7A">
        <w:t>As the proponent of a rule or order</w:t>
      </w:r>
      <w:r w:rsidR="003D212D" w:rsidRPr="00270C7A">
        <w:t xml:space="preserve"> or seeking affirmative relief from the Commission</w:t>
      </w:r>
      <w:r w:rsidRPr="00270C7A">
        <w:t>, the Complainant in this proceeding bears the burd</w:t>
      </w:r>
      <w:r w:rsidR="00EB53C0" w:rsidRPr="00270C7A">
        <w:t>en of proof pursuant to Section </w:t>
      </w:r>
      <w:r w:rsidRPr="00270C7A">
        <w:t xml:space="preserve">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270C7A">
        <w:rPr>
          <w:i/>
          <w:iCs/>
        </w:rPr>
        <w:t>Patterson v. Bell Telephone Company of Pennsylvania</w:t>
      </w:r>
      <w:r w:rsidRPr="00270C7A">
        <w:t>, 72 Pa. PUC 196 (1990)</w:t>
      </w:r>
      <w:r w:rsidR="004642A1" w:rsidRPr="00270C7A">
        <w:t>;</w:t>
      </w:r>
      <w:r w:rsidR="004642A1" w:rsidRPr="00270C7A">
        <w:rPr>
          <w:i/>
        </w:rPr>
        <w:t xml:space="preserve"> Feinstein v. Phila. Suburban Water Co.,</w:t>
      </w:r>
      <w:r w:rsidR="004642A1" w:rsidRPr="00270C7A">
        <w:t xml:space="preserve"> 50 Pa. PUC 300 (1976).</w:t>
      </w:r>
      <w:r w:rsidRPr="00270C7A">
        <w:t xml:space="preserve">  </w:t>
      </w:r>
    </w:p>
    <w:p w:rsidR="003D212D" w:rsidRPr="00270C7A" w:rsidRDefault="003D212D" w:rsidP="00270C7A">
      <w:pPr>
        <w:spacing w:line="360" w:lineRule="auto"/>
        <w:ind w:firstLine="1440"/>
      </w:pPr>
    </w:p>
    <w:p w:rsidR="003D212D" w:rsidRPr="00270C7A" w:rsidRDefault="003D212D" w:rsidP="00270C7A">
      <w:pPr>
        <w:spacing w:line="360" w:lineRule="auto"/>
        <w:ind w:firstLine="1440"/>
      </w:pPr>
      <w:r w:rsidRPr="00270C7A">
        <w:t xml:space="preserve">A preponderance of the evidence is that which is more convincing, by even the smallest amount, than that presented by the other party.  </w:t>
      </w:r>
      <w:r w:rsidRPr="00270C7A">
        <w:rPr>
          <w:i/>
        </w:rPr>
        <w:t xml:space="preserve">Se-Ling Hosiery v. Margulies, </w:t>
      </w:r>
      <w:r w:rsidRPr="00270C7A">
        <w:t xml:space="preserve">364 Pa. 45, 70 A.2d 854 (1950); </w:t>
      </w:r>
      <w:r w:rsidRPr="00270C7A">
        <w:rPr>
          <w:i/>
          <w:iCs/>
        </w:rPr>
        <w:t>Samuel J. Lansberry, Inc. v. Pa. Pub. Util. Comm’n,</w:t>
      </w:r>
      <w:r w:rsidRPr="00270C7A">
        <w:t xml:space="preserve"> 578 A.2d 600 (Pa.Cmwlth. 1990) </w:t>
      </w:r>
      <w:r w:rsidRPr="00270C7A">
        <w:rPr>
          <w:i/>
          <w:iCs/>
        </w:rPr>
        <w:t>alloc. den.</w:t>
      </w:r>
      <w:r w:rsidRPr="00270C7A">
        <w:t xml:space="preserve">, 529 Pa. 654, 602 A.2d 863 (1992).  </w:t>
      </w:r>
    </w:p>
    <w:p w:rsidR="003D212D" w:rsidRPr="00270C7A" w:rsidRDefault="003D212D" w:rsidP="00270C7A">
      <w:pPr>
        <w:spacing w:line="360" w:lineRule="auto"/>
        <w:ind w:firstLine="1440"/>
      </w:pPr>
    </w:p>
    <w:p w:rsidR="008463A8" w:rsidRPr="00270C7A" w:rsidRDefault="008463A8" w:rsidP="00270C7A">
      <w:pPr>
        <w:spacing w:line="360" w:lineRule="auto"/>
        <w:ind w:firstLine="1440"/>
      </w:pPr>
      <w:r w:rsidRPr="00270C7A">
        <w:t xml:space="preserve">In addition, the Commission’s decision must be supported by “substantial evidence,” which consists of evidence that a reasonable mind might accept as adequate to support a conclusion.  A mere "trace of evidence or a suspicion of the existence of a fact" is </w:t>
      </w:r>
      <w:r w:rsidRPr="00270C7A">
        <w:lastRenderedPageBreak/>
        <w:t xml:space="preserve">insufficient.  </w:t>
      </w:r>
      <w:r w:rsidRPr="00270C7A">
        <w:rPr>
          <w:i/>
          <w:iCs/>
        </w:rPr>
        <w:t>Norfolk and Western Railway Co. v. Pa. Pub. Util. Comm’n</w:t>
      </w:r>
      <w:r w:rsidRPr="00270C7A">
        <w:t>, 489 Pa. 109, 413 A.2d 1037 (1980).</w:t>
      </w:r>
    </w:p>
    <w:p w:rsidR="00820966" w:rsidRPr="00270C7A" w:rsidRDefault="00820966" w:rsidP="00270C7A">
      <w:pPr>
        <w:spacing w:line="360" w:lineRule="auto"/>
        <w:ind w:firstLine="1440"/>
      </w:pPr>
    </w:p>
    <w:p w:rsidR="00724C9C" w:rsidRPr="00270C7A" w:rsidRDefault="008463A8" w:rsidP="00270C7A">
      <w:pPr>
        <w:spacing w:line="360" w:lineRule="auto"/>
        <w:ind w:firstLine="1440"/>
      </w:pPr>
      <w:r w:rsidRPr="00270C7A">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70C7A">
        <w:rPr>
          <w:i/>
          <w:iCs/>
        </w:rPr>
        <w:t>Burleson v. Pa. Pub. Util. Comm’n</w:t>
      </w:r>
      <w:r w:rsidRPr="00270C7A">
        <w:t xml:space="preserve">, 443 A.2d 1373 (Pa.Cmwlth. 1982), </w:t>
      </w:r>
      <w:r w:rsidRPr="00270C7A">
        <w:rPr>
          <w:i/>
          <w:iCs/>
        </w:rPr>
        <w:t>aff'd</w:t>
      </w:r>
      <w:r w:rsidRPr="00270C7A">
        <w:t xml:space="preserve">, 501 Pa. 433, 461 A.2d 1234 (1983).  </w:t>
      </w:r>
      <w:r w:rsidRPr="00270C7A">
        <w:br/>
      </w:r>
      <w:r w:rsidRPr="00270C7A">
        <w:br/>
      </w:r>
      <w:r w:rsidRPr="00270C7A">
        <w:tab/>
      </w:r>
      <w:r w:rsidRPr="00270C7A">
        <w:tab/>
        <w:t xml:space="preserve">While the </w:t>
      </w:r>
      <w:r w:rsidRPr="00270C7A">
        <w:rPr>
          <w:bCs/>
        </w:rPr>
        <w:t>burden of persuasion</w:t>
      </w:r>
      <w:r w:rsidRPr="00270C7A">
        <w:t xml:space="preserve"> may shift back and forth during a proceeding, the burden of proof never shifts.  The burden of proof always remains on the party seeking affirmative relief from the Commission.  </w:t>
      </w:r>
      <w:r w:rsidRPr="00270C7A">
        <w:rPr>
          <w:i/>
          <w:iCs/>
        </w:rPr>
        <w:t>Milkie v. Pa. Pub. Util. Comm’n</w:t>
      </w:r>
      <w:r w:rsidRPr="00270C7A">
        <w:t>, 768 A.2d 1217 (Pa.Cmwlth. 2001).</w:t>
      </w:r>
    </w:p>
    <w:p w:rsidR="00724C9C" w:rsidRPr="00270C7A" w:rsidRDefault="00724C9C" w:rsidP="00270C7A"/>
    <w:p w:rsidR="001C73C9" w:rsidRPr="00270C7A" w:rsidRDefault="00820966" w:rsidP="00270C7A">
      <w:pPr>
        <w:pStyle w:val="ListParagraph"/>
        <w:numPr>
          <w:ilvl w:val="0"/>
          <w:numId w:val="33"/>
        </w:numPr>
        <w:spacing w:line="360" w:lineRule="auto"/>
        <w:rPr>
          <w:u w:val="single"/>
        </w:rPr>
      </w:pPr>
      <w:r w:rsidRPr="00270C7A">
        <w:rPr>
          <w:u w:val="single"/>
        </w:rPr>
        <w:t>Incorrect Charges</w:t>
      </w:r>
    </w:p>
    <w:p w:rsidR="001C73C9" w:rsidRPr="00270C7A" w:rsidRDefault="001C73C9" w:rsidP="00270C7A">
      <w:pPr>
        <w:spacing w:line="360" w:lineRule="auto"/>
        <w:ind w:left="720"/>
      </w:pPr>
    </w:p>
    <w:p w:rsidR="00582AF3" w:rsidRPr="00270C7A" w:rsidRDefault="00582AF3" w:rsidP="00270C7A">
      <w:pPr>
        <w:pStyle w:val="ListParagraph"/>
        <w:numPr>
          <w:ilvl w:val="0"/>
          <w:numId w:val="42"/>
        </w:numPr>
        <w:spacing w:line="360" w:lineRule="auto"/>
        <w:rPr>
          <w:u w:val="single"/>
        </w:rPr>
      </w:pPr>
      <w:r w:rsidRPr="00270C7A">
        <w:rPr>
          <w:u w:val="single"/>
        </w:rPr>
        <w:t>Taxes</w:t>
      </w:r>
    </w:p>
    <w:p w:rsidR="00582AF3" w:rsidRPr="00270C7A" w:rsidRDefault="00582AF3" w:rsidP="00270C7A">
      <w:pPr>
        <w:spacing w:line="360" w:lineRule="auto"/>
        <w:ind w:left="1440"/>
      </w:pPr>
    </w:p>
    <w:p w:rsidR="007414A9" w:rsidRPr="00270C7A" w:rsidRDefault="007414A9" w:rsidP="00270C7A">
      <w:pPr>
        <w:spacing w:line="360" w:lineRule="auto"/>
        <w:ind w:left="90" w:firstLine="1350"/>
      </w:pPr>
      <w:r w:rsidRPr="00270C7A">
        <w:t xml:space="preserve">The Complainant claimed there are incorrect charges on her bill.  PGW admitted that the Complainant was charged city and state taxes from 2006 to November 2015.  </w:t>
      </w:r>
      <w:r w:rsidR="006D2D7D" w:rsidRPr="00270C7A">
        <w:t>Tr</w:t>
      </w:r>
      <w:r w:rsidRPr="00270C7A">
        <w:t>.</w:t>
      </w:r>
      <w:r w:rsidR="006D2D7D" w:rsidRPr="00270C7A">
        <w:t xml:space="preserve"> 77- 78, 85-87.</w:t>
      </w:r>
      <w:r w:rsidRPr="00270C7A">
        <w:t xml:space="preserve">  The Complainant’s allegation that Respondent held her responsible to pay the taxes that were erroneously assessed was proved by the record.  Complainant has sustained her burden of proof regarding the taxes as being incorrect charges on her bill.</w:t>
      </w:r>
    </w:p>
    <w:p w:rsidR="007414A9" w:rsidRPr="00270C7A" w:rsidRDefault="007414A9" w:rsidP="00270C7A">
      <w:pPr>
        <w:spacing w:line="360" w:lineRule="auto"/>
        <w:ind w:left="1440"/>
      </w:pPr>
    </w:p>
    <w:p w:rsidR="00D9380B" w:rsidRPr="00270C7A" w:rsidRDefault="000F3BE5" w:rsidP="00270C7A">
      <w:pPr>
        <w:spacing w:line="360" w:lineRule="auto"/>
        <w:ind w:firstLine="1440"/>
      </w:pPr>
      <w:r w:rsidRPr="00270C7A">
        <w:t>The Respondent</w:t>
      </w:r>
      <w:r w:rsidR="00D9380B" w:rsidRPr="00270C7A">
        <w:t>’s witness</w:t>
      </w:r>
      <w:r w:rsidRPr="00270C7A">
        <w:t xml:space="preserve"> testified</w:t>
      </w:r>
      <w:r w:rsidR="00D9380B" w:rsidRPr="00270C7A">
        <w:t xml:space="preserve"> that any customer that has more than one meter in his or her name at a service address is taxed for the use of the additional meter.  Tr. </w:t>
      </w:r>
      <w:r w:rsidR="00582AF3" w:rsidRPr="00270C7A">
        <w:t>77, 85</w:t>
      </w:r>
      <w:r w:rsidR="00D9380B" w:rsidRPr="00270C7A">
        <w:t xml:space="preserve">.  The Respondent’s witness stated </w:t>
      </w:r>
      <w:r w:rsidRPr="00270C7A">
        <w:t xml:space="preserve">that when </w:t>
      </w:r>
      <w:r w:rsidR="00D9380B" w:rsidRPr="00270C7A">
        <w:t>the Company</w:t>
      </w:r>
      <w:r w:rsidRPr="00270C7A">
        <w:t xml:space="preserve"> is made aware of a change in circumstance that no longer requires the need </w:t>
      </w:r>
      <w:r w:rsidR="00D9380B" w:rsidRPr="00270C7A">
        <w:t>for more than one meter at a service address under one person’s name</w:t>
      </w:r>
      <w:r w:rsidRPr="00270C7A">
        <w:t xml:space="preserve">, it contacts the DRU </w:t>
      </w:r>
      <w:r w:rsidR="00D9380B" w:rsidRPr="00270C7A">
        <w:t xml:space="preserve">which in turn </w:t>
      </w:r>
      <w:r w:rsidRPr="00270C7A">
        <w:t xml:space="preserve">directs that customer on the steps to take to obtain </w:t>
      </w:r>
      <w:r w:rsidR="00D9380B" w:rsidRPr="00270C7A">
        <w:t xml:space="preserve">any </w:t>
      </w:r>
      <w:r w:rsidRPr="00270C7A">
        <w:t>refund from the taxes charged</w:t>
      </w:r>
      <w:r w:rsidR="00D9380B" w:rsidRPr="00270C7A">
        <w:t xml:space="preserve">.  Tr. 78.  The customer must </w:t>
      </w:r>
      <w:r w:rsidRPr="00270C7A">
        <w:t xml:space="preserve">petition the state to obtain a refund from the state.  </w:t>
      </w:r>
      <w:r w:rsidR="00D9380B" w:rsidRPr="00270C7A">
        <w:rPr>
          <w:i/>
        </w:rPr>
        <w:t>Id.</w:t>
      </w:r>
      <w:r w:rsidR="00D9380B" w:rsidRPr="00270C7A">
        <w:t xml:space="preserve">  </w:t>
      </w:r>
    </w:p>
    <w:p w:rsidR="005610A1" w:rsidRPr="00270C7A" w:rsidRDefault="00D9380B" w:rsidP="00270C7A">
      <w:pPr>
        <w:spacing w:line="360" w:lineRule="auto"/>
        <w:ind w:left="90" w:firstLine="1350"/>
      </w:pPr>
      <w:r w:rsidRPr="00270C7A">
        <w:lastRenderedPageBreak/>
        <w:t>I find th</w:t>
      </w:r>
      <w:r w:rsidR="005610A1" w:rsidRPr="00270C7A">
        <w:t xml:space="preserve">e </w:t>
      </w:r>
      <w:r w:rsidRPr="00270C7A">
        <w:t xml:space="preserve">explanation </w:t>
      </w:r>
      <w:r w:rsidR="005610A1" w:rsidRPr="00270C7A">
        <w:t xml:space="preserve">given by the Respondent for the erroneously assessed city and state taxes </w:t>
      </w:r>
      <w:r w:rsidRPr="00270C7A">
        <w:t xml:space="preserve">plausible but problematic.  </w:t>
      </w:r>
    </w:p>
    <w:p w:rsidR="005610A1" w:rsidRPr="00270C7A" w:rsidRDefault="005610A1" w:rsidP="00270C7A">
      <w:pPr>
        <w:spacing w:line="360" w:lineRule="auto"/>
        <w:ind w:left="90" w:firstLine="1350"/>
      </w:pPr>
    </w:p>
    <w:p w:rsidR="005610A1" w:rsidRPr="00270C7A" w:rsidRDefault="00D9380B" w:rsidP="00270C7A">
      <w:pPr>
        <w:spacing w:line="360" w:lineRule="auto"/>
        <w:ind w:left="90" w:firstLine="1350"/>
      </w:pPr>
      <w:r w:rsidRPr="00270C7A">
        <w:t xml:space="preserve">The Complainant testified that she was told that she had to have just one meter at the service address in order to be eligible for CRP.  </w:t>
      </w:r>
      <w:r w:rsidR="005610A1" w:rsidRPr="00270C7A">
        <w:t>Tr.</w:t>
      </w:r>
      <w:r w:rsidRPr="00270C7A">
        <w:t xml:space="preserve"> </w:t>
      </w:r>
      <w:r w:rsidR="005610A1" w:rsidRPr="00270C7A">
        <w:t>69</w:t>
      </w:r>
      <w:r w:rsidRPr="00270C7A">
        <w:t xml:space="preserve">.  Complainant became eligible for CRP July 1, 2015.  FOF </w:t>
      </w:r>
      <w:r w:rsidR="005610A1" w:rsidRPr="00270C7A">
        <w:t>5</w:t>
      </w:r>
      <w:r w:rsidRPr="00270C7A">
        <w:t xml:space="preserve">.  Thus, as of July 1, 2015, Respondent should have been aware that there was just one meter at the service address.  The requirement to </w:t>
      </w:r>
      <w:r w:rsidR="00BF1010" w:rsidRPr="00270C7A">
        <w:t>assess</w:t>
      </w:r>
      <w:r w:rsidRPr="00270C7A">
        <w:t xml:space="preserve"> the tax at the service address no longer existed </w:t>
      </w:r>
      <w:r w:rsidR="001517D9" w:rsidRPr="00270C7A">
        <w:t>when Complainant enrolled in CRP</w:t>
      </w:r>
      <w:r w:rsidRPr="00270C7A">
        <w:t xml:space="preserve"> and the Respondent knew it because it accepted the Complainant as enrolled in its CRP.</w:t>
      </w:r>
      <w:r w:rsidR="001517D9" w:rsidRPr="00270C7A">
        <w:t xml:space="preserve">  In fact, the record evidence shows Respondent knew the service address w</w:t>
      </w:r>
      <w:r w:rsidR="00153028">
        <w:t>as a single family dwelling when the</w:t>
      </w:r>
      <w:r w:rsidR="001517D9" w:rsidRPr="00270C7A">
        <w:t xml:space="preserve"> meter </w:t>
      </w:r>
      <w:r w:rsidR="00153028">
        <w:t xml:space="preserve">was </w:t>
      </w:r>
      <w:r w:rsidR="001517D9" w:rsidRPr="00270C7A">
        <w:t>removed on April 23, 2008, as resolution to a formal complaint at Docket No. F-2008-2020135.</w:t>
      </w:r>
      <w:r w:rsidR="00654A1A" w:rsidRPr="00270C7A">
        <w:rPr>
          <w:rStyle w:val="FootnoteReference"/>
        </w:rPr>
        <w:footnoteReference w:id="2"/>
      </w:r>
      <w:r w:rsidR="001517D9" w:rsidRPr="00270C7A">
        <w:t xml:space="preserve">  See PGW Exhibit 11 at 9 of 12.</w:t>
      </w:r>
    </w:p>
    <w:p w:rsidR="005610A1" w:rsidRPr="00270C7A" w:rsidRDefault="005610A1" w:rsidP="00270C7A">
      <w:pPr>
        <w:spacing w:line="360" w:lineRule="auto"/>
        <w:ind w:left="90" w:firstLine="1350"/>
      </w:pPr>
    </w:p>
    <w:p w:rsidR="000F3BE5" w:rsidRPr="00270C7A" w:rsidRDefault="00BF1010" w:rsidP="00270C7A">
      <w:pPr>
        <w:spacing w:line="360" w:lineRule="auto"/>
        <w:ind w:left="90" w:firstLine="1350"/>
      </w:pPr>
      <w:r w:rsidRPr="00270C7A">
        <w:t xml:space="preserve">It is problematic that the Respondent did not act upon the knowledge until the </w:t>
      </w:r>
      <w:r w:rsidR="001517D9" w:rsidRPr="00270C7A">
        <w:t xml:space="preserve">existence of </w:t>
      </w:r>
      <w:r w:rsidRPr="00270C7A">
        <w:t>one meter at the service address was made clear at the evidentiary hearing on December 14, 2015.  If the Complainant had no evidentiary hearing, would the Respondent have continued to assess the city and state taxes?  The Respondent’s conduct should not be careless or negligent with the customer information a</w:t>
      </w:r>
      <w:r w:rsidR="00153028">
        <w:t>nd resulting charges.  This failure</w:t>
      </w:r>
      <w:r w:rsidRPr="00270C7A">
        <w:t xml:space="preserve"> to act is addressed below in determination of whether the Respondent should be fined for incorrect charges on the Complainant’s bill. </w:t>
      </w:r>
    </w:p>
    <w:p w:rsidR="000F3BE5" w:rsidRPr="00270C7A" w:rsidRDefault="000F3BE5" w:rsidP="00270C7A">
      <w:pPr>
        <w:spacing w:line="360" w:lineRule="auto"/>
        <w:ind w:left="90" w:firstLine="1350"/>
      </w:pPr>
    </w:p>
    <w:p w:rsidR="00A418AD" w:rsidRPr="00270C7A" w:rsidRDefault="005610A1" w:rsidP="00270C7A">
      <w:pPr>
        <w:spacing w:line="360" w:lineRule="auto"/>
        <w:ind w:left="90" w:firstLine="1350"/>
      </w:pPr>
      <w:r w:rsidRPr="00270C7A">
        <w:t>The Complainant disputed the amount calculated by the Respondent for the city and state t</w:t>
      </w:r>
      <w:r w:rsidR="006F57D2" w:rsidRPr="00270C7A">
        <w:t>axes assessed on the Complainant’s bill in error</w:t>
      </w:r>
      <w:r w:rsidR="009F4423" w:rsidRPr="00270C7A">
        <w:t>.</w:t>
      </w:r>
      <w:r w:rsidR="006F57D2" w:rsidRPr="00270C7A">
        <w:t xml:space="preserve">  </w:t>
      </w:r>
      <w:r w:rsidR="009F4423" w:rsidRPr="00270C7A">
        <w:t>Tr. 106-07, see also</w:t>
      </w:r>
      <w:r w:rsidR="006F57D2" w:rsidRPr="00270C7A">
        <w:t xml:space="preserve"> PGW Exhibit </w:t>
      </w:r>
      <w:r w:rsidR="009F4423" w:rsidRPr="00270C7A">
        <w:t>8</w:t>
      </w:r>
      <w:r w:rsidR="006F57D2" w:rsidRPr="00270C7A">
        <w:t xml:space="preserve">.  The Complainant disputes that the amount calculated by the Respondent is accurate.  </w:t>
      </w:r>
      <w:r w:rsidR="00A418AD" w:rsidRPr="00270C7A">
        <w:t xml:space="preserve">It is determined by the undersigned that the accuracy of the amount to be refunded is a matter to be determined by the Complainant with the agency that she petitions to obtain the refund.  </w:t>
      </w:r>
    </w:p>
    <w:p w:rsidR="00EC5F25" w:rsidRPr="00270C7A" w:rsidRDefault="00EC5F25" w:rsidP="00270C7A">
      <w:pPr>
        <w:spacing w:line="360" w:lineRule="auto"/>
        <w:ind w:left="90" w:firstLine="1350"/>
      </w:pPr>
    </w:p>
    <w:p w:rsidR="00042CBF" w:rsidRPr="00270C7A" w:rsidRDefault="00A418AD" w:rsidP="00270C7A">
      <w:pPr>
        <w:spacing w:line="360" w:lineRule="auto"/>
        <w:ind w:left="90" w:firstLine="1350"/>
      </w:pPr>
      <w:r w:rsidRPr="00270C7A">
        <w:t>The Commission has jurisdiction over public utilit</w:t>
      </w:r>
      <w:r w:rsidR="00B629EF" w:rsidRPr="00270C7A">
        <w:t xml:space="preserve">ies, </w:t>
      </w:r>
      <w:r w:rsidRPr="00270C7A">
        <w:t>which in this proceeding i</w:t>
      </w:r>
      <w:r w:rsidR="009F4423" w:rsidRPr="00270C7A">
        <w:t>s</w:t>
      </w:r>
      <w:r w:rsidRPr="00270C7A">
        <w:t xml:space="preserve"> the Respondent. </w:t>
      </w:r>
      <w:r w:rsidR="00B629EF" w:rsidRPr="00270C7A">
        <w:t xml:space="preserve"> </w:t>
      </w:r>
      <w:r w:rsidR="00B629EF" w:rsidRPr="00270C7A">
        <w:rPr>
          <w:i/>
        </w:rPr>
        <w:t>Duquesne Light Co. v. Borough of Monroeville,</w:t>
      </w:r>
      <w:r w:rsidR="00B629EF" w:rsidRPr="00270C7A">
        <w:t xml:space="preserve"> 298 A.2d 252 (Pa.Super. 1972)(PUC has exclusive regulatory jurisdiction over the implementation of utility facilities and </w:t>
      </w:r>
      <w:r w:rsidR="00B629EF" w:rsidRPr="00270C7A">
        <w:lastRenderedPageBreak/>
        <w:t xml:space="preserve">services).  The city and state are responsible for the assessed taxes </w:t>
      </w:r>
      <w:r w:rsidR="009F4423" w:rsidRPr="00270C7A">
        <w:t>at issue here.  T</w:t>
      </w:r>
      <w:r w:rsidR="00B629EF" w:rsidRPr="00270C7A">
        <w:t>he public utility</w:t>
      </w:r>
      <w:r w:rsidR="009F4423" w:rsidRPr="00270C7A">
        <w:t xml:space="preserve"> is not responsible for the assessed tax</w:t>
      </w:r>
      <w:r w:rsidR="001E070A" w:rsidRPr="00270C7A">
        <w:t xml:space="preserve"> rate.  Rather, the public utility is responsible for determining the circumstances when the taxed rate is assessed</w:t>
      </w:r>
      <w:r w:rsidR="00B629EF" w:rsidRPr="00270C7A">
        <w:t xml:space="preserve">.  </w:t>
      </w:r>
      <w:r w:rsidRPr="00270C7A">
        <w:t xml:space="preserve">When the Complainant petitions the </w:t>
      </w:r>
      <w:r w:rsidR="009F4423" w:rsidRPr="00270C7A">
        <w:t>appropriate body</w:t>
      </w:r>
      <w:r w:rsidRPr="00270C7A">
        <w:t xml:space="preserve"> for the refund, she can request a full accounting of the refund for accuracy.  Any action to direct the Respondent over the accuracy of the tax refund by this forum may amount to subject matter preclusion when the petition for refund by the Complainant is addressed.  This agency was not given subject matter jurisdiction over taxes; and thus, any determination on the accuracy of the tax refund calculation by this agency is inappropriate</w:t>
      </w:r>
      <w:r w:rsidR="00A54CCE" w:rsidRPr="00270C7A">
        <w:t xml:space="preserve">.  </w:t>
      </w:r>
      <w:r w:rsidR="008A1972" w:rsidRPr="00270C7A">
        <w:t xml:space="preserve"> </w:t>
      </w:r>
      <w:r w:rsidR="008A1972" w:rsidRPr="00270C7A">
        <w:rPr>
          <w:i/>
        </w:rPr>
        <w:t>Hill v. PECO Energy Co.,</w:t>
      </w:r>
      <w:r w:rsidR="008A1972" w:rsidRPr="00270C7A">
        <w:t xml:space="preserve"> Docket No. C-2012-2315524 (Order entered November 2, 2012).</w:t>
      </w:r>
      <w:r w:rsidRPr="00270C7A">
        <w:t xml:space="preserve">  </w:t>
      </w:r>
      <w:r w:rsidR="006F57D2" w:rsidRPr="00270C7A">
        <w:t xml:space="preserve"> </w:t>
      </w:r>
    </w:p>
    <w:p w:rsidR="00042CBF" w:rsidRPr="00270C7A" w:rsidRDefault="00042CBF" w:rsidP="00270C7A">
      <w:pPr>
        <w:spacing w:line="360" w:lineRule="auto"/>
        <w:ind w:left="90" w:firstLine="1350"/>
      </w:pPr>
    </w:p>
    <w:p w:rsidR="009F4423" w:rsidRPr="00270C7A" w:rsidRDefault="009F4423" w:rsidP="00270C7A">
      <w:pPr>
        <w:pStyle w:val="ListParagraph"/>
        <w:numPr>
          <w:ilvl w:val="0"/>
          <w:numId w:val="42"/>
        </w:numPr>
        <w:spacing w:line="360" w:lineRule="auto"/>
        <w:rPr>
          <w:u w:val="single"/>
        </w:rPr>
      </w:pPr>
      <w:r w:rsidRPr="00270C7A">
        <w:rPr>
          <w:u w:val="single"/>
        </w:rPr>
        <w:t>Meter Testing Fee</w:t>
      </w:r>
    </w:p>
    <w:p w:rsidR="009F4423" w:rsidRPr="00270C7A" w:rsidRDefault="009F4423" w:rsidP="00270C7A">
      <w:pPr>
        <w:spacing w:line="360" w:lineRule="auto"/>
        <w:ind w:firstLine="1440"/>
      </w:pPr>
    </w:p>
    <w:p w:rsidR="00C27584" w:rsidRPr="00270C7A" w:rsidRDefault="007414A9" w:rsidP="00270C7A">
      <w:pPr>
        <w:spacing w:line="360" w:lineRule="auto"/>
        <w:ind w:firstLine="1440"/>
      </w:pPr>
      <w:r w:rsidRPr="00270C7A">
        <w:t>The Complainant stated that she received a letter stating she would be charged a meter testing fee.  Tr. 109.  By Order</w:t>
      </w:r>
      <w:r w:rsidR="006121F7" w:rsidRPr="00270C7A">
        <w:t>s</w:t>
      </w:r>
      <w:r w:rsidRPr="00270C7A">
        <w:t xml:space="preserve"> dated </w:t>
      </w:r>
      <w:r w:rsidR="006121F7" w:rsidRPr="00270C7A">
        <w:t xml:space="preserve">July 24, 2015, and </w:t>
      </w:r>
      <w:r w:rsidRPr="00270C7A">
        <w:t xml:space="preserve">December 21, 2015, the undersigned directed the Respondent to conduct a high bill investigation.  Included in a high bill investigation is the testing of the meter for accuracy.  </w:t>
      </w:r>
      <w:r w:rsidR="009640C5" w:rsidRPr="00270C7A">
        <w:t>The Respondent</w:t>
      </w:r>
      <w:r w:rsidRPr="00270C7A">
        <w:t xml:space="preserve"> agreed that the meter testing fee should be waived.  STIP 2.  </w:t>
      </w:r>
    </w:p>
    <w:p w:rsidR="006121F7" w:rsidRPr="00270C7A" w:rsidRDefault="006121F7" w:rsidP="00270C7A">
      <w:pPr>
        <w:spacing w:line="360" w:lineRule="auto"/>
        <w:ind w:firstLine="1440"/>
      </w:pPr>
    </w:p>
    <w:p w:rsidR="006121F7" w:rsidRPr="00270C7A" w:rsidRDefault="006121F7" w:rsidP="00270C7A">
      <w:pPr>
        <w:spacing w:line="360" w:lineRule="auto"/>
        <w:ind w:firstLine="1440"/>
      </w:pPr>
      <w:r w:rsidRPr="00270C7A">
        <w:t xml:space="preserve">The Complainant has proved by the record that the meter testing fee should not be her responsibility to pay.  Complainant has sustained her burden of proof regarding the </w:t>
      </w:r>
      <w:r w:rsidR="009640C5" w:rsidRPr="00270C7A">
        <w:t>meter testing fee</w:t>
      </w:r>
      <w:r w:rsidRPr="00270C7A">
        <w:t xml:space="preserve"> as being incorrect charges on her bill.</w:t>
      </w:r>
    </w:p>
    <w:p w:rsidR="006121F7" w:rsidRPr="00270C7A" w:rsidRDefault="006121F7" w:rsidP="00270C7A">
      <w:pPr>
        <w:spacing w:line="360" w:lineRule="auto"/>
        <w:ind w:firstLine="1440"/>
      </w:pPr>
    </w:p>
    <w:p w:rsidR="0019029B" w:rsidRPr="00270C7A" w:rsidRDefault="009640C5" w:rsidP="00270C7A">
      <w:pPr>
        <w:spacing w:line="360" w:lineRule="auto"/>
        <w:ind w:firstLine="1440"/>
      </w:pPr>
      <w:r w:rsidRPr="00270C7A">
        <w:t>It is disconcerting that the Complainant received any document that communicat</w:t>
      </w:r>
      <w:r w:rsidR="009B73DC" w:rsidRPr="00270C7A">
        <w:t>ed</w:t>
      </w:r>
      <w:r w:rsidRPr="00270C7A">
        <w:t xml:space="preserve"> she was responsible for the meter testing.  The Respondent should ensure that procedures are in place so that similar communication</w:t>
      </w:r>
      <w:r w:rsidR="009B73DC" w:rsidRPr="00270C7A">
        <w:t>s</w:t>
      </w:r>
      <w:r w:rsidRPr="00270C7A">
        <w:t xml:space="preserve"> do not occur for any similarly situated customer.</w:t>
      </w:r>
    </w:p>
    <w:p w:rsidR="0019029B" w:rsidRPr="00270C7A" w:rsidRDefault="0019029B" w:rsidP="005860CC">
      <w:pPr>
        <w:spacing w:line="360" w:lineRule="auto"/>
      </w:pPr>
    </w:p>
    <w:p w:rsidR="009640C5" w:rsidRPr="00270C7A" w:rsidRDefault="00F431F3" w:rsidP="00270C7A">
      <w:pPr>
        <w:pStyle w:val="ListParagraph"/>
        <w:numPr>
          <w:ilvl w:val="0"/>
          <w:numId w:val="33"/>
        </w:numPr>
        <w:spacing w:line="360" w:lineRule="auto"/>
        <w:rPr>
          <w:u w:val="single"/>
        </w:rPr>
      </w:pPr>
      <w:r w:rsidRPr="00270C7A">
        <w:rPr>
          <w:u w:val="single"/>
        </w:rPr>
        <w:t xml:space="preserve">Request for a </w:t>
      </w:r>
      <w:r w:rsidR="009640C5" w:rsidRPr="00270C7A">
        <w:rPr>
          <w:u w:val="single"/>
        </w:rPr>
        <w:t>Payment Arrangement</w:t>
      </w:r>
    </w:p>
    <w:p w:rsidR="009640C5" w:rsidRPr="00270C7A" w:rsidRDefault="009640C5" w:rsidP="00270C7A">
      <w:pPr>
        <w:spacing w:line="360" w:lineRule="auto"/>
        <w:ind w:firstLine="1440"/>
      </w:pPr>
    </w:p>
    <w:p w:rsidR="00857477" w:rsidRPr="00270C7A" w:rsidRDefault="00857477" w:rsidP="00270C7A">
      <w:pPr>
        <w:spacing w:line="360" w:lineRule="auto"/>
        <w:ind w:firstLine="1440"/>
      </w:pPr>
      <w:r w:rsidRPr="00270C7A">
        <w:t xml:space="preserve">The record testimony confirms that the Complainant is currently enrolled in CRP with a payment arrangement.  </w:t>
      </w:r>
      <w:r w:rsidR="002D1C44" w:rsidRPr="00270C7A">
        <w:t>FOF 3</w:t>
      </w:r>
      <w:r w:rsidRPr="00270C7A">
        <w:t xml:space="preserve">.  </w:t>
      </w:r>
      <w:r w:rsidR="005A46FE">
        <w:t>The payment arrangement terms are</w:t>
      </w:r>
      <w:r w:rsidRPr="00270C7A">
        <w:t xml:space="preserve"> 9% of Complainant’s gross monthly income of $755.</w:t>
      </w:r>
      <w:r w:rsidR="002D1C44" w:rsidRPr="00270C7A">
        <w:t>0</w:t>
      </w:r>
      <w:r w:rsidRPr="00270C7A">
        <w:t>0 or (0.09 x $755.</w:t>
      </w:r>
      <w:r w:rsidR="002D1C44" w:rsidRPr="00270C7A">
        <w:t>0</w:t>
      </w:r>
      <w:r w:rsidRPr="00270C7A">
        <w:t>0 = $67.9</w:t>
      </w:r>
      <w:r w:rsidR="002D1C44" w:rsidRPr="00270C7A">
        <w:t>5</w:t>
      </w:r>
      <w:r w:rsidRPr="00270C7A">
        <w:t>) $67.9</w:t>
      </w:r>
      <w:r w:rsidR="002D1C44" w:rsidRPr="00270C7A">
        <w:t>5</w:t>
      </w:r>
      <w:r w:rsidRPr="00270C7A">
        <w:t xml:space="preserve"> plus $5.00 towards </w:t>
      </w:r>
      <w:r w:rsidRPr="00270C7A">
        <w:lastRenderedPageBreak/>
        <w:t>arrears for a total monthly payment of ($67.9</w:t>
      </w:r>
      <w:r w:rsidR="002D1C44" w:rsidRPr="00270C7A">
        <w:t>5</w:t>
      </w:r>
      <w:r w:rsidRPr="00270C7A">
        <w:t xml:space="preserve"> + $5.00 = $7</w:t>
      </w:r>
      <w:r w:rsidR="002D1C44" w:rsidRPr="00270C7A">
        <w:t>2</w:t>
      </w:r>
      <w:r w:rsidRPr="00270C7A">
        <w:t>.9</w:t>
      </w:r>
      <w:r w:rsidR="002D1C44" w:rsidRPr="00270C7A">
        <w:t>5</w:t>
      </w:r>
      <w:r w:rsidRPr="00270C7A">
        <w:t>) $7</w:t>
      </w:r>
      <w:r w:rsidR="002D1C44" w:rsidRPr="00270C7A">
        <w:t>2</w:t>
      </w:r>
      <w:r w:rsidRPr="00270C7A">
        <w:t>.9</w:t>
      </w:r>
      <w:r w:rsidR="002D1C44" w:rsidRPr="00270C7A">
        <w:t>5</w:t>
      </w:r>
      <w:r w:rsidRPr="00270C7A">
        <w:t>.</w:t>
      </w:r>
      <w:r w:rsidR="002D1C44" w:rsidRPr="00270C7A">
        <w:t xml:space="preserve">  PGW Exhibit 1.  Complainant</w:t>
      </w:r>
      <w:r w:rsidR="000C35B5">
        <w:t>’s</w:t>
      </w:r>
      <w:r w:rsidR="002D1C44" w:rsidRPr="00270C7A">
        <w:t xml:space="preserve"> household size is one occupant, which is the Complainant.  </w:t>
      </w:r>
      <w:r w:rsidR="002D0361" w:rsidRPr="00270C7A">
        <w:t>FOF 7</w:t>
      </w:r>
      <w:r w:rsidR="002D1C44" w:rsidRPr="00270C7A">
        <w:t>.  Complainant’s income is between 50% and 75% of the Federal poverty level for 2015.</w:t>
      </w:r>
      <w:r w:rsidR="002D1C44" w:rsidRPr="00270C7A">
        <w:rPr>
          <w:rStyle w:val="FootnoteReference"/>
        </w:rPr>
        <w:footnoteReference w:id="3"/>
      </w:r>
      <w:r w:rsidR="0009590E" w:rsidRPr="00270C7A">
        <w:t xml:space="preserve">  It was stipulated that the Complainant has paid monthly $78.39.  STIP 1.</w:t>
      </w:r>
    </w:p>
    <w:p w:rsidR="0009590E" w:rsidRPr="00270C7A" w:rsidRDefault="0009590E" w:rsidP="00270C7A">
      <w:pPr>
        <w:spacing w:line="360" w:lineRule="auto"/>
        <w:ind w:firstLine="1440"/>
      </w:pPr>
    </w:p>
    <w:p w:rsidR="009640C5" w:rsidRDefault="0009590E" w:rsidP="00270C7A">
      <w:pPr>
        <w:spacing w:line="360" w:lineRule="auto"/>
        <w:ind w:firstLine="1440"/>
      </w:pPr>
      <w:r w:rsidRPr="00270C7A">
        <w:t>The record evidence shows no error with the calculations for the CRP arrangement.  I do not find that there is a need to modify the existing CRP payment arrangement.</w:t>
      </w:r>
      <w:r w:rsidR="00784771" w:rsidRPr="00270C7A">
        <w:t xml:space="preserve">  The record shows that the Complainant is entitled to a payment arrangement.  The payment arrangement is that which the Complainant is enrolled currently in CRP with the terms of $67.95 monthly payment + $5.00 monthly towards arrears for a total monthly payment of $72.95.  The request by the Complainant for a </w:t>
      </w:r>
      <w:r w:rsidR="00505687">
        <w:t>new payment arrangement is denied</w:t>
      </w:r>
      <w:r w:rsidR="00784771" w:rsidRPr="00270C7A">
        <w:t xml:space="preserve"> in that the current CRP payment arrangement</w:t>
      </w:r>
      <w:r w:rsidR="00505687">
        <w:t>,</w:t>
      </w:r>
      <w:r w:rsidR="00784771" w:rsidRPr="00270C7A">
        <w:t xml:space="preserve"> which the Complainant enrolled in July 1, 2015, is found to</w:t>
      </w:r>
      <w:r w:rsidR="00505687">
        <w:t xml:space="preserve"> be appropriate and will</w:t>
      </w:r>
      <w:r w:rsidR="00784771" w:rsidRPr="00270C7A">
        <w:t xml:space="preserve"> remain.  </w:t>
      </w:r>
    </w:p>
    <w:p w:rsidR="00505687" w:rsidRPr="00270C7A" w:rsidRDefault="00505687" w:rsidP="00270C7A">
      <w:pPr>
        <w:spacing w:line="360" w:lineRule="auto"/>
        <w:ind w:firstLine="1440"/>
      </w:pPr>
    </w:p>
    <w:p w:rsidR="009640C5" w:rsidRPr="00270C7A" w:rsidRDefault="009640C5" w:rsidP="00270C7A">
      <w:pPr>
        <w:pStyle w:val="ListParagraph"/>
        <w:numPr>
          <w:ilvl w:val="0"/>
          <w:numId w:val="33"/>
        </w:numPr>
        <w:spacing w:line="360" w:lineRule="auto"/>
        <w:rPr>
          <w:u w:val="single"/>
        </w:rPr>
      </w:pPr>
      <w:r w:rsidRPr="00270C7A">
        <w:rPr>
          <w:u w:val="single"/>
        </w:rPr>
        <w:t xml:space="preserve">High Bill and </w:t>
      </w:r>
      <w:r w:rsidR="00F431F3" w:rsidRPr="00270C7A">
        <w:rPr>
          <w:u w:val="single"/>
        </w:rPr>
        <w:t>Theft of Gas</w:t>
      </w:r>
    </w:p>
    <w:p w:rsidR="009640C5" w:rsidRPr="00270C7A" w:rsidRDefault="009640C5" w:rsidP="00270C7A">
      <w:pPr>
        <w:spacing w:line="360" w:lineRule="auto"/>
        <w:ind w:firstLine="1440"/>
      </w:pPr>
    </w:p>
    <w:p w:rsidR="00F431F3" w:rsidRPr="00270C7A" w:rsidRDefault="00F431F3" w:rsidP="00270C7A">
      <w:pPr>
        <w:spacing w:line="360" w:lineRule="auto"/>
        <w:ind w:firstLine="1440"/>
      </w:pPr>
      <w:r w:rsidRPr="00270C7A">
        <w:t xml:space="preserve">The Complainant alleged that her neighbors were stealing her gas service through WiFi, and consequently, her gas bill is high.  </w:t>
      </w:r>
    </w:p>
    <w:p w:rsidR="00F431F3" w:rsidRPr="00270C7A" w:rsidRDefault="00F431F3" w:rsidP="00270C7A">
      <w:pPr>
        <w:spacing w:line="360" w:lineRule="auto"/>
        <w:ind w:firstLine="1440"/>
      </w:pPr>
    </w:p>
    <w:p w:rsidR="00B931EA" w:rsidRPr="00270C7A" w:rsidRDefault="00B931EA" w:rsidP="00270C7A">
      <w:pPr>
        <w:spacing w:line="360" w:lineRule="auto"/>
        <w:ind w:firstLine="1440"/>
        <w:rPr>
          <w:rFonts w:eastAsia="Calibri"/>
        </w:rPr>
      </w:pPr>
      <w:r w:rsidRPr="00270C7A">
        <w:rPr>
          <w:rFonts w:eastAsia="Calibri"/>
        </w:rPr>
        <w:t xml:space="preserve">In </w:t>
      </w:r>
      <w:r w:rsidRPr="00270C7A">
        <w:rPr>
          <w:rFonts w:eastAsia="Calibri"/>
          <w:i/>
        </w:rPr>
        <w:t>Waldron v. Philadelphia Electric Co.</w:t>
      </w:r>
      <w:r w:rsidRPr="00270C7A">
        <w:rPr>
          <w:rFonts w:eastAsia="Calibri"/>
        </w:rPr>
        <w:t>, 54 Pa. PUC 98 (1980)(“</w:t>
      </w:r>
      <w:r w:rsidRPr="00270C7A">
        <w:rPr>
          <w:rFonts w:eastAsia="Calibri"/>
          <w:i/>
        </w:rPr>
        <w:t>Waldron”</w:t>
      </w:r>
      <w:r w:rsidRPr="00270C7A">
        <w:rPr>
          <w:rFonts w:eastAsia="Calibri"/>
        </w:rPr>
        <w:t xml:space="preserve">), the Commission explained the process of meeting the burden of proof regarding a high bill complaint.  Pursuant to </w:t>
      </w:r>
      <w:r w:rsidRPr="00270C7A">
        <w:rPr>
          <w:rFonts w:eastAsia="Calibri"/>
          <w:i/>
        </w:rPr>
        <w:t>Waldron</w:t>
      </w:r>
      <w:r w:rsidRPr="00270C7A">
        <w:rPr>
          <w:rFonts w:eastAsia="Calibri"/>
        </w:rPr>
        <w:t xml:space="preserve">, the complainant has the burden to put forth evidence establishing a prima facie case.  The Commission concluded in </w:t>
      </w:r>
      <w:r w:rsidRPr="00270C7A">
        <w:rPr>
          <w:rFonts w:eastAsia="Calibri"/>
          <w:i/>
        </w:rPr>
        <w:t>Waldron</w:t>
      </w:r>
      <w:r w:rsidRPr="00270C7A">
        <w:rPr>
          <w:rFonts w:eastAsia="Calibri"/>
        </w:rPr>
        <w:t xml:space="preserve"> that the complainant may establish a prima facie case to satisfy the burden of proof, by showing that: </w:t>
      </w:r>
    </w:p>
    <w:p w:rsidR="00B931EA" w:rsidRPr="00270C7A" w:rsidRDefault="00B931EA" w:rsidP="00270C7A">
      <w:pPr>
        <w:spacing w:line="360" w:lineRule="auto"/>
        <w:ind w:firstLine="1440"/>
        <w:rPr>
          <w:rFonts w:eastAsia="Calibri"/>
        </w:rPr>
      </w:pPr>
    </w:p>
    <w:p w:rsidR="00B931EA" w:rsidRPr="00270C7A" w:rsidRDefault="00B931EA" w:rsidP="00270C7A">
      <w:pPr>
        <w:ind w:firstLine="1440"/>
        <w:rPr>
          <w:rFonts w:eastAsia="Calibri"/>
        </w:rPr>
      </w:pPr>
      <w:r w:rsidRPr="00270C7A">
        <w:rPr>
          <w:rFonts w:eastAsia="Calibri"/>
        </w:rPr>
        <w:t>(1) the number of occupants of the household has not changed;</w:t>
      </w:r>
    </w:p>
    <w:p w:rsidR="00B931EA" w:rsidRPr="00270C7A" w:rsidRDefault="00B931EA" w:rsidP="00270C7A">
      <w:pPr>
        <w:ind w:left="720" w:right="1440" w:firstLine="720"/>
        <w:rPr>
          <w:rFonts w:eastAsia="Calibri"/>
        </w:rPr>
      </w:pPr>
      <w:r w:rsidRPr="00270C7A">
        <w:rPr>
          <w:rFonts w:eastAsia="Calibri"/>
        </w:rPr>
        <w:t xml:space="preserve">(2) the potential for energy utilization is low; and </w:t>
      </w:r>
    </w:p>
    <w:p w:rsidR="00B931EA" w:rsidRPr="00270C7A" w:rsidRDefault="00B931EA" w:rsidP="00270C7A">
      <w:pPr>
        <w:ind w:left="720" w:right="1440" w:firstLine="720"/>
        <w:rPr>
          <w:rFonts w:eastAsia="Calibri"/>
        </w:rPr>
      </w:pPr>
      <w:r w:rsidRPr="00270C7A">
        <w:rPr>
          <w:rFonts w:eastAsia="Calibri"/>
        </w:rPr>
        <w:t>(3) the prior billing history shows no previous abnormalities.</w:t>
      </w:r>
    </w:p>
    <w:p w:rsidR="00B931EA" w:rsidRPr="00270C7A" w:rsidRDefault="00B931EA" w:rsidP="00270C7A">
      <w:pPr>
        <w:ind w:right="1440"/>
        <w:rPr>
          <w:rFonts w:eastAsia="Calibri"/>
        </w:rPr>
      </w:pPr>
    </w:p>
    <w:p w:rsidR="00B931EA" w:rsidRPr="00270C7A" w:rsidRDefault="00B931EA" w:rsidP="00270C7A">
      <w:pPr>
        <w:ind w:right="1440"/>
        <w:rPr>
          <w:rFonts w:eastAsia="Calibri"/>
        </w:rPr>
      </w:pPr>
    </w:p>
    <w:p w:rsidR="00B931EA" w:rsidRPr="00270C7A" w:rsidRDefault="00B931EA" w:rsidP="00270C7A">
      <w:pPr>
        <w:spacing w:line="360" w:lineRule="auto"/>
        <w:ind w:firstLine="1440"/>
        <w:rPr>
          <w:rFonts w:eastAsia="Calibri"/>
        </w:rPr>
      </w:pPr>
      <w:r w:rsidRPr="00270C7A">
        <w:rPr>
          <w:rFonts w:eastAsia="Calibri"/>
        </w:rPr>
        <w:lastRenderedPageBreak/>
        <w:t xml:space="preserve">Once a prima facie case has been established, the burden of going forward, but not the ultimate burden of proof, shifts to the utility to rebut the prima facie case with evidence which is at least co-equal.  </w:t>
      </w:r>
      <w:r w:rsidRPr="00270C7A">
        <w:rPr>
          <w:rFonts w:eastAsia="Calibri"/>
          <w:i/>
        </w:rPr>
        <w:t>Id</w:t>
      </w:r>
      <w:r w:rsidRPr="00270C7A">
        <w:rPr>
          <w:rFonts w:eastAsia="Calibri"/>
        </w:rPr>
        <w:t xml:space="preserve">.  If the utility rebuts a complainant’s evidence, the burden of going forward shifts back to the complainant, who must rebut the utility’s evidence by a preponderance of the evidence.  </w:t>
      </w:r>
      <w:r w:rsidRPr="00270C7A">
        <w:rPr>
          <w:rFonts w:eastAsia="Calibri"/>
          <w:i/>
        </w:rPr>
        <w:t>Poorbaugh v. West Penn Power Co</w:t>
      </w:r>
      <w:r w:rsidRPr="00270C7A">
        <w:rPr>
          <w:rFonts w:eastAsia="Calibri"/>
        </w:rPr>
        <w:t xml:space="preserve">., 1994 Pa. PUC LEXIS 95.  Although the burden of going forward with the evidence may shift from one party to another, the “burden of proof” (burden of persuasion) never shifts.  It always remains on the complainant.  </w:t>
      </w:r>
      <w:r w:rsidRPr="00270C7A">
        <w:rPr>
          <w:rFonts w:eastAsia="Calibri"/>
          <w:i/>
        </w:rPr>
        <w:t>Replogle v. Pennsylvania Electric Co.</w:t>
      </w:r>
      <w:r w:rsidRPr="00270C7A">
        <w:rPr>
          <w:rFonts w:eastAsia="Calibri"/>
        </w:rPr>
        <w:t xml:space="preserve">, 54 Pa. PUC 528 (1980), and </w:t>
      </w:r>
      <w:r w:rsidRPr="00270C7A">
        <w:rPr>
          <w:rFonts w:eastAsia="Calibri"/>
          <w:i/>
        </w:rPr>
        <w:t>Waldron</w:t>
      </w:r>
      <w:r w:rsidRPr="00270C7A">
        <w:rPr>
          <w:rFonts w:eastAsia="Calibri"/>
        </w:rPr>
        <w:t>.</w:t>
      </w:r>
    </w:p>
    <w:p w:rsidR="00B931EA" w:rsidRPr="00270C7A" w:rsidRDefault="00B931EA" w:rsidP="00270C7A">
      <w:pPr>
        <w:spacing w:line="360" w:lineRule="auto"/>
        <w:rPr>
          <w:rFonts w:eastAsia="Calibri"/>
        </w:rPr>
      </w:pPr>
    </w:p>
    <w:p w:rsidR="00B931EA" w:rsidRPr="00270C7A" w:rsidRDefault="00B931EA" w:rsidP="00270C7A">
      <w:pPr>
        <w:spacing w:line="360" w:lineRule="auto"/>
        <w:rPr>
          <w:rFonts w:eastAsia="Calibri"/>
        </w:rPr>
      </w:pPr>
      <w:r w:rsidRPr="00270C7A">
        <w:rPr>
          <w:rFonts w:eastAsia="Calibri"/>
        </w:rPr>
        <w:tab/>
      </w:r>
      <w:r w:rsidRPr="00270C7A">
        <w:rPr>
          <w:rFonts w:eastAsia="Calibri"/>
        </w:rPr>
        <w:tab/>
        <w:t xml:space="preserve">The Commonwealth Court in </w:t>
      </w:r>
      <w:r w:rsidRPr="00270C7A">
        <w:rPr>
          <w:rFonts w:eastAsia="Calibri"/>
          <w:i/>
        </w:rPr>
        <w:t>Milkie</w:t>
      </w:r>
      <w:r w:rsidRPr="00270C7A">
        <w:rPr>
          <w:rFonts w:eastAsia="Calibri"/>
        </w:rPr>
        <w:t xml:space="preserve">, provided the controlling principle in alleged overbilling cases.  </w:t>
      </w:r>
      <w:r w:rsidRPr="00270C7A">
        <w:rPr>
          <w:rFonts w:eastAsia="Calibri"/>
          <w:i/>
        </w:rPr>
        <w:t>Milkie</w:t>
      </w:r>
      <w:r w:rsidRPr="00270C7A">
        <w:rPr>
          <w:rFonts w:eastAsia="Calibri"/>
        </w:rPr>
        <w:t xml:space="preserve"> established that even when the utility can present evidence that it has tested the customer’s meter and found it to be accurate, the customer may, nonetheless, prove his or her case by circumstantial evidence which would support a finding that the metered usage exceeded the actual usage.  </w:t>
      </w:r>
      <w:r w:rsidR="00EC5F25" w:rsidRPr="00270C7A">
        <w:rPr>
          <w:i/>
          <w:iCs/>
        </w:rPr>
        <w:t xml:space="preserve">Milkie v. Pa. Pub. Util. Comm’n., </w:t>
      </w:r>
      <w:r w:rsidR="00EC5F25" w:rsidRPr="00270C7A">
        <w:rPr>
          <w:iCs/>
        </w:rPr>
        <w:t>768 A.2d 1217, 1219-20 (Pa. Cmwlth. 20</w:t>
      </w:r>
      <w:r w:rsidR="00EA3659" w:rsidRPr="00270C7A">
        <w:rPr>
          <w:iCs/>
        </w:rPr>
        <w:t>0</w:t>
      </w:r>
      <w:r w:rsidR="00EC5F25" w:rsidRPr="00270C7A">
        <w:rPr>
          <w:iCs/>
        </w:rPr>
        <w:t>1);</w:t>
      </w:r>
      <w:r w:rsidR="00EC5F25" w:rsidRPr="00270C7A">
        <w:t xml:space="preserve"> </w:t>
      </w:r>
      <w:r w:rsidR="00EC5F25" w:rsidRPr="00270C7A">
        <w:rPr>
          <w:i/>
          <w:iCs/>
        </w:rPr>
        <w:t xml:space="preserve">Waldron v. Philadelphia. Electric Co., </w:t>
      </w:r>
      <w:r w:rsidR="00EC5F25" w:rsidRPr="00270C7A">
        <w:rPr>
          <w:iCs/>
        </w:rPr>
        <w:t>54 Pa. PUC 98 (1980);</w:t>
      </w:r>
      <w:r w:rsidR="00EC5F25" w:rsidRPr="00270C7A">
        <w:t xml:space="preserve"> </w:t>
      </w:r>
      <w:r w:rsidR="00EC5F25" w:rsidRPr="00270C7A">
        <w:rPr>
          <w:i/>
          <w:iCs/>
        </w:rPr>
        <w:t>Bennett v. Peoples Natural Gas Co.,</w:t>
      </w:r>
      <w:r w:rsidR="00EC5F25" w:rsidRPr="00270C7A">
        <w:t xml:space="preserve"> Docket No. C-2009-2122979 (Order entered October 13, 2010); </w:t>
      </w:r>
      <w:r w:rsidR="00EC5F25" w:rsidRPr="00270C7A">
        <w:rPr>
          <w:i/>
          <w:iCs/>
        </w:rPr>
        <w:t>Thomas v. PECO Energy Company</w:t>
      </w:r>
      <w:r w:rsidR="00EC5F25" w:rsidRPr="00270C7A">
        <w:t>, Docket No. C-2010-2187197 (Final Order entered November 15, 2011).</w:t>
      </w:r>
    </w:p>
    <w:p w:rsidR="00B931EA" w:rsidRPr="00270C7A" w:rsidRDefault="00B931EA" w:rsidP="00270C7A">
      <w:pPr>
        <w:spacing w:line="360" w:lineRule="auto"/>
        <w:ind w:firstLine="1440"/>
        <w:rPr>
          <w:rFonts w:eastAsia="Calibri"/>
        </w:rPr>
      </w:pPr>
    </w:p>
    <w:p w:rsidR="00B931EA" w:rsidRPr="00270C7A" w:rsidRDefault="00B931EA" w:rsidP="00270C7A">
      <w:pPr>
        <w:spacing w:line="360" w:lineRule="auto"/>
        <w:ind w:firstLine="1440"/>
        <w:rPr>
          <w:rFonts w:eastAsia="Calibri"/>
        </w:rPr>
      </w:pPr>
      <w:r w:rsidRPr="00270C7A">
        <w:rPr>
          <w:rFonts w:eastAsia="Calibri"/>
        </w:rPr>
        <w:t>More specifically, the Commonwealth Court interpreted the “Waldron Rule” as follows:</w:t>
      </w:r>
    </w:p>
    <w:p w:rsidR="00B931EA" w:rsidRPr="00270C7A" w:rsidRDefault="00B931EA" w:rsidP="00270C7A">
      <w:pPr>
        <w:spacing w:line="360" w:lineRule="auto"/>
        <w:ind w:firstLine="1440"/>
        <w:rPr>
          <w:rFonts w:eastAsia="Calibri"/>
        </w:rPr>
      </w:pPr>
    </w:p>
    <w:p w:rsidR="00B931EA" w:rsidRPr="00270C7A" w:rsidRDefault="00B931EA" w:rsidP="00270C7A">
      <w:pPr>
        <w:spacing w:line="276" w:lineRule="auto"/>
        <w:ind w:left="1440" w:right="1440" w:hanging="1440"/>
        <w:rPr>
          <w:rFonts w:eastAsia="Calibri"/>
        </w:rPr>
      </w:pPr>
      <w:r w:rsidRPr="00270C7A">
        <w:rPr>
          <w:rFonts w:eastAsia="Calibri"/>
        </w:rPr>
        <w:t xml:space="preserve">                       While the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r w:rsidRPr="00270C7A">
        <w:rPr>
          <w:rFonts w:eastAsia="Calibri"/>
          <w:i/>
        </w:rPr>
        <w:t>Burleson v. Pa. Pub. Util. Comm’n</w:t>
      </w:r>
      <w:r w:rsidRPr="00270C7A">
        <w:rPr>
          <w:rFonts w:eastAsia="Calibri"/>
        </w:rPr>
        <w:t xml:space="preserve">, 501 Pa. 433, 435-36, 461 A.2d 1234, 1235 (1983).  Any circumstantial </w:t>
      </w:r>
      <w:r w:rsidRPr="00270C7A">
        <w:rPr>
          <w:rFonts w:eastAsia="Calibri"/>
        </w:rPr>
        <w:lastRenderedPageBreak/>
        <w:t>evidence which meets this standard will establish a prima facie case.</w:t>
      </w:r>
    </w:p>
    <w:p w:rsidR="00B931EA" w:rsidRPr="00270C7A" w:rsidRDefault="00B931EA" w:rsidP="00270C7A">
      <w:pPr>
        <w:ind w:left="1440" w:right="1440" w:hanging="1440"/>
        <w:rPr>
          <w:rFonts w:eastAsia="Calibri"/>
        </w:rPr>
      </w:pPr>
      <w:r w:rsidRPr="00270C7A">
        <w:rPr>
          <w:rFonts w:eastAsia="Calibri"/>
        </w:rPr>
        <w:t xml:space="preserve">                        Once it is determined that the complainant has made out his prima facie case, the burden of going forward shifts to the utility, but the ultimate burden of persuasion remains with the complainant.  The Commission must measure the weight and credibility of all the evidence, and simply because the ratepayer has presented a prima facie case does not obligate the Commission to credit this evidence or to give it any special weight.  If the utility presents evidence found to be of co-equal (or greater) weight with that of the complainant, the complainant will not have met his burden of proof.  At this stage, the Waldron doctrine provides “that the mere proof by the utility that its power measuring devices were accurate is no longer the </w:t>
      </w:r>
      <w:r w:rsidRPr="00270C7A">
        <w:rPr>
          <w:rFonts w:eastAsia="Calibri"/>
          <w:b/>
        </w:rPr>
        <w:t>s</w:t>
      </w:r>
      <w:r w:rsidRPr="00270C7A">
        <w:rPr>
          <w:rFonts w:eastAsia="Calibri"/>
        </w:rPr>
        <w:t xml:space="preserve">ole determinant as to whether there is a basis to a complaint of overbilling.”  </w:t>
      </w:r>
      <w:r w:rsidRPr="00270C7A">
        <w:rPr>
          <w:rFonts w:eastAsia="Calibri"/>
          <w:i/>
        </w:rPr>
        <w:t>Id</w:t>
      </w:r>
      <w:r w:rsidRPr="00270C7A">
        <w:rPr>
          <w:rFonts w:eastAsia="Calibri"/>
        </w:rPr>
        <w:t xml:space="preserve">. at 436, 461 A.2d at 1236 (emphasis added).  Finally, where the Commission has dismissed the complaint because the customer failed to sustain his burden of persuasion (generally a fact question), rather than because the customer failed to present a prima facie case as a matter of law, the Waldron rule is irrelevant on appeal.  </w:t>
      </w:r>
      <w:r w:rsidRPr="00270C7A">
        <w:rPr>
          <w:rFonts w:eastAsia="Calibri"/>
          <w:i/>
        </w:rPr>
        <w:t>Id</w:t>
      </w:r>
      <w:r w:rsidRPr="00270C7A">
        <w:rPr>
          <w:rFonts w:eastAsia="Calibri"/>
        </w:rPr>
        <w:t>. at 436, 461 A.2d at 1236 (footnotes omitted).</w:t>
      </w:r>
    </w:p>
    <w:p w:rsidR="00B931EA" w:rsidRPr="00270C7A" w:rsidRDefault="00B931EA" w:rsidP="00270C7A">
      <w:pPr>
        <w:ind w:right="1440"/>
        <w:rPr>
          <w:rFonts w:eastAsia="Calibri"/>
        </w:rPr>
      </w:pPr>
    </w:p>
    <w:p w:rsidR="00B931EA" w:rsidRPr="00270C7A" w:rsidRDefault="00B931EA" w:rsidP="00270C7A">
      <w:pPr>
        <w:ind w:right="1440"/>
        <w:rPr>
          <w:rFonts w:eastAsia="Calibri"/>
        </w:rPr>
      </w:pPr>
    </w:p>
    <w:p w:rsidR="00B931EA" w:rsidRPr="00270C7A" w:rsidRDefault="00B931EA" w:rsidP="00270C7A">
      <w:pPr>
        <w:rPr>
          <w:rFonts w:eastAsia="Calibri"/>
          <w:i/>
        </w:rPr>
      </w:pPr>
      <w:r w:rsidRPr="00270C7A">
        <w:rPr>
          <w:rFonts w:eastAsia="Calibri"/>
          <w:i/>
        </w:rPr>
        <w:t>Id.</w:t>
      </w:r>
    </w:p>
    <w:p w:rsidR="00B931EA" w:rsidRPr="00270C7A" w:rsidRDefault="00B931EA" w:rsidP="00270C7A">
      <w:pPr>
        <w:spacing w:line="360" w:lineRule="auto"/>
        <w:ind w:firstLine="1440"/>
      </w:pPr>
    </w:p>
    <w:p w:rsidR="00AE0F5F" w:rsidRPr="00270C7A" w:rsidRDefault="00B931EA" w:rsidP="00270C7A">
      <w:pPr>
        <w:spacing w:line="360" w:lineRule="auto"/>
        <w:ind w:firstLine="1440"/>
      </w:pPr>
      <w:r w:rsidRPr="00270C7A">
        <w:t>In the instant Complaint, t</w:t>
      </w:r>
      <w:r w:rsidR="00A421BB" w:rsidRPr="00270C7A">
        <w:t xml:space="preserve">he Complainant </w:t>
      </w:r>
      <w:r w:rsidRPr="00270C7A">
        <w:t>is the sole occupant of the servic</w:t>
      </w:r>
      <w:r w:rsidR="00654A1A" w:rsidRPr="00270C7A">
        <w:t xml:space="preserve">e address. </w:t>
      </w:r>
      <w:r w:rsidR="00301A3A" w:rsidRPr="00270C7A">
        <w:t xml:space="preserve"> FOF 7. </w:t>
      </w:r>
      <w:r w:rsidR="00654A1A" w:rsidRPr="00270C7A">
        <w:t xml:space="preserve"> The record does not show that the occupancy has change</w:t>
      </w:r>
      <w:r w:rsidR="00301A3A" w:rsidRPr="00270C7A">
        <w:t>d</w:t>
      </w:r>
      <w:r w:rsidR="00654A1A" w:rsidRPr="00270C7A">
        <w:t>.</w:t>
      </w:r>
      <w:r w:rsidR="00301A3A" w:rsidRPr="00270C7A">
        <w:t xml:space="preserve">  PGW Exhibit 11.   </w:t>
      </w:r>
    </w:p>
    <w:p w:rsidR="00AE0F5F" w:rsidRPr="00270C7A" w:rsidRDefault="00AE0F5F" w:rsidP="00270C7A">
      <w:pPr>
        <w:spacing w:line="360" w:lineRule="auto"/>
        <w:ind w:firstLine="1440"/>
      </w:pPr>
    </w:p>
    <w:p w:rsidR="001E070A" w:rsidRPr="00270C7A" w:rsidRDefault="00AE0F5F" w:rsidP="00270C7A">
      <w:pPr>
        <w:spacing w:line="360" w:lineRule="auto"/>
        <w:ind w:firstLine="1440"/>
      </w:pPr>
      <w:r w:rsidRPr="00270C7A">
        <w:t>The Complainant has three appliances that use gas service, a house heater at 100,000 BTUs, a range at 44,000 BTUs and a water heater at 40,000 BTUs.  PGW Exhibit 10.</w:t>
      </w:r>
    </w:p>
    <w:p w:rsidR="001E070A" w:rsidRPr="00270C7A" w:rsidRDefault="001E070A" w:rsidP="00270C7A">
      <w:r w:rsidRPr="00270C7A">
        <w:br w:type="page"/>
      </w:r>
    </w:p>
    <w:p w:rsidR="00AE0F5F" w:rsidRPr="00270C7A" w:rsidRDefault="00AE0F5F" w:rsidP="00270C7A">
      <w:pPr>
        <w:spacing w:line="360" w:lineRule="auto"/>
        <w:ind w:firstLine="1440"/>
      </w:pPr>
      <w:r w:rsidRPr="00270C7A">
        <w:lastRenderedPageBreak/>
        <w:t>The Complainant’s gas usage in CCF (</w:t>
      </w:r>
      <w:r w:rsidR="0061247C" w:rsidRPr="00270C7A">
        <w:t xml:space="preserve">100 </w:t>
      </w:r>
      <w:r w:rsidRPr="00270C7A">
        <w:t>cubic feet) is as follows:</w:t>
      </w:r>
    </w:p>
    <w:tbl>
      <w:tblPr>
        <w:tblStyle w:val="TableGrid"/>
        <w:tblW w:w="0" w:type="auto"/>
        <w:tblInd w:w="1332" w:type="dxa"/>
        <w:tblLook w:val="04A0" w:firstRow="1" w:lastRow="0" w:firstColumn="1" w:lastColumn="0" w:noHBand="0" w:noVBand="1"/>
      </w:tblPr>
      <w:tblGrid>
        <w:gridCol w:w="957"/>
        <w:gridCol w:w="957"/>
        <w:gridCol w:w="957"/>
        <w:gridCol w:w="957"/>
        <w:gridCol w:w="958"/>
        <w:gridCol w:w="958"/>
        <w:gridCol w:w="958"/>
      </w:tblGrid>
      <w:tr w:rsidR="00AE0F5F" w:rsidRPr="00270C7A" w:rsidTr="00AE0F5F">
        <w:tc>
          <w:tcPr>
            <w:tcW w:w="957" w:type="dxa"/>
          </w:tcPr>
          <w:p w:rsidR="00AE0F5F" w:rsidRPr="00270C7A" w:rsidRDefault="00AE0F5F" w:rsidP="00270C7A">
            <w:r w:rsidRPr="00270C7A">
              <w:t>Month</w:t>
            </w:r>
          </w:p>
        </w:tc>
        <w:tc>
          <w:tcPr>
            <w:tcW w:w="957" w:type="dxa"/>
          </w:tcPr>
          <w:p w:rsidR="00AE0F5F" w:rsidRPr="00270C7A" w:rsidRDefault="00AE0F5F" w:rsidP="00270C7A">
            <w:r w:rsidRPr="00270C7A">
              <w:t>2011</w:t>
            </w:r>
          </w:p>
        </w:tc>
        <w:tc>
          <w:tcPr>
            <w:tcW w:w="957" w:type="dxa"/>
          </w:tcPr>
          <w:p w:rsidR="00AE0F5F" w:rsidRPr="00270C7A" w:rsidRDefault="00AE0F5F" w:rsidP="00270C7A">
            <w:r w:rsidRPr="00270C7A">
              <w:t>2012</w:t>
            </w:r>
          </w:p>
        </w:tc>
        <w:tc>
          <w:tcPr>
            <w:tcW w:w="957" w:type="dxa"/>
          </w:tcPr>
          <w:p w:rsidR="00AE0F5F" w:rsidRPr="00270C7A" w:rsidRDefault="00AE0F5F" w:rsidP="00270C7A">
            <w:r w:rsidRPr="00270C7A">
              <w:t>2013</w:t>
            </w:r>
          </w:p>
        </w:tc>
        <w:tc>
          <w:tcPr>
            <w:tcW w:w="958" w:type="dxa"/>
          </w:tcPr>
          <w:p w:rsidR="00AE0F5F" w:rsidRPr="00270C7A" w:rsidRDefault="00AE0F5F" w:rsidP="00270C7A">
            <w:r w:rsidRPr="00270C7A">
              <w:t>2014</w:t>
            </w:r>
          </w:p>
        </w:tc>
        <w:tc>
          <w:tcPr>
            <w:tcW w:w="958" w:type="dxa"/>
          </w:tcPr>
          <w:p w:rsidR="00AE0F5F" w:rsidRPr="00270C7A" w:rsidRDefault="00AE0F5F" w:rsidP="00270C7A">
            <w:r w:rsidRPr="00270C7A">
              <w:t>2015</w:t>
            </w:r>
          </w:p>
        </w:tc>
        <w:tc>
          <w:tcPr>
            <w:tcW w:w="958" w:type="dxa"/>
          </w:tcPr>
          <w:p w:rsidR="00AE0F5F" w:rsidRPr="00270C7A" w:rsidRDefault="00AE0F5F" w:rsidP="00270C7A">
            <w:r w:rsidRPr="00270C7A">
              <w:t>2016</w:t>
            </w:r>
          </w:p>
        </w:tc>
      </w:tr>
      <w:tr w:rsidR="00AE0F5F" w:rsidRPr="00270C7A" w:rsidTr="00AE0F5F">
        <w:tc>
          <w:tcPr>
            <w:tcW w:w="957" w:type="dxa"/>
          </w:tcPr>
          <w:p w:rsidR="00AE0F5F" w:rsidRPr="00270C7A" w:rsidRDefault="00AE0F5F" w:rsidP="00270C7A">
            <w:r w:rsidRPr="00270C7A">
              <w:t>Jan.</w:t>
            </w:r>
          </w:p>
        </w:tc>
        <w:tc>
          <w:tcPr>
            <w:tcW w:w="957" w:type="dxa"/>
          </w:tcPr>
          <w:p w:rsidR="00AE0F5F" w:rsidRPr="00270C7A" w:rsidRDefault="00AE0F5F" w:rsidP="00270C7A"/>
        </w:tc>
        <w:tc>
          <w:tcPr>
            <w:tcW w:w="957" w:type="dxa"/>
          </w:tcPr>
          <w:p w:rsidR="00AE0F5F" w:rsidRPr="00270C7A" w:rsidRDefault="0061247C" w:rsidP="00270C7A">
            <w:r w:rsidRPr="00270C7A">
              <w:t>255</w:t>
            </w:r>
          </w:p>
        </w:tc>
        <w:tc>
          <w:tcPr>
            <w:tcW w:w="957" w:type="dxa"/>
          </w:tcPr>
          <w:p w:rsidR="00AE0F5F" w:rsidRPr="00270C7A" w:rsidRDefault="0061247C" w:rsidP="00270C7A">
            <w:r w:rsidRPr="00270C7A">
              <w:t>2</w:t>
            </w:r>
            <w:r w:rsidR="006F0519" w:rsidRPr="00270C7A">
              <w:t>73</w:t>
            </w:r>
          </w:p>
        </w:tc>
        <w:tc>
          <w:tcPr>
            <w:tcW w:w="958" w:type="dxa"/>
          </w:tcPr>
          <w:p w:rsidR="00AE0F5F" w:rsidRPr="00270C7A" w:rsidRDefault="0061247C" w:rsidP="00270C7A">
            <w:r w:rsidRPr="00270C7A">
              <w:t>2</w:t>
            </w:r>
            <w:r w:rsidR="006F0519" w:rsidRPr="00270C7A">
              <w:t>84</w:t>
            </w:r>
          </w:p>
        </w:tc>
        <w:tc>
          <w:tcPr>
            <w:tcW w:w="958" w:type="dxa"/>
          </w:tcPr>
          <w:p w:rsidR="00AE0F5F" w:rsidRPr="00270C7A" w:rsidRDefault="0061247C" w:rsidP="00270C7A">
            <w:r w:rsidRPr="00270C7A">
              <w:t>2</w:t>
            </w:r>
            <w:r w:rsidR="006F0519" w:rsidRPr="00270C7A">
              <w:t>47</w:t>
            </w:r>
          </w:p>
        </w:tc>
        <w:tc>
          <w:tcPr>
            <w:tcW w:w="958" w:type="dxa"/>
          </w:tcPr>
          <w:p w:rsidR="00AE0F5F" w:rsidRPr="00270C7A" w:rsidRDefault="006F0519" w:rsidP="00270C7A">
            <w:r w:rsidRPr="00270C7A">
              <w:t>231</w:t>
            </w:r>
          </w:p>
        </w:tc>
      </w:tr>
      <w:tr w:rsidR="00AE0F5F" w:rsidRPr="00270C7A" w:rsidTr="00AE0F5F">
        <w:tc>
          <w:tcPr>
            <w:tcW w:w="957" w:type="dxa"/>
          </w:tcPr>
          <w:p w:rsidR="00AE0F5F" w:rsidRPr="00270C7A" w:rsidRDefault="00AE0F5F" w:rsidP="00270C7A">
            <w:r w:rsidRPr="00270C7A">
              <w:t>Feb.</w:t>
            </w:r>
          </w:p>
        </w:tc>
        <w:tc>
          <w:tcPr>
            <w:tcW w:w="957" w:type="dxa"/>
          </w:tcPr>
          <w:p w:rsidR="00AE0F5F" w:rsidRPr="00270C7A" w:rsidRDefault="00AE0F5F" w:rsidP="00270C7A"/>
        </w:tc>
        <w:tc>
          <w:tcPr>
            <w:tcW w:w="957" w:type="dxa"/>
          </w:tcPr>
          <w:p w:rsidR="00AE0F5F" w:rsidRPr="00270C7A" w:rsidRDefault="0061247C" w:rsidP="00270C7A">
            <w:r w:rsidRPr="00270C7A">
              <w:t>231</w:t>
            </w:r>
          </w:p>
        </w:tc>
        <w:tc>
          <w:tcPr>
            <w:tcW w:w="957" w:type="dxa"/>
          </w:tcPr>
          <w:p w:rsidR="00AE0F5F" w:rsidRPr="00270C7A" w:rsidRDefault="0061247C" w:rsidP="00270C7A">
            <w:r w:rsidRPr="00270C7A">
              <w:t>2</w:t>
            </w:r>
            <w:r w:rsidR="006F0519" w:rsidRPr="00270C7A">
              <w:t>42</w:t>
            </w:r>
          </w:p>
        </w:tc>
        <w:tc>
          <w:tcPr>
            <w:tcW w:w="958" w:type="dxa"/>
          </w:tcPr>
          <w:p w:rsidR="00AE0F5F" w:rsidRPr="00270C7A" w:rsidRDefault="006F0519" w:rsidP="00270C7A">
            <w:r w:rsidRPr="00270C7A">
              <w:t>26</w:t>
            </w:r>
            <w:r w:rsidR="0061247C" w:rsidRPr="00270C7A">
              <w:t>6</w:t>
            </w:r>
          </w:p>
        </w:tc>
        <w:tc>
          <w:tcPr>
            <w:tcW w:w="958" w:type="dxa"/>
          </w:tcPr>
          <w:p w:rsidR="00AE0F5F" w:rsidRPr="00270C7A" w:rsidRDefault="006F0519" w:rsidP="00270C7A">
            <w:r w:rsidRPr="00270C7A">
              <w:t>306</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Mar.</w:t>
            </w:r>
          </w:p>
        </w:tc>
        <w:tc>
          <w:tcPr>
            <w:tcW w:w="957" w:type="dxa"/>
          </w:tcPr>
          <w:p w:rsidR="00AE0F5F" w:rsidRPr="00270C7A" w:rsidRDefault="00AE0F5F" w:rsidP="00270C7A"/>
        </w:tc>
        <w:tc>
          <w:tcPr>
            <w:tcW w:w="957" w:type="dxa"/>
          </w:tcPr>
          <w:p w:rsidR="00AE0F5F" w:rsidRPr="00270C7A" w:rsidRDefault="0061247C" w:rsidP="00270C7A">
            <w:r w:rsidRPr="00270C7A">
              <w:t>92</w:t>
            </w:r>
          </w:p>
        </w:tc>
        <w:tc>
          <w:tcPr>
            <w:tcW w:w="957" w:type="dxa"/>
          </w:tcPr>
          <w:p w:rsidR="00AE0F5F" w:rsidRPr="00270C7A" w:rsidRDefault="006F0519" w:rsidP="00270C7A">
            <w:r w:rsidRPr="00270C7A">
              <w:t>175</w:t>
            </w:r>
          </w:p>
        </w:tc>
        <w:tc>
          <w:tcPr>
            <w:tcW w:w="958" w:type="dxa"/>
          </w:tcPr>
          <w:p w:rsidR="00AE0F5F" w:rsidRPr="00270C7A" w:rsidRDefault="006F0519" w:rsidP="00270C7A">
            <w:r w:rsidRPr="00270C7A">
              <w:t>22</w:t>
            </w:r>
            <w:r w:rsidR="0061247C" w:rsidRPr="00270C7A">
              <w:t>4</w:t>
            </w:r>
          </w:p>
        </w:tc>
        <w:tc>
          <w:tcPr>
            <w:tcW w:w="958" w:type="dxa"/>
          </w:tcPr>
          <w:p w:rsidR="00AE0F5F" w:rsidRPr="00270C7A" w:rsidRDefault="006F0519" w:rsidP="00270C7A">
            <w:r w:rsidRPr="00270C7A">
              <w:t>194</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Apr.</w:t>
            </w:r>
          </w:p>
        </w:tc>
        <w:tc>
          <w:tcPr>
            <w:tcW w:w="957" w:type="dxa"/>
          </w:tcPr>
          <w:p w:rsidR="00AE0F5F" w:rsidRPr="00270C7A" w:rsidRDefault="00AE0F5F" w:rsidP="00270C7A"/>
        </w:tc>
        <w:tc>
          <w:tcPr>
            <w:tcW w:w="957" w:type="dxa"/>
          </w:tcPr>
          <w:p w:rsidR="00AE0F5F" w:rsidRPr="00270C7A" w:rsidRDefault="0061247C" w:rsidP="00270C7A">
            <w:r w:rsidRPr="00270C7A">
              <w:t>76</w:t>
            </w:r>
          </w:p>
        </w:tc>
        <w:tc>
          <w:tcPr>
            <w:tcW w:w="957" w:type="dxa"/>
          </w:tcPr>
          <w:p w:rsidR="00AE0F5F" w:rsidRPr="00270C7A" w:rsidRDefault="006F0519" w:rsidP="00270C7A">
            <w:r w:rsidRPr="00270C7A">
              <w:t>80</w:t>
            </w:r>
          </w:p>
        </w:tc>
        <w:tc>
          <w:tcPr>
            <w:tcW w:w="958" w:type="dxa"/>
          </w:tcPr>
          <w:p w:rsidR="00AE0F5F" w:rsidRPr="00270C7A" w:rsidRDefault="006F0519" w:rsidP="00270C7A">
            <w:r w:rsidRPr="00270C7A">
              <w:t>102</w:t>
            </w:r>
          </w:p>
        </w:tc>
        <w:tc>
          <w:tcPr>
            <w:tcW w:w="958" w:type="dxa"/>
          </w:tcPr>
          <w:p w:rsidR="00AE0F5F" w:rsidRPr="00270C7A" w:rsidRDefault="006F0519" w:rsidP="00270C7A">
            <w:r w:rsidRPr="00270C7A">
              <w:t>85</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May</w:t>
            </w:r>
          </w:p>
        </w:tc>
        <w:tc>
          <w:tcPr>
            <w:tcW w:w="957" w:type="dxa"/>
          </w:tcPr>
          <w:p w:rsidR="00AE0F5F" w:rsidRPr="00270C7A" w:rsidRDefault="00AE0F5F" w:rsidP="00270C7A"/>
        </w:tc>
        <w:tc>
          <w:tcPr>
            <w:tcW w:w="957" w:type="dxa"/>
          </w:tcPr>
          <w:p w:rsidR="00AE0F5F" w:rsidRPr="00270C7A" w:rsidRDefault="0061247C" w:rsidP="00270C7A">
            <w:r w:rsidRPr="00270C7A">
              <w:t>28</w:t>
            </w:r>
          </w:p>
        </w:tc>
        <w:tc>
          <w:tcPr>
            <w:tcW w:w="957" w:type="dxa"/>
          </w:tcPr>
          <w:p w:rsidR="00AE0F5F" w:rsidRPr="00270C7A" w:rsidRDefault="0061247C" w:rsidP="00270C7A">
            <w:r w:rsidRPr="00270C7A">
              <w:t>34</w:t>
            </w:r>
          </w:p>
        </w:tc>
        <w:tc>
          <w:tcPr>
            <w:tcW w:w="958" w:type="dxa"/>
          </w:tcPr>
          <w:p w:rsidR="00AE0F5F" w:rsidRPr="00270C7A" w:rsidRDefault="006F0519" w:rsidP="00270C7A">
            <w:r w:rsidRPr="00270C7A">
              <w:t>34</w:t>
            </w:r>
          </w:p>
        </w:tc>
        <w:tc>
          <w:tcPr>
            <w:tcW w:w="958" w:type="dxa"/>
          </w:tcPr>
          <w:p w:rsidR="00AE0F5F" w:rsidRPr="00270C7A" w:rsidRDefault="006F0519" w:rsidP="00270C7A">
            <w:r w:rsidRPr="00270C7A">
              <w:t>21</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Jun.</w:t>
            </w:r>
          </w:p>
        </w:tc>
        <w:tc>
          <w:tcPr>
            <w:tcW w:w="957" w:type="dxa"/>
          </w:tcPr>
          <w:p w:rsidR="00AE0F5F" w:rsidRPr="00270C7A" w:rsidRDefault="00AE0F5F" w:rsidP="00270C7A"/>
        </w:tc>
        <w:tc>
          <w:tcPr>
            <w:tcW w:w="957" w:type="dxa"/>
          </w:tcPr>
          <w:p w:rsidR="00AE0F5F" w:rsidRPr="00270C7A" w:rsidRDefault="0061247C" w:rsidP="00270C7A">
            <w:r w:rsidRPr="00270C7A">
              <w:t>15</w:t>
            </w:r>
          </w:p>
        </w:tc>
        <w:tc>
          <w:tcPr>
            <w:tcW w:w="957" w:type="dxa"/>
          </w:tcPr>
          <w:p w:rsidR="00AE0F5F" w:rsidRPr="00270C7A" w:rsidRDefault="0061247C" w:rsidP="00270C7A">
            <w:r w:rsidRPr="00270C7A">
              <w:t>1</w:t>
            </w:r>
            <w:r w:rsidR="006F0519" w:rsidRPr="00270C7A">
              <w:t>7</w:t>
            </w:r>
          </w:p>
        </w:tc>
        <w:tc>
          <w:tcPr>
            <w:tcW w:w="958" w:type="dxa"/>
          </w:tcPr>
          <w:p w:rsidR="00AE0F5F" w:rsidRPr="00270C7A" w:rsidRDefault="0061247C" w:rsidP="00270C7A">
            <w:r w:rsidRPr="00270C7A">
              <w:t>1</w:t>
            </w:r>
            <w:r w:rsidR="006F0519" w:rsidRPr="00270C7A">
              <w:t>3</w:t>
            </w:r>
          </w:p>
        </w:tc>
        <w:tc>
          <w:tcPr>
            <w:tcW w:w="958" w:type="dxa"/>
          </w:tcPr>
          <w:p w:rsidR="00AE0F5F" w:rsidRPr="00270C7A" w:rsidRDefault="006F0519" w:rsidP="00270C7A">
            <w:r w:rsidRPr="00270C7A">
              <w:t>12</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Jul.</w:t>
            </w:r>
          </w:p>
        </w:tc>
        <w:tc>
          <w:tcPr>
            <w:tcW w:w="957" w:type="dxa"/>
          </w:tcPr>
          <w:p w:rsidR="00AE0F5F" w:rsidRPr="00270C7A" w:rsidRDefault="00AE0F5F" w:rsidP="00270C7A"/>
        </w:tc>
        <w:tc>
          <w:tcPr>
            <w:tcW w:w="957" w:type="dxa"/>
          </w:tcPr>
          <w:p w:rsidR="00AE0F5F" w:rsidRPr="00270C7A" w:rsidRDefault="0061247C" w:rsidP="00270C7A">
            <w:r w:rsidRPr="00270C7A">
              <w:t>12</w:t>
            </w:r>
          </w:p>
        </w:tc>
        <w:tc>
          <w:tcPr>
            <w:tcW w:w="957" w:type="dxa"/>
          </w:tcPr>
          <w:p w:rsidR="00AE0F5F" w:rsidRPr="00270C7A" w:rsidRDefault="006F0519" w:rsidP="00270C7A">
            <w:r w:rsidRPr="00270C7A">
              <w:t>9</w:t>
            </w:r>
          </w:p>
        </w:tc>
        <w:tc>
          <w:tcPr>
            <w:tcW w:w="958" w:type="dxa"/>
          </w:tcPr>
          <w:p w:rsidR="00AE0F5F" w:rsidRPr="00270C7A" w:rsidRDefault="0061247C" w:rsidP="00270C7A">
            <w:r w:rsidRPr="00270C7A">
              <w:t>1</w:t>
            </w:r>
            <w:r w:rsidR="006F0519" w:rsidRPr="00270C7A">
              <w:t>1</w:t>
            </w:r>
          </w:p>
        </w:tc>
        <w:tc>
          <w:tcPr>
            <w:tcW w:w="958" w:type="dxa"/>
          </w:tcPr>
          <w:p w:rsidR="00AE0F5F" w:rsidRPr="00270C7A" w:rsidRDefault="006F0519" w:rsidP="00270C7A">
            <w:r w:rsidRPr="00270C7A">
              <w:t>12</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Aug.</w:t>
            </w:r>
          </w:p>
        </w:tc>
        <w:tc>
          <w:tcPr>
            <w:tcW w:w="957" w:type="dxa"/>
          </w:tcPr>
          <w:p w:rsidR="00AE0F5F" w:rsidRPr="00270C7A" w:rsidRDefault="00AE0F5F" w:rsidP="00270C7A"/>
        </w:tc>
        <w:tc>
          <w:tcPr>
            <w:tcW w:w="957" w:type="dxa"/>
          </w:tcPr>
          <w:p w:rsidR="00AE0F5F" w:rsidRPr="00270C7A" w:rsidRDefault="0061247C" w:rsidP="00270C7A">
            <w:r w:rsidRPr="00270C7A">
              <w:t>11</w:t>
            </w:r>
          </w:p>
        </w:tc>
        <w:tc>
          <w:tcPr>
            <w:tcW w:w="957" w:type="dxa"/>
          </w:tcPr>
          <w:p w:rsidR="00AE0F5F" w:rsidRPr="00270C7A" w:rsidRDefault="0061247C" w:rsidP="00270C7A">
            <w:r w:rsidRPr="00270C7A">
              <w:t>1</w:t>
            </w:r>
            <w:r w:rsidR="006F0519" w:rsidRPr="00270C7A">
              <w:t>0</w:t>
            </w:r>
          </w:p>
        </w:tc>
        <w:tc>
          <w:tcPr>
            <w:tcW w:w="958" w:type="dxa"/>
          </w:tcPr>
          <w:p w:rsidR="00AE0F5F" w:rsidRPr="00270C7A" w:rsidRDefault="0061247C" w:rsidP="00270C7A">
            <w:r w:rsidRPr="00270C7A">
              <w:t>11</w:t>
            </w:r>
          </w:p>
        </w:tc>
        <w:tc>
          <w:tcPr>
            <w:tcW w:w="958" w:type="dxa"/>
          </w:tcPr>
          <w:p w:rsidR="00AE0F5F" w:rsidRPr="00270C7A" w:rsidRDefault="006F0519" w:rsidP="00270C7A">
            <w:r w:rsidRPr="00270C7A">
              <w:t>11</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Sep.</w:t>
            </w:r>
          </w:p>
        </w:tc>
        <w:tc>
          <w:tcPr>
            <w:tcW w:w="957" w:type="dxa"/>
          </w:tcPr>
          <w:p w:rsidR="00AE0F5F" w:rsidRPr="00270C7A" w:rsidRDefault="0061247C" w:rsidP="00270C7A">
            <w:r w:rsidRPr="00270C7A">
              <w:t>13</w:t>
            </w:r>
          </w:p>
        </w:tc>
        <w:tc>
          <w:tcPr>
            <w:tcW w:w="957" w:type="dxa"/>
          </w:tcPr>
          <w:p w:rsidR="00AE0F5F" w:rsidRPr="00270C7A" w:rsidRDefault="0061247C" w:rsidP="00270C7A">
            <w:r w:rsidRPr="00270C7A">
              <w:t>18</w:t>
            </w:r>
          </w:p>
        </w:tc>
        <w:tc>
          <w:tcPr>
            <w:tcW w:w="957" w:type="dxa"/>
          </w:tcPr>
          <w:p w:rsidR="00AE0F5F" w:rsidRPr="00270C7A" w:rsidRDefault="0061247C" w:rsidP="00270C7A">
            <w:r w:rsidRPr="00270C7A">
              <w:t>1</w:t>
            </w:r>
            <w:r w:rsidR="006F0519" w:rsidRPr="00270C7A">
              <w:t>2</w:t>
            </w:r>
          </w:p>
        </w:tc>
        <w:tc>
          <w:tcPr>
            <w:tcW w:w="958" w:type="dxa"/>
          </w:tcPr>
          <w:p w:rsidR="00AE0F5F" w:rsidRPr="00270C7A" w:rsidRDefault="0061247C" w:rsidP="00270C7A">
            <w:r w:rsidRPr="00270C7A">
              <w:t>11</w:t>
            </w:r>
          </w:p>
        </w:tc>
        <w:tc>
          <w:tcPr>
            <w:tcW w:w="958" w:type="dxa"/>
          </w:tcPr>
          <w:p w:rsidR="00AE0F5F" w:rsidRPr="00270C7A" w:rsidRDefault="006F0519" w:rsidP="00270C7A">
            <w:r w:rsidRPr="00270C7A">
              <w:t>11</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Oct.</w:t>
            </w:r>
          </w:p>
        </w:tc>
        <w:tc>
          <w:tcPr>
            <w:tcW w:w="957" w:type="dxa"/>
          </w:tcPr>
          <w:p w:rsidR="00AE0F5F" w:rsidRPr="00270C7A" w:rsidRDefault="0061247C" w:rsidP="00270C7A">
            <w:r w:rsidRPr="00270C7A">
              <w:t>44</w:t>
            </w:r>
          </w:p>
        </w:tc>
        <w:tc>
          <w:tcPr>
            <w:tcW w:w="957" w:type="dxa"/>
          </w:tcPr>
          <w:p w:rsidR="00AE0F5F" w:rsidRPr="00270C7A" w:rsidRDefault="0061247C" w:rsidP="00270C7A">
            <w:r w:rsidRPr="00270C7A">
              <w:t>63</w:t>
            </w:r>
          </w:p>
        </w:tc>
        <w:tc>
          <w:tcPr>
            <w:tcW w:w="957" w:type="dxa"/>
          </w:tcPr>
          <w:p w:rsidR="00AE0F5F" w:rsidRPr="00270C7A" w:rsidRDefault="006F0519" w:rsidP="00270C7A">
            <w:r w:rsidRPr="00270C7A">
              <w:t>3</w:t>
            </w:r>
            <w:r w:rsidR="0061247C" w:rsidRPr="00270C7A">
              <w:t>0</w:t>
            </w:r>
          </w:p>
        </w:tc>
        <w:tc>
          <w:tcPr>
            <w:tcW w:w="958" w:type="dxa"/>
          </w:tcPr>
          <w:p w:rsidR="00AE0F5F" w:rsidRPr="00270C7A" w:rsidRDefault="006F0519" w:rsidP="00270C7A">
            <w:r w:rsidRPr="00270C7A">
              <w:t>4</w:t>
            </w:r>
            <w:r w:rsidR="0061247C" w:rsidRPr="00270C7A">
              <w:t>0</w:t>
            </w:r>
          </w:p>
        </w:tc>
        <w:tc>
          <w:tcPr>
            <w:tcW w:w="958" w:type="dxa"/>
          </w:tcPr>
          <w:p w:rsidR="00AE0F5F" w:rsidRPr="00270C7A" w:rsidRDefault="006F0519" w:rsidP="00270C7A">
            <w:r w:rsidRPr="00270C7A">
              <w:t>30</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Nov.</w:t>
            </w:r>
          </w:p>
        </w:tc>
        <w:tc>
          <w:tcPr>
            <w:tcW w:w="957" w:type="dxa"/>
          </w:tcPr>
          <w:p w:rsidR="00AE0F5F" w:rsidRPr="00270C7A" w:rsidRDefault="0061247C" w:rsidP="00270C7A">
            <w:r w:rsidRPr="00270C7A">
              <w:t>146</w:t>
            </w:r>
          </w:p>
        </w:tc>
        <w:tc>
          <w:tcPr>
            <w:tcW w:w="957" w:type="dxa"/>
          </w:tcPr>
          <w:p w:rsidR="00AE0F5F" w:rsidRPr="00270C7A" w:rsidRDefault="0061247C" w:rsidP="00270C7A">
            <w:r w:rsidRPr="00270C7A">
              <w:t>185</w:t>
            </w:r>
          </w:p>
        </w:tc>
        <w:tc>
          <w:tcPr>
            <w:tcW w:w="957" w:type="dxa"/>
          </w:tcPr>
          <w:p w:rsidR="00AE0F5F" w:rsidRPr="00270C7A" w:rsidRDefault="0061247C" w:rsidP="00270C7A">
            <w:r w:rsidRPr="00270C7A">
              <w:t>1</w:t>
            </w:r>
            <w:r w:rsidR="006F0519" w:rsidRPr="00270C7A">
              <w:t>27</w:t>
            </w:r>
          </w:p>
        </w:tc>
        <w:tc>
          <w:tcPr>
            <w:tcW w:w="958" w:type="dxa"/>
          </w:tcPr>
          <w:p w:rsidR="00AE0F5F" w:rsidRPr="00270C7A" w:rsidRDefault="006F0519" w:rsidP="00270C7A">
            <w:r w:rsidRPr="00270C7A">
              <w:t>149</w:t>
            </w:r>
          </w:p>
        </w:tc>
        <w:tc>
          <w:tcPr>
            <w:tcW w:w="958" w:type="dxa"/>
          </w:tcPr>
          <w:p w:rsidR="00AE0F5F" w:rsidRPr="00270C7A" w:rsidRDefault="006F0519" w:rsidP="00270C7A">
            <w:r w:rsidRPr="00270C7A">
              <w:t>93</w:t>
            </w:r>
          </w:p>
        </w:tc>
        <w:tc>
          <w:tcPr>
            <w:tcW w:w="958" w:type="dxa"/>
          </w:tcPr>
          <w:p w:rsidR="00AE0F5F" w:rsidRPr="00270C7A" w:rsidRDefault="00AE0F5F" w:rsidP="00270C7A"/>
        </w:tc>
      </w:tr>
      <w:tr w:rsidR="00AE0F5F" w:rsidRPr="00270C7A" w:rsidTr="00AE0F5F">
        <w:tc>
          <w:tcPr>
            <w:tcW w:w="957" w:type="dxa"/>
          </w:tcPr>
          <w:p w:rsidR="00AE0F5F" w:rsidRPr="00270C7A" w:rsidRDefault="00AE0F5F" w:rsidP="00270C7A">
            <w:r w:rsidRPr="00270C7A">
              <w:t>Dec.</w:t>
            </w:r>
          </w:p>
        </w:tc>
        <w:tc>
          <w:tcPr>
            <w:tcW w:w="957" w:type="dxa"/>
          </w:tcPr>
          <w:p w:rsidR="00AE0F5F" w:rsidRPr="00270C7A" w:rsidRDefault="0061247C" w:rsidP="00270C7A">
            <w:r w:rsidRPr="00270C7A">
              <w:t>197</w:t>
            </w:r>
          </w:p>
        </w:tc>
        <w:tc>
          <w:tcPr>
            <w:tcW w:w="957" w:type="dxa"/>
          </w:tcPr>
          <w:p w:rsidR="00AE0F5F" w:rsidRPr="00270C7A" w:rsidRDefault="0061247C" w:rsidP="00270C7A">
            <w:r w:rsidRPr="00270C7A">
              <w:t>197</w:t>
            </w:r>
          </w:p>
        </w:tc>
        <w:tc>
          <w:tcPr>
            <w:tcW w:w="957" w:type="dxa"/>
          </w:tcPr>
          <w:p w:rsidR="00AE0F5F" w:rsidRPr="00270C7A" w:rsidRDefault="006F0519" w:rsidP="00270C7A">
            <w:r w:rsidRPr="00270C7A">
              <w:t>211</w:t>
            </w:r>
          </w:p>
        </w:tc>
        <w:tc>
          <w:tcPr>
            <w:tcW w:w="958" w:type="dxa"/>
          </w:tcPr>
          <w:p w:rsidR="00AE0F5F" w:rsidRPr="00270C7A" w:rsidRDefault="0061247C" w:rsidP="00270C7A">
            <w:r w:rsidRPr="00270C7A">
              <w:t>1</w:t>
            </w:r>
            <w:r w:rsidR="006F0519" w:rsidRPr="00270C7A">
              <w:t>74</w:t>
            </w:r>
          </w:p>
        </w:tc>
        <w:tc>
          <w:tcPr>
            <w:tcW w:w="958" w:type="dxa"/>
          </w:tcPr>
          <w:p w:rsidR="00AE0F5F" w:rsidRPr="00270C7A" w:rsidRDefault="006F0519" w:rsidP="00270C7A">
            <w:r w:rsidRPr="00270C7A">
              <w:t>112</w:t>
            </w:r>
          </w:p>
        </w:tc>
        <w:tc>
          <w:tcPr>
            <w:tcW w:w="958" w:type="dxa"/>
          </w:tcPr>
          <w:p w:rsidR="00AE0F5F" w:rsidRPr="00270C7A" w:rsidRDefault="00AE0F5F" w:rsidP="00270C7A"/>
        </w:tc>
      </w:tr>
    </w:tbl>
    <w:p w:rsidR="00AE0F5F" w:rsidRPr="00270C7A" w:rsidRDefault="00AE0F5F" w:rsidP="00270C7A">
      <w:pPr>
        <w:spacing w:line="360" w:lineRule="auto"/>
        <w:ind w:firstLine="1440"/>
      </w:pPr>
    </w:p>
    <w:p w:rsidR="006F0519" w:rsidRPr="00270C7A" w:rsidRDefault="006F0519" w:rsidP="00270C7A">
      <w:pPr>
        <w:spacing w:line="360" w:lineRule="auto"/>
      </w:pPr>
      <w:r w:rsidRPr="00270C7A">
        <w:t>PGW Exhibits 2, 9.</w:t>
      </w:r>
      <w:r w:rsidR="00301A3A" w:rsidRPr="00270C7A">
        <w:t xml:space="preserve"> </w:t>
      </w:r>
      <w:r w:rsidRPr="00270C7A">
        <w:t xml:space="preserve"> </w:t>
      </w:r>
    </w:p>
    <w:p w:rsidR="00F431F3" w:rsidRPr="00270C7A" w:rsidRDefault="00F431F3" w:rsidP="00270C7A">
      <w:pPr>
        <w:spacing w:line="360" w:lineRule="auto"/>
        <w:ind w:firstLine="1440"/>
      </w:pPr>
    </w:p>
    <w:p w:rsidR="00F431F3" w:rsidRPr="00270C7A" w:rsidRDefault="006F0519" w:rsidP="00270C7A">
      <w:pPr>
        <w:spacing w:line="360" w:lineRule="auto"/>
        <w:ind w:firstLine="1440"/>
      </w:pPr>
      <w:r w:rsidRPr="00270C7A">
        <w:t xml:space="preserve">PGW personnel conducted a field investigation of the gas service at the service address on January 5, 2016.  Tr. 145.  All of the three appliances were operational at the service address and there were no abnormal connections found.  Tr. 146, PGW Exhibit 10.  </w:t>
      </w:r>
      <w:r w:rsidR="00F431F3" w:rsidRPr="00270C7A">
        <w:t>The meter tested within accepted tolerances for accuracy.  Tr. 149-50, revised PGW Exhibit 12.</w:t>
      </w:r>
    </w:p>
    <w:p w:rsidR="00F431F3" w:rsidRPr="00270C7A" w:rsidRDefault="00F431F3" w:rsidP="00270C7A">
      <w:pPr>
        <w:spacing w:line="360" w:lineRule="auto"/>
        <w:ind w:firstLine="1440"/>
      </w:pPr>
    </w:p>
    <w:p w:rsidR="00F431F3" w:rsidRPr="00270C7A" w:rsidRDefault="00F431F3" w:rsidP="00270C7A">
      <w:pPr>
        <w:spacing w:line="360" w:lineRule="auto"/>
        <w:ind w:firstLine="1440"/>
      </w:pPr>
      <w:r w:rsidRPr="00270C7A">
        <w:t xml:space="preserve">I find the usage data consistent with a gas heating customer with a substantial increase of usage during the heating season (November through March).  The usage is consistent with no abnormalities.  I do not find that the usage is unreasonable for the capacity of the three appliances at the service address.  </w:t>
      </w:r>
    </w:p>
    <w:p w:rsidR="00F431F3" w:rsidRPr="00270C7A" w:rsidRDefault="00F431F3" w:rsidP="00270C7A">
      <w:pPr>
        <w:spacing w:line="360" w:lineRule="auto"/>
        <w:ind w:firstLine="1440"/>
      </w:pPr>
    </w:p>
    <w:p w:rsidR="00A330C3" w:rsidRPr="00270C7A" w:rsidRDefault="00F431F3" w:rsidP="00270C7A">
      <w:pPr>
        <w:spacing w:line="360" w:lineRule="auto"/>
        <w:ind w:firstLine="1440"/>
      </w:pPr>
      <w:r w:rsidRPr="00270C7A">
        <w:t>Based on the record evidence the Complainant</w:t>
      </w:r>
      <w:r w:rsidR="00654A1A" w:rsidRPr="00270C7A">
        <w:t xml:space="preserve"> </w:t>
      </w:r>
      <w:r w:rsidR="00A421BB" w:rsidRPr="00270C7A">
        <w:t>has failed to prove that he</w:t>
      </w:r>
      <w:r w:rsidRPr="00270C7A">
        <w:t xml:space="preserve">r neighbor or anyone else is stealing gas from her service address.  </w:t>
      </w:r>
      <w:r w:rsidR="00977207" w:rsidRPr="00270C7A">
        <w:t xml:space="preserve"> The Complaint </w:t>
      </w:r>
      <w:r w:rsidRPr="00270C7A">
        <w:t xml:space="preserve">regarding a high gas bill </w:t>
      </w:r>
      <w:r w:rsidR="00977207" w:rsidRPr="00270C7A">
        <w:t>must be</w:t>
      </w:r>
      <w:r w:rsidR="00E76D1E" w:rsidRPr="00270C7A">
        <w:t xml:space="preserve"> d</w:t>
      </w:r>
      <w:r w:rsidRPr="00270C7A">
        <w:t>enied</w:t>
      </w:r>
      <w:r w:rsidR="00E76D1E" w:rsidRPr="00270C7A">
        <w:t>.</w:t>
      </w:r>
    </w:p>
    <w:p w:rsidR="003C0275" w:rsidRPr="00270C7A" w:rsidRDefault="003C0275" w:rsidP="00270C7A">
      <w:pPr>
        <w:spacing w:line="360" w:lineRule="auto"/>
        <w:ind w:firstLine="1440"/>
      </w:pPr>
    </w:p>
    <w:p w:rsidR="003C0275" w:rsidRPr="00270C7A" w:rsidRDefault="003C0275" w:rsidP="00270C7A">
      <w:pPr>
        <w:pStyle w:val="ListParagraph"/>
        <w:numPr>
          <w:ilvl w:val="0"/>
          <w:numId w:val="33"/>
        </w:numPr>
        <w:spacing w:line="360" w:lineRule="auto"/>
        <w:rPr>
          <w:u w:val="single"/>
        </w:rPr>
      </w:pPr>
      <w:r w:rsidRPr="00270C7A">
        <w:rPr>
          <w:u w:val="single"/>
        </w:rPr>
        <w:t>Whether Respondent Is To Be Fined</w:t>
      </w:r>
    </w:p>
    <w:p w:rsidR="00814C6C" w:rsidRPr="00270C7A" w:rsidRDefault="00814C6C" w:rsidP="00270C7A">
      <w:pPr>
        <w:spacing w:line="360" w:lineRule="auto"/>
        <w:ind w:left="720"/>
      </w:pPr>
    </w:p>
    <w:p w:rsidR="008108C1" w:rsidRPr="00270C7A" w:rsidRDefault="00814C6C" w:rsidP="00270C7A">
      <w:pPr>
        <w:spacing w:line="360" w:lineRule="auto"/>
        <w:ind w:firstLine="1440"/>
      </w:pPr>
      <w:r w:rsidRPr="00270C7A">
        <w:t xml:space="preserve">“Every public utility shall furnish and maintain adequate, efficient, safe, and reasonable service…as shall be necessary or proper for the accommodation, convenience, and safety of its patrons, employees, and the public.”  66 Pa.C.S. § 1501.  “Service… includes any </w:t>
      </w:r>
      <w:r w:rsidRPr="00270C7A">
        <w:lastRenderedPageBreak/>
        <w:t xml:space="preserve">and all acts done, rendered, or performed, and any and all things furnished or supplied…by public utilities.”  66 Pa.C.S. § 102.  Statutory definition of “service” regarding grant of authority of the Commission to regulate service of every public utility is broadly construed.  </w:t>
      </w:r>
      <w:r w:rsidRPr="00270C7A">
        <w:rPr>
          <w:i/>
        </w:rPr>
        <w:t xml:space="preserve">Country Place Waste Treatment Co., Inc. v. Pa. Pub. Util. Comm’n, </w:t>
      </w:r>
      <w:r w:rsidRPr="00270C7A">
        <w:t xml:space="preserve">654 A.2d 72 (Pa.Cmwlth. 1995).  </w:t>
      </w:r>
    </w:p>
    <w:p w:rsidR="008108C1" w:rsidRPr="00270C7A" w:rsidRDefault="008108C1" w:rsidP="00270C7A">
      <w:pPr>
        <w:spacing w:line="360" w:lineRule="auto"/>
        <w:ind w:firstLine="1440"/>
      </w:pPr>
    </w:p>
    <w:p w:rsidR="00717B01" w:rsidRPr="00270C7A" w:rsidRDefault="00814C6C" w:rsidP="00270C7A">
      <w:pPr>
        <w:spacing w:line="360" w:lineRule="auto"/>
        <w:ind w:firstLine="1440"/>
      </w:pPr>
      <w:r w:rsidRPr="00270C7A">
        <w:t xml:space="preserve">The billing of </w:t>
      </w:r>
      <w:r w:rsidR="00ED0DB2" w:rsidRPr="00270C7A">
        <w:t xml:space="preserve">charges for gas service is part of the service that the Respondent provided to the Complainant.  The </w:t>
      </w:r>
      <w:r w:rsidR="0019029B" w:rsidRPr="00270C7A">
        <w:t xml:space="preserve">error in </w:t>
      </w:r>
      <w:r w:rsidR="007178B3" w:rsidRPr="00270C7A">
        <w:t>assessing taxes to the service account of the Complainant</w:t>
      </w:r>
      <w:r w:rsidR="00ED0DB2" w:rsidRPr="00270C7A">
        <w:t xml:space="preserve"> was admitted by the Respondent</w:t>
      </w:r>
      <w:r w:rsidR="0019029B" w:rsidRPr="00270C7A">
        <w:t>.</w:t>
      </w:r>
      <w:r w:rsidR="00ED0DB2" w:rsidRPr="00270C7A">
        <w:t xml:space="preserve">  </w:t>
      </w:r>
      <w:r w:rsidR="007178B3" w:rsidRPr="00270C7A">
        <w:t>Tr. 85-87</w:t>
      </w:r>
      <w:r w:rsidR="00ED0DB2" w:rsidRPr="00270C7A">
        <w:t>.</w:t>
      </w:r>
      <w:r w:rsidR="007178B3" w:rsidRPr="00270C7A">
        <w:t xml:space="preserve">  This error in assessing taxes to the Complainant’s service account resulted in incorrect charges on the Complainant’s bill.</w:t>
      </w:r>
      <w:r w:rsidR="00ED0DB2" w:rsidRPr="00270C7A">
        <w:t xml:space="preserve">  </w:t>
      </w:r>
      <w:r w:rsidR="008108C1" w:rsidRPr="00270C7A">
        <w:t xml:space="preserve">From April 2008 </w:t>
      </w:r>
      <w:r w:rsidR="007178B3" w:rsidRPr="00270C7A">
        <w:t xml:space="preserve">through November 2015 </w:t>
      </w:r>
      <w:r w:rsidR="008108C1" w:rsidRPr="00270C7A">
        <w:t>t</w:t>
      </w:r>
      <w:r w:rsidR="00ED0DB2" w:rsidRPr="00270C7A">
        <w:t>he</w:t>
      </w:r>
      <w:r w:rsidR="007178B3" w:rsidRPr="00270C7A">
        <w:t>se incorrect charges were billed</w:t>
      </w:r>
      <w:r w:rsidR="00ED0DB2" w:rsidRPr="00270C7A">
        <w:t xml:space="preserve"> by the Respondent</w:t>
      </w:r>
      <w:r w:rsidR="007178B3" w:rsidRPr="00270C7A">
        <w:t xml:space="preserve">.  The length of time that the incorrect charges were billed </w:t>
      </w:r>
      <w:r w:rsidR="008108C1" w:rsidRPr="00270C7A">
        <w:t>is found to be unreasonable.  A determination of whether the Respondent should be fined for its failure to provide reasonable service is necessary.</w:t>
      </w:r>
      <w:r w:rsidR="00375D9F" w:rsidRPr="00270C7A">
        <w:rPr>
          <w:rStyle w:val="FootnoteReference"/>
        </w:rPr>
        <w:footnoteReference w:id="4"/>
      </w:r>
    </w:p>
    <w:p w:rsidR="007178B3" w:rsidRPr="00270C7A" w:rsidRDefault="007178B3" w:rsidP="00270C7A">
      <w:pPr>
        <w:spacing w:line="360" w:lineRule="auto"/>
        <w:ind w:firstLine="1440"/>
      </w:pPr>
    </w:p>
    <w:p w:rsidR="00717B01" w:rsidRPr="00270C7A" w:rsidRDefault="00717B01" w:rsidP="00270C7A">
      <w:pPr>
        <w:spacing w:line="360" w:lineRule="auto"/>
        <w:ind w:left="90" w:firstLine="1350"/>
        <w:rPr>
          <w:rFonts w:eastAsia="Calibri"/>
        </w:rPr>
      </w:pPr>
      <w:r w:rsidRPr="00270C7A">
        <w:rPr>
          <w:rFonts w:eastAsia="Calibri"/>
        </w:rPr>
        <w:t>The Public Utility Code Section 3301(a) states, in relevant part,</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If any public utility … shall violate any of the provisions of this part, or shall do any matter or thing herein prohibited; or shall fail, omit, neglect or refuse to obey, observe, and comply with any regulation or final direction, requirement, determination or order made by the Commission, … such public utility, person or corporation for such violation, omission, failure, neglect, or refusal, shall forfeit and pay to the Commonwealth a sum not exceeding $1,000, to be recovered by an action of assumpsit instituted in the name of the Commonwealth.  In construing and enforcing the provisions of this section, the violation, omission, failure, neglect, or refusal of any officer, agent, or employee acting for, or employed by, any such public utility, person, or corporation shall, in every case be deemed to be the violation, omission, failure, neglect, or refusal of such public utility, person or corporation.</w:t>
      </w:r>
    </w:p>
    <w:p w:rsidR="00717B01" w:rsidRPr="00270C7A" w:rsidRDefault="00717B01" w:rsidP="00270C7A">
      <w:pPr>
        <w:spacing w:line="360" w:lineRule="auto"/>
        <w:ind w:left="1440" w:right="1440"/>
        <w:rPr>
          <w:rFonts w:eastAsia="Calibri"/>
        </w:rPr>
      </w:pPr>
    </w:p>
    <w:p w:rsidR="006D2D7D" w:rsidRPr="00270C7A" w:rsidRDefault="00717B01" w:rsidP="00270C7A">
      <w:pPr>
        <w:spacing w:line="360" w:lineRule="auto"/>
        <w:rPr>
          <w:rFonts w:eastAsia="Calibri"/>
        </w:rPr>
      </w:pPr>
      <w:r w:rsidRPr="00270C7A">
        <w:rPr>
          <w:rFonts w:eastAsia="Calibri"/>
        </w:rPr>
        <w:t xml:space="preserve">66 Pa.C.S. § 3301(a).  In the case of “negligent” violations the presumption is that the penalty will range from $0 to $500 per day.”  </w:t>
      </w:r>
      <w:r w:rsidRPr="00270C7A">
        <w:rPr>
          <w:rFonts w:eastAsia="Calibri"/>
          <w:i/>
        </w:rPr>
        <w:t>Ronald A. Meder v. Peoples Natural Gas Co.,</w:t>
      </w:r>
      <w:r w:rsidRPr="00270C7A">
        <w:rPr>
          <w:rFonts w:eastAsia="Calibri"/>
        </w:rPr>
        <w:t xml:space="preserve"> Docket No. F-01620640 (Order entered August 21, 2006), 2006 WL 2472127 (Pa. P.U.C.) </w:t>
      </w:r>
      <w:r w:rsidRPr="00270C7A">
        <w:rPr>
          <w:rFonts w:eastAsia="Calibri"/>
          <w:i/>
        </w:rPr>
        <w:t xml:space="preserve">and Joseph A. </w:t>
      </w:r>
      <w:r w:rsidRPr="00270C7A">
        <w:rPr>
          <w:rFonts w:eastAsia="Calibri"/>
          <w:i/>
        </w:rPr>
        <w:lastRenderedPageBreak/>
        <w:t>Rosi v. Bell Atlantic-Pennsylvania, Inc.,</w:t>
      </w:r>
      <w:r w:rsidRPr="00270C7A">
        <w:rPr>
          <w:rFonts w:eastAsia="Calibri"/>
        </w:rPr>
        <w:t xml:space="preserve"> Docket No. C-00992409 (Order entered March 16, 2000), 2000 WL 1407936 (Pa. P.U.C.). On November 29, 2007, the Commission adopted, </w:t>
      </w:r>
      <w:r w:rsidRPr="00270C7A">
        <w:rPr>
          <w:rFonts w:eastAsia="Calibri"/>
          <w:i/>
        </w:rPr>
        <w:t>Final Policy Statement for Litigated and Settled Proceedings Involving Violations of the Public Utility Code and Commission Regulations;</w:t>
      </w:r>
      <w:r w:rsidRPr="00270C7A">
        <w:rPr>
          <w:rFonts w:eastAsia="Calibri"/>
        </w:rPr>
        <w:t xml:space="preserve"> Docket No. M-00051875, 37 Pa.B. 6755 (Order published December 22, 2007)(52 Pa.Code Chapter 69).  I find this policy statement controlling on the issue of the amount of the civil penalty involving the violation in this proceeding.</w:t>
      </w:r>
    </w:p>
    <w:p w:rsidR="00375D9F" w:rsidRPr="00270C7A" w:rsidRDefault="00375D9F" w:rsidP="00270C7A">
      <w:pPr>
        <w:spacing w:line="360" w:lineRule="auto"/>
        <w:rPr>
          <w:rFonts w:eastAsia="Calibri"/>
        </w:rPr>
      </w:pPr>
    </w:p>
    <w:p w:rsidR="00717B01" w:rsidRPr="00270C7A" w:rsidRDefault="00717B01" w:rsidP="00270C7A">
      <w:pPr>
        <w:ind w:left="720" w:firstLine="720"/>
        <w:rPr>
          <w:rFonts w:eastAsia="Calibri"/>
        </w:rPr>
      </w:pPr>
      <w:r w:rsidRPr="00270C7A">
        <w:rPr>
          <w:rFonts w:eastAsia="Calibri"/>
        </w:rPr>
        <w:t xml:space="preserve">52 Pa.Code § 69.1201(a) states, </w:t>
      </w:r>
    </w:p>
    <w:p w:rsidR="00717B01" w:rsidRPr="00270C7A" w:rsidRDefault="00717B01" w:rsidP="00270C7A">
      <w:pPr>
        <w:ind w:left="720" w:firstLine="720"/>
        <w:rPr>
          <w:rFonts w:eastAsia="Calibri"/>
        </w:rPr>
      </w:pPr>
    </w:p>
    <w:p w:rsidR="00717B01" w:rsidRPr="00270C7A" w:rsidRDefault="00717B01" w:rsidP="00270C7A">
      <w:pPr>
        <w:ind w:left="1440" w:right="1440"/>
        <w:rPr>
          <w:rFonts w:eastAsia="Calibri"/>
        </w:rPr>
      </w:pPr>
      <w:r w:rsidRPr="00270C7A">
        <w:rPr>
          <w:rFonts w:eastAsia="Calibri"/>
        </w:rPr>
        <w:t xml:space="preserve">The Commission will consider specific factors in evaluating litigated … cases involving violations of 66 Pa.C.S. (relating to the Public Utility Code) and this title.  These factors and standards will be utilized by the Commission in determining if a fine for violating a Commission order, regulation or statute is appropriate.  </w:t>
      </w:r>
    </w:p>
    <w:p w:rsidR="00717B01" w:rsidRPr="00270C7A" w:rsidRDefault="00717B01" w:rsidP="00270C7A">
      <w:pPr>
        <w:ind w:left="1440" w:right="1440"/>
        <w:rPr>
          <w:rFonts w:eastAsia="Calibri"/>
        </w:rPr>
      </w:pPr>
    </w:p>
    <w:p w:rsidR="00717B01" w:rsidRPr="00270C7A" w:rsidRDefault="00717B01" w:rsidP="00270C7A">
      <w:pPr>
        <w:spacing w:line="360" w:lineRule="auto"/>
        <w:ind w:firstLine="1440"/>
        <w:outlineLvl w:val="0"/>
        <w:rPr>
          <w:rFonts w:eastAsia="Calibri"/>
        </w:rPr>
      </w:pPr>
      <w:r w:rsidRPr="00270C7A">
        <w:rPr>
          <w:rFonts w:eastAsia="Calibri"/>
        </w:rPr>
        <w:t>52 Pa.Code § 69.1201(c) goes further to list the factors and standards to be considered; they are:</w:t>
      </w:r>
    </w:p>
    <w:p w:rsidR="00717B01" w:rsidRPr="00270C7A" w:rsidRDefault="00717B01" w:rsidP="00270C7A">
      <w:pPr>
        <w:ind w:firstLine="1440"/>
        <w:outlineLvl w:val="0"/>
        <w:rPr>
          <w:rFonts w:eastAsia="Calibri"/>
        </w:rPr>
      </w:pPr>
    </w:p>
    <w:p w:rsidR="00717B01" w:rsidRPr="00270C7A" w:rsidRDefault="00717B01" w:rsidP="00270C7A">
      <w:pPr>
        <w:ind w:left="1440" w:right="1440"/>
        <w:rPr>
          <w:rFonts w:eastAsia="Calibri"/>
        </w:rPr>
      </w:pPr>
      <w:r w:rsidRPr="00270C7A">
        <w:rPr>
          <w:rFonts w:eastAsia="Calibri"/>
        </w:rPr>
        <w:t>(1)</w:t>
      </w:r>
      <w:r w:rsidRPr="00270C7A">
        <w:rPr>
          <w:rFonts w:eastAsia="Calibri"/>
        </w:rPr>
        <w:tab/>
        <w:t>Whether the conduct at issue was of a serious nature… such as willful fraud or misrepresentation, the conduct may warrant a higher penalty.  When the conduct is less egregious, such as administrative filing, or technical errors, it may warrant a lower penalty.</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(2)</w:t>
      </w:r>
      <w:r w:rsidRPr="00270C7A">
        <w:rPr>
          <w:rFonts w:eastAsia="Calibri"/>
        </w:rPr>
        <w:tab/>
        <w:t>Whether the resulting consequences of the conduct at issue were of a serious nature…such as personal injury or property damage, the consequences may warrant a higher penalty.</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(3)</w:t>
      </w:r>
      <w:r w:rsidRPr="00270C7A">
        <w:rPr>
          <w:rFonts w:eastAsia="Calibri"/>
        </w:rPr>
        <w:tab/>
        <w:t>Whether the conduct at issue was deemed intentional or negligent.  This factor may only be considered in evaluating litigated cases.  When conduct has been deemed intentional, the conduct may result in a higher penalty.</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(4)</w:t>
      </w:r>
      <w:r w:rsidRPr="00270C7A">
        <w:rPr>
          <w:rFonts w:eastAsia="Calibri"/>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lastRenderedPageBreak/>
        <w:t>(5)</w:t>
      </w:r>
      <w:r w:rsidRPr="00270C7A">
        <w:rPr>
          <w:rFonts w:eastAsia="Calibri"/>
        </w:rPr>
        <w:tab/>
        <w:t>The number of customers affected and the duration of the violation.</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(6)</w:t>
      </w:r>
      <w:r w:rsidRPr="00270C7A">
        <w:rPr>
          <w:rFonts w:eastAsia="Calibri"/>
        </w:rPr>
        <w:tab/>
        <w:t>The compliance history of the regulated entity which committed the violation.  An isolated incident from an otherwise compliant utility may result in a lower penalty, whereas frequent, recurrent violations by a utility may result in a higher penalty.</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(7)</w:t>
      </w:r>
      <w:r w:rsidRPr="00270C7A">
        <w:rPr>
          <w:rFonts w:eastAsia="Calibri"/>
        </w:rPr>
        <w:tab/>
        <w:t>Whether the regulated entity cooperated with the Commission’s investigation.  Facts establishing bad faith, active concealment of violations or attempts to interfere with Commission investigations may result in a higher penalty.</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(8)</w:t>
      </w:r>
      <w:r w:rsidRPr="00270C7A">
        <w:rPr>
          <w:rFonts w:eastAsia="Calibri"/>
        </w:rPr>
        <w:tab/>
        <w:t>The amount of the civil penalty of fine necessary to deter future violations.  The size of the utility may be considered to determine an appropriate penalty amount.</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(9)</w:t>
      </w:r>
      <w:r w:rsidRPr="00270C7A">
        <w:rPr>
          <w:rFonts w:eastAsia="Calibri"/>
        </w:rPr>
        <w:tab/>
        <w:t>Past Commission decision in similar situations.</w:t>
      </w:r>
    </w:p>
    <w:p w:rsidR="00717B01" w:rsidRPr="00270C7A" w:rsidRDefault="00717B01" w:rsidP="00270C7A">
      <w:pPr>
        <w:ind w:left="1440" w:right="1440"/>
        <w:rPr>
          <w:rFonts w:eastAsia="Calibri"/>
        </w:rPr>
      </w:pPr>
    </w:p>
    <w:p w:rsidR="00717B01" w:rsidRPr="00270C7A" w:rsidRDefault="00717B01" w:rsidP="00270C7A">
      <w:pPr>
        <w:ind w:left="1440" w:right="1440"/>
        <w:rPr>
          <w:rFonts w:eastAsia="Calibri"/>
        </w:rPr>
      </w:pPr>
      <w:r w:rsidRPr="00270C7A">
        <w:rPr>
          <w:rFonts w:eastAsia="Calibri"/>
        </w:rPr>
        <w:t>(10)</w:t>
      </w:r>
      <w:r w:rsidRPr="00270C7A">
        <w:rPr>
          <w:rFonts w:eastAsia="Calibri"/>
        </w:rPr>
        <w:tab/>
        <w:t>Other relevant factors.</w:t>
      </w:r>
    </w:p>
    <w:p w:rsidR="00717B01" w:rsidRPr="00270C7A" w:rsidRDefault="00717B01" w:rsidP="00270C7A">
      <w:pPr>
        <w:ind w:left="1440" w:right="1440"/>
        <w:rPr>
          <w:rFonts w:eastAsia="Calibri"/>
        </w:rPr>
      </w:pPr>
    </w:p>
    <w:p w:rsidR="00717B01" w:rsidRPr="00270C7A" w:rsidRDefault="00717B01" w:rsidP="00270C7A">
      <w:pPr>
        <w:rPr>
          <w:rFonts w:eastAsia="Calibri"/>
        </w:rPr>
      </w:pPr>
      <w:r w:rsidRPr="00270C7A">
        <w:rPr>
          <w:rFonts w:eastAsia="Calibri"/>
        </w:rPr>
        <w:t>52 Pa.Code § 69.1201(c).</w:t>
      </w:r>
    </w:p>
    <w:p w:rsidR="00717B01" w:rsidRPr="00270C7A" w:rsidRDefault="00717B01" w:rsidP="00270C7A">
      <w:pPr>
        <w:rPr>
          <w:rFonts w:eastAsia="Calibri"/>
        </w:rPr>
      </w:pPr>
    </w:p>
    <w:p w:rsidR="00717B01" w:rsidRPr="00270C7A" w:rsidRDefault="00717B01" w:rsidP="00270C7A">
      <w:pPr>
        <w:spacing w:line="360" w:lineRule="auto"/>
        <w:rPr>
          <w:rFonts w:eastAsia="Calibri"/>
        </w:rPr>
      </w:pPr>
    </w:p>
    <w:p w:rsidR="00717B01" w:rsidRDefault="00717B01" w:rsidP="00270C7A">
      <w:pPr>
        <w:pStyle w:val="ListParagraph"/>
        <w:numPr>
          <w:ilvl w:val="0"/>
          <w:numId w:val="43"/>
        </w:numPr>
        <w:spacing w:line="360" w:lineRule="auto"/>
        <w:ind w:left="1440" w:hanging="720"/>
        <w:rPr>
          <w:rFonts w:eastAsia="Calibri"/>
          <w:u w:val="single"/>
        </w:rPr>
      </w:pPr>
      <w:r w:rsidRPr="00270C7A">
        <w:rPr>
          <w:rFonts w:eastAsia="Calibri"/>
          <w:u w:val="single"/>
        </w:rPr>
        <w:t>Analysis of Factors</w:t>
      </w:r>
    </w:p>
    <w:p w:rsidR="00505687" w:rsidRPr="00270C7A" w:rsidRDefault="00505687" w:rsidP="00505687">
      <w:pPr>
        <w:pStyle w:val="ListParagraph"/>
        <w:spacing w:line="360" w:lineRule="auto"/>
        <w:ind w:left="1440"/>
        <w:rPr>
          <w:rFonts w:eastAsia="Calibri"/>
          <w:u w:val="single"/>
        </w:rPr>
      </w:pPr>
    </w:p>
    <w:p w:rsidR="00717B01" w:rsidRPr="00270C7A" w:rsidRDefault="00717B01" w:rsidP="00270C7A">
      <w:pPr>
        <w:spacing w:line="360" w:lineRule="auto"/>
        <w:ind w:firstLine="1440"/>
        <w:rPr>
          <w:rFonts w:eastAsia="Calibri"/>
        </w:rPr>
      </w:pPr>
      <w:r w:rsidRPr="00270C7A">
        <w:rPr>
          <w:rFonts w:eastAsia="Calibri"/>
        </w:rPr>
        <w:t>The following is an analysis of the record evidence with the factors to consider for a civil penalty:</w:t>
      </w:r>
    </w:p>
    <w:p w:rsidR="00717B01" w:rsidRPr="00270C7A" w:rsidRDefault="00717B01" w:rsidP="00270C7A">
      <w:pPr>
        <w:spacing w:line="360" w:lineRule="auto"/>
        <w:ind w:firstLine="1440"/>
        <w:rPr>
          <w:rFonts w:eastAsia="Calibri"/>
        </w:rPr>
      </w:pPr>
    </w:p>
    <w:p w:rsidR="00717B01" w:rsidRPr="00270C7A" w:rsidRDefault="00717B01" w:rsidP="00270C7A">
      <w:pPr>
        <w:spacing w:line="360" w:lineRule="auto"/>
        <w:ind w:firstLine="720"/>
        <w:rPr>
          <w:rFonts w:eastAsia="Calibri"/>
          <w:u w:val="single"/>
        </w:rPr>
      </w:pPr>
      <w:r w:rsidRPr="00270C7A">
        <w:rPr>
          <w:rFonts w:eastAsia="Calibri"/>
        </w:rPr>
        <w:t>(1)</w:t>
      </w:r>
      <w:r w:rsidRPr="00270C7A">
        <w:rPr>
          <w:rFonts w:eastAsia="Calibri"/>
        </w:rPr>
        <w:tab/>
      </w:r>
      <w:r w:rsidRPr="00270C7A">
        <w:rPr>
          <w:rFonts w:eastAsia="Calibri"/>
          <w:u w:val="single"/>
        </w:rPr>
        <w:t>The Nature of Conduct</w:t>
      </w:r>
    </w:p>
    <w:p w:rsidR="00717B01" w:rsidRPr="00270C7A" w:rsidRDefault="00717B01" w:rsidP="00270C7A">
      <w:pPr>
        <w:spacing w:line="360" w:lineRule="auto"/>
        <w:ind w:firstLine="1440"/>
      </w:pPr>
    </w:p>
    <w:p w:rsidR="00717B01" w:rsidRPr="00270C7A" w:rsidRDefault="00717B01" w:rsidP="00270C7A">
      <w:pPr>
        <w:spacing w:line="360" w:lineRule="auto"/>
        <w:ind w:firstLine="1440"/>
      </w:pPr>
      <w:r w:rsidRPr="00270C7A">
        <w:t xml:space="preserve">The record evidence does not reveal that the conduct by the Respondent was willful or fraudulent misrepresentation.  Rather, the </w:t>
      </w:r>
      <w:r w:rsidR="00B7412D" w:rsidRPr="00270C7A">
        <w:t xml:space="preserve">evidence shows that the </w:t>
      </w:r>
      <w:r w:rsidRPr="00270C7A">
        <w:t xml:space="preserve">conduct was a result of a technical error in </w:t>
      </w:r>
      <w:r w:rsidR="00B7412D" w:rsidRPr="00270C7A">
        <w:t xml:space="preserve">failure to modify </w:t>
      </w:r>
      <w:r w:rsidRPr="00270C7A">
        <w:t>a code on the Complainant’s service account</w:t>
      </w:r>
      <w:r w:rsidR="00B7412D" w:rsidRPr="00270C7A">
        <w:t>.  The modification to the code</w:t>
      </w:r>
      <w:r w:rsidRPr="00270C7A">
        <w:t xml:space="preserve"> </w:t>
      </w:r>
      <w:r w:rsidR="00B7412D" w:rsidRPr="00270C7A">
        <w:t xml:space="preserve">would result in the Respondent’s system </w:t>
      </w:r>
      <w:r w:rsidRPr="00270C7A">
        <w:t xml:space="preserve">no longer </w:t>
      </w:r>
      <w:r w:rsidR="00B7412D" w:rsidRPr="00270C7A">
        <w:t xml:space="preserve">billing as if the Complainant </w:t>
      </w:r>
      <w:r w:rsidRPr="00270C7A">
        <w:t>ha</w:t>
      </w:r>
      <w:r w:rsidR="00B7412D" w:rsidRPr="00270C7A">
        <w:t>d</w:t>
      </w:r>
      <w:r w:rsidRPr="00270C7A">
        <w:t xml:space="preserve"> two meters at the service address.  Tr. </w:t>
      </w:r>
      <w:r w:rsidR="006D2D7D" w:rsidRPr="00270C7A">
        <w:t>79</w:t>
      </w:r>
      <w:r w:rsidR="00A54CCE" w:rsidRPr="00270C7A">
        <w:t>,</w:t>
      </w:r>
      <w:r w:rsidR="006D2D7D" w:rsidRPr="00270C7A">
        <w:t xml:space="preserve"> 89,</w:t>
      </w:r>
      <w:r w:rsidR="00A54CCE" w:rsidRPr="00270C7A">
        <w:t xml:space="preserve"> 52 Pa.Code § 69.1201(c)(1)</w:t>
      </w:r>
      <w:r w:rsidRPr="00270C7A">
        <w:t xml:space="preserve">.  </w:t>
      </w:r>
    </w:p>
    <w:p w:rsidR="00472F41" w:rsidRDefault="00472F41">
      <w:r>
        <w:br w:type="page"/>
      </w:r>
    </w:p>
    <w:p w:rsidR="00A12A94" w:rsidRPr="00270C7A" w:rsidRDefault="00A12A94" w:rsidP="00270C7A">
      <w:pPr>
        <w:spacing w:line="360" w:lineRule="auto"/>
        <w:ind w:firstLine="720"/>
      </w:pPr>
      <w:r w:rsidRPr="00270C7A">
        <w:lastRenderedPageBreak/>
        <w:t>(2)</w:t>
      </w:r>
      <w:r w:rsidRPr="00270C7A">
        <w:tab/>
      </w:r>
      <w:r w:rsidRPr="00270C7A">
        <w:rPr>
          <w:u w:val="single"/>
        </w:rPr>
        <w:t>The Consequence of Conduct</w:t>
      </w:r>
      <w:r w:rsidRPr="00270C7A">
        <w:t xml:space="preserve"> </w:t>
      </w:r>
    </w:p>
    <w:p w:rsidR="006B4074" w:rsidRPr="00270C7A" w:rsidRDefault="006B4074" w:rsidP="00270C7A">
      <w:pPr>
        <w:spacing w:line="360" w:lineRule="auto"/>
        <w:ind w:firstLine="720"/>
      </w:pPr>
    </w:p>
    <w:p w:rsidR="00375D9F" w:rsidRDefault="006B4074" w:rsidP="00270C7A">
      <w:pPr>
        <w:spacing w:line="360" w:lineRule="auto"/>
        <w:ind w:firstLine="720"/>
      </w:pPr>
      <w:r w:rsidRPr="00270C7A">
        <w:tab/>
        <w:t xml:space="preserve">The conduct by the Respondent at issue did not result in personal injury to the Complainant or damage to the Complainant’s service address.   </w:t>
      </w:r>
      <w:r w:rsidR="005D6320" w:rsidRPr="00270C7A">
        <w:t xml:space="preserve">52 </w:t>
      </w:r>
      <w:proofErr w:type="spellStart"/>
      <w:r w:rsidR="005D6320" w:rsidRPr="00270C7A">
        <w:t>Pa.Code</w:t>
      </w:r>
      <w:proofErr w:type="spellEnd"/>
      <w:r w:rsidR="005D6320" w:rsidRPr="00270C7A">
        <w:t xml:space="preserve"> § 69.1201(c</w:t>
      </w:r>
      <w:proofErr w:type="gramStart"/>
      <w:r w:rsidR="005D6320" w:rsidRPr="00270C7A">
        <w:t>)(</w:t>
      </w:r>
      <w:proofErr w:type="gramEnd"/>
      <w:r w:rsidR="005D6320" w:rsidRPr="00270C7A">
        <w:t>2).</w:t>
      </w:r>
    </w:p>
    <w:p w:rsidR="00472F41" w:rsidRPr="00270C7A" w:rsidRDefault="00472F41" w:rsidP="00270C7A">
      <w:pPr>
        <w:spacing w:line="360" w:lineRule="auto"/>
        <w:ind w:firstLine="720"/>
      </w:pPr>
    </w:p>
    <w:p w:rsidR="00A12A94" w:rsidRPr="00270C7A" w:rsidRDefault="00A12A94" w:rsidP="00270C7A">
      <w:pPr>
        <w:spacing w:line="360" w:lineRule="auto"/>
        <w:ind w:right="1440" w:firstLine="720"/>
        <w:rPr>
          <w:rFonts w:eastAsia="Calibri"/>
          <w:u w:val="single"/>
        </w:rPr>
      </w:pPr>
      <w:r w:rsidRPr="00270C7A">
        <w:rPr>
          <w:rFonts w:eastAsia="Calibri"/>
        </w:rPr>
        <w:t>(3)</w:t>
      </w:r>
      <w:r w:rsidRPr="00270C7A">
        <w:rPr>
          <w:rFonts w:eastAsia="Calibri"/>
        </w:rPr>
        <w:tab/>
      </w:r>
      <w:r w:rsidRPr="00270C7A">
        <w:rPr>
          <w:rFonts w:eastAsia="Calibri"/>
          <w:u w:val="single"/>
        </w:rPr>
        <w:t>Whether Conduct was Intentional or Negligent</w:t>
      </w:r>
    </w:p>
    <w:p w:rsidR="006B4074" w:rsidRPr="00270C7A" w:rsidRDefault="006B4074" w:rsidP="00270C7A">
      <w:pPr>
        <w:spacing w:line="360" w:lineRule="auto"/>
        <w:ind w:right="1440" w:firstLine="720"/>
        <w:rPr>
          <w:rFonts w:eastAsia="Calibri"/>
          <w:u w:val="single"/>
        </w:rPr>
      </w:pPr>
    </w:p>
    <w:p w:rsidR="00347500" w:rsidRPr="00270C7A" w:rsidRDefault="006B4074" w:rsidP="00270C7A">
      <w:pPr>
        <w:spacing w:line="360" w:lineRule="auto"/>
        <w:ind w:firstLine="720"/>
        <w:rPr>
          <w:rFonts w:eastAsia="Calibri"/>
        </w:rPr>
      </w:pPr>
      <w:r w:rsidRPr="00270C7A">
        <w:rPr>
          <w:rFonts w:eastAsia="Calibri"/>
        </w:rPr>
        <w:tab/>
        <w:t>The record shows that the conduct by the Respondent was negligent and not intentional.  Tr.</w:t>
      </w:r>
      <w:r w:rsidR="00347500" w:rsidRPr="00270C7A">
        <w:rPr>
          <w:rFonts w:eastAsia="Calibri"/>
        </w:rPr>
        <w:t xml:space="preserve"> 77-78, 85-87</w:t>
      </w:r>
      <w:r w:rsidR="00A54CCE" w:rsidRPr="00270C7A">
        <w:rPr>
          <w:rFonts w:eastAsia="Calibri"/>
        </w:rPr>
        <w:t>, 52 Pa.Code § 69.1201(c)(3)</w:t>
      </w:r>
      <w:r w:rsidRPr="00270C7A">
        <w:rPr>
          <w:rFonts w:eastAsia="Calibri"/>
        </w:rPr>
        <w:t>.</w:t>
      </w:r>
    </w:p>
    <w:p w:rsidR="00375D9F" w:rsidRPr="00270C7A" w:rsidRDefault="00375D9F" w:rsidP="00270C7A">
      <w:pPr>
        <w:spacing w:line="360" w:lineRule="auto"/>
        <w:ind w:firstLine="720"/>
        <w:rPr>
          <w:rFonts w:eastAsia="Calibri"/>
        </w:rPr>
      </w:pPr>
    </w:p>
    <w:p w:rsidR="00A12A94" w:rsidRPr="00270C7A" w:rsidRDefault="00A12A94" w:rsidP="00270C7A">
      <w:pPr>
        <w:spacing w:line="360" w:lineRule="auto"/>
        <w:ind w:firstLine="720"/>
      </w:pPr>
      <w:r w:rsidRPr="00270C7A">
        <w:t>(4)</w:t>
      </w:r>
      <w:r w:rsidRPr="00270C7A">
        <w:tab/>
      </w:r>
      <w:r w:rsidRPr="00270C7A">
        <w:rPr>
          <w:u w:val="single"/>
        </w:rPr>
        <w:t>Whether Conduct was Subsequently Modified</w:t>
      </w:r>
      <w:r w:rsidRPr="00270C7A">
        <w:t xml:space="preserve"> </w:t>
      </w:r>
    </w:p>
    <w:p w:rsidR="006B4074" w:rsidRPr="00270C7A" w:rsidRDefault="006B4074" w:rsidP="00270C7A">
      <w:pPr>
        <w:spacing w:line="360" w:lineRule="auto"/>
        <w:ind w:firstLine="720"/>
      </w:pPr>
    </w:p>
    <w:p w:rsidR="006B4074" w:rsidRPr="00270C7A" w:rsidRDefault="006B4074" w:rsidP="00270C7A">
      <w:pPr>
        <w:spacing w:line="360" w:lineRule="auto"/>
        <w:ind w:firstLine="720"/>
      </w:pPr>
      <w:r w:rsidRPr="00270C7A">
        <w:tab/>
        <w:t xml:space="preserve">The record shows that the error by the Respondent was immediately corrected by the Respondent once it was discovered.  Tr. </w:t>
      </w:r>
      <w:r w:rsidR="00347500" w:rsidRPr="00270C7A">
        <w:t>78-79</w:t>
      </w:r>
      <w:r w:rsidR="00A54CCE" w:rsidRPr="00270C7A">
        <w:t>, 52 Pa.Code § 69.1201(c)(4)</w:t>
      </w:r>
      <w:r w:rsidRPr="00270C7A">
        <w:t>.</w:t>
      </w:r>
    </w:p>
    <w:p w:rsidR="00A12A94" w:rsidRPr="00270C7A" w:rsidRDefault="00A12A94" w:rsidP="00270C7A">
      <w:pPr>
        <w:spacing w:line="360" w:lineRule="auto"/>
        <w:ind w:firstLine="720"/>
      </w:pPr>
    </w:p>
    <w:p w:rsidR="00A12A94" w:rsidRPr="00270C7A" w:rsidRDefault="00A12A94" w:rsidP="00270C7A">
      <w:pPr>
        <w:spacing w:line="360" w:lineRule="auto"/>
        <w:ind w:right="1440" w:firstLine="720"/>
        <w:rPr>
          <w:rFonts w:eastAsia="Calibri"/>
          <w:u w:val="single"/>
        </w:rPr>
      </w:pPr>
      <w:r w:rsidRPr="00270C7A">
        <w:rPr>
          <w:rFonts w:eastAsia="Calibri"/>
        </w:rPr>
        <w:t>(5)</w:t>
      </w:r>
      <w:r w:rsidRPr="00270C7A">
        <w:rPr>
          <w:rFonts w:eastAsia="Calibri"/>
        </w:rPr>
        <w:tab/>
      </w:r>
      <w:r w:rsidRPr="00270C7A">
        <w:rPr>
          <w:rFonts w:eastAsia="Calibri"/>
          <w:u w:val="single"/>
        </w:rPr>
        <w:t>Quantity of Customers Affected and Frequency of Error</w:t>
      </w:r>
    </w:p>
    <w:p w:rsidR="00B7412D" w:rsidRPr="00270C7A" w:rsidRDefault="00B7412D" w:rsidP="00270C7A">
      <w:pPr>
        <w:spacing w:line="360" w:lineRule="auto"/>
        <w:ind w:left="1080" w:right="1440"/>
        <w:rPr>
          <w:rFonts w:eastAsia="Calibri"/>
          <w:u w:val="single"/>
        </w:rPr>
      </w:pPr>
    </w:p>
    <w:p w:rsidR="006B4074" w:rsidRPr="00270C7A" w:rsidRDefault="006B4074" w:rsidP="00270C7A">
      <w:pPr>
        <w:spacing w:line="360" w:lineRule="auto"/>
        <w:ind w:firstLine="1440"/>
        <w:rPr>
          <w:rFonts w:eastAsia="Calibri"/>
        </w:rPr>
      </w:pPr>
      <w:r w:rsidRPr="00270C7A">
        <w:rPr>
          <w:rFonts w:eastAsia="Calibri"/>
        </w:rPr>
        <w:t>There is no record evidence of the quantity of customers affected by this failure to act by the Respondent.  There is no record evidence of similarly situated customers that may have the same issue.  There is no record evidence of how frequently this error occurs.</w:t>
      </w:r>
      <w:r w:rsidR="005D6320" w:rsidRPr="00270C7A">
        <w:rPr>
          <w:rFonts w:eastAsia="Calibri"/>
        </w:rPr>
        <w:t xml:space="preserve">  52 Pa.Code § 69.1201(c)(5).</w:t>
      </w:r>
    </w:p>
    <w:p w:rsidR="006B4074" w:rsidRPr="00270C7A" w:rsidRDefault="006B4074" w:rsidP="00270C7A">
      <w:pPr>
        <w:spacing w:line="360" w:lineRule="auto"/>
        <w:ind w:firstLine="1440"/>
        <w:rPr>
          <w:rFonts w:eastAsia="Calibri"/>
        </w:rPr>
      </w:pPr>
      <w:r w:rsidRPr="00270C7A">
        <w:rPr>
          <w:rFonts w:eastAsia="Calibri"/>
        </w:rPr>
        <w:t xml:space="preserve">  </w:t>
      </w:r>
    </w:p>
    <w:p w:rsidR="00A12A94" w:rsidRPr="00270C7A" w:rsidRDefault="00B7412D" w:rsidP="00270C7A">
      <w:pPr>
        <w:pStyle w:val="ListParagraph"/>
        <w:numPr>
          <w:ilvl w:val="0"/>
          <w:numId w:val="40"/>
        </w:numPr>
        <w:spacing w:line="360" w:lineRule="auto"/>
        <w:ind w:left="1440" w:hanging="720"/>
      </w:pPr>
      <w:r w:rsidRPr="00270C7A">
        <w:rPr>
          <w:u w:val="single"/>
        </w:rPr>
        <w:t>Compliance History of Utility</w:t>
      </w:r>
    </w:p>
    <w:p w:rsidR="00B7412D" w:rsidRPr="00270C7A" w:rsidRDefault="00B7412D" w:rsidP="00270C7A">
      <w:pPr>
        <w:spacing w:line="360" w:lineRule="auto"/>
        <w:ind w:left="720"/>
      </w:pPr>
    </w:p>
    <w:p w:rsidR="006B4074" w:rsidRPr="00270C7A" w:rsidRDefault="006B4074" w:rsidP="00270C7A">
      <w:pPr>
        <w:spacing w:line="360" w:lineRule="auto"/>
        <w:ind w:firstLine="1440"/>
      </w:pPr>
      <w:r w:rsidRPr="00270C7A">
        <w:t>There is no record of the compliance history of the Respondent.</w:t>
      </w:r>
      <w:r w:rsidR="005D6320" w:rsidRPr="00270C7A">
        <w:t xml:space="preserve">  52 </w:t>
      </w:r>
      <w:r w:rsidR="00BA3BC2">
        <w:t>Pa.Code § </w:t>
      </w:r>
      <w:r w:rsidR="005D6320" w:rsidRPr="00270C7A">
        <w:t>69.1201(c)(6).</w:t>
      </w:r>
    </w:p>
    <w:p w:rsidR="006B4074" w:rsidRPr="00270C7A" w:rsidRDefault="006B4074" w:rsidP="00270C7A">
      <w:pPr>
        <w:spacing w:line="360" w:lineRule="auto"/>
        <w:ind w:firstLine="1440"/>
      </w:pPr>
    </w:p>
    <w:p w:rsidR="00A12A94" w:rsidRPr="00270C7A" w:rsidRDefault="00A12A94" w:rsidP="00270C7A">
      <w:pPr>
        <w:pStyle w:val="ListParagraph"/>
        <w:numPr>
          <w:ilvl w:val="0"/>
          <w:numId w:val="40"/>
        </w:numPr>
        <w:spacing w:line="360" w:lineRule="auto"/>
        <w:ind w:left="1440" w:hanging="720"/>
        <w:rPr>
          <w:u w:val="single"/>
        </w:rPr>
      </w:pPr>
      <w:r w:rsidRPr="00270C7A">
        <w:rPr>
          <w:u w:val="single"/>
        </w:rPr>
        <w:t>Cooperation by Utility</w:t>
      </w:r>
    </w:p>
    <w:p w:rsidR="006B4074" w:rsidRPr="00270C7A" w:rsidRDefault="006B4074" w:rsidP="00270C7A">
      <w:pPr>
        <w:spacing w:line="360" w:lineRule="auto"/>
        <w:ind w:left="720"/>
        <w:rPr>
          <w:u w:val="single"/>
        </w:rPr>
      </w:pPr>
    </w:p>
    <w:p w:rsidR="00A12A94" w:rsidRPr="00270C7A" w:rsidRDefault="006B4074" w:rsidP="00472F41">
      <w:pPr>
        <w:spacing w:line="360" w:lineRule="auto"/>
        <w:ind w:firstLine="1440"/>
      </w:pPr>
      <w:r w:rsidRPr="00270C7A">
        <w:t xml:space="preserve">The record evidence shows that the Respondent took steps to assist the Complainant in the procedure to obtain a refund for the taxes that were wrongfully assessed to the Complainant’s service account.  Tr. </w:t>
      </w:r>
      <w:r w:rsidR="00347500" w:rsidRPr="00270C7A">
        <w:t>78-79</w:t>
      </w:r>
      <w:r w:rsidR="00A54CCE" w:rsidRPr="00270C7A">
        <w:t>,</w:t>
      </w:r>
      <w:r w:rsidR="00347500" w:rsidRPr="00270C7A">
        <w:t xml:space="preserve"> 86-87,</w:t>
      </w:r>
      <w:r w:rsidR="00A54CCE" w:rsidRPr="00270C7A">
        <w:t xml:space="preserve"> 52 </w:t>
      </w:r>
      <w:proofErr w:type="spellStart"/>
      <w:r w:rsidR="00A54CCE" w:rsidRPr="00270C7A">
        <w:t>Pa.Code</w:t>
      </w:r>
      <w:proofErr w:type="spellEnd"/>
      <w:r w:rsidR="00A54CCE" w:rsidRPr="00270C7A">
        <w:t xml:space="preserve"> 69.1201(c</w:t>
      </w:r>
      <w:proofErr w:type="gramStart"/>
      <w:r w:rsidR="00A54CCE" w:rsidRPr="00270C7A">
        <w:t>)(</w:t>
      </w:r>
      <w:proofErr w:type="gramEnd"/>
      <w:r w:rsidR="00A54CCE" w:rsidRPr="00270C7A">
        <w:t>7)</w:t>
      </w:r>
      <w:r w:rsidRPr="00270C7A">
        <w:t>.</w:t>
      </w:r>
    </w:p>
    <w:p w:rsidR="00B7412D" w:rsidRPr="00270C7A" w:rsidRDefault="00B7412D" w:rsidP="00270C7A">
      <w:pPr>
        <w:pStyle w:val="ListParagraph"/>
        <w:numPr>
          <w:ilvl w:val="0"/>
          <w:numId w:val="40"/>
        </w:numPr>
        <w:spacing w:line="360" w:lineRule="auto"/>
        <w:ind w:left="1440" w:hanging="720"/>
      </w:pPr>
      <w:r w:rsidRPr="00270C7A">
        <w:rPr>
          <w:u w:val="single"/>
        </w:rPr>
        <w:lastRenderedPageBreak/>
        <w:t>Appropriate Amount to Deter Recurrence</w:t>
      </w:r>
      <w:r w:rsidR="00A12A94" w:rsidRPr="00270C7A">
        <w:t xml:space="preserve"> </w:t>
      </w:r>
    </w:p>
    <w:p w:rsidR="00B7412D" w:rsidRPr="00270C7A" w:rsidRDefault="00B7412D" w:rsidP="00270C7A">
      <w:pPr>
        <w:pStyle w:val="ListParagraph"/>
        <w:spacing w:line="360" w:lineRule="auto"/>
      </w:pPr>
    </w:p>
    <w:p w:rsidR="00347500" w:rsidRPr="00270C7A" w:rsidRDefault="003C3BA4" w:rsidP="00270C7A">
      <w:pPr>
        <w:pStyle w:val="ListParagraph"/>
        <w:spacing w:line="360" w:lineRule="auto"/>
        <w:ind w:left="0" w:firstLine="1440"/>
      </w:pPr>
      <w:r w:rsidRPr="00270C7A">
        <w:t xml:space="preserve">Each month the Respondent could have reset the code to the service account to rectify the error at issue.  </w:t>
      </w:r>
      <w:r w:rsidR="00472F41">
        <w:t>$10.00</w:t>
      </w:r>
      <w:r w:rsidRPr="00270C7A">
        <w:t xml:space="preserve"> per month that the error existed seems to be an appropriate amount to encourage the Respondent to be diligent in the future concerning the modification of a service account that changes from multiple meters to one meter.</w:t>
      </w:r>
      <w:r w:rsidR="005D6320" w:rsidRPr="00270C7A">
        <w:t xml:space="preserve">  52 Pa.Code § 69.1201(c)(8).</w:t>
      </w:r>
    </w:p>
    <w:p w:rsidR="00375D9F" w:rsidRPr="00270C7A" w:rsidRDefault="00375D9F" w:rsidP="00270C7A">
      <w:pPr>
        <w:pStyle w:val="ListParagraph"/>
        <w:spacing w:line="360" w:lineRule="auto"/>
        <w:ind w:left="0" w:firstLine="1440"/>
      </w:pPr>
    </w:p>
    <w:p w:rsidR="00B7412D" w:rsidRPr="00270C7A" w:rsidRDefault="00B7412D" w:rsidP="00270C7A">
      <w:pPr>
        <w:pStyle w:val="ListParagraph"/>
        <w:numPr>
          <w:ilvl w:val="0"/>
          <w:numId w:val="40"/>
        </w:numPr>
        <w:spacing w:line="360" w:lineRule="auto"/>
        <w:ind w:left="1440" w:hanging="720"/>
      </w:pPr>
      <w:r w:rsidRPr="00270C7A">
        <w:rPr>
          <w:u w:val="single"/>
        </w:rPr>
        <w:t>Past Commission Decisions</w:t>
      </w:r>
      <w:r w:rsidRPr="00270C7A">
        <w:t xml:space="preserve"> </w:t>
      </w:r>
    </w:p>
    <w:p w:rsidR="00B7412D" w:rsidRPr="00270C7A" w:rsidRDefault="00B7412D" w:rsidP="00270C7A">
      <w:pPr>
        <w:pStyle w:val="ListParagraph"/>
        <w:spacing w:line="360" w:lineRule="auto"/>
      </w:pPr>
    </w:p>
    <w:p w:rsidR="005D6320" w:rsidRPr="00270C7A" w:rsidRDefault="005D6320" w:rsidP="00270C7A">
      <w:pPr>
        <w:spacing w:line="360" w:lineRule="auto"/>
        <w:ind w:firstLine="1440"/>
        <w:rPr>
          <w:rFonts w:eastAsia="Calibri"/>
        </w:rPr>
      </w:pPr>
      <w:r w:rsidRPr="00270C7A">
        <w:rPr>
          <w:rFonts w:eastAsia="Calibri"/>
        </w:rPr>
        <w:t>The undersigned has not found any Commission decisions presenting similar situations as found in this proceeding.  52 Pa.Code § 69.1201(c)(9).</w:t>
      </w:r>
    </w:p>
    <w:p w:rsidR="003C3BA4" w:rsidRPr="00270C7A" w:rsidRDefault="003C3BA4" w:rsidP="00270C7A">
      <w:pPr>
        <w:pStyle w:val="ListParagraph"/>
        <w:spacing w:line="360" w:lineRule="auto"/>
        <w:ind w:left="90"/>
      </w:pPr>
    </w:p>
    <w:p w:rsidR="00B7412D" w:rsidRPr="00270C7A" w:rsidRDefault="00B7412D" w:rsidP="00270C7A">
      <w:pPr>
        <w:pStyle w:val="ListParagraph"/>
        <w:numPr>
          <w:ilvl w:val="0"/>
          <w:numId w:val="40"/>
        </w:numPr>
        <w:spacing w:line="360" w:lineRule="auto"/>
        <w:ind w:left="1440" w:hanging="720"/>
      </w:pPr>
      <w:r w:rsidRPr="00270C7A">
        <w:rPr>
          <w:u w:val="single"/>
        </w:rPr>
        <w:t>Other Relevant Factors</w:t>
      </w:r>
      <w:r w:rsidRPr="00270C7A">
        <w:t xml:space="preserve"> </w:t>
      </w:r>
    </w:p>
    <w:p w:rsidR="00B7412D" w:rsidRPr="00270C7A" w:rsidRDefault="00B7412D" w:rsidP="00270C7A">
      <w:pPr>
        <w:pStyle w:val="ListParagraph"/>
        <w:spacing w:line="360" w:lineRule="auto"/>
      </w:pPr>
    </w:p>
    <w:p w:rsidR="005D6320" w:rsidRPr="00270C7A" w:rsidRDefault="005D6320" w:rsidP="00270C7A">
      <w:pPr>
        <w:pStyle w:val="ListParagraph"/>
        <w:spacing w:line="360" w:lineRule="auto"/>
        <w:ind w:left="0" w:firstLine="1440"/>
      </w:pPr>
      <w:r w:rsidRPr="00270C7A">
        <w:t xml:space="preserve">Particularly disconcerting is that the Respondent should have known as a result of the resolution of a formal complaint by the Complainant in April 2008 that the Complainant’s service address was changed from a multiple meter dwelling to a single family dwelling with one operational meter.  The length of time that the Respondent allowed this error to exist is a relevant factor. </w:t>
      </w:r>
      <w:r w:rsidR="00A54CCE" w:rsidRPr="00270C7A">
        <w:t xml:space="preserve"> This flaw reveals that the Respondent does not have </w:t>
      </w:r>
      <w:r w:rsidR="005A46FE">
        <w:t xml:space="preserve">a </w:t>
      </w:r>
      <w:r w:rsidR="00A54CCE" w:rsidRPr="00270C7A">
        <w:t>system or operational procedure in place as a check and balance when a customer changes from multiple meters to a single meter service address.  Such system or operational procedure needs to be addressed by the Respondent and is an additional factor.</w:t>
      </w:r>
      <w:r w:rsidRPr="00270C7A">
        <w:t xml:space="preserve"> 52 Pa.Code § 69.1201(c)(10).</w:t>
      </w:r>
    </w:p>
    <w:p w:rsidR="005D6320" w:rsidRPr="00270C7A" w:rsidRDefault="005D6320" w:rsidP="00270C7A">
      <w:pPr>
        <w:pStyle w:val="ListParagraph"/>
        <w:spacing w:line="360" w:lineRule="auto"/>
        <w:ind w:left="0" w:firstLine="1440"/>
      </w:pPr>
      <w:r w:rsidRPr="00270C7A">
        <w:t xml:space="preserve"> </w:t>
      </w:r>
    </w:p>
    <w:p w:rsidR="00B7412D" w:rsidRPr="00270C7A" w:rsidRDefault="00B7412D" w:rsidP="00270C7A">
      <w:pPr>
        <w:pStyle w:val="ListParagraph"/>
        <w:numPr>
          <w:ilvl w:val="0"/>
          <w:numId w:val="43"/>
        </w:numPr>
        <w:ind w:left="1440" w:hanging="720"/>
        <w:rPr>
          <w:u w:val="single"/>
        </w:rPr>
      </w:pPr>
      <w:r w:rsidRPr="00270C7A">
        <w:rPr>
          <w:u w:val="single"/>
        </w:rPr>
        <w:t>Disposition</w:t>
      </w:r>
    </w:p>
    <w:p w:rsidR="00B7412D" w:rsidRPr="00270C7A" w:rsidRDefault="00B7412D" w:rsidP="00270C7A">
      <w:pPr>
        <w:spacing w:line="360" w:lineRule="auto"/>
        <w:ind w:firstLine="1440"/>
        <w:rPr>
          <w:rFonts w:eastAsia="Calibri"/>
        </w:rPr>
      </w:pPr>
    </w:p>
    <w:p w:rsidR="00B7412D" w:rsidRPr="00270C7A" w:rsidRDefault="00B7412D" w:rsidP="00270C7A">
      <w:pPr>
        <w:spacing w:line="360" w:lineRule="auto"/>
        <w:ind w:firstLine="1440"/>
        <w:rPr>
          <w:rFonts w:eastAsia="Calibri"/>
        </w:rPr>
      </w:pPr>
      <w:r w:rsidRPr="00270C7A">
        <w:rPr>
          <w:rFonts w:eastAsia="Calibri"/>
        </w:rPr>
        <w:t>Although, I agree that Respondent is culpable of inco</w:t>
      </w:r>
      <w:r w:rsidR="009917DD" w:rsidRPr="00270C7A">
        <w:rPr>
          <w:rFonts w:eastAsia="Calibri"/>
        </w:rPr>
        <w:t>rrect charges on the Complainant’s bill,</w:t>
      </w:r>
      <w:r w:rsidRPr="00270C7A">
        <w:rPr>
          <w:rFonts w:eastAsia="Calibri"/>
        </w:rPr>
        <w:t xml:space="preserve"> the </w:t>
      </w:r>
      <w:r w:rsidR="009917DD" w:rsidRPr="00270C7A">
        <w:rPr>
          <w:rFonts w:eastAsia="Calibri"/>
        </w:rPr>
        <w:t xml:space="preserve">conduct by the Respondent </w:t>
      </w:r>
      <w:r w:rsidRPr="00270C7A">
        <w:rPr>
          <w:rFonts w:eastAsia="Calibri"/>
        </w:rPr>
        <w:t>was not intentional and did not result in damage or</w:t>
      </w:r>
      <w:r w:rsidR="009917DD" w:rsidRPr="00270C7A">
        <w:rPr>
          <w:rFonts w:eastAsia="Calibri"/>
        </w:rPr>
        <w:t xml:space="preserve"> physical</w:t>
      </w:r>
      <w:r w:rsidRPr="00270C7A">
        <w:rPr>
          <w:rFonts w:eastAsia="Calibri"/>
        </w:rPr>
        <w:t xml:space="preserve"> injury to the Complainant.  Additionally, the Respondent </w:t>
      </w:r>
      <w:r w:rsidR="009917DD" w:rsidRPr="00270C7A">
        <w:rPr>
          <w:rFonts w:eastAsia="Calibri"/>
        </w:rPr>
        <w:t>put paperwork in motion to assist the Complainant in obtaining a refund for the taxes that were assessed erroneously.</w:t>
      </w:r>
    </w:p>
    <w:p w:rsidR="00B7412D" w:rsidRPr="00270C7A" w:rsidRDefault="00B7412D" w:rsidP="00270C7A">
      <w:pPr>
        <w:spacing w:line="360" w:lineRule="auto"/>
        <w:ind w:firstLine="1440"/>
        <w:rPr>
          <w:rFonts w:eastAsia="Calibri"/>
        </w:rPr>
      </w:pPr>
    </w:p>
    <w:p w:rsidR="009E0A71" w:rsidRPr="00270C7A" w:rsidRDefault="00B7412D" w:rsidP="00270C7A">
      <w:pPr>
        <w:spacing w:line="360" w:lineRule="auto"/>
        <w:ind w:firstLine="1440"/>
        <w:rPr>
          <w:rFonts w:eastAsia="Calibri"/>
        </w:rPr>
      </w:pPr>
      <w:r w:rsidRPr="00270C7A">
        <w:rPr>
          <w:rFonts w:eastAsia="Calibri"/>
        </w:rPr>
        <w:lastRenderedPageBreak/>
        <w:t xml:space="preserve">I do not find that the Respondent’s actions here rise to the level of </w:t>
      </w:r>
      <w:r w:rsidR="009917DD" w:rsidRPr="00270C7A">
        <w:rPr>
          <w:rFonts w:eastAsia="Calibri"/>
        </w:rPr>
        <w:t xml:space="preserve">a heavy penalty.  I do believe a </w:t>
      </w:r>
      <w:r w:rsidRPr="00270C7A">
        <w:rPr>
          <w:rFonts w:eastAsia="Calibri"/>
        </w:rPr>
        <w:t>civil penalty</w:t>
      </w:r>
      <w:r w:rsidR="009E0A71" w:rsidRPr="00270C7A">
        <w:rPr>
          <w:rFonts w:eastAsia="Calibri"/>
        </w:rPr>
        <w:t xml:space="preserve"> is warranted because the Respondent had notice of the change to warrant it to cease from assessing the taxes and failed to implement the necessary procedure to make that occur.  The length of time the error existed after the Respondent had notice that the modification should have occurred is troubling</w:t>
      </w:r>
      <w:r w:rsidRPr="00270C7A">
        <w:rPr>
          <w:rFonts w:eastAsia="Calibri"/>
        </w:rPr>
        <w:t xml:space="preserve">. </w:t>
      </w:r>
      <w:r w:rsidR="009E0A71" w:rsidRPr="00270C7A">
        <w:rPr>
          <w:rFonts w:eastAsia="Calibri"/>
        </w:rPr>
        <w:t xml:space="preserve">  Lastly, the </w:t>
      </w:r>
      <w:r w:rsidRPr="00270C7A">
        <w:rPr>
          <w:rFonts w:eastAsia="Calibri"/>
        </w:rPr>
        <w:t>Respondent</w:t>
      </w:r>
      <w:r w:rsidR="009E0A71" w:rsidRPr="00270C7A">
        <w:rPr>
          <w:rFonts w:eastAsia="Calibri"/>
        </w:rPr>
        <w:t xml:space="preserve"> does not </w:t>
      </w:r>
      <w:r w:rsidR="00C025C2">
        <w:rPr>
          <w:rFonts w:eastAsia="Calibri"/>
        </w:rPr>
        <w:t>appear to have any checks and</w:t>
      </w:r>
      <w:r w:rsidR="009E0A71" w:rsidRPr="00270C7A">
        <w:rPr>
          <w:rFonts w:eastAsia="Calibri"/>
        </w:rPr>
        <w:t xml:space="preserve"> balances in place procedurally to deter this flaw.  It seems that it is only because the Complainant highlighted the issue in this Complaint that the error was corrected.  The Respondent needs to have </w:t>
      </w:r>
      <w:r w:rsidR="00C025C2">
        <w:rPr>
          <w:rFonts w:eastAsia="Calibri"/>
        </w:rPr>
        <w:t xml:space="preserve">a </w:t>
      </w:r>
      <w:r w:rsidR="009E0A71" w:rsidRPr="00270C7A">
        <w:rPr>
          <w:rFonts w:eastAsia="Calibri"/>
        </w:rPr>
        <w:t xml:space="preserve">procedure in place such that its system is capable of highlighting the change that occurred here without significant passage of time of it going undetected.  I find it reasonable </w:t>
      </w:r>
      <w:r w:rsidR="00472F41">
        <w:rPr>
          <w:rFonts w:eastAsia="Calibri"/>
        </w:rPr>
        <w:t>to direct a civil penalty of $10.00</w:t>
      </w:r>
      <w:r w:rsidR="009E0A71" w:rsidRPr="00270C7A">
        <w:rPr>
          <w:rFonts w:eastAsia="Calibri"/>
        </w:rPr>
        <w:t xml:space="preserve"> each month from the time the Respondent should have known to cease assessing the taxes or April 2008 to November 2015,</w:t>
      </w:r>
      <w:r w:rsidR="00A54CCE" w:rsidRPr="00270C7A">
        <w:rPr>
          <w:rFonts w:eastAsia="Calibri"/>
        </w:rPr>
        <w:t xml:space="preserve"> or a period of 92 months,</w:t>
      </w:r>
      <w:r w:rsidR="009E0A71" w:rsidRPr="00270C7A">
        <w:rPr>
          <w:rFonts w:eastAsia="Calibri"/>
        </w:rPr>
        <w:t xml:space="preserve"> which is the last month the taxes were assessed.  It is the understanding of the undersigned that the taxes were not assessed in the Complainant’s December 2015 bill. </w:t>
      </w:r>
      <w:r w:rsidR="00472F41">
        <w:rPr>
          <w:rFonts w:eastAsia="Calibri"/>
        </w:rPr>
        <w:t xml:space="preserve"> </w:t>
      </w:r>
      <w:proofErr w:type="gramStart"/>
      <w:r w:rsidR="00472F41">
        <w:rPr>
          <w:rFonts w:eastAsia="Calibri"/>
        </w:rPr>
        <w:t>Tr. </w:t>
      </w:r>
      <w:r w:rsidR="00347500" w:rsidRPr="00270C7A">
        <w:rPr>
          <w:rFonts w:eastAsia="Calibri"/>
        </w:rPr>
        <w:t>89.</w:t>
      </w:r>
      <w:proofErr w:type="gramEnd"/>
      <w:r w:rsidR="00347500" w:rsidRPr="00270C7A">
        <w:rPr>
          <w:rFonts w:eastAsia="Calibri"/>
        </w:rPr>
        <w:t xml:space="preserve"> </w:t>
      </w:r>
      <w:r w:rsidR="009E0A71" w:rsidRPr="00270C7A">
        <w:rPr>
          <w:rFonts w:eastAsia="Calibri"/>
        </w:rPr>
        <w:t xml:space="preserve"> The civil penalty amounts to ($1</w:t>
      </w:r>
      <w:r w:rsidR="00A54CCE" w:rsidRPr="00270C7A">
        <w:rPr>
          <w:rFonts w:eastAsia="Calibri"/>
        </w:rPr>
        <w:t>0</w:t>
      </w:r>
      <w:r w:rsidR="009E0A71" w:rsidRPr="00270C7A">
        <w:rPr>
          <w:rFonts w:eastAsia="Calibri"/>
        </w:rPr>
        <w:t>.00/month x 92 months</w:t>
      </w:r>
      <w:r w:rsidR="00A54CCE" w:rsidRPr="00270C7A">
        <w:rPr>
          <w:rFonts w:eastAsia="Calibri"/>
        </w:rPr>
        <w:t xml:space="preserve"> = $920.00</w:t>
      </w:r>
      <w:r w:rsidR="009E0A71" w:rsidRPr="00270C7A">
        <w:rPr>
          <w:rFonts w:eastAsia="Calibri"/>
        </w:rPr>
        <w:t xml:space="preserve">) </w:t>
      </w:r>
      <w:r w:rsidR="00A54CCE" w:rsidRPr="00270C7A">
        <w:rPr>
          <w:rFonts w:eastAsia="Calibri"/>
        </w:rPr>
        <w:t>$920.00.</w:t>
      </w:r>
    </w:p>
    <w:p w:rsidR="00B7412D" w:rsidRPr="00270C7A" w:rsidRDefault="00B7412D" w:rsidP="00270C7A">
      <w:pPr>
        <w:spacing w:line="360" w:lineRule="auto"/>
        <w:ind w:firstLine="1440"/>
        <w:rPr>
          <w:rFonts w:eastAsia="Calibri"/>
        </w:rPr>
      </w:pPr>
      <w:r w:rsidRPr="00270C7A">
        <w:rPr>
          <w:rFonts w:eastAsia="Calibri"/>
        </w:rPr>
        <w:t xml:space="preserve">  </w:t>
      </w:r>
    </w:p>
    <w:p w:rsidR="009D178A" w:rsidRPr="00270C7A" w:rsidRDefault="009D178A" w:rsidP="00270C7A">
      <w:pPr>
        <w:spacing w:line="360" w:lineRule="auto"/>
        <w:jc w:val="center"/>
        <w:rPr>
          <w:u w:val="single"/>
        </w:rPr>
      </w:pPr>
      <w:r w:rsidRPr="00270C7A">
        <w:rPr>
          <w:u w:val="single"/>
        </w:rPr>
        <w:t>CONCLUSIONS OF LAW</w:t>
      </w:r>
    </w:p>
    <w:p w:rsidR="009D178A" w:rsidRPr="00270C7A" w:rsidRDefault="009D178A" w:rsidP="00270C7A">
      <w:pPr>
        <w:spacing w:line="360" w:lineRule="auto"/>
        <w:jc w:val="center"/>
        <w:rPr>
          <w:u w:val="single"/>
        </w:rPr>
      </w:pPr>
    </w:p>
    <w:p w:rsidR="009D178A" w:rsidRPr="00270C7A" w:rsidRDefault="009D178A" w:rsidP="00270C7A">
      <w:pPr>
        <w:numPr>
          <w:ilvl w:val="0"/>
          <w:numId w:val="12"/>
        </w:numPr>
        <w:tabs>
          <w:tab w:val="clear" w:pos="900"/>
          <w:tab w:val="num" w:pos="2160"/>
        </w:tabs>
        <w:spacing w:line="360" w:lineRule="auto"/>
        <w:ind w:left="0" w:firstLine="1440"/>
      </w:pPr>
      <w:r w:rsidRPr="00270C7A">
        <w:t xml:space="preserve">The Commission has jurisdiction over the parties and the subject matter of this proceeding.  </w:t>
      </w:r>
      <w:proofErr w:type="gramStart"/>
      <w:r w:rsidRPr="00270C7A">
        <w:t>66 Pa.C.S.</w:t>
      </w:r>
      <w:proofErr w:type="gramEnd"/>
      <w:r w:rsidRPr="00270C7A">
        <w:t xml:space="preserve"> § 701.</w:t>
      </w:r>
    </w:p>
    <w:p w:rsidR="009D178A" w:rsidRPr="00270C7A" w:rsidRDefault="009D178A" w:rsidP="00270C7A">
      <w:pPr>
        <w:spacing w:line="360" w:lineRule="auto"/>
        <w:ind w:left="1440"/>
      </w:pPr>
    </w:p>
    <w:p w:rsidR="00CD6D25" w:rsidRPr="00270C7A" w:rsidRDefault="00CD6D25" w:rsidP="00270C7A">
      <w:pPr>
        <w:numPr>
          <w:ilvl w:val="0"/>
          <w:numId w:val="12"/>
        </w:numPr>
        <w:tabs>
          <w:tab w:val="clear" w:pos="900"/>
          <w:tab w:val="num" w:pos="2160"/>
        </w:tabs>
        <w:spacing w:line="360" w:lineRule="auto"/>
        <w:ind w:left="0" w:firstLine="1440"/>
      </w:pPr>
      <w:r w:rsidRPr="00270C7A">
        <w:t xml:space="preserve">“Burden of proof” means a duty to establish one’s case by a preponderance of the evidence, which requires that the evidence be more convincing by even the smallest degree, than the evidence presented by the other side.  </w:t>
      </w:r>
      <w:r w:rsidRPr="00270C7A">
        <w:rPr>
          <w:i/>
        </w:rPr>
        <w:t>Se-Ling Hosiery, Inc. v. Margulies</w:t>
      </w:r>
      <w:r w:rsidRPr="00270C7A">
        <w:t>, 364 Pa. 45, 70 A.2d 854 (1950).</w:t>
      </w:r>
    </w:p>
    <w:p w:rsidR="00EF42EE" w:rsidRPr="00270C7A" w:rsidRDefault="00EF42EE" w:rsidP="00270C7A">
      <w:pPr>
        <w:pStyle w:val="ListParagraph"/>
      </w:pPr>
    </w:p>
    <w:p w:rsidR="00CD6D25" w:rsidRPr="00270C7A" w:rsidRDefault="00CD6D25" w:rsidP="00270C7A">
      <w:pPr>
        <w:pStyle w:val="FootnoteText"/>
        <w:numPr>
          <w:ilvl w:val="0"/>
          <w:numId w:val="12"/>
        </w:numPr>
        <w:tabs>
          <w:tab w:val="clear" w:pos="900"/>
          <w:tab w:val="num" w:pos="-90"/>
        </w:tabs>
        <w:spacing w:line="360" w:lineRule="auto"/>
        <w:ind w:left="0" w:firstLine="1440"/>
        <w:rPr>
          <w:sz w:val="24"/>
          <w:szCs w:val="24"/>
        </w:rPr>
      </w:pPr>
      <w:r w:rsidRPr="00270C7A">
        <w:rPr>
          <w:sz w:val="24"/>
          <w:szCs w:val="24"/>
        </w:rPr>
        <w:t>The Complainant had the burden of proof</w:t>
      </w:r>
      <w:r w:rsidR="00EF42EE" w:rsidRPr="00270C7A">
        <w:rPr>
          <w:sz w:val="24"/>
          <w:szCs w:val="24"/>
        </w:rPr>
        <w:t xml:space="preserve"> and </w:t>
      </w:r>
      <w:r w:rsidR="00F431F3" w:rsidRPr="00270C7A">
        <w:rPr>
          <w:sz w:val="24"/>
          <w:szCs w:val="24"/>
        </w:rPr>
        <w:t xml:space="preserve">sustained her burden regarding incorrect charges on her bill; however, </w:t>
      </w:r>
      <w:r w:rsidR="00EF42EE" w:rsidRPr="00270C7A">
        <w:rPr>
          <w:sz w:val="24"/>
          <w:szCs w:val="24"/>
        </w:rPr>
        <w:t>failed to sustain h</w:t>
      </w:r>
      <w:r w:rsidR="00F431F3" w:rsidRPr="00270C7A">
        <w:rPr>
          <w:sz w:val="24"/>
          <w:szCs w:val="24"/>
        </w:rPr>
        <w:t>er</w:t>
      </w:r>
      <w:r w:rsidR="00EF42EE" w:rsidRPr="00270C7A">
        <w:rPr>
          <w:sz w:val="24"/>
          <w:szCs w:val="24"/>
        </w:rPr>
        <w:t xml:space="preserve"> burden</w:t>
      </w:r>
      <w:r w:rsidR="00F431F3" w:rsidRPr="00270C7A">
        <w:rPr>
          <w:sz w:val="24"/>
          <w:szCs w:val="24"/>
        </w:rPr>
        <w:t xml:space="preserve"> regarding a new payment arrangement and a high bill or theft of her gas service by neighbors</w:t>
      </w:r>
      <w:r w:rsidR="006B2300">
        <w:rPr>
          <w:sz w:val="24"/>
          <w:szCs w:val="24"/>
        </w:rPr>
        <w:t xml:space="preserve">.  </w:t>
      </w:r>
      <w:proofErr w:type="gramStart"/>
      <w:r w:rsidR="006B2300">
        <w:rPr>
          <w:sz w:val="24"/>
          <w:szCs w:val="24"/>
        </w:rPr>
        <w:t xml:space="preserve">66 </w:t>
      </w:r>
      <w:proofErr w:type="spellStart"/>
      <w:r w:rsidR="006B2300">
        <w:rPr>
          <w:sz w:val="24"/>
          <w:szCs w:val="24"/>
        </w:rPr>
        <w:t>Pa.C.S</w:t>
      </w:r>
      <w:proofErr w:type="spellEnd"/>
      <w:r w:rsidR="006B2300">
        <w:rPr>
          <w:sz w:val="24"/>
          <w:szCs w:val="24"/>
        </w:rPr>
        <w:t>.</w:t>
      </w:r>
      <w:proofErr w:type="gramEnd"/>
      <w:r w:rsidR="006B2300">
        <w:rPr>
          <w:sz w:val="24"/>
          <w:szCs w:val="24"/>
        </w:rPr>
        <w:t xml:space="preserve"> § </w:t>
      </w:r>
      <w:r w:rsidRPr="00270C7A">
        <w:rPr>
          <w:sz w:val="24"/>
          <w:szCs w:val="24"/>
        </w:rPr>
        <w:t>332(a).</w:t>
      </w:r>
    </w:p>
    <w:p w:rsidR="0066103B" w:rsidRPr="00270C7A" w:rsidRDefault="0066103B" w:rsidP="00270C7A">
      <w:pPr>
        <w:pStyle w:val="ListParagraph"/>
      </w:pPr>
    </w:p>
    <w:p w:rsidR="0061261B" w:rsidRPr="00270C7A" w:rsidRDefault="002F1F6D" w:rsidP="00270C7A">
      <w:pPr>
        <w:pStyle w:val="FootnoteText"/>
        <w:numPr>
          <w:ilvl w:val="0"/>
          <w:numId w:val="12"/>
        </w:numPr>
        <w:tabs>
          <w:tab w:val="clear" w:pos="900"/>
          <w:tab w:val="num" w:pos="-90"/>
        </w:tabs>
        <w:spacing w:line="360" w:lineRule="auto"/>
        <w:ind w:left="0" w:firstLine="1440"/>
        <w:rPr>
          <w:sz w:val="24"/>
          <w:szCs w:val="24"/>
        </w:rPr>
      </w:pPr>
      <w:r w:rsidRPr="00270C7A">
        <w:rPr>
          <w:sz w:val="24"/>
          <w:szCs w:val="24"/>
        </w:rPr>
        <w:t xml:space="preserve">The </w:t>
      </w:r>
      <w:r w:rsidR="00944BE7" w:rsidRPr="00270C7A">
        <w:rPr>
          <w:sz w:val="24"/>
          <w:szCs w:val="24"/>
        </w:rPr>
        <w:t xml:space="preserve">request to </w:t>
      </w:r>
      <w:r w:rsidR="00A54CCE" w:rsidRPr="00270C7A">
        <w:rPr>
          <w:sz w:val="24"/>
          <w:szCs w:val="24"/>
        </w:rPr>
        <w:t>verify</w:t>
      </w:r>
      <w:r w:rsidR="00944BE7" w:rsidRPr="00270C7A">
        <w:rPr>
          <w:sz w:val="24"/>
          <w:szCs w:val="24"/>
        </w:rPr>
        <w:t xml:space="preserve"> the assessed city and state taxes on the billed gas service </w:t>
      </w:r>
      <w:r w:rsidR="00E76D1E" w:rsidRPr="00270C7A">
        <w:rPr>
          <w:sz w:val="24"/>
          <w:szCs w:val="24"/>
        </w:rPr>
        <w:t>must be denied w</w:t>
      </w:r>
      <w:r w:rsidR="0061261B" w:rsidRPr="00270C7A">
        <w:rPr>
          <w:sz w:val="24"/>
          <w:szCs w:val="24"/>
        </w:rPr>
        <w:t xml:space="preserve">hen the Commission lacks the authority to grant the requested relief.  </w:t>
      </w:r>
      <w:r w:rsidR="0061261B" w:rsidRPr="00270C7A">
        <w:rPr>
          <w:i/>
          <w:sz w:val="24"/>
          <w:szCs w:val="24"/>
        </w:rPr>
        <w:t xml:space="preserve">Hill v. PECO Energy Co., </w:t>
      </w:r>
      <w:r w:rsidR="0061261B" w:rsidRPr="00270C7A">
        <w:rPr>
          <w:sz w:val="24"/>
          <w:szCs w:val="24"/>
        </w:rPr>
        <w:t>Docket No. C-2012-2315524 (Order entered November 2, 2012).</w:t>
      </w:r>
    </w:p>
    <w:p w:rsidR="007E6735" w:rsidRPr="00270C7A" w:rsidRDefault="0079728A" w:rsidP="00270C7A">
      <w:pPr>
        <w:pStyle w:val="FootnoteText"/>
        <w:numPr>
          <w:ilvl w:val="0"/>
          <w:numId w:val="12"/>
        </w:numPr>
        <w:tabs>
          <w:tab w:val="clear" w:pos="900"/>
          <w:tab w:val="num" w:pos="-90"/>
        </w:tabs>
        <w:spacing w:line="360" w:lineRule="auto"/>
        <w:ind w:left="0" w:firstLine="1440"/>
        <w:rPr>
          <w:sz w:val="24"/>
          <w:szCs w:val="24"/>
        </w:rPr>
      </w:pPr>
      <w:r w:rsidRPr="00270C7A">
        <w:rPr>
          <w:sz w:val="24"/>
          <w:szCs w:val="24"/>
        </w:rPr>
        <w:lastRenderedPageBreak/>
        <w:t xml:space="preserve"> </w:t>
      </w:r>
      <w:r w:rsidR="00EC5F25" w:rsidRPr="00270C7A">
        <w:rPr>
          <w:sz w:val="24"/>
          <w:szCs w:val="24"/>
        </w:rPr>
        <w:t xml:space="preserve">The </w:t>
      </w:r>
      <w:r w:rsidR="00EC5F25" w:rsidRPr="00270C7A">
        <w:rPr>
          <w:i/>
          <w:iCs/>
          <w:sz w:val="24"/>
          <w:szCs w:val="24"/>
        </w:rPr>
        <w:t>Waldron</w:t>
      </w:r>
      <w:r w:rsidR="00EC5F25" w:rsidRPr="00270C7A">
        <w:rPr>
          <w:sz w:val="24"/>
          <w:szCs w:val="24"/>
        </w:rPr>
        <w:t xml:space="preserve"> Rule allows a complainant to establish a prima facie case in a "high bill" complaint by showing that the disputed bill is abnormally high when compared to prior usage patterns and his or her pattern of usage has not changed or by providing other relevant evidence showing that the disputed bill is unreasonably high.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In evaluating a "high bill" complaint, 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proofErr w:type="spellStart"/>
      <w:r w:rsidR="00EC5F25" w:rsidRPr="00270C7A">
        <w:rPr>
          <w:i/>
          <w:iCs/>
          <w:sz w:val="24"/>
          <w:szCs w:val="24"/>
        </w:rPr>
        <w:t>Milkie</w:t>
      </w:r>
      <w:proofErr w:type="spellEnd"/>
      <w:r w:rsidR="00EC5F25" w:rsidRPr="00270C7A">
        <w:rPr>
          <w:i/>
          <w:iCs/>
          <w:sz w:val="24"/>
          <w:szCs w:val="24"/>
        </w:rPr>
        <w:t xml:space="preserve"> v. Pa. Pub. Util. </w:t>
      </w:r>
      <w:proofErr w:type="spellStart"/>
      <w:r w:rsidR="00EC5F25" w:rsidRPr="00270C7A">
        <w:rPr>
          <w:i/>
          <w:iCs/>
          <w:sz w:val="24"/>
          <w:szCs w:val="24"/>
        </w:rPr>
        <w:t>Comm’n</w:t>
      </w:r>
      <w:proofErr w:type="spellEnd"/>
      <w:r w:rsidR="00EC5F25" w:rsidRPr="00270C7A">
        <w:rPr>
          <w:i/>
          <w:iCs/>
          <w:sz w:val="24"/>
          <w:szCs w:val="24"/>
        </w:rPr>
        <w:t xml:space="preserve">., 768 A.2d 1217, 1220 (Pa. </w:t>
      </w:r>
      <w:proofErr w:type="spellStart"/>
      <w:r w:rsidR="00EC5F25" w:rsidRPr="00270C7A">
        <w:rPr>
          <w:i/>
          <w:iCs/>
          <w:sz w:val="24"/>
          <w:szCs w:val="24"/>
        </w:rPr>
        <w:t>Cmwlth</w:t>
      </w:r>
      <w:proofErr w:type="spellEnd"/>
      <w:r w:rsidR="00EC5F25" w:rsidRPr="00270C7A">
        <w:rPr>
          <w:i/>
          <w:iCs/>
          <w:sz w:val="24"/>
          <w:szCs w:val="24"/>
        </w:rPr>
        <w:t>. 2010);</w:t>
      </w:r>
      <w:r w:rsidR="00EC5F25" w:rsidRPr="00270C7A">
        <w:rPr>
          <w:sz w:val="24"/>
          <w:szCs w:val="24"/>
        </w:rPr>
        <w:t xml:space="preserve"> </w:t>
      </w:r>
      <w:r w:rsidR="00EC5F25" w:rsidRPr="00270C7A">
        <w:rPr>
          <w:i/>
          <w:iCs/>
          <w:sz w:val="24"/>
          <w:szCs w:val="24"/>
        </w:rPr>
        <w:t>Waldron v. Philadelphia. Electric Co., 54 Pa. PUC 98 (1980);</w:t>
      </w:r>
      <w:r w:rsidR="00EC5F25" w:rsidRPr="00270C7A">
        <w:rPr>
          <w:sz w:val="24"/>
          <w:szCs w:val="24"/>
        </w:rPr>
        <w:t xml:space="preserve"> </w:t>
      </w:r>
      <w:r w:rsidR="00EC5F25" w:rsidRPr="00270C7A">
        <w:rPr>
          <w:i/>
          <w:iCs/>
          <w:sz w:val="24"/>
          <w:szCs w:val="24"/>
        </w:rPr>
        <w:t>Charisse Bennett v. Peoples Natural Gas Co.,</w:t>
      </w:r>
      <w:r w:rsidR="00EC5F25" w:rsidRPr="00270C7A">
        <w:rPr>
          <w:sz w:val="24"/>
          <w:szCs w:val="24"/>
        </w:rPr>
        <w:t xml:space="preserve"> Docket No. C-2009-2122979 (Order entered October 13, 2010), </w:t>
      </w:r>
      <w:r w:rsidR="00EC5F25" w:rsidRPr="00270C7A">
        <w:rPr>
          <w:i/>
          <w:iCs/>
          <w:sz w:val="24"/>
          <w:szCs w:val="24"/>
        </w:rPr>
        <w:t>Nehemiah Thomas v. PECO Energy Company</w:t>
      </w:r>
      <w:r w:rsidR="00EC5F25" w:rsidRPr="00270C7A">
        <w:rPr>
          <w:sz w:val="24"/>
          <w:szCs w:val="24"/>
        </w:rPr>
        <w:t>, Docket No. C-2010-2187197 (Final Order entered November 15, 2011).</w:t>
      </w:r>
      <w:r w:rsidRPr="00270C7A">
        <w:rPr>
          <w:rFonts w:eastAsia="Calibri"/>
          <w:sz w:val="24"/>
          <w:szCs w:val="24"/>
        </w:rPr>
        <w:t xml:space="preserve"> </w:t>
      </w:r>
    </w:p>
    <w:p w:rsidR="007E6735" w:rsidRPr="00270C7A" w:rsidRDefault="007E6735" w:rsidP="00270C7A">
      <w:pPr>
        <w:pStyle w:val="FootnoteText"/>
        <w:spacing w:line="360" w:lineRule="auto"/>
        <w:ind w:left="1440"/>
        <w:rPr>
          <w:sz w:val="24"/>
          <w:szCs w:val="24"/>
        </w:rPr>
      </w:pPr>
    </w:p>
    <w:p w:rsidR="00944BE7" w:rsidRPr="00270C7A" w:rsidRDefault="007E6735" w:rsidP="00270C7A">
      <w:pPr>
        <w:pStyle w:val="FootnoteText"/>
        <w:numPr>
          <w:ilvl w:val="0"/>
          <w:numId w:val="12"/>
        </w:numPr>
        <w:tabs>
          <w:tab w:val="clear" w:pos="900"/>
          <w:tab w:val="num" w:pos="-90"/>
        </w:tabs>
        <w:spacing w:line="360" w:lineRule="auto"/>
        <w:ind w:left="0" w:firstLine="1440"/>
        <w:rPr>
          <w:sz w:val="24"/>
          <w:szCs w:val="24"/>
        </w:rPr>
      </w:pPr>
      <w:r w:rsidRPr="00270C7A">
        <w:rPr>
          <w:rFonts w:eastAsia="Calibri"/>
          <w:sz w:val="24"/>
          <w:szCs w:val="24"/>
        </w:rPr>
        <w:t xml:space="preserve">If the utility rebuts a complainant’s evidence, the burden of going forward shifts back to the complainant, who must rebut the utility’s evidence by a preponderance of the evidence.  </w:t>
      </w:r>
      <w:proofErr w:type="spellStart"/>
      <w:r w:rsidRPr="00270C7A">
        <w:rPr>
          <w:rFonts w:eastAsia="Calibri"/>
          <w:i/>
          <w:sz w:val="24"/>
          <w:szCs w:val="24"/>
        </w:rPr>
        <w:t>Poorbaugh</w:t>
      </w:r>
      <w:proofErr w:type="spellEnd"/>
      <w:r w:rsidRPr="00270C7A">
        <w:rPr>
          <w:rFonts w:eastAsia="Calibri"/>
          <w:i/>
          <w:sz w:val="24"/>
          <w:szCs w:val="24"/>
        </w:rPr>
        <w:t xml:space="preserve"> v. West Penn Power Co</w:t>
      </w:r>
      <w:r w:rsidRPr="00270C7A">
        <w:rPr>
          <w:rFonts w:eastAsia="Calibri"/>
          <w:sz w:val="24"/>
          <w:szCs w:val="24"/>
        </w:rPr>
        <w:t xml:space="preserve">., 1994 Pa. PUC LEXIS 95.  </w:t>
      </w:r>
      <w:r w:rsidR="0079728A" w:rsidRPr="00270C7A">
        <w:rPr>
          <w:rFonts w:eastAsia="Calibri"/>
          <w:sz w:val="24"/>
          <w:szCs w:val="24"/>
        </w:rPr>
        <w:t xml:space="preserve"> </w:t>
      </w:r>
    </w:p>
    <w:p w:rsidR="007E6735" w:rsidRPr="00270C7A" w:rsidRDefault="007E6735" w:rsidP="00270C7A">
      <w:pPr>
        <w:pStyle w:val="ListParagraph"/>
      </w:pPr>
    </w:p>
    <w:p w:rsidR="007E6735" w:rsidRPr="00270C7A" w:rsidRDefault="007E6735" w:rsidP="00270C7A">
      <w:pPr>
        <w:pStyle w:val="FootnoteText"/>
        <w:numPr>
          <w:ilvl w:val="0"/>
          <w:numId w:val="12"/>
        </w:numPr>
        <w:tabs>
          <w:tab w:val="clear" w:pos="900"/>
          <w:tab w:val="num" w:pos="-90"/>
        </w:tabs>
        <w:spacing w:line="360" w:lineRule="auto"/>
        <w:ind w:left="0" w:firstLine="1440"/>
        <w:rPr>
          <w:sz w:val="24"/>
          <w:szCs w:val="24"/>
        </w:rPr>
      </w:pPr>
      <w:r w:rsidRPr="00270C7A">
        <w:rPr>
          <w:sz w:val="24"/>
          <w:szCs w:val="24"/>
        </w:rPr>
        <w:t xml:space="preserve">The assessing of city and state taxes to </w:t>
      </w:r>
      <w:r w:rsidR="00C319B3" w:rsidRPr="00270C7A">
        <w:rPr>
          <w:sz w:val="24"/>
          <w:szCs w:val="24"/>
        </w:rPr>
        <w:t xml:space="preserve">the </w:t>
      </w:r>
      <w:r w:rsidR="00F65AE2" w:rsidRPr="00270C7A">
        <w:rPr>
          <w:sz w:val="24"/>
          <w:szCs w:val="24"/>
        </w:rPr>
        <w:t>Complainant</w:t>
      </w:r>
      <w:r w:rsidRPr="00270C7A">
        <w:rPr>
          <w:sz w:val="24"/>
          <w:szCs w:val="24"/>
        </w:rPr>
        <w:t xml:space="preserve">’s bill </w:t>
      </w:r>
      <w:r w:rsidR="00F65AE2" w:rsidRPr="00270C7A">
        <w:rPr>
          <w:sz w:val="24"/>
          <w:szCs w:val="24"/>
        </w:rPr>
        <w:t>im</w:t>
      </w:r>
      <w:r w:rsidRPr="00270C7A">
        <w:rPr>
          <w:sz w:val="24"/>
          <w:szCs w:val="24"/>
        </w:rPr>
        <w:t xml:space="preserve">properly by </w:t>
      </w:r>
      <w:r w:rsidR="00C319B3" w:rsidRPr="00270C7A">
        <w:rPr>
          <w:sz w:val="24"/>
          <w:szCs w:val="24"/>
        </w:rPr>
        <w:t>the Respondent</w:t>
      </w:r>
      <w:r w:rsidR="00F65AE2" w:rsidRPr="00270C7A">
        <w:rPr>
          <w:sz w:val="24"/>
          <w:szCs w:val="24"/>
        </w:rPr>
        <w:t xml:space="preserve"> </w:t>
      </w:r>
      <w:r w:rsidR="00C319B3" w:rsidRPr="00270C7A">
        <w:rPr>
          <w:sz w:val="24"/>
          <w:szCs w:val="24"/>
        </w:rPr>
        <w:t xml:space="preserve">from April 2008 through November 2015 </w:t>
      </w:r>
      <w:r w:rsidR="00F65AE2" w:rsidRPr="00270C7A">
        <w:rPr>
          <w:sz w:val="24"/>
          <w:szCs w:val="24"/>
        </w:rPr>
        <w:t>wa</w:t>
      </w:r>
      <w:r w:rsidRPr="00270C7A">
        <w:rPr>
          <w:sz w:val="24"/>
          <w:szCs w:val="24"/>
        </w:rPr>
        <w:t xml:space="preserve">s </w:t>
      </w:r>
      <w:r w:rsidR="00F65AE2" w:rsidRPr="00270C7A">
        <w:rPr>
          <w:sz w:val="24"/>
          <w:szCs w:val="24"/>
        </w:rPr>
        <w:t>in</w:t>
      </w:r>
      <w:r w:rsidRPr="00270C7A">
        <w:rPr>
          <w:sz w:val="24"/>
          <w:szCs w:val="24"/>
        </w:rPr>
        <w:t xml:space="preserve">adequate and </w:t>
      </w:r>
      <w:r w:rsidR="00F65AE2" w:rsidRPr="00270C7A">
        <w:rPr>
          <w:sz w:val="24"/>
          <w:szCs w:val="24"/>
        </w:rPr>
        <w:t>un</w:t>
      </w:r>
      <w:r w:rsidRPr="00270C7A">
        <w:rPr>
          <w:sz w:val="24"/>
          <w:szCs w:val="24"/>
        </w:rPr>
        <w:t>reasonable service</w:t>
      </w:r>
      <w:r w:rsidR="00C319B3" w:rsidRPr="00270C7A">
        <w:rPr>
          <w:sz w:val="24"/>
          <w:szCs w:val="24"/>
        </w:rPr>
        <w:t>.</w:t>
      </w:r>
      <w:r w:rsidRPr="00270C7A">
        <w:rPr>
          <w:sz w:val="24"/>
          <w:szCs w:val="24"/>
        </w:rPr>
        <w:t xml:space="preserve"> </w:t>
      </w:r>
      <w:proofErr w:type="gramStart"/>
      <w:r w:rsidRPr="00270C7A">
        <w:rPr>
          <w:sz w:val="24"/>
          <w:szCs w:val="24"/>
        </w:rPr>
        <w:t xml:space="preserve">66 </w:t>
      </w:r>
      <w:proofErr w:type="spellStart"/>
      <w:r w:rsidRPr="00270C7A">
        <w:rPr>
          <w:sz w:val="24"/>
          <w:szCs w:val="24"/>
        </w:rPr>
        <w:t>Pa.C.S</w:t>
      </w:r>
      <w:proofErr w:type="spellEnd"/>
      <w:r w:rsidRPr="00270C7A">
        <w:rPr>
          <w:sz w:val="24"/>
          <w:szCs w:val="24"/>
        </w:rPr>
        <w:t>.</w:t>
      </w:r>
      <w:proofErr w:type="gramEnd"/>
      <w:r w:rsidRPr="00270C7A">
        <w:rPr>
          <w:sz w:val="24"/>
          <w:szCs w:val="24"/>
        </w:rPr>
        <w:t xml:space="preserve"> § 1501</w:t>
      </w:r>
      <w:r w:rsidR="00C319B3" w:rsidRPr="00270C7A">
        <w:rPr>
          <w:sz w:val="24"/>
          <w:szCs w:val="24"/>
        </w:rPr>
        <w:t>(a)</w:t>
      </w:r>
      <w:r w:rsidRPr="00270C7A">
        <w:rPr>
          <w:sz w:val="24"/>
          <w:szCs w:val="24"/>
        </w:rPr>
        <w:t>.</w:t>
      </w:r>
    </w:p>
    <w:p w:rsidR="00C319B3" w:rsidRPr="00270C7A" w:rsidRDefault="00C319B3" w:rsidP="00270C7A">
      <w:pPr>
        <w:pStyle w:val="ListParagraph"/>
      </w:pPr>
    </w:p>
    <w:p w:rsidR="00C319B3" w:rsidRPr="00270C7A" w:rsidRDefault="00C319B3" w:rsidP="00270C7A">
      <w:pPr>
        <w:numPr>
          <w:ilvl w:val="0"/>
          <w:numId w:val="12"/>
        </w:numPr>
        <w:tabs>
          <w:tab w:val="clear" w:pos="900"/>
          <w:tab w:val="num" w:pos="-180"/>
        </w:tabs>
        <w:spacing w:line="360" w:lineRule="auto"/>
        <w:ind w:left="0" w:firstLine="1440"/>
      </w:pPr>
      <w:r w:rsidRPr="00270C7A">
        <w:t xml:space="preserve">The facts and circumstances presented in this proceeding require Philadelphia Gas Works to be assessed a civil penalty in the amount of  $920.00 ($10.00/month multiplied by 92 months) for the duration of the violation to Section 1501(a) of the Public Utility Code.  </w:t>
      </w:r>
      <w:proofErr w:type="gramStart"/>
      <w:r w:rsidRPr="00270C7A">
        <w:t xml:space="preserve">66 </w:t>
      </w:r>
      <w:proofErr w:type="spellStart"/>
      <w:r w:rsidRPr="00270C7A">
        <w:t>Pa.C.S</w:t>
      </w:r>
      <w:proofErr w:type="spellEnd"/>
      <w:r w:rsidRPr="00270C7A">
        <w:t>.</w:t>
      </w:r>
      <w:proofErr w:type="gramEnd"/>
      <w:r w:rsidRPr="00270C7A">
        <w:t xml:space="preserve"> § 3301(a) and 52 </w:t>
      </w:r>
      <w:proofErr w:type="spellStart"/>
      <w:r w:rsidRPr="00270C7A">
        <w:t>Pa.Code</w:t>
      </w:r>
      <w:proofErr w:type="spellEnd"/>
      <w:r w:rsidRPr="00270C7A">
        <w:t xml:space="preserve"> § 69.1201(c).</w:t>
      </w:r>
    </w:p>
    <w:p w:rsidR="00C319B3" w:rsidRPr="00270C7A" w:rsidRDefault="00C319B3" w:rsidP="00270C7A">
      <w:pPr>
        <w:pStyle w:val="ListParagraph"/>
      </w:pPr>
    </w:p>
    <w:p w:rsidR="001A281E" w:rsidRPr="00270C7A" w:rsidRDefault="00C319B3" w:rsidP="00270C7A">
      <w:pPr>
        <w:pStyle w:val="FootnoteText"/>
        <w:numPr>
          <w:ilvl w:val="0"/>
          <w:numId w:val="12"/>
        </w:numPr>
        <w:tabs>
          <w:tab w:val="clear" w:pos="900"/>
        </w:tabs>
        <w:spacing w:line="360" w:lineRule="auto"/>
        <w:ind w:left="0" w:firstLine="1440"/>
        <w:rPr>
          <w:sz w:val="24"/>
          <w:szCs w:val="24"/>
        </w:rPr>
      </w:pPr>
      <w:r w:rsidRPr="00270C7A">
        <w:rPr>
          <w:sz w:val="24"/>
          <w:szCs w:val="24"/>
        </w:rPr>
        <w:t>The formal Complaint should be sustained, in part and denied, in part, pursuant to the preceding discussion.</w:t>
      </w:r>
    </w:p>
    <w:p w:rsidR="001A281E" w:rsidRPr="00270C7A" w:rsidRDefault="001A281E" w:rsidP="00270C7A">
      <w:r w:rsidRPr="00270C7A">
        <w:br w:type="page"/>
      </w:r>
    </w:p>
    <w:p w:rsidR="00CD6D25" w:rsidRPr="00270C7A" w:rsidRDefault="00CD6D25" w:rsidP="00270C7A">
      <w:pPr>
        <w:pStyle w:val="FootnoteText"/>
        <w:spacing w:line="360" w:lineRule="auto"/>
        <w:jc w:val="center"/>
        <w:rPr>
          <w:sz w:val="24"/>
          <w:szCs w:val="24"/>
          <w:u w:val="single"/>
        </w:rPr>
      </w:pPr>
      <w:r w:rsidRPr="00270C7A">
        <w:rPr>
          <w:sz w:val="24"/>
          <w:szCs w:val="24"/>
          <w:u w:val="single"/>
        </w:rPr>
        <w:lastRenderedPageBreak/>
        <w:t>ORDER</w:t>
      </w:r>
    </w:p>
    <w:p w:rsidR="00CD6D25" w:rsidRPr="00270C7A" w:rsidRDefault="00CD6D25" w:rsidP="00270C7A">
      <w:pPr>
        <w:spacing w:line="360" w:lineRule="auto"/>
        <w:jc w:val="center"/>
        <w:outlineLvl w:val="0"/>
        <w:rPr>
          <w:u w:val="single"/>
        </w:rPr>
      </w:pPr>
    </w:p>
    <w:p w:rsidR="0014393C" w:rsidRPr="00270C7A" w:rsidRDefault="0014393C" w:rsidP="00270C7A">
      <w:pPr>
        <w:spacing w:line="360" w:lineRule="auto"/>
        <w:jc w:val="center"/>
        <w:outlineLvl w:val="0"/>
        <w:rPr>
          <w:u w:val="single"/>
        </w:rPr>
      </w:pPr>
    </w:p>
    <w:p w:rsidR="00CD6D25" w:rsidRPr="00270C7A" w:rsidRDefault="00CD6D25" w:rsidP="00270C7A">
      <w:pPr>
        <w:tabs>
          <w:tab w:val="num" w:pos="2160"/>
        </w:tabs>
        <w:spacing w:line="360" w:lineRule="auto"/>
        <w:ind w:firstLine="1440"/>
      </w:pPr>
      <w:r w:rsidRPr="00270C7A">
        <w:t>THEREFORE,</w:t>
      </w:r>
    </w:p>
    <w:p w:rsidR="00CD6D25" w:rsidRPr="00270C7A" w:rsidRDefault="00CD6D25" w:rsidP="00270C7A">
      <w:pPr>
        <w:tabs>
          <w:tab w:val="num" w:pos="2160"/>
        </w:tabs>
        <w:spacing w:line="360" w:lineRule="auto"/>
      </w:pPr>
    </w:p>
    <w:p w:rsidR="00CD6D25" w:rsidRPr="00270C7A" w:rsidRDefault="00CD6D25" w:rsidP="00270C7A">
      <w:pPr>
        <w:tabs>
          <w:tab w:val="num" w:pos="2160"/>
        </w:tabs>
        <w:spacing w:line="360" w:lineRule="auto"/>
        <w:ind w:firstLine="1440"/>
        <w:outlineLvl w:val="0"/>
      </w:pPr>
      <w:r w:rsidRPr="00270C7A">
        <w:t>IT IS ORDERED:</w:t>
      </w:r>
    </w:p>
    <w:p w:rsidR="00CD6D25" w:rsidRPr="00270C7A" w:rsidRDefault="00CD6D25" w:rsidP="00270C7A">
      <w:pPr>
        <w:tabs>
          <w:tab w:val="num" w:pos="2160"/>
        </w:tabs>
        <w:spacing w:line="360" w:lineRule="auto"/>
        <w:ind w:firstLine="1440"/>
        <w:outlineLvl w:val="0"/>
      </w:pPr>
    </w:p>
    <w:p w:rsidR="003920E6" w:rsidRPr="00270C7A" w:rsidRDefault="00CD6D25" w:rsidP="00270C7A">
      <w:pPr>
        <w:pStyle w:val="ListParagraph"/>
        <w:numPr>
          <w:ilvl w:val="0"/>
          <w:numId w:val="28"/>
        </w:numPr>
        <w:spacing w:line="360" w:lineRule="auto"/>
        <w:ind w:left="0" w:firstLine="1440"/>
        <w:contextualSpacing w:val="0"/>
        <w:outlineLvl w:val="0"/>
      </w:pPr>
      <w:r w:rsidRPr="00270C7A">
        <w:t xml:space="preserve">That the formal Complaint filed by </w:t>
      </w:r>
      <w:proofErr w:type="spellStart"/>
      <w:r w:rsidR="007E6735" w:rsidRPr="00270C7A">
        <w:t>Lachele</w:t>
      </w:r>
      <w:proofErr w:type="spellEnd"/>
      <w:r w:rsidR="007E6735" w:rsidRPr="00270C7A">
        <w:t xml:space="preserve"> Logan</w:t>
      </w:r>
      <w:r w:rsidR="00A330C3" w:rsidRPr="00270C7A">
        <w:t xml:space="preserve"> </w:t>
      </w:r>
      <w:r w:rsidRPr="00270C7A">
        <w:t>against P</w:t>
      </w:r>
      <w:r w:rsidR="007E6735" w:rsidRPr="00270C7A">
        <w:t xml:space="preserve">hiladelphia Gas Works </w:t>
      </w:r>
      <w:r w:rsidRPr="00270C7A">
        <w:t xml:space="preserve">at Docket No. </w:t>
      </w:r>
      <w:r w:rsidR="007E6735" w:rsidRPr="00270C7A">
        <w:t>C</w:t>
      </w:r>
      <w:r w:rsidRPr="00270C7A">
        <w:t>-201</w:t>
      </w:r>
      <w:r w:rsidR="0044617C" w:rsidRPr="00270C7A">
        <w:t>5</w:t>
      </w:r>
      <w:r w:rsidRPr="00270C7A">
        <w:t>-24</w:t>
      </w:r>
      <w:r w:rsidR="0044617C" w:rsidRPr="00270C7A">
        <w:t>8</w:t>
      </w:r>
      <w:r w:rsidR="007E6735" w:rsidRPr="00270C7A">
        <w:t>4453 is sustained in part regarding</w:t>
      </w:r>
      <w:r w:rsidRPr="00270C7A">
        <w:t xml:space="preserve"> </w:t>
      </w:r>
      <w:r w:rsidR="007E6735" w:rsidRPr="00270C7A">
        <w:t>incorrect charges on the bill.</w:t>
      </w:r>
    </w:p>
    <w:p w:rsidR="0044617C" w:rsidRPr="00270C7A" w:rsidRDefault="0044617C" w:rsidP="00270C7A">
      <w:pPr>
        <w:spacing w:line="360" w:lineRule="auto"/>
        <w:ind w:left="1440"/>
        <w:outlineLvl w:val="0"/>
      </w:pPr>
    </w:p>
    <w:p w:rsidR="00F65AE2" w:rsidRPr="00270C7A" w:rsidRDefault="007E6735" w:rsidP="00270C7A">
      <w:pPr>
        <w:pStyle w:val="ListParagraph"/>
        <w:numPr>
          <w:ilvl w:val="0"/>
          <w:numId w:val="28"/>
        </w:numPr>
        <w:spacing w:line="360" w:lineRule="auto"/>
        <w:ind w:left="0" w:firstLine="1440"/>
        <w:contextualSpacing w:val="0"/>
        <w:outlineLvl w:val="0"/>
      </w:pPr>
      <w:r w:rsidRPr="00270C7A">
        <w:t xml:space="preserve">That the formal Complaint filed by </w:t>
      </w:r>
      <w:proofErr w:type="spellStart"/>
      <w:r w:rsidRPr="00270C7A">
        <w:t>Lachele</w:t>
      </w:r>
      <w:proofErr w:type="spellEnd"/>
      <w:r w:rsidRPr="00270C7A">
        <w:t xml:space="preserve"> Logan against Philadelphia Gas Works at Docket No. C-2015-2484453 is </w:t>
      </w:r>
      <w:r w:rsidR="00F65AE2" w:rsidRPr="00270C7A">
        <w:t xml:space="preserve">denied in part regarding theft of service by neighbors, request for </w:t>
      </w:r>
      <w:r w:rsidR="00472F41">
        <w:t xml:space="preserve">a new </w:t>
      </w:r>
      <w:r w:rsidR="00F65AE2" w:rsidRPr="00270C7A">
        <w:t>payment arrangement, and inaccurate billed usage.</w:t>
      </w:r>
    </w:p>
    <w:p w:rsidR="00035222" w:rsidRPr="00270C7A" w:rsidRDefault="00035222" w:rsidP="00270C7A">
      <w:pPr>
        <w:pStyle w:val="ListParagraph"/>
      </w:pPr>
    </w:p>
    <w:p w:rsidR="00035222" w:rsidRPr="00270C7A" w:rsidRDefault="00035222" w:rsidP="00270C7A">
      <w:pPr>
        <w:numPr>
          <w:ilvl w:val="0"/>
          <w:numId w:val="28"/>
        </w:numPr>
        <w:autoSpaceDE w:val="0"/>
        <w:autoSpaceDN w:val="0"/>
        <w:spacing w:line="360" w:lineRule="auto"/>
        <w:ind w:left="0" w:firstLine="1440"/>
      </w:pPr>
      <w:r w:rsidRPr="00270C7A">
        <w:t>That Respondent, Philadelphia Gas Works, within 30 days after entry of this Commission Order, pursuant to Sections 3301 and 3315, is directed to pay $920.00 as a civil penalty payable by check, money order or certified funds to:</w:t>
      </w:r>
    </w:p>
    <w:p w:rsidR="00035222" w:rsidRPr="00270C7A" w:rsidRDefault="00035222" w:rsidP="00270C7A">
      <w:pPr>
        <w:pStyle w:val="ListParagraph"/>
      </w:pPr>
    </w:p>
    <w:p w:rsidR="00035222" w:rsidRPr="00270C7A" w:rsidRDefault="00035222" w:rsidP="00270C7A">
      <w:pPr>
        <w:ind w:left="2160"/>
      </w:pPr>
      <w:r w:rsidRPr="00270C7A">
        <w:t>Secretary</w:t>
      </w:r>
    </w:p>
    <w:p w:rsidR="00035222" w:rsidRPr="00270C7A" w:rsidRDefault="00035222" w:rsidP="00270C7A">
      <w:pPr>
        <w:ind w:left="2160"/>
      </w:pPr>
      <w:r w:rsidRPr="00270C7A">
        <w:t>Pennsylvania Public Utility Commission</w:t>
      </w:r>
    </w:p>
    <w:p w:rsidR="00035222" w:rsidRPr="00270C7A" w:rsidRDefault="00035222" w:rsidP="00270C7A">
      <w:pPr>
        <w:ind w:left="2160"/>
      </w:pPr>
      <w:r w:rsidRPr="00270C7A">
        <w:t>P.O. Box 3265</w:t>
      </w:r>
    </w:p>
    <w:p w:rsidR="00035222" w:rsidRPr="00270C7A" w:rsidRDefault="00035222" w:rsidP="00270C7A">
      <w:pPr>
        <w:ind w:left="2160"/>
      </w:pPr>
      <w:r w:rsidRPr="00270C7A">
        <w:t>Harrisburg, PA 17105-3265</w:t>
      </w:r>
    </w:p>
    <w:p w:rsidR="00035222" w:rsidRPr="00270C7A" w:rsidRDefault="00035222" w:rsidP="00472F41">
      <w:pPr>
        <w:spacing w:line="360" w:lineRule="auto"/>
        <w:ind w:left="2160"/>
      </w:pPr>
    </w:p>
    <w:p w:rsidR="00035222" w:rsidRPr="00270C7A" w:rsidRDefault="00035222" w:rsidP="00270C7A">
      <w:pPr>
        <w:numPr>
          <w:ilvl w:val="0"/>
          <w:numId w:val="28"/>
        </w:numPr>
        <w:autoSpaceDE w:val="0"/>
        <w:autoSpaceDN w:val="0"/>
        <w:spacing w:line="360" w:lineRule="auto"/>
        <w:ind w:left="0" w:firstLine="1440"/>
      </w:pPr>
      <w:r w:rsidRPr="00270C7A">
        <w:t xml:space="preserve">That Respondent, Philadelphia Gas Works shall cease and desist from further violations of the Public Utility Code, 66 Pa.C.S. § 101 </w:t>
      </w:r>
      <w:r w:rsidRPr="00270C7A">
        <w:rPr>
          <w:i/>
        </w:rPr>
        <w:t>et seq</w:t>
      </w:r>
      <w:r w:rsidRPr="00270C7A">
        <w:t xml:space="preserve">. and the regulations of the Pennsylvania Public Utility Commission, 52 Pa.Code § 1.1 </w:t>
      </w:r>
      <w:r w:rsidRPr="00270C7A">
        <w:rPr>
          <w:i/>
        </w:rPr>
        <w:t>et seq.</w:t>
      </w:r>
    </w:p>
    <w:p w:rsidR="00035222" w:rsidRPr="00270C7A" w:rsidRDefault="00035222" w:rsidP="00270C7A">
      <w:pPr>
        <w:pStyle w:val="ListParagraph"/>
      </w:pPr>
    </w:p>
    <w:p w:rsidR="001A281E" w:rsidRPr="00270C7A" w:rsidRDefault="00035222" w:rsidP="00270C7A">
      <w:pPr>
        <w:numPr>
          <w:ilvl w:val="0"/>
          <w:numId w:val="28"/>
        </w:numPr>
        <w:autoSpaceDE w:val="0"/>
        <w:autoSpaceDN w:val="0"/>
        <w:spacing w:line="360" w:lineRule="auto"/>
        <w:ind w:left="0" w:firstLine="1440"/>
      </w:pPr>
      <w:r w:rsidRPr="00270C7A">
        <w:t>That a copy of this Order shall be served upon the Financial and Assessment Chief, Office of Administration.</w:t>
      </w:r>
    </w:p>
    <w:p w:rsidR="001A281E" w:rsidRPr="00270C7A" w:rsidRDefault="001A281E" w:rsidP="00270C7A">
      <w:r w:rsidRPr="00270C7A">
        <w:br w:type="page"/>
      </w:r>
    </w:p>
    <w:p w:rsidR="007F264B" w:rsidRPr="00270C7A" w:rsidRDefault="007F264B" w:rsidP="00270C7A">
      <w:pPr>
        <w:numPr>
          <w:ilvl w:val="0"/>
          <w:numId w:val="28"/>
        </w:numPr>
        <w:autoSpaceDE w:val="0"/>
        <w:autoSpaceDN w:val="0"/>
        <w:spacing w:line="360" w:lineRule="auto"/>
        <w:ind w:left="0" w:firstLine="1440"/>
      </w:pPr>
      <w:r w:rsidRPr="00270C7A">
        <w:lastRenderedPageBreak/>
        <w:t>That the Secretary’s Bureau shall mark the matter at Docket No. C-2015-2484453 closed.</w:t>
      </w:r>
    </w:p>
    <w:p w:rsidR="00CD6D25" w:rsidRPr="00270C7A" w:rsidRDefault="00CD6D25" w:rsidP="00270C7A">
      <w:pPr>
        <w:spacing w:line="360" w:lineRule="auto"/>
      </w:pPr>
    </w:p>
    <w:p w:rsidR="00CD6D25" w:rsidRPr="00270C7A" w:rsidRDefault="00CD6D25" w:rsidP="00270C7A">
      <w:pPr>
        <w:tabs>
          <w:tab w:val="num" w:pos="2160"/>
          <w:tab w:val="left" w:pos="5048"/>
        </w:tabs>
        <w:spacing w:line="360" w:lineRule="auto"/>
      </w:pPr>
    </w:p>
    <w:p w:rsidR="00CD6D25" w:rsidRPr="00270C7A" w:rsidRDefault="00CD6D25" w:rsidP="00270C7A">
      <w:pPr>
        <w:tabs>
          <w:tab w:val="num" w:pos="2160"/>
          <w:tab w:val="left" w:pos="5048"/>
        </w:tabs>
        <w:rPr>
          <w:u w:val="single"/>
        </w:rPr>
      </w:pPr>
      <w:r w:rsidRPr="00270C7A">
        <w:t>Date:</w:t>
      </w:r>
      <w:r w:rsidR="0044617C" w:rsidRPr="00270C7A">
        <w:t xml:space="preserve"> </w:t>
      </w:r>
      <w:r w:rsidR="007F264B" w:rsidRPr="00270C7A">
        <w:rPr>
          <w:u w:val="single"/>
        </w:rPr>
        <w:t>April 28, 2016</w:t>
      </w:r>
      <w:r w:rsidRPr="00270C7A">
        <w:t xml:space="preserve"> </w:t>
      </w:r>
      <w:r w:rsidRPr="00270C7A">
        <w:tab/>
      </w:r>
      <w:r w:rsidR="007F264B" w:rsidRPr="00270C7A">
        <w:tab/>
      </w:r>
      <w:r w:rsidRPr="00270C7A">
        <w:rPr>
          <w:u w:val="single"/>
        </w:rPr>
        <w:tab/>
        <w:t>/s/</w:t>
      </w:r>
      <w:r w:rsidRPr="00270C7A">
        <w:rPr>
          <w:u w:val="single"/>
        </w:rPr>
        <w:tab/>
      </w:r>
      <w:r w:rsidRPr="00270C7A">
        <w:rPr>
          <w:u w:val="single"/>
        </w:rPr>
        <w:tab/>
      </w:r>
      <w:r w:rsidRPr="00270C7A">
        <w:rPr>
          <w:u w:val="single"/>
        </w:rPr>
        <w:tab/>
      </w:r>
      <w:r w:rsidRPr="00270C7A">
        <w:rPr>
          <w:u w:val="single"/>
        </w:rPr>
        <w:tab/>
      </w:r>
      <w:r w:rsidRPr="00270C7A">
        <w:rPr>
          <w:u w:val="single"/>
        </w:rPr>
        <w:tab/>
      </w:r>
    </w:p>
    <w:p w:rsidR="00CD6D25" w:rsidRPr="00270C7A" w:rsidRDefault="00CD6D25" w:rsidP="00270C7A">
      <w:pPr>
        <w:tabs>
          <w:tab w:val="num" w:pos="2160"/>
          <w:tab w:val="left" w:pos="5048"/>
        </w:tabs>
      </w:pPr>
      <w:r w:rsidRPr="00270C7A">
        <w:tab/>
      </w:r>
      <w:r w:rsidRPr="00270C7A">
        <w:tab/>
        <w:t xml:space="preserve">Angela T. Jones </w:t>
      </w:r>
    </w:p>
    <w:p w:rsidR="00CD6D25" w:rsidRPr="00270C7A" w:rsidRDefault="00CD6D25" w:rsidP="00270C7A">
      <w:pPr>
        <w:tabs>
          <w:tab w:val="num" w:pos="2160"/>
          <w:tab w:val="left" w:pos="5048"/>
        </w:tabs>
      </w:pPr>
      <w:r w:rsidRPr="00270C7A">
        <w:tab/>
      </w:r>
      <w:r w:rsidRPr="00270C7A">
        <w:tab/>
        <w:t>Administrative Law Judge</w:t>
      </w:r>
    </w:p>
    <w:sectPr w:rsidR="00CD6D25" w:rsidRPr="00270C7A"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1F" w:rsidRDefault="000C191F">
      <w:r>
        <w:separator/>
      </w:r>
    </w:p>
  </w:endnote>
  <w:endnote w:type="continuationSeparator" w:id="0">
    <w:p w:rsidR="000C191F" w:rsidRDefault="000C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CE" w:rsidRDefault="00A54CCE"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CCE" w:rsidRDefault="00A54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A54CCE" w:rsidRPr="0014393C" w:rsidRDefault="00A54CCE">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F47CAE">
          <w:rPr>
            <w:noProof/>
            <w:sz w:val="20"/>
            <w:szCs w:val="20"/>
          </w:rPr>
          <w:t>2</w:t>
        </w:r>
        <w:r w:rsidRPr="0014393C">
          <w:rPr>
            <w:noProof/>
            <w:sz w:val="20"/>
            <w:szCs w:val="20"/>
          </w:rPr>
          <w:fldChar w:fldCharType="end"/>
        </w:r>
      </w:p>
    </w:sdtContent>
  </w:sdt>
  <w:p w:rsidR="00A54CCE" w:rsidRPr="0014393C" w:rsidRDefault="00A54CCE"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1F" w:rsidRDefault="000C191F">
      <w:r>
        <w:separator/>
      </w:r>
    </w:p>
  </w:footnote>
  <w:footnote w:type="continuationSeparator" w:id="0">
    <w:p w:rsidR="000C191F" w:rsidRDefault="000C191F">
      <w:r>
        <w:continuationSeparator/>
      </w:r>
    </w:p>
  </w:footnote>
  <w:footnote w:id="1">
    <w:p w:rsidR="00A54CCE" w:rsidRDefault="00A54CCE">
      <w:pPr>
        <w:pStyle w:val="FootnoteText"/>
      </w:pPr>
      <w:r>
        <w:rPr>
          <w:rStyle w:val="FootnoteReference"/>
        </w:rPr>
        <w:footnoteRef/>
      </w:r>
      <w:r>
        <w:t xml:space="preserve"> </w:t>
      </w:r>
      <w:r>
        <w:tab/>
        <w:t>Respondent identified the exhibits in this further hearing starting with PGW Exhibit 8.  The record does not include PGW Exhibits 5, 6, or 7.</w:t>
      </w:r>
    </w:p>
  </w:footnote>
  <w:footnote w:id="2">
    <w:p w:rsidR="00A54CCE" w:rsidRDefault="00A54CCE">
      <w:pPr>
        <w:pStyle w:val="FootnoteText"/>
      </w:pPr>
      <w:r>
        <w:rPr>
          <w:rStyle w:val="FootnoteReference"/>
        </w:rPr>
        <w:footnoteRef/>
      </w:r>
      <w:r>
        <w:t xml:space="preserve"> </w:t>
      </w:r>
      <w:r>
        <w:tab/>
        <w:t xml:space="preserve">The undersigned was the presiding officer of the formal complaint at Docket No. </w:t>
      </w:r>
      <w:proofErr w:type="gramStart"/>
      <w:r>
        <w:t>F-2008-2020135 that the Complainant filed against the Respondent.</w:t>
      </w:r>
      <w:proofErr w:type="gramEnd"/>
      <w:r>
        <w:t xml:space="preserve">  That formal complaint ended in a settlement.</w:t>
      </w:r>
    </w:p>
  </w:footnote>
  <w:footnote w:id="3">
    <w:p w:rsidR="00A54CCE" w:rsidRDefault="00A54CCE">
      <w:pPr>
        <w:pStyle w:val="FootnoteText"/>
      </w:pPr>
      <w:r>
        <w:rPr>
          <w:rStyle w:val="FootnoteReference"/>
        </w:rPr>
        <w:footnoteRef/>
      </w:r>
      <w:r>
        <w:t xml:space="preserve"> </w:t>
      </w:r>
      <w:r>
        <w:tab/>
        <w:t xml:space="preserve">According to the Federal poverty guidelines for a family size of 1, 50% of the gross monthly income is $613.00 and 75% of the gross monthly income is $920.00.  Federal Register, Vol. 80, No. 15, January 22, 2015, at 3236-37.  See also </w:t>
      </w:r>
      <w:hyperlink r:id="rId1" w:history="1">
        <w:r w:rsidRPr="00C8483B">
          <w:rPr>
            <w:rStyle w:val="Hyperlink"/>
          </w:rPr>
          <w:t>http://aspe.hhs.gov/poverty</w:t>
        </w:r>
      </w:hyperlink>
      <w:r>
        <w:t>.</w:t>
      </w:r>
    </w:p>
    <w:p w:rsidR="00A54CCE" w:rsidRDefault="00A54CCE">
      <w:pPr>
        <w:pStyle w:val="FootnoteText"/>
      </w:pPr>
    </w:p>
  </w:footnote>
  <w:footnote w:id="4">
    <w:p w:rsidR="00375D9F" w:rsidRDefault="00375D9F">
      <w:pPr>
        <w:pStyle w:val="FootnoteText"/>
      </w:pPr>
      <w:r>
        <w:rPr>
          <w:rStyle w:val="FootnoteReference"/>
        </w:rPr>
        <w:footnoteRef/>
      </w:r>
      <w:r>
        <w:t xml:space="preserve"> </w:t>
      </w:r>
      <w:r>
        <w:tab/>
        <w:t>It is noted that the Respondent informed the Complainant that she was responsible for the meter testing fee, but waived the charges so that the Complainant was never charged.  The undersigned does not find that the meter testing fee communication is actionable as a violation of the Public Utility Code, and therefore, no corresponding analysis for a civil penalty is offered.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7C1021"/>
    <w:multiLevelType w:val="hybridMultilevel"/>
    <w:tmpl w:val="0CF8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26276FDD"/>
    <w:multiLevelType w:val="hybridMultilevel"/>
    <w:tmpl w:val="86887FDE"/>
    <w:lvl w:ilvl="0" w:tplc="0BDEC50A">
      <w:start w:val="1"/>
      <w:numFmt w:val="lowerLetter"/>
      <w:lvlText w:val="(%1)"/>
      <w:lvlJc w:val="left"/>
      <w:pPr>
        <w:ind w:left="3264" w:hanging="1104"/>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AE07013"/>
    <w:multiLevelType w:val="hybridMultilevel"/>
    <w:tmpl w:val="E89EA774"/>
    <w:lvl w:ilvl="0" w:tplc="BE707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3E516245"/>
    <w:multiLevelType w:val="hybridMultilevel"/>
    <w:tmpl w:val="62BE88BA"/>
    <w:lvl w:ilvl="0" w:tplc="14E28F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nsid w:val="4FD1511C"/>
    <w:multiLevelType w:val="hybridMultilevel"/>
    <w:tmpl w:val="D832A256"/>
    <w:lvl w:ilvl="0" w:tplc="68307750">
      <w:start w:val="6"/>
      <w:numFmt w:val="decimal"/>
      <w:lvlText w:val="(%1)"/>
      <w:lvlJc w:val="left"/>
      <w:pPr>
        <w:ind w:left="2520" w:hanging="360"/>
      </w:pPr>
      <w:rPr>
        <w:rFonts w:hint="default"/>
      </w:rPr>
    </w:lvl>
    <w:lvl w:ilvl="1" w:tplc="3E3CFF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D6DFA"/>
    <w:multiLevelType w:val="hybridMultilevel"/>
    <w:tmpl w:val="99C222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82A0279"/>
    <w:multiLevelType w:val="hybridMultilevel"/>
    <w:tmpl w:val="03BED6BC"/>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9001167"/>
    <w:multiLevelType w:val="hybridMultilevel"/>
    <w:tmpl w:val="5188303A"/>
    <w:lvl w:ilvl="0" w:tplc="6AD6F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7">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9E162D"/>
    <w:multiLevelType w:val="hybridMultilevel"/>
    <w:tmpl w:val="2DE408E4"/>
    <w:lvl w:ilvl="0" w:tplc="3E3CFF7E">
      <w:start w:val="1"/>
      <w:numFmt w:val="decimal"/>
      <w:lvlText w:val="(%1)"/>
      <w:lvlJc w:val="left"/>
      <w:pPr>
        <w:ind w:left="3240" w:hanging="360"/>
      </w:pPr>
      <w:rPr>
        <w:rFonts w:hint="default"/>
      </w:rPr>
    </w:lvl>
    <w:lvl w:ilvl="1" w:tplc="3E3CFF7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10"/>
  </w:num>
  <w:num w:numId="4">
    <w:abstractNumId w:val="8"/>
  </w:num>
  <w:num w:numId="5">
    <w:abstractNumId w:val="11"/>
  </w:num>
  <w:num w:numId="6">
    <w:abstractNumId w:val="38"/>
  </w:num>
  <w:num w:numId="7">
    <w:abstractNumId w:val="37"/>
  </w:num>
  <w:num w:numId="8">
    <w:abstractNumId w:val="3"/>
  </w:num>
  <w:num w:numId="9">
    <w:abstractNumId w:val="26"/>
  </w:num>
  <w:num w:numId="10">
    <w:abstractNumId w:val="24"/>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18"/>
  </w:num>
  <w:num w:numId="16">
    <w:abstractNumId w:val="42"/>
  </w:num>
  <w:num w:numId="17">
    <w:abstractNumId w:val="4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34"/>
  </w:num>
  <w:num w:numId="22">
    <w:abstractNumId w:val="32"/>
  </w:num>
  <w:num w:numId="23">
    <w:abstractNumId w:val="35"/>
  </w:num>
  <w:num w:numId="24">
    <w:abstractNumId w:val="19"/>
  </w:num>
  <w:num w:numId="25">
    <w:abstractNumId w:val="27"/>
  </w:num>
  <w:num w:numId="26">
    <w:abstractNumId w:val="17"/>
  </w:num>
  <w:num w:numId="27">
    <w:abstractNumId w:val="3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0"/>
  </w:num>
  <w:num w:numId="34">
    <w:abstractNumId w:val="20"/>
  </w:num>
  <w:num w:numId="35">
    <w:abstractNumId w:val="0"/>
  </w:num>
  <w:num w:numId="36">
    <w:abstractNumId w:val="29"/>
  </w:num>
  <w:num w:numId="37">
    <w:abstractNumId w:val="14"/>
  </w:num>
  <w:num w:numId="38">
    <w:abstractNumId w:val="31"/>
  </w:num>
  <w:num w:numId="39">
    <w:abstractNumId w:val="25"/>
  </w:num>
  <w:num w:numId="40">
    <w:abstractNumId w:val="12"/>
  </w:num>
  <w:num w:numId="41">
    <w:abstractNumId w:val="9"/>
  </w:num>
  <w:num w:numId="42">
    <w:abstractNumId w:val="23"/>
  </w:num>
  <w:num w:numId="43">
    <w:abstractNumId w:val="43"/>
  </w:num>
  <w:num w:numId="44">
    <w:abstractNumId w:val="44"/>
  </w:num>
  <w:num w:numId="45">
    <w:abstractNumId w:val="28"/>
  </w:num>
  <w:num w:numId="46">
    <w:abstractNumId w:val="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CAB"/>
    <w:rsid w:val="00000E2D"/>
    <w:rsid w:val="000017C4"/>
    <w:rsid w:val="00002A4C"/>
    <w:rsid w:val="000035BB"/>
    <w:rsid w:val="0000360D"/>
    <w:rsid w:val="00006BC2"/>
    <w:rsid w:val="00007520"/>
    <w:rsid w:val="000075FC"/>
    <w:rsid w:val="00007AD3"/>
    <w:rsid w:val="00010964"/>
    <w:rsid w:val="00010F3B"/>
    <w:rsid w:val="0001209D"/>
    <w:rsid w:val="00012624"/>
    <w:rsid w:val="00012651"/>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222"/>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6D1"/>
    <w:rsid w:val="00061CCC"/>
    <w:rsid w:val="00072F60"/>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590E"/>
    <w:rsid w:val="000962F2"/>
    <w:rsid w:val="000A02A6"/>
    <w:rsid w:val="000A055A"/>
    <w:rsid w:val="000A07BD"/>
    <w:rsid w:val="000A1769"/>
    <w:rsid w:val="000A25EB"/>
    <w:rsid w:val="000A27C5"/>
    <w:rsid w:val="000A2D8C"/>
    <w:rsid w:val="000A5190"/>
    <w:rsid w:val="000A5360"/>
    <w:rsid w:val="000A741D"/>
    <w:rsid w:val="000A7657"/>
    <w:rsid w:val="000B0781"/>
    <w:rsid w:val="000B08F5"/>
    <w:rsid w:val="000B4662"/>
    <w:rsid w:val="000B4A44"/>
    <w:rsid w:val="000B7D81"/>
    <w:rsid w:val="000C0751"/>
    <w:rsid w:val="000C0E75"/>
    <w:rsid w:val="000C1740"/>
    <w:rsid w:val="000C1854"/>
    <w:rsid w:val="000C191F"/>
    <w:rsid w:val="000C1970"/>
    <w:rsid w:val="000C35B5"/>
    <w:rsid w:val="000C46E1"/>
    <w:rsid w:val="000C6FB8"/>
    <w:rsid w:val="000D02BC"/>
    <w:rsid w:val="000D0B38"/>
    <w:rsid w:val="000D2F5A"/>
    <w:rsid w:val="000D4D0A"/>
    <w:rsid w:val="000D567C"/>
    <w:rsid w:val="000D7565"/>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BE5"/>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19E0"/>
    <w:rsid w:val="001129E3"/>
    <w:rsid w:val="00113B84"/>
    <w:rsid w:val="00114141"/>
    <w:rsid w:val="00116E34"/>
    <w:rsid w:val="0011780E"/>
    <w:rsid w:val="00117AB3"/>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B13"/>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517D9"/>
    <w:rsid w:val="00151911"/>
    <w:rsid w:val="00152ADD"/>
    <w:rsid w:val="00153028"/>
    <w:rsid w:val="0015332A"/>
    <w:rsid w:val="00153362"/>
    <w:rsid w:val="00154FD6"/>
    <w:rsid w:val="001554C0"/>
    <w:rsid w:val="00155C48"/>
    <w:rsid w:val="001576E9"/>
    <w:rsid w:val="00162991"/>
    <w:rsid w:val="00163921"/>
    <w:rsid w:val="00164042"/>
    <w:rsid w:val="00164213"/>
    <w:rsid w:val="00166790"/>
    <w:rsid w:val="001671A3"/>
    <w:rsid w:val="001673BA"/>
    <w:rsid w:val="00167E26"/>
    <w:rsid w:val="00170954"/>
    <w:rsid w:val="001719B5"/>
    <w:rsid w:val="00171B15"/>
    <w:rsid w:val="00172031"/>
    <w:rsid w:val="00175E13"/>
    <w:rsid w:val="00177450"/>
    <w:rsid w:val="001825C3"/>
    <w:rsid w:val="00182AEC"/>
    <w:rsid w:val="00184760"/>
    <w:rsid w:val="00185A40"/>
    <w:rsid w:val="001860EB"/>
    <w:rsid w:val="00187FEF"/>
    <w:rsid w:val="0019029B"/>
    <w:rsid w:val="00192956"/>
    <w:rsid w:val="001936E7"/>
    <w:rsid w:val="00193B60"/>
    <w:rsid w:val="00193C8F"/>
    <w:rsid w:val="00195EBA"/>
    <w:rsid w:val="001973E5"/>
    <w:rsid w:val="001A039F"/>
    <w:rsid w:val="001A12C3"/>
    <w:rsid w:val="001A225A"/>
    <w:rsid w:val="001A281E"/>
    <w:rsid w:val="001A3706"/>
    <w:rsid w:val="001A4C79"/>
    <w:rsid w:val="001A4DCA"/>
    <w:rsid w:val="001A7526"/>
    <w:rsid w:val="001A77D3"/>
    <w:rsid w:val="001A7C3D"/>
    <w:rsid w:val="001B009E"/>
    <w:rsid w:val="001B0BEE"/>
    <w:rsid w:val="001B39C2"/>
    <w:rsid w:val="001B4411"/>
    <w:rsid w:val="001B65E5"/>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ED4"/>
    <w:rsid w:val="001D2F5E"/>
    <w:rsid w:val="001D40D2"/>
    <w:rsid w:val="001D43E1"/>
    <w:rsid w:val="001D63E0"/>
    <w:rsid w:val="001D66A1"/>
    <w:rsid w:val="001D6E1D"/>
    <w:rsid w:val="001D708E"/>
    <w:rsid w:val="001D7982"/>
    <w:rsid w:val="001E070A"/>
    <w:rsid w:val="001E12A6"/>
    <w:rsid w:val="001E168D"/>
    <w:rsid w:val="001E3219"/>
    <w:rsid w:val="001E4DE9"/>
    <w:rsid w:val="001E4F80"/>
    <w:rsid w:val="001E5C7B"/>
    <w:rsid w:val="001E6082"/>
    <w:rsid w:val="001F2E47"/>
    <w:rsid w:val="001F38DD"/>
    <w:rsid w:val="001F56DA"/>
    <w:rsid w:val="001F5959"/>
    <w:rsid w:val="001F627F"/>
    <w:rsid w:val="001F6805"/>
    <w:rsid w:val="001F6BA3"/>
    <w:rsid w:val="001F7426"/>
    <w:rsid w:val="001F776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C16"/>
    <w:rsid w:val="00214D60"/>
    <w:rsid w:val="002150CA"/>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5EF"/>
    <w:rsid w:val="0026395A"/>
    <w:rsid w:val="0026397D"/>
    <w:rsid w:val="00265612"/>
    <w:rsid w:val="002664A3"/>
    <w:rsid w:val="00266C2B"/>
    <w:rsid w:val="0026732E"/>
    <w:rsid w:val="00270B7C"/>
    <w:rsid w:val="00270C7A"/>
    <w:rsid w:val="00272A22"/>
    <w:rsid w:val="00273C64"/>
    <w:rsid w:val="0027536E"/>
    <w:rsid w:val="00276A81"/>
    <w:rsid w:val="00276DCE"/>
    <w:rsid w:val="00277337"/>
    <w:rsid w:val="00277A4C"/>
    <w:rsid w:val="00280326"/>
    <w:rsid w:val="00280F50"/>
    <w:rsid w:val="00281E25"/>
    <w:rsid w:val="00284168"/>
    <w:rsid w:val="00284CE5"/>
    <w:rsid w:val="00284D30"/>
    <w:rsid w:val="002852ED"/>
    <w:rsid w:val="00286757"/>
    <w:rsid w:val="00286EC1"/>
    <w:rsid w:val="00286F6A"/>
    <w:rsid w:val="00291609"/>
    <w:rsid w:val="00291FFF"/>
    <w:rsid w:val="0029444D"/>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C7873"/>
    <w:rsid w:val="002D0361"/>
    <w:rsid w:val="002D05FF"/>
    <w:rsid w:val="002D1C44"/>
    <w:rsid w:val="002D2E41"/>
    <w:rsid w:val="002D3A0E"/>
    <w:rsid w:val="002D45D1"/>
    <w:rsid w:val="002D4D3D"/>
    <w:rsid w:val="002D5D82"/>
    <w:rsid w:val="002D79A2"/>
    <w:rsid w:val="002D7FA4"/>
    <w:rsid w:val="002E0BEF"/>
    <w:rsid w:val="002E0D9D"/>
    <w:rsid w:val="002E1EED"/>
    <w:rsid w:val="002E4098"/>
    <w:rsid w:val="002E4595"/>
    <w:rsid w:val="002E4FCF"/>
    <w:rsid w:val="002E546C"/>
    <w:rsid w:val="002E6570"/>
    <w:rsid w:val="002E6F33"/>
    <w:rsid w:val="002F1981"/>
    <w:rsid w:val="002F1F6D"/>
    <w:rsid w:val="002F2838"/>
    <w:rsid w:val="002F2FC5"/>
    <w:rsid w:val="002F3EE1"/>
    <w:rsid w:val="002F6B84"/>
    <w:rsid w:val="003015CD"/>
    <w:rsid w:val="00301A3A"/>
    <w:rsid w:val="00301C0B"/>
    <w:rsid w:val="00301F30"/>
    <w:rsid w:val="00302253"/>
    <w:rsid w:val="00302A6D"/>
    <w:rsid w:val="0030574A"/>
    <w:rsid w:val="00305A49"/>
    <w:rsid w:val="00305D74"/>
    <w:rsid w:val="00307556"/>
    <w:rsid w:val="00307C6C"/>
    <w:rsid w:val="003124FC"/>
    <w:rsid w:val="00313833"/>
    <w:rsid w:val="00314D31"/>
    <w:rsid w:val="00317560"/>
    <w:rsid w:val="00317627"/>
    <w:rsid w:val="00320F10"/>
    <w:rsid w:val="0032153C"/>
    <w:rsid w:val="00321F00"/>
    <w:rsid w:val="0032281C"/>
    <w:rsid w:val="0032416B"/>
    <w:rsid w:val="003271DE"/>
    <w:rsid w:val="00327318"/>
    <w:rsid w:val="003304AF"/>
    <w:rsid w:val="00331E94"/>
    <w:rsid w:val="003330E4"/>
    <w:rsid w:val="003332E9"/>
    <w:rsid w:val="00333743"/>
    <w:rsid w:val="00333E5D"/>
    <w:rsid w:val="003362B8"/>
    <w:rsid w:val="00337524"/>
    <w:rsid w:val="00340895"/>
    <w:rsid w:val="00340CED"/>
    <w:rsid w:val="00341495"/>
    <w:rsid w:val="003426C9"/>
    <w:rsid w:val="0034412D"/>
    <w:rsid w:val="00344367"/>
    <w:rsid w:val="003450D5"/>
    <w:rsid w:val="003465D9"/>
    <w:rsid w:val="0034749C"/>
    <w:rsid w:val="00347500"/>
    <w:rsid w:val="003500FF"/>
    <w:rsid w:val="00350218"/>
    <w:rsid w:val="0035049A"/>
    <w:rsid w:val="00351F3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5D9F"/>
    <w:rsid w:val="00376639"/>
    <w:rsid w:val="00376858"/>
    <w:rsid w:val="003768EB"/>
    <w:rsid w:val="00376F6B"/>
    <w:rsid w:val="00377790"/>
    <w:rsid w:val="0038043B"/>
    <w:rsid w:val="003824F6"/>
    <w:rsid w:val="00382C34"/>
    <w:rsid w:val="00383038"/>
    <w:rsid w:val="003836E1"/>
    <w:rsid w:val="003838B9"/>
    <w:rsid w:val="00384A39"/>
    <w:rsid w:val="003861F0"/>
    <w:rsid w:val="00391F07"/>
    <w:rsid w:val="003920E6"/>
    <w:rsid w:val="003923E4"/>
    <w:rsid w:val="00392D91"/>
    <w:rsid w:val="0039374E"/>
    <w:rsid w:val="00393B86"/>
    <w:rsid w:val="003946AE"/>
    <w:rsid w:val="0039531D"/>
    <w:rsid w:val="00395648"/>
    <w:rsid w:val="00396DE8"/>
    <w:rsid w:val="0039789B"/>
    <w:rsid w:val="00397C8B"/>
    <w:rsid w:val="003A36F3"/>
    <w:rsid w:val="003A6925"/>
    <w:rsid w:val="003A6BDE"/>
    <w:rsid w:val="003B116B"/>
    <w:rsid w:val="003B205A"/>
    <w:rsid w:val="003B5667"/>
    <w:rsid w:val="003B5C86"/>
    <w:rsid w:val="003B645B"/>
    <w:rsid w:val="003B71A0"/>
    <w:rsid w:val="003B78F7"/>
    <w:rsid w:val="003C0275"/>
    <w:rsid w:val="003C032E"/>
    <w:rsid w:val="003C04E8"/>
    <w:rsid w:val="003C08DA"/>
    <w:rsid w:val="003C0E2C"/>
    <w:rsid w:val="003C23C4"/>
    <w:rsid w:val="003C280C"/>
    <w:rsid w:val="003C3594"/>
    <w:rsid w:val="003C3BA4"/>
    <w:rsid w:val="003C64A0"/>
    <w:rsid w:val="003C6D65"/>
    <w:rsid w:val="003C7165"/>
    <w:rsid w:val="003C7A78"/>
    <w:rsid w:val="003D00EF"/>
    <w:rsid w:val="003D0521"/>
    <w:rsid w:val="003D0F6A"/>
    <w:rsid w:val="003D112B"/>
    <w:rsid w:val="003D212D"/>
    <w:rsid w:val="003D43BA"/>
    <w:rsid w:val="003D4CE7"/>
    <w:rsid w:val="003D53CA"/>
    <w:rsid w:val="003D55B8"/>
    <w:rsid w:val="003D575B"/>
    <w:rsid w:val="003D605E"/>
    <w:rsid w:val="003D677D"/>
    <w:rsid w:val="003D7B0C"/>
    <w:rsid w:val="003E2005"/>
    <w:rsid w:val="003E24CD"/>
    <w:rsid w:val="003E6024"/>
    <w:rsid w:val="003E670A"/>
    <w:rsid w:val="003E786D"/>
    <w:rsid w:val="003E792E"/>
    <w:rsid w:val="003F0A3F"/>
    <w:rsid w:val="003F1704"/>
    <w:rsid w:val="003F459E"/>
    <w:rsid w:val="003F45A1"/>
    <w:rsid w:val="003F4BF7"/>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1780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1F85"/>
    <w:rsid w:val="00443515"/>
    <w:rsid w:val="00443DE2"/>
    <w:rsid w:val="00443E23"/>
    <w:rsid w:val="0044617C"/>
    <w:rsid w:val="00450625"/>
    <w:rsid w:val="00450D25"/>
    <w:rsid w:val="00452DF9"/>
    <w:rsid w:val="00453F66"/>
    <w:rsid w:val="00456D91"/>
    <w:rsid w:val="00457018"/>
    <w:rsid w:val="0046053D"/>
    <w:rsid w:val="00460B35"/>
    <w:rsid w:val="00460DCC"/>
    <w:rsid w:val="00461E61"/>
    <w:rsid w:val="0046382E"/>
    <w:rsid w:val="004642A1"/>
    <w:rsid w:val="00464B98"/>
    <w:rsid w:val="0046541A"/>
    <w:rsid w:val="00466080"/>
    <w:rsid w:val="004661AD"/>
    <w:rsid w:val="004663B3"/>
    <w:rsid w:val="00466C76"/>
    <w:rsid w:val="00466E13"/>
    <w:rsid w:val="00472CC3"/>
    <w:rsid w:val="00472F41"/>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2CFF"/>
    <w:rsid w:val="004A52C1"/>
    <w:rsid w:val="004A69DB"/>
    <w:rsid w:val="004A6A6B"/>
    <w:rsid w:val="004B0BCC"/>
    <w:rsid w:val="004B0F6B"/>
    <w:rsid w:val="004B1570"/>
    <w:rsid w:val="004B1B60"/>
    <w:rsid w:val="004B3046"/>
    <w:rsid w:val="004B3061"/>
    <w:rsid w:val="004B60FF"/>
    <w:rsid w:val="004C21C3"/>
    <w:rsid w:val="004C24C3"/>
    <w:rsid w:val="004C3FD2"/>
    <w:rsid w:val="004C593B"/>
    <w:rsid w:val="004C5E0F"/>
    <w:rsid w:val="004C6775"/>
    <w:rsid w:val="004C6C62"/>
    <w:rsid w:val="004D00F1"/>
    <w:rsid w:val="004D0854"/>
    <w:rsid w:val="004D0CD5"/>
    <w:rsid w:val="004D231C"/>
    <w:rsid w:val="004D3350"/>
    <w:rsid w:val="004D626C"/>
    <w:rsid w:val="004D711C"/>
    <w:rsid w:val="004D749A"/>
    <w:rsid w:val="004E01D4"/>
    <w:rsid w:val="004E062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2FDA"/>
    <w:rsid w:val="00503B86"/>
    <w:rsid w:val="00503E54"/>
    <w:rsid w:val="00504EB6"/>
    <w:rsid w:val="00504EDF"/>
    <w:rsid w:val="00505687"/>
    <w:rsid w:val="00505A90"/>
    <w:rsid w:val="00505EEE"/>
    <w:rsid w:val="0050663A"/>
    <w:rsid w:val="0050721B"/>
    <w:rsid w:val="005076B1"/>
    <w:rsid w:val="00507EDD"/>
    <w:rsid w:val="0051026F"/>
    <w:rsid w:val="00511CE3"/>
    <w:rsid w:val="00511ECD"/>
    <w:rsid w:val="005157DB"/>
    <w:rsid w:val="005171C1"/>
    <w:rsid w:val="005172EA"/>
    <w:rsid w:val="005173E8"/>
    <w:rsid w:val="005201EE"/>
    <w:rsid w:val="0052087C"/>
    <w:rsid w:val="00520BA7"/>
    <w:rsid w:val="00522427"/>
    <w:rsid w:val="00524161"/>
    <w:rsid w:val="005265BE"/>
    <w:rsid w:val="00530859"/>
    <w:rsid w:val="005312D7"/>
    <w:rsid w:val="005317E1"/>
    <w:rsid w:val="00532B8B"/>
    <w:rsid w:val="00533581"/>
    <w:rsid w:val="00533822"/>
    <w:rsid w:val="00540664"/>
    <w:rsid w:val="005409C5"/>
    <w:rsid w:val="00541FE1"/>
    <w:rsid w:val="00542A59"/>
    <w:rsid w:val="00543B4D"/>
    <w:rsid w:val="005469BF"/>
    <w:rsid w:val="005470FD"/>
    <w:rsid w:val="00547980"/>
    <w:rsid w:val="00547E46"/>
    <w:rsid w:val="00550669"/>
    <w:rsid w:val="005555A5"/>
    <w:rsid w:val="00556CAC"/>
    <w:rsid w:val="00557F8E"/>
    <w:rsid w:val="005610A1"/>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AF3"/>
    <w:rsid w:val="00582F1E"/>
    <w:rsid w:val="00583043"/>
    <w:rsid w:val="0058421D"/>
    <w:rsid w:val="00584C4C"/>
    <w:rsid w:val="005860C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34E7"/>
    <w:rsid w:val="005A39CD"/>
    <w:rsid w:val="005A3ABC"/>
    <w:rsid w:val="005A46FE"/>
    <w:rsid w:val="005A6C80"/>
    <w:rsid w:val="005A6E9D"/>
    <w:rsid w:val="005A7A07"/>
    <w:rsid w:val="005A7F69"/>
    <w:rsid w:val="005B0F36"/>
    <w:rsid w:val="005B29AE"/>
    <w:rsid w:val="005B2C6F"/>
    <w:rsid w:val="005B3179"/>
    <w:rsid w:val="005B31C8"/>
    <w:rsid w:val="005B3A4D"/>
    <w:rsid w:val="005B53FA"/>
    <w:rsid w:val="005B72FC"/>
    <w:rsid w:val="005C0391"/>
    <w:rsid w:val="005C1646"/>
    <w:rsid w:val="005C1CD7"/>
    <w:rsid w:val="005C1D12"/>
    <w:rsid w:val="005C30C9"/>
    <w:rsid w:val="005C5469"/>
    <w:rsid w:val="005C56DE"/>
    <w:rsid w:val="005C780A"/>
    <w:rsid w:val="005D0166"/>
    <w:rsid w:val="005D0972"/>
    <w:rsid w:val="005D26CB"/>
    <w:rsid w:val="005D29A4"/>
    <w:rsid w:val="005D2A76"/>
    <w:rsid w:val="005D4280"/>
    <w:rsid w:val="005D460A"/>
    <w:rsid w:val="005D5186"/>
    <w:rsid w:val="005D6320"/>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2095"/>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06E86"/>
    <w:rsid w:val="006105D0"/>
    <w:rsid w:val="006121F7"/>
    <w:rsid w:val="0061246F"/>
    <w:rsid w:val="0061247C"/>
    <w:rsid w:val="0061261B"/>
    <w:rsid w:val="00613BF1"/>
    <w:rsid w:val="00615BB8"/>
    <w:rsid w:val="00616CCF"/>
    <w:rsid w:val="00616F7B"/>
    <w:rsid w:val="00617D73"/>
    <w:rsid w:val="0062025B"/>
    <w:rsid w:val="0062347C"/>
    <w:rsid w:val="0062362C"/>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06F3"/>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A1A"/>
    <w:rsid w:val="00654F90"/>
    <w:rsid w:val="0065547F"/>
    <w:rsid w:val="00657E49"/>
    <w:rsid w:val="0066103B"/>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ADB"/>
    <w:rsid w:val="006A73DE"/>
    <w:rsid w:val="006B011C"/>
    <w:rsid w:val="006B0567"/>
    <w:rsid w:val="006B0593"/>
    <w:rsid w:val="006B1C6D"/>
    <w:rsid w:val="006B2300"/>
    <w:rsid w:val="006B252A"/>
    <w:rsid w:val="006B3272"/>
    <w:rsid w:val="006B3FBF"/>
    <w:rsid w:val="006B4074"/>
    <w:rsid w:val="006B4635"/>
    <w:rsid w:val="006C06F9"/>
    <w:rsid w:val="006C1767"/>
    <w:rsid w:val="006C184E"/>
    <w:rsid w:val="006C309E"/>
    <w:rsid w:val="006C4E10"/>
    <w:rsid w:val="006C742D"/>
    <w:rsid w:val="006D0342"/>
    <w:rsid w:val="006D100A"/>
    <w:rsid w:val="006D1251"/>
    <w:rsid w:val="006D1FC7"/>
    <w:rsid w:val="006D2D7D"/>
    <w:rsid w:val="006D4730"/>
    <w:rsid w:val="006D5DAE"/>
    <w:rsid w:val="006D5E05"/>
    <w:rsid w:val="006D69AA"/>
    <w:rsid w:val="006D73D9"/>
    <w:rsid w:val="006E0829"/>
    <w:rsid w:val="006E0CC8"/>
    <w:rsid w:val="006E11B8"/>
    <w:rsid w:val="006E12B8"/>
    <w:rsid w:val="006E1600"/>
    <w:rsid w:val="006E22D4"/>
    <w:rsid w:val="006E22EE"/>
    <w:rsid w:val="006E4FA6"/>
    <w:rsid w:val="006E5AAC"/>
    <w:rsid w:val="006E660F"/>
    <w:rsid w:val="006E7285"/>
    <w:rsid w:val="006F0519"/>
    <w:rsid w:val="006F0679"/>
    <w:rsid w:val="006F3CEE"/>
    <w:rsid w:val="006F57D2"/>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78B3"/>
    <w:rsid w:val="00717B01"/>
    <w:rsid w:val="007203F9"/>
    <w:rsid w:val="0072063F"/>
    <w:rsid w:val="00720A5D"/>
    <w:rsid w:val="00720BB7"/>
    <w:rsid w:val="00721125"/>
    <w:rsid w:val="0072152C"/>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A9"/>
    <w:rsid w:val="00741E8C"/>
    <w:rsid w:val="0074267B"/>
    <w:rsid w:val="00743C40"/>
    <w:rsid w:val="00744AF3"/>
    <w:rsid w:val="007453B1"/>
    <w:rsid w:val="007500E6"/>
    <w:rsid w:val="0075097C"/>
    <w:rsid w:val="00750D18"/>
    <w:rsid w:val="00751F22"/>
    <w:rsid w:val="00753152"/>
    <w:rsid w:val="00753FD1"/>
    <w:rsid w:val="007544B1"/>
    <w:rsid w:val="00754791"/>
    <w:rsid w:val="00754893"/>
    <w:rsid w:val="00755583"/>
    <w:rsid w:val="00755971"/>
    <w:rsid w:val="00755E5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71"/>
    <w:rsid w:val="007847DE"/>
    <w:rsid w:val="00786881"/>
    <w:rsid w:val="00787AB7"/>
    <w:rsid w:val="007910EF"/>
    <w:rsid w:val="0079395D"/>
    <w:rsid w:val="0079417E"/>
    <w:rsid w:val="0079526D"/>
    <w:rsid w:val="007964EA"/>
    <w:rsid w:val="0079668E"/>
    <w:rsid w:val="0079728A"/>
    <w:rsid w:val="0079754C"/>
    <w:rsid w:val="007A2046"/>
    <w:rsid w:val="007A2505"/>
    <w:rsid w:val="007A2B6B"/>
    <w:rsid w:val="007A3E44"/>
    <w:rsid w:val="007A55D7"/>
    <w:rsid w:val="007A6714"/>
    <w:rsid w:val="007B0095"/>
    <w:rsid w:val="007B069E"/>
    <w:rsid w:val="007B19AC"/>
    <w:rsid w:val="007B1E26"/>
    <w:rsid w:val="007B2034"/>
    <w:rsid w:val="007B232C"/>
    <w:rsid w:val="007B24AA"/>
    <w:rsid w:val="007B25AD"/>
    <w:rsid w:val="007B2D19"/>
    <w:rsid w:val="007B505F"/>
    <w:rsid w:val="007B5BFE"/>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5FDB"/>
    <w:rsid w:val="007D7F7A"/>
    <w:rsid w:val="007E0E82"/>
    <w:rsid w:val="007E16F3"/>
    <w:rsid w:val="007E23B7"/>
    <w:rsid w:val="007E422C"/>
    <w:rsid w:val="007E4F3F"/>
    <w:rsid w:val="007E4F7B"/>
    <w:rsid w:val="007E5467"/>
    <w:rsid w:val="007E6426"/>
    <w:rsid w:val="007E6735"/>
    <w:rsid w:val="007E7528"/>
    <w:rsid w:val="007F0356"/>
    <w:rsid w:val="007F0451"/>
    <w:rsid w:val="007F0952"/>
    <w:rsid w:val="007F18CC"/>
    <w:rsid w:val="007F1B3C"/>
    <w:rsid w:val="007F1E91"/>
    <w:rsid w:val="007F21B9"/>
    <w:rsid w:val="007F264B"/>
    <w:rsid w:val="007F3175"/>
    <w:rsid w:val="007F3E22"/>
    <w:rsid w:val="007F55A8"/>
    <w:rsid w:val="007F5ED4"/>
    <w:rsid w:val="007F7F28"/>
    <w:rsid w:val="0080572E"/>
    <w:rsid w:val="00807663"/>
    <w:rsid w:val="00807959"/>
    <w:rsid w:val="00807D17"/>
    <w:rsid w:val="0081024D"/>
    <w:rsid w:val="008108C1"/>
    <w:rsid w:val="00812D1B"/>
    <w:rsid w:val="00813A40"/>
    <w:rsid w:val="00814C6C"/>
    <w:rsid w:val="00815510"/>
    <w:rsid w:val="00816FE5"/>
    <w:rsid w:val="0081720D"/>
    <w:rsid w:val="00820966"/>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57477"/>
    <w:rsid w:val="008611EB"/>
    <w:rsid w:val="00861EEC"/>
    <w:rsid w:val="008627DA"/>
    <w:rsid w:val="00862C37"/>
    <w:rsid w:val="00863916"/>
    <w:rsid w:val="00864378"/>
    <w:rsid w:val="008646D8"/>
    <w:rsid w:val="00865587"/>
    <w:rsid w:val="00866A06"/>
    <w:rsid w:val="00867289"/>
    <w:rsid w:val="0086746B"/>
    <w:rsid w:val="0086770D"/>
    <w:rsid w:val="00870FDC"/>
    <w:rsid w:val="00871A3F"/>
    <w:rsid w:val="00871C4E"/>
    <w:rsid w:val="0087426A"/>
    <w:rsid w:val="00877702"/>
    <w:rsid w:val="00880197"/>
    <w:rsid w:val="00880410"/>
    <w:rsid w:val="00881B83"/>
    <w:rsid w:val="008840E7"/>
    <w:rsid w:val="00884945"/>
    <w:rsid w:val="00885CD4"/>
    <w:rsid w:val="00886683"/>
    <w:rsid w:val="008866C7"/>
    <w:rsid w:val="0088728A"/>
    <w:rsid w:val="0088742C"/>
    <w:rsid w:val="00887786"/>
    <w:rsid w:val="008879F5"/>
    <w:rsid w:val="0089084E"/>
    <w:rsid w:val="0089176C"/>
    <w:rsid w:val="00891978"/>
    <w:rsid w:val="00891B53"/>
    <w:rsid w:val="00892232"/>
    <w:rsid w:val="00892917"/>
    <w:rsid w:val="00892E71"/>
    <w:rsid w:val="00893A02"/>
    <w:rsid w:val="00893F35"/>
    <w:rsid w:val="00893F68"/>
    <w:rsid w:val="008948F4"/>
    <w:rsid w:val="008955B1"/>
    <w:rsid w:val="00897A03"/>
    <w:rsid w:val="008A1972"/>
    <w:rsid w:val="008A199D"/>
    <w:rsid w:val="008A2224"/>
    <w:rsid w:val="008A2818"/>
    <w:rsid w:val="008A36CB"/>
    <w:rsid w:val="008A3980"/>
    <w:rsid w:val="008A3ACC"/>
    <w:rsid w:val="008A3F67"/>
    <w:rsid w:val="008A70A8"/>
    <w:rsid w:val="008A70B4"/>
    <w:rsid w:val="008A7B2B"/>
    <w:rsid w:val="008A7DB0"/>
    <w:rsid w:val="008B05F2"/>
    <w:rsid w:val="008B1335"/>
    <w:rsid w:val="008B56B6"/>
    <w:rsid w:val="008B58C7"/>
    <w:rsid w:val="008B6C58"/>
    <w:rsid w:val="008B79F0"/>
    <w:rsid w:val="008C0B6A"/>
    <w:rsid w:val="008C0EE5"/>
    <w:rsid w:val="008C0F6E"/>
    <w:rsid w:val="008C1B33"/>
    <w:rsid w:val="008C20EC"/>
    <w:rsid w:val="008C2807"/>
    <w:rsid w:val="008D11BB"/>
    <w:rsid w:val="008D16DD"/>
    <w:rsid w:val="008D1CD4"/>
    <w:rsid w:val="008D35DF"/>
    <w:rsid w:val="008D4696"/>
    <w:rsid w:val="008D5922"/>
    <w:rsid w:val="008D732B"/>
    <w:rsid w:val="008D7AE4"/>
    <w:rsid w:val="008E03B8"/>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4BE7"/>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40C5"/>
    <w:rsid w:val="00965150"/>
    <w:rsid w:val="00965596"/>
    <w:rsid w:val="0096743A"/>
    <w:rsid w:val="00971270"/>
    <w:rsid w:val="009719F6"/>
    <w:rsid w:val="009724BD"/>
    <w:rsid w:val="00972768"/>
    <w:rsid w:val="009742BB"/>
    <w:rsid w:val="00975481"/>
    <w:rsid w:val="00977207"/>
    <w:rsid w:val="00980066"/>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B73DC"/>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E00CB"/>
    <w:rsid w:val="009E0A71"/>
    <w:rsid w:val="009E1321"/>
    <w:rsid w:val="009E4A30"/>
    <w:rsid w:val="009E54F2"/>
    <w:rsid w:val="009E6510"/>
    <w:rsid w:val="009F0BEF"/>
    <w:rsid w:val="009F3737"/>
    <w:rsid w:val="009F4423"/>
    <w:rsid w:val="009F5756"/>
    <w:rsid w:val="009F611D"/>
    <w:rsid w:val="009F7080"/>
    <w:rsid w:val="009F762B"/>
    <w:rsid w:val="009F7E45"/>
    <w:rsid w:val="00A008DB"/>
    <w:rsid w:val="00A00AA7"/>
    <w:rsid w:val="00A00F2D"/>
    <w:rsid w:val="00A0260B"/>
    <w:rsid w:val="00A02A5D"/>
    <w:rsid w:val="00A03B08"/>
    <w:rsid w:val="00A04498"/>
    <w:rsid w:val="00A04D91"/>
    <w:rsid w:val="00A056DB"/>
    <w:rsid w:val="00A1010F"/>
    <w:rsid w:val="00A108C4"/>
    <w:rsid w:val="00A10BA4"/>
    <w:rsid w:val="00A1150E"/>
    <w:rsid w:val="00A12A94"/>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18AD"/>
    <w:rsid w:val="00A421BB"/>
    <w:rsid w:val="00A435B6"/>
    <w:rsid w:val="00A45267"/>
    <w:rsid w:val="00A4696F"/>
    <w:rsid w:val="00A470EF"/>
    <w:rsid w:val="00A47161"/>
    <w:rsid w:val="00A512F6"/>
    <w:rsid w:val="00A51A63"/>
    <w:rsid w:val="00A52809"/>
    <w:rsid w:val="00A54CCE"/>
    <w:rsid w:val="00A5506C"/>
    <w:rsid w:val="00A559AF"/>
    <w:rsid w:val="00A55E4E"/>
    <w:rsid w:val="00A574E2"/>
    <w:rsid w:val="00A57923"/>
    <w:rsid w:val="00A61137"/>
    <w:rsid w:val="00A6134F"/>
    <w:rsid w:val="00A6294C"/>
    <w:rsid w:val="00A65A1C"/>
    <w:rsid w:val="00A65E2A"/>
    <w:rsid w:val="00A66540"/>
    <w:rsid w:val="00A6714F"/>
    <w:rsid w:val="00A714C3"/>
    <w:rsid w:val="00A72115"/>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4F8"/>
    <w:rsid w:val="00AA1646"/>
    <w:rsid w:val="00AA213E"/>
    <w:rsid w:val="00AA5B4D"/>
    <w:rsid w:val="00AA5F9A"/>
    <w:rsid w:val="00AA75DA"/>
    <w:rsid w:val="00AB0D3D"/>
    <w:rsid w:val="00AB2ED0"/>
    <w:rsid w:val="00AB3547"/>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0F5F"/>
    <w:rsid w:val="00AE1885"/>
    <w:rsid w:val="00AE231B"/>
    <w:rsid w:val="00AE2B16"/>
    <w:rsid w:val="00AE613E"/>
    <w:rsid w:val="00AE6E3A"/>
    <w:rsid w:val="00AE7BCC"/>
    <w:rsid w:val="00AE7F92"/>
    <w:rsid w:val="00AF022B"/>
    <w:rsid w:val="00AF3324"/>
    <w:rsid w:val="00AF5A08"/>
    <w:rsid w:val="00AF7419"/>
    <w:rsid w:val="00B03440"/>
    <w:rsid w:val="00B0450A"/>
    <w:rsid w:val="00B05997"/>
    <w:rsid w:val="00B05DFF"/>
    <w:rsid w:val="00B0780B"/>
    <w:rsid w:val="00B07A6C"/>
    <w:rsid w:val="00B07B2E"/>
    <w:rsid w:val="00B12869"/>
    <w:rsid w:val="00B12A68"/>
    <w:rsid w:val="00B13271"/>
    <w:rsid w:val="00B1367F"/>
    <w:rsid w:val="00B137C9"/>
    <w:rsid w:val="00B14E5D"/>
    <w:rsid w:val="00B1654B"/>
    <w:rsid w:val="00B16FEE"/>
    <w:rsid w:val="00B205EC"/>
    <w:rsid w:val="00B20AD5"/>
    <w:rsid w:val="00B21863"/>
    <w:rsid w:val="00B21E57"/>
    <w:rsid w:val="00B224F8"/>
    <w:rsid w:val="00B2377E"/>
    <w:rsid w:val="00B23B96"/>
    <w:rsid w:val="00B23F37"/>
    <w:rsid w:val="00B23F83"/>
    <w:rsid w:val="00B241C8"/>
    <w:rsid w:val="00B2512F"/>
    <w:rsid w:val="00B3163F"/>
    <w:rsid w:val="00B33CB5"/>
    <w:rsid w:val="00B35DA0"/>
    <w:rsid w:val="00B40C92"/>
    <w:rsid w:val="00B417D4"/>
    <w:rsid w:val="00B41BC3"/>
    <w:rsid w:val="00B420CB"/>
    <w:rsid w:val="00B42D67"/>
    <w:rsid w:val="00B43E27"/>
    <w:rsid w:val="00B44BF7"/>
    <w:rsid w:val="00B44BF8"/>
    <w:rsid w:val="00B4523E"/>
    <w:rsid w:val="00B46B86"/>
    <w:rsid w:val="00B46BFF"/>
    <w:rsid w:val="00B505F4"/>
    <w:rsid w:val="00B511FD"/>
    <w:rsid w:val="00B51AB1"/>
    <w:rsid w:val="00B51B4D"/>
    <w:rsid w:val="00B521DC"/>
    <w:rsid w:val="00B5348C"/>
    <w:rsid w:val="00B547D5"/>
    <w:rsid w:val="00B54ABC"/>
    <w:rsid w:val="00B5703C"/>
    <w:rsid w:val="00B5707C"/>
    <w:rsid w:val="00B61066"/>
    <w:rsid w:val="00B61F24"/>
    <w:rsid w:val="00B62903"/>
    <w:rsid w:val="00B629EF"/>
    <w:rsid w:val="00B62E3E"/>
    <w:rsid w:val="00B64663"/>
    <w:rsid w:val="00B663F2"/>
    <w:rsid w:val="00B66D65"/>
    <w:rsid w:val="00B67C7C"/>
    <w:rsid w:val="00B67E2E"/>
    <w:rsid w:val="00B67FE1"/>
    <w:rsid w:val="00B72423"/>
    <w:rsid w:val="00B740BD"/>
    <w:rsid w:val="00B7412D"/>
    <w:rsid w:val="00B742E9"/>
    <w:rsid w:val="00B76A92"/>
    <w:rsid w:val="00B77E4D"/>
    <w:rsid w:val="00B81090"/>
    <w:rsid w:val="00B819CC"/>
    <w:rsid w:val="00B82BD3"/>
    <w:rsid w:val="00B82FCA"/>
    <w:rsid w:val="00B83926"/>
    <w:rsid w:val="00B83BF3"/>
    <w:rsid w:val="00B8424E"/>
    <w:rsid w:val="00B84AEB"/>
    <w:rsid w:val="00B86488"/>
    <w:rsid w:val="00B90D55"/>
    <w:rsid w:val="00B92DA4"/>
    <w:rsid w:val="00B931EA"/>
    <w:rsid w:val="00B9595D"/>
    <w:rsid w:val="00B95DA5"/>
    <w:rsid w:val="00B963EF"/>
    <w:rsid w:val="00B97C35"/>
    <w:rsid w:val="00BA0872"/>
    <w:rsid w:val="00BA1206"/>
    <w:rsid w:val="00BA2170"/>
    <w:rsid w:val="00BA309E"/>
    <w:rsid w:val="00BA3BC2"/>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56C9"/>
    <w:rsid w:val="00BE65D8"/>
    <w:rsid w:val="00BE65FA"/>
    <w:rsid w:val="00BE6B44"/>
    <w:rsid w:val="00BF0478"/>
    <w:rsid w:val="00BF1010"/>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25C2"/>
    <w:rsid w:val="00C03B88"/>
    <w:rsid w:val="00C041B3"/>
    <w:rsid w:val="00C0435C"/>
    <w:rsid w:val="00C0458C"/>
    <w:rsid w:val="00C04FBF"/>
    <w:rsid w:val="00C05B41"/>
    <w:rsid w:val="00C068A2"/>
    <w:rsid w:val="00C0782A"/>
    <w:rsid w:val="00C134FC"/>
    <w:rsid w:val="00C136D1"/>
    <w:rsid w:val="00C158FC"/>
    <w:rsid w:val="00C1698C"/>
    <w:rsid w:val="00C16E89"/>
    <w:rsid w:val="00C2015E"/>
    <w:rsid w:val="00C21E65"/>
    <w:rsid w:val="00C24A0F"/>
    <w:rsid w:val="00C24FB3"/>
    <w:rsid w:val="00C26934"/>
    <w:rsid w:val="00C27176"/>
    <w:rsid w:val="00C2720B"/>
    <w:rsid w:val="00C27584"/>
    <w:rsid w:val="00C319B3"/>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56EDD"/>
    <w:rsid w:val="00C60C95"/>
    <w:rsid w:val="00C61944"/>
    <w:rsid w:val="00C63007"/>
    <w:rsid w:val="00C63813"/>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03C"/>
    <w:rsid w:val="00CA2672"/>
    <w:rsid w:val="00CA2EA5"/>
    <w:rsid w:val="00CA4525"/>
    <w:rsid w:val="00CA4F94"/>
    <w:rsid w:val="00CA66C0"/>
    <w:rsid w:val="00CB0A05"/>
    <w:rsid w:val="00CB1645"/>
    <w:rsid w:val="00CB2293"/>
    <w:rsid w:val="00CB2859"/>
    <w:rsid w:val="00CB4EAE"/>
    <w:rsid w:val="00CB5914"/>
    <w:rsid w:val="00CB5C53"/>
    <w:rsid w:val="00CB5DD0"/>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A01"/>
    <w:rsid w:val="00CE0219"/>
    <w:rsid w:val="00CE09B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0927"/>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17EFF"/>
    <w:rsid w:val="00D20EAA"/>
    <w:rsid w:val="00D20F3C"/>
    <w:rsid w:val="00D21459"/>
    <w:rsid w:val="00D21AEF"/>
    <w:rsid w:val="00D21CED"/>
    <w:rsid w:val="00D23680"/>
    <w:rsid w:val="00D25456"/>
    <w:rsid w:val="00D259A7"/>
    <w:rsid w:val="00D25B02"/>
    <w:rsid w:val="00D2790D"/>
    <w:rsid w:val="00D33019"/>
    <w:rsid w:val="00D34FE1"/>
    <w:rsid w:val="00D351BC"/>
    <w:rsid w:val="00D359CF"/>
    <w:rsid w:val="00D35CFE"/>
    <w:rsid w:val="00D36462"/>
    <w:rsid w:val="00D3679F"/>
    <w:rsid w:val="00D37701"/>
    <w:rsid w:val="00D417CC"/>
    <w:rsid w:val="00D4224A"/>
    <w:rsid w:val="00D42BC8"/>
    <w:rsid w:val="00D42BCE"/>
    <w:rsid w:val="00D42C51"/>
    <w:rsid w:val="00D43154"/>
    <w:rsid w:val="00D4444F"/>
    <w:rsid w:val="00D45198"/>
    <w:rsid w:val="00D47177"/>
    <w:rsid w:val="00D473E4"/>
    <w:rsid w:val="00D47D89"/>
    <w:rsid w:val="00D516F9"/>
    <w:rsid w:val="00D52053"/>
    <w:rsid w:val="00D53F20"/>
    <w:rsid w:val="00D5468B"/>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82429"/>
    <w:rsid w:val="00D82462"/>
    <w:rsid w:val="00D82B93"/>
    <w:rsid w:val="00D82DBF"/>
    <w:rsid w:val="00D83BA6"/>
    <w:rsid w:val="00D8644F"/>
    <w:rsid w:val="00D868C0"/>
    <w:rsid w:val="00D86917"/>
    <w:rsid w:val="00D9297C"/>
    <w:rsid w:val="00D9314E"/>
    <w:rsid w:val="00D9380B"/>
    <w:rsid w:val="00D93DA5"/>
    <w:rsid w:val="00D947A6"/>
    <w:rsid w:val="00D94A3E"/>
    <w:rsid w:val="00D962CC"/>
    <w:rsid w:val="00D96370"/>
    <w:rsid w:val="00D972B0"/>
    <w:rsid w:val="00DA1096"/>
    <w:rsid w:val="00DA16D3"/>
    <w:rsid w:val="00DA19F1"/>
    <w:rsid w:val="00DA3492"/>
    <w:rsid w:val="00DA4C57"/>
    <w:rsid w:val="00DA65E9"/>
    <w:rsid w:val="00DA734C"/>
    <w:rsid w:val="00DB09EB"/>
    <w:rsid w:val="00DB0E1A"/>
    <w:rsid w:val="00DB2DB6"/>
    <w:rsid w:val="00DB303E"/>
    <w:rsid w:val="00DB4421"/>
    <w:rsid w:val="00DB5BEA"/>
    <w:rsid w:val="00DB6F9D"/>
    <w:rsid w:val="00DC0281"/>
    <w:rsid w:val="00DC058A"/>
    <w:rsid w:val="00DC1CB7"/>
    <w:rsid w:val="00DC4D37"/>
    <w:rsid w:val="00DC4FF6"/>
    <w:rsid w:val="00DC6E30"/>
    <w:rsid w:val="00DD0566"/>
    <w:rsid w:val="00DD1587"/>
    <w:rsid w:val="00DD210E"/>
    <w:rsid w:val="00DD4EB0"/>
    <w:rsid w:val="00DD6134"/>
    <w:rsid w:val="00DD7572"/>
    <w:rsid w:val="00DE0176"/>
    <w:rsid w:val="00DE0850"/>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3EB1"/>
    <w:rsid w:val="00E1415C"/>
    <w:rsid w:val="00E14AEB"/>
    <w:rsid w:val="00E14B86"/>
    <w:rsid w:val="00E163D0"/>
    <w:rsid w:val="00E1744E"/>
    <w:rsid w:val="00E17556"/>
    <w:rsid w:val="00E2005E"/>
    <w:rsid w:val="00E20316"/>
    <w:rsid w:val="00E209F1"/>
    <w:rsid w:val="00E20E39"/>
    <w:rsid w:val="00E22C83"/>
    <w:rsid w:val="00E237EB"/>
    <w:rsid w:val="00E23A9C"/>
    <w:rsid w:val="00E261F6"/>
    <w:rsid w:val="00E31EC6"/>
    <w:rsid w:val="00E31FEE"/>
    <w:rsid w:val="00E3214D"/>
    <w:rsid w:val="00E347FD"/>
    <w:rsid w:val="00E36B32"/>
    <w:rsid w:val="00E412B0"/>
    <w:rsid w:val="00E4193B"/>
    <w:rsid w:val="00E45361"/>
    <w:rsid w:val="00E512C9"/>
    <w:rsid w:val="00E5241B"/>
    <w:rsid w:val="00E55B65"/>
    <w:rsid w:val="00E561C2"/>
    <w:rsid w:val="00E56E54"/>
    <w:rsid w:val="00E57A7C"/>
    <w:rsid w:val="00E62611"/>
    <w:rsid w:val="00E62615"/>
    <w:rsid w:val="00E627BB"/>
    <w:rsid w:val="00E6537A"/>
    <w:rsid w:val="00E656C1"/>
    <w:rsid w:val="00E65BBE"/>
    <w:rsid w:val="00E661DD"/>
    <w:rsid w:val="00E66889"/>
    <w:rsid w:val="00E66E39"/>
    <w:rsid w:val="00E70A64"/>
    <w:rsid w:val="00E72297"/>
    <w:rsid w:val="00E72F70"/>
    <w:rsid w:val="00E74AA7"/>
    <w:rsid w:val="00E76D1E"/>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659"/>
    <w:rsid w:val="00EA388B"/>
    <w:rsid w:val="00EA3982"/>
    <w:rsid w:val="00EA3D52"/>
    <w:rsid w:val="00EA53BC"/>
    <w:rsid w:val="00EA54EB"/>
    <w:rsid w:val="00EB1169"/>
    <w:rsid w:val="00EB2025"/>
    <w:rsid w:val="00EB3B29"/>
    <w:rsid w:val="00EB4A00"/>
    <w:rsid w:val="00EB53C0"/>
    <w:rsid w:val="00EB5E68"/>
    <w:rsid w:val="00EB6E59"/>
    <w:rsid w:val="00EB782E"/>
    <w:rsid w:val="00EB7F37"/>
    <w:rsid w:val="00EC0DF2"/>
    <w:rsid w:val="00EC283A"/>
    <w:rsid w:val="00EC28DF"/>
    <w:rsid w:val="00EC2942"/>
    <w:rsid w:val="00EC4A90"/>
    <w:rsid w:val="00EC51B5"/>
    <w:rsid w:val="00EC5F25"/>
    <w:rsid w:val="00EC6B12"/>
    <w:rsid w:val="00EC7BE7"/>
    <w:rsid w:val="00ED0CCF"/>
    <w:rsid w:val="00ED0D4E"/>
    <w:rsid w:val="00ED0DB2"/>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130A9"/>
    <w:rsid w:val="00F13605"/>
    <w:rsid w:val="00F155FD"/>
    <w:rsid w:val="00F1718B"/>
    <w:rsid w:val="00F2167F"/>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077"/>
    <w:rsid w:val="00F40CF8"/>
    <w:rsid w:val="00F40FD2"/>
    <w:rsid w:val="00F419F7"/>
    <w:rsid w:val="00F41EAE"/>
    <w:rsid w:val="00F431F3"/>
    <w:rsid w:val="00F43373"/>
    <w:rsid w:val="00F443F5"/>
    <w:rsid w:val="00F47CAE"/>
    <w:rsid w:val="00F511BF"/>
    <w:rsid w:val="00F51ADF"/>
    <w:rsid w:val="00F520F9"/>
    <w:rsid w:val="00F57FC3"/>
    <w:rsid w:val="00F6004E"/>
    <w:rsid w:val="00F60136"/>
    <w:rsid w:val="00F60852"/>
    <w:rsid w:val="00F648F9"/>
    <w:rsid w:val="00F64D43"/>
    <w:rsid w:val="00F65AE2"/>
    <w:rsid w:val="00F65AFA"/>
    <w:rsid w:val="00F67AA1"/>
    <w:rsid w:val="00F701C0"/>
    <w:rsid w:val="00F70774"/>
    <w:rsid w:val="00F714CB"/>
    <w:rsid w:val="00F721F9"/>
    <w:rsid w:val="00F73C86"/>
    <w:rsid w:val="00F73CC8"/>
    <w:rsid w:val="00F77A7A"/>
    <w:rsid w:val="00F77F2B"/>
    <w:rsid w:val="00F814C8"/>
    <w:rsid w:val="00F823C6"/>
    <w:rsid w:val="00F83844"/>
    <w:rsid w:val="00F85B69"/>
    <w:rsid w:val="00F85F9D"/>
    <w:rsid w:val="00F8648B"/>
    <w:rsid w:val="00F8690A"/>
    <w:rsid w:val="00F86C2F"/>
    <w:rsid w:val="00F90BC9"/>
    <w:rsid w:val="00F90F6B"/>
    <w:rsid w:val="00F914CD"/>
    <w:rsid w:val="00F937D6"/>
    <w:rsid w:val="00F9541D"/>
    <w:rsid w:val="00F965E3"/>
    <w:rsid w:val="00F97AD9"/>
    <w:rsid w:val="00FA08A0"/>
    <w:rsid w:val="00FA0B35"/>
    <w:rsid w:val="00FA1243"/>
    <w:rsid w:val="00FA1EFE"/>
    <w:rsid w:val="00FA2433"/>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6F22"/>
    <w:rsid w:val="00FC7E81"/>
    <w:rsid w:val="00FD0302"/>
    <w:rsid w:val="00FD3164"/>
    <w:rsid w:val="00FD44A8"/>
    <w:rsid w:val="00FD5B47"/>
    <w:rsid w:val="00FD5E87"/>
    <w:rsid w:val="00FD6AC7"/>
    <w:rsid w:val="00FE153E"/>
    <w:rsid w:val="00FE1B9D"/>
    <w:rsid w:val="00FE1D5C"/>
    <w:rsid w:val="00FE2D3A"/>
    <w:rsid w:val="00FE2E67"/>
    <w:rsid w:val="00FE449A"/>
    <w:rsid w:val="00FE5ACD"/>
    <w:rsid w:val="00FE5BC5"/>
    <w:rsid w:val="00FE60FB"/>
    <w:rsid w:val="00FE6D1C"/>
    <w:rsid w:val="00FE79B1"/>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spe.hhs.gov/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56A6-D8BC-487A-B450-4A509176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6200</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20</cp:revision>
  <cp:lastPrinted>2016-05-25T12:54:00Z</cp:lastPrinted>
  <dcterms:created xsi:type="dcterms:W3CDTF">2016-04-28T19:03:00Z</dcterms:created>
  <dcterms:modified xsi:type="dcterms:W3CDTF">2016-05-25T13:27:00Z</dcterms:modified>
</cp:coreProperties>
</file>