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C62DD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503E28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June 1,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CC51D2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r w:rsidR="00CC51D2">
        <w:rPr>
          <w:sz w:val="26"/>
          <w:szCs w:val="26"/>
        </w:rPr>
        <w:t xml:space="preserve">Power Direct Marketing LLC d/b/a Power Direct Energy </w:t>
      </w:r>
      <w:r w:rsidR="005A1A58">
        <w:rPr>
          <w:sz w:val="26"/>
          <w:szCs w:val="26"/>
        </w:rPr>
        <w:t xml:space="preserve">(PO # </w:t>
      </w:r>
      <w:r w:rsidR="00672EAF">
        <w:rPr>
          <w:sz w:val="26"/>
          <w:szCs w:val="26"/>
        </w:rPr>
        <w:t>5</w:t>
      </w:r>
      <w:r w:rsidR="005A1A58">
        <w:rPr>
          <w:sz w:val="26"/>
          <w:szCs w:val="26"/>
        </w:rPr>
        <w:t>512</w:t>
      </w:r>
      <w:r w:rsidR="00CC51D2">
        <w:rPr>
          <w:sz w:val="26"/>
          <w:szCs w:val="26"/>
        </w:rPr>
        <w:t>2024</w:t>
      </w:r>
      <w:r w:rsidR="005A1A58">
        <w:rPr>
          <w:sz w:val="26"/>
          <w:szCs w:val="26"/>
        </w:rPr>
        <w:t>)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30003" w:rsidP="005A1A58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>and Change Order</w:t>
      </w:r>
      <w:r w:rsidR="00CC51D2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April 20, 2016 </w:t>
      </w:r>
      <w:r w:rsidR="00C5607B">
        <w:rPr>
          <w:sz w:val="26"/>
          <w:szCs w:val="26"/>
        </w:rPr>
        <w:t xml:space="preserve">with </w:t>
      </w:r>
      <w:r w:rsidR="00CC51D2">
        <w:rPr>
          <w:sz w:val="26"/>
          <w:szCs w:val="26"/>
        </w:rPr>
        <w:t>Power Direct Marketing LLC d/b/a Power Direct Energy (PO # 55122024)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FC2CF6">
        <w:rPr>
          <w:sz w:val="26"/>
          <w:szCs w:val="26"/>
        </w:rPr>
        <w:t xml:space="preserve">May </w:t>
      </w:r>
      <w:r w:rsidR="005A1A58">
        <w:rPr>
          <w:sz w:val="26"/>
          <w:szCs w:val="26"/>
        </w:rPr>
        <w:t>4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</w:t>
      </w:r>
      <w:r w:rsidR="00CC51D2">
        <w:rPr>
          <w:sz w:val="26"/>
          <w:szCs w:val="26"/>
        </w:rPr>
        <w:t xml:space="preserve">Energy Efficiency Kits Program and Online </w:t>
      </w:r>
      <w:r w:rsidR="005A1A58">
        <w:rPr>
          <w:sz w:val="26"/>
          <w:szCs w:val="26"/>
        </w:rPr>
        <w:t xml:space="preserve">Audit </w:t>
      </w:r>
      <w:r w:rsidR="00CC51D2">
        <w:rPr>
          <w:sz w:val="26"/>
          <w:szCs w:val="26"/>
        </w:rPr>
        <w:t xml:space="preserve">Kits </w:t>
      </w:r>
      <w:r w:rsidR="005A1A58">
        <w:rPr>
          <w:sz w:val="26"/>
          <w:szCs w:val="26"/>
        </w:rPr>
        <w:t>Program</w:t>
      </w:r>
      <w:r w:rsidR="009177AA">
        <w:rPr>
          <w:sz w:val="26"/>
          <w:szCs w:val="26"/>
        </w:rPr>
        <w:t>.</w:t>
      </w:r>
      <w:r w:rsidR="00555175">
        <w:rPr>
          <w:sz w:val="26"/>
          <w:szCs w:val="26"/>
        </w:rPr>
        <w:t xml:space="preserve">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Pr="003C56E2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>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611261">
        <w:rPr>
          <w:sz w:val="26"/>
          <w:szCs w:val="26"/>
        </w:rPr>
        <w:t>and Change Order</w:t>
      </w:r>
      <w:r w:rsidR="00CC51D2">
        <w:rPr>
          <w:sz w:val="26"/>
          <w:szCs w:val="26"/>
        </w:rPr>
        <w:t xml:space="preserve"> #1</w:t>
      </w:r>
      <w:r w:rsidR="00611261">
        <w:rPr>
          <w:sz w:val="26"/>
          <w:szCs w:val="26"/>
        </w:rPr>
        <w:t xml:space="preserve"> dated April 20, 2016 </w:t>
      </w:r>
      <w:r w:rsidR="00B17FD3">
        <w:rPr>
          <w:sz w:val="26"/>
          <w:szCs w:val="26"/>
        </w:rPr>
        <w:t xml:space="preserve">with </w:t>
      </w:r>
      <w:r w:rsidR="00CC51D2">
        <w:rPr>
          <w:sz w:val="26"/>
          <w:szCs w:val="26"/>
        </w:rPr>
        <w:t>Power Direct Marketing LLC d/b/a Power Direct Energy (PO # 55122024)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123877">
        <w:rPr>
          <w:sz w:val="26"/>
          <w:szCs w:val="26"/>
        </w:rPr>
        <w:t xml:space="preserve">May </w:t>
      </w:r>
      <w:r w:rsidR="005A1A58">
        <w:rPr>
          <w:sz w:val="26"/>
          <w:szCs w:val="26"/>
        </w:rPr>
        <w:t>4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 xml:space="preserve">the associated costs or expenses are reasonable </w:t>
      </w:r>
      <w:r w:rsidR="00285461">
        <w:rPr>
          <w:sz w:val="26"/>
          <w:szCs w:val="26"/>
        </w:rPr>
        <w:lastRenderedPageBreak/>
        <w:t>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503E28" w:rsidP="001C2AB9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pict>
          <v:shape id="Picture 1" o:spid="_x0000_s1027" type="#_x0000_t75" style="position:absolute;margin-left:244.5pt;margin-top:12.6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2" o:title=""/>
          </v:shape>
        </w:pict>
      </w:r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  <w:bookmarkStart w:id="0" w:name="_GoBack"/>
      <w:bookmarkEnd w:id="0"/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Kathy </w:t>
      </w:r>
      <w:proofErr w:type="spellStart"/>
      <w:r>
        <w:rPr>
          <w:sz w:val="26"/>
          <w:szCs w:val="26"/>
        </w:rPr>
        <w:t>Aunkst</w:t>
      </w:r>
      <w:proofErr w:type="spellEnd"/>
      <w:r>
        <w:rPr>
          <w:sz w:val="26"/>
          <w:szCs w:val="26"/>
        </w:rPr>
        <w:t>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DD" w:rsidRDefault="000C62DD">
      <w:r>
        <w:separator/>
      </w:r>
    </w:p>
  </w:endnote>
  <w:endnote w:type="continuationSeparator" w:id="0">
    <w:p w:rsidR="000C62DD" w:rsidRDefault="000C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DD" w:rsidRDefault="000C62DD">
      <w:r>
        <w:separator/>
      </w:r>
    </w:p>
  </w:footnote>
  <w:footnote w:type="continuationSeparator" w:id="0">
    <w:p w:rsidR="000C62DD" w:rsidRDefault="000C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548D1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C62DD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A370A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03E2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69B7"/>
    <w:rsid w:val="005E25C5"/>
    <w:rsid w:val="005E3690"/>
    <w:rsid w:val="005F3D24"/>
    <w:rsid w:val="005F4ABC"/>
    <w:rsid w:val="005F7B97"/>
    <w:rsid w:val="00611261"/>
    <w:rsid w:val="006428F3"/>
    <w:rsid w:val="0064528E"/>
    <w:rsid w:val="00647FAB"/>
    <w:rsid w:val="006678EE"/>
    <w:rsid w:val="00672EAF"/>
    <w:rsid w:val="006755C0"/>
    <w:rsid w:val="0068072B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C51D2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541A"/>
    <w:rsid w:val="00DD7880"/>
    <w:rsid w:val="00DE3C6A"/>
    <w:rsid w:val="00E1530E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C114-B768-44E0-AC8C-A9A3F39B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4</cp:revision>
  <cp:lastPrinted>2016-05-18T20:16:00Z</cp:lastPrinted>
  <dcterms:created xsi:type="dcterms:W3CDTF">2016-05-31T19:43:00Z</dcterms:created>
  <dcterms:modified xsi:type="dcterms:W3CDTF">2016-06-01T14:46:00Z</dcterms:modified>
</cp:coreProperties>
</file>