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29"/>
        <w:gridCol w:w="7298"/>
      </w:tblGrid>
      <w:tr w:rsidR="006B0C3D" w:rsidRPr="000E6AFA" w:rsidTr="00F3295C">
        <w:trPr>
          <w:trHeight w:val="1425"/>
        </w:trPr>
        <w:tc>
          <w:tcPr>
            <w:tcW w:w="1629" w:type="dxa"/>
          </w:tcPr>
          <w:p w:rsidR="006B0C3D" w:rsidRPr="000E6AFA" w:rsidRDefault="006B0C3D" w:rsidP="00F3295C">
            <w:pPr>
              <w:spacing w:after="0" w:line="240" w:lineRule="auto"/>
              <w:rPr>
                <w:rFonts w:ascii="Times New Roman" w:eastAsia="Times New Roman" w:hAnsi="Times New Roman" w:cs="Times New Roman"/>
                <w:sz w:val="24"/>
                <w:szCs w:val="24"/>
              </w:rPr>
            </w:pPr>
            <w:r w:rsidRPr="000E6AFA">
              <w:rPr>
                <w:rFonts w:ascii="Times New Roman" w:eastAsia="Times New Roman" w:hAnsi="Times New Roman" w:cs="Times New Roman"/>
                <w:noProof/>
                <w:spacing w:val="-2"/>
                <w:sz w:val="24"/>
                <w:szCs w:val="24"/>
              </w:rPr>
              <w:drawing>
                <wp:inline distT="0" distB="0" distL="0" distR="0" wp14:anchorId="1013B2A1" wp14:editId="5EB8713A">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298" w:type="dxa"/>
          </w:tcPr>
          <w:p w:rsidR="006B0C3D" w:rsidRPr="000E6AFA" w:rsidRDefault="006B0C3D" w:rsidP="00F3295C">
            <w:pPr>
              <w:spacing w:after="0" w:line="240" w:lineRule="auto"/>
              <w:jc w:val="center"/>
              <w:rPr>
                <w:rFonts w:ascii="CG Times" w:eastAsia="Times New Roman" w:hAnsi="CG Times" w:cs="Times New Roman"/>
                <w:i/>
                <w:sz w:val="28"/>
                <w:szCs w:val="24"/>
              </w:rPr>
            </w:pPr>
            <w:smartTag w:uri="urn:schemas-microsoft-com:office:smarttags" w:element="place">
              <w:smartTag w:uri="urn:schemas-microsoft-com:office:smarttags" w:element="PlaceType">
                <w:r w:rsidRPr="000E6AFA">
                  <w:rPr>
                    <w:rFonts w:ascii="CG Times" w:eastAsia="Times New Roman" w:hAnsi="CG Times" w:cs="Times New Roman"/>
                    <w:i/>
                    <w:sz w:val="28"/>
                    <w:szCs w:val="24"/>
                  </w:rPr>
                  <w:t>COMMONWEALTH</w:t>
                </w:r>
              </w:smartTag>
              <w:r w:rsidRPr="000E6AFA">
                <w:rPr>
                  <w:rFonts w:ascii="CG Times" w:eastAsia="Times New Roman" w:hAnsi="CG Times" w:cs="Times New Roman"/>
                  <w:i/>
                  <w:sz w:val="28"/>
                  <w:szCs w:val="24"/>
                </w:rPr>
                <w:t xml:space="preserve"> OF </w:t>
              </w:r>
              <w:smartTag w:uri="urn:schemas-microsoft-com:office:smarttags" w:element="PlaceName">
                <w:r w:rsidRPr="000E6AFA">
                  <w:rPr>
                    <w:rFonts w:ascii="CG Times" w:eastAsia="Times New Roman" w:hAnsi="CG Times" w:cs="Times New Roman"/>
                    <w:i/>
                    <w:sz w:val="28"/>
                    <w:szCs w:val="24"/>
                  </w:rPr>
                  <w:t>PENNSYLVANIA</w:t>
                </w:r>
              </w:smartTag>
            </w:smartTag>
          </w:p>
          <w:p w:rsidR="006B0C3D" w:rsidRPr="000E6AFA" w:rsidRDefault="006B0C3D" w:rsidP="00F3295C">
            <w:pPr>
              <w:spacing w:after="0" w:line="240" w:lineRule="auto"/>
              <w:jc w:val="center"/>
              <w:rPr>
                <w:rFonts w:ascii="CG Times" w:eastAsia="Times New Roman" w:hAnsi="CG Times" w:cs="Times New Roman"/>
                <w:i/>
                <w:sz w:val="28"/>
                <w:szCs w:val="24"/>
              </w:rPr>
            </w:pPr>
            <w:smartTag w:uri="urn:schemas-microsoft-com:office:smarttags" w:element="place">
              <w:smartTag w:uri="urn:schemas-microsoft-com:office:smarttags" w:element="State">
                <w:r w:rsidRPr="000E6AFA">
                  <w:rPr>
                    <w:rFonts w:ascii="CG Times" w:eastAsia="Times New Roman" w:hAnsi="CG Times" w:cs="Times New Roman"/>
                    <w:i/>
                    <w:sz w:val="28"/>
                    <w:szCs w:val="24"/>
                  </w:rPr>
                  <w:t>PENNSYLVANIA</w:t>
                </w:r>
              </w:smartTag>
            </w:smartTag>
            <w:r w:rsidRPr="000E6AFA">
              <w:rPr>
                <w:rFonts w:ascii="CG Times" w:eastAsia="Times New Roman" w:hAnsi="CG Times" w:cs="Times New Roman"/>
                <w:i/>
                <w:sz w:val="28"/>
                <w:szCs w:val="24"/>
              </w:rPr>
              <w:t xml:space="preserve"> PUBLIC UTILITY COM</w:t>
            </w:r>
            <w:smartTag w:uri="urn:schemas-microsoft-com:office:smarttags" w:element="PersonName">
              <w:r w:rsidRPr="000E6AFA">
                <w:rPr>
                  <w:rFonts w:ascii="CG Times" w:eastAsia="Times New Roman" w:hAnsi="CG Times" w:cs="Times New Roman"/>
                  <w:i/>
                  <w:sz w:val="28"/>
                  <w:szCs w:val="24"/>
                </w:rPr>
                <w:t>MIS</w:t>
              </w:r>
            </w:smartTag>
            <w:r w:rsidRPr="000E6AFA">
              <w:rPr>
                <w:rFonts w:ascii="CG Times" w:eastAsia="Times New Roman" w:hAnsi="CG Times" w:cs="Times New Roman"/>
                <w:i/>
                <w:sz w:val="28"/>
                <w:szCs w:val="24"/>
              </w:rPr>
              <w:t>SION</w:t>
            </w:r>
          </w:p>
          <w:p w:rsidR="006B0C3D" w:rsidRPr="000E6AFA" w:rsidRDefault="006B0C3D" w:rsidP="00F3295C">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BUREAU OF CONSUMER SERVICES</w:t>
            </w:r>
          </w:p>
          <w:p w:rsidR="006B0C3D" w:rsidRPr="000E6AFA" w:rsidRDefault="006B0C3D" w:rsidP="00F3295C">
            <w:pPr>
              <w:spacing w:after="0" w:line="240" w:lineRule="auto"/>
              <w:jc w:val="center"/>
              <w:rPr>
                <w:rFonts w:ascii="Times New Roman" w:eastAsia="Times New Roman" w:hAnsi="Times New Roman" w:cs="Times New Roman"/>
                <w:sz w:val="24"/>
                <w:szCs w:val="24"/>
              </w:rPr>
            </w:pPr>
            <w:r w:rsidRPr="000E6AFA">
              <w:rPr>
                <w:rFonts w:ascii="CG Times" w:eastAsia="Times New Roman" w:hAnsi="CG Times" w:cs="Times New Roman"/>
                <w:i/>
                <w:sz w:val="28"/>
                <w:szCs w:val="24"/>
              </w:rPr>
              <w:t xml:space="preserve">P.O. </w:t>
            </w:r>
            <w:smartTag w:uri="urn:schemas-microsoft-com:office:smarttags" w:element="address">
              <w:smartTag w:uri="urn:schemas-microsoft-com:office:smarttags" w:element="Street">
                <w:r w:rsidRPr="000E6AFA">
                  <w:rPr>
                    <w:rFonts w:ascii="CG Times" w:eastAsia="Times New Roman" w:hAnsi="CG Times" w:cs="Times New Roman"/>
                    <w:i/>
                    <w:sz w:val="28"/>
                    <w:szCs w:val="24"/>
                  </w:rPr>
                  <w:t>BOX 3265</w:t>
                </w:r>
              </w:smartTag>
              <w:r w:rsidRPr="000E6AFA">
                <w:rPr>
                  <w:rFonts w:ascii="CG Times" w:eastAsia="Times New Roman" w:hAnsi="CG Times" w:cs="Times New Roman"/>
                  <w:i/>
                  <w:sz w:val="28"/>
                  <w:szCs w:val="24"/>
                </w:rPr>
                <w:t xml:space="preserve">, </w:t>
              </w:r>
              <w:smartTag w:uri="urn:schemas-microsoft-com:office:smarttags" w:element="City">
                <w:r w:rsidRPr="000E6AFA">
                  <w:rPr>
                    <w:rFonts w:ascii="CG Times" w:eastAsia="Times New Roman" w:hAnsi="CG Times" w:cs="Times New Roman"/>
                    <w:i/>
                    <w:sz w:val="28"/>
                    <w:szCs w:val="24"/>
                  </w:rPr>
                  <w:t>HARRISBURG</w:t>
                </w:r>
              </w:smartTag>
              <w:r w:rsidRPr="000E6AFA">
                <w:rPr>
                  <w:rFonts w:ascii="CG Times" w:eastAsia="Times New Roman" w:hAnsi="CG Times" w:cs="Times New Roman"/>
                  <w:i/>
                  <w:sz w:val="28"/>
                  <w:szCs w:val="24"/>
                </w:rPr>
                <w:t xml:space="preserve">, </w:t>
              </w:r>
              <w:smartTag w:uri="urn:schemas-microsoft-com:office:smarttags" w:element="State">
                <w:r w:rsidRPr="000E6AFA">
                  <w:rPr>
                    <w:rFonts w:ascii="CG Times" w:eastAsia="Times New Roman" w:hAnsi="CG Times" w:cs="Times New Roman"/>
                    <w:i/>
                    <w:sz w:val="28"/>
                    <w:szCs w:val="24"/>
                  </w:rPr>
                  <w:t>PA</w:t>
                </w:r>
              </w:smartTag>
              <w:r w:rsidRPr="000E6AFA">
                <w:rPr>
                  <w:rFonts w:ascii="CG Times" w:eastAsia="Times New Roman" w:hAnsi="CG Times" w:cs="Times New Roman"/>
                  <w:i/>
                  <w:sz w:val="28"/>
                  <w:szCs w:val="24"/>
                </w:rPr>
                <w:t xml:space="preserve">  </w:t>
              </w:r>
              <w:smartTag w:uri="urn:schemas-microsoft-com:office:smarttags" w:element="PostalCode">
                <w:r w:rsidRPr="000E6AFA">
                  <w:rPr>
                    <w:rFonts w:ascii="CG Times" w:eastAsia="Times New Roman" w:hAnsi="CG Times" w:cs="Times New Roman"/>
                    <w:i/>
                    <w:sz w:val="28"/>
                    <w:szCs w:val="24"/>
                  </w:rPr>
                  <w:t>17105-3265</w:t>
                </w:r>
              </w:smartTag>
            </w:smartTag>
          </w:p>
        </w:tc>
      </w:tr>
    </w:tbl>
    <w:p w:rsidR="006B0C3D" w:rsidRPr="000E6AFA" w:rsidRDefault="006B0C3D" w:rsidP="006B0C3D">
      <w:pPr>
        <w:spacing w:after="0" w:line="240" w:lineRule="auto"/>
        <w:ind w:firstLine="6480"/>
        <w:rPr>
          <w:rFonts w:ascii="Times New Roman" w:eastAsia="Times New Roman" w:hAnsi="Times New Roman" w:cs="Times New Roman"/>
          <w:sz w:val="24"/>
          <w:szCs w:val="24"/>
        </w:rPr>
      </w:pPr>
      <w:bookmarkStart w:id="0" w:name="LetterDate4"/>
      <w:bookmarkEnd w:id="0"/>
    </w:p>
    <w:p w:rsidR="006B0C3D" w:rsidRPr="000E6AFA" w:rsidRDefault="00B5083D" w:rsidP="006B0C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June 3</w:t>
      </w:r>
      <w:r w:rsidR="006B0C3D" w:rsidRPr="000E6AFA">
        <w:rPr>
          <w:rFonts w:ascii="Times New Roman" w:eastAsia="Times New Roman" w:hAnsi="Times New Roman" w:cs="Times New Roman"/>
          <w:sz w:val="24"/>
          <w:szCs w:val="24"/>
        </w:rPr>
        <w:t>, 2016</w:t>
      </w:r>
    </w:p>
    <w:p w:rsidR="006B0C3D" w:rsidRPr="000E6AFA" w:rsidRDefault="006B0C3D" w:rsidP="006B0C3D">
      <w:pPr>
        <w:spacing w:after="0" w:line="240" w:lineRule="auto"/>
        <w:ind w:firstLine="6480"/>
        <w:rPr>
          <w:rFonts w:ascii="Times New Roman" w:eastAsia="Times New Roman" w:hAnsi="Times New Roman" w:cs="Times New Roman"/>
          <w:sz w:val="24"/>
          <w:szCs w:val="24"/>
        </w:rPr>
      </w:pPr>
    </w:p>
    <w:p w:rsidR="006B0C3D" w:rsidRPr="000E6AFA" w:rsidRDefault="006B0C3D" w:rsidP="006B0C3D">
      <w:pPr>
        <w:spacing w:after="0" w:line="240" w:lineRule="auto"/>
        <w:ind w:firstLine="6480"/>
        <w:rPr>
          <w:rFonts w:ascii="Times New Roman" w:eastAsia="Times New Roman" w:hAnsi="Times New Roman" w:cs="Times New Roman"/>
          <w:sz w:val="24"/>
          <w:szCs w:val="24"/>
        </w:rPr>
      </w:pPr>
      <w:r w:rsidRPr="000E6AFA" w:rsidDel="00EC72E1">
        <w:rPr>
          <w:rFonts w:ascii="Times New Roman" w:eastAsia="Times New Roman" w:hAnsi="Times New Roman" w:cs="Times New Roman"/>
          <w:b/>
          <w:sz w:val="24"/>
          <w:szCs w:val="24"/>
        </w:rPr>
        <w:t xml:space="preserve"> </w:t>
      </w:r>
      <w:r w:rsidRPr="000E6AFA">
        <w:rPr>
          <w:rFonts w:ascii="Times New Roman" w:eastAsia="Times New Roman" w:hAnsi="Times New Roman" w:cs="Times New Roman"/>
          <w:b/>
          <w:sz w:val="24"/>
          <w:szCs w:val="24"/>
        </w:rPr>
        <w:t>Docket No:</w:t>
      </w:r>
      <w:r w:rsidRPr="000E6AFA">
        <w:rPr>
          <w:rFonts w:ascii="Times New Roman" w:eastAsia="Times New Roman" w:hAnsi="Times New Roman" w:cs="Times New Roman"/>
          <w:sz w:val="24"/>
          <w:szCs w:val="24"/>
        </w:rPr>
        <w:t xml:space="preserve"> </w:t>
      </w:r>
      <w:bookmarkStart w:id="1" w:name="CaseNbr3"/>
      <w:bookmarkEnd w:id="1"/>
      <w:r w:rsidRPr="000E6AFA">
        <w:rPr>
          <w:rFonts w:ascii="Times New Roman" w:eastAsia="Times New Roman" w:hAnsi="Times New Roman" w:cs="Times New Roman"/>
          <w:sz w:val="24"/>
          <w:szCs w:val="24"/>
        </w:rPr>
        <w:t>M-2015-2507139</w:t>
      </w:r>
    </w:p>
    <w:p w:rsidR="006B0C3D" w:rsidRPr="000E6AFA" w:rsidRDefault="006B0C3D" w:rsidP="006B0C3D">
      <w:pPr>
        <w:spacing w:after="0" w:line="240" w:lineRule="auto"/>
        <w:rPr>
          <w:rFonts w:ascii="Times New Roman" w:eastAsia="Times New Roman" w:hAnsi="Times New Roman" w:cs="Times New Roman"/>
          <w:sz w:val="24"/>
          <w:szCs w:val="24"/>
        </w:rPr>
      </w:pPr>
    </w:p>
    <w:p w:rsidR="006B0C3D" w:rsidRPr="000E6AFA" w:rsidRDefault="006B0C3D" w:rsidP="006B0C3D">
      <w:pPr>
        <w:spacing w:after="0" w:line="240" w:lineRule="auto"/>
        <w:rPr>
          <w:rFonts w:ascii="Times New Roman" w:eastAsia="Times New Roman" w:hAnsi="Times New Roman" w:cs="Times New Roman"/>
          <w:sz w:val="24"/>
          <w:szCs w:val="24"/>
        </w:rPr>
      </w:pPr>
      <w:bookmarkStart w:id="2" w:name="CustName3"/>
      <w:bookmarkEnd w:id="2"/>
      <w:r w:rsidRPr="000E6AFA">
        <w:rPr>
          <w:rFonts w:ascii="Times New Roman" w:eastAsia="Times New Roman" w:hAnsi="Times New Roman" w:cs="Times New Roman"/>
          <w:sz w:val="24"/>
          <w:szCs w:val="24"/>
        </w:rPr>
        <w:t>To:  PECO and All Parties to M-2015-2507139</w:t>
      </w:r>
    </w:p>
    <w:p w:rsidR="006B0C3D" w:rsidRPr="000E6AFA" w:rsidRDefault="006B0C3D" w:rsidP="006B0C3D">
      <w:pPr>
        <w:spacing w:after="0" w:line="240" w:lineRule="auto"/>
        <w:rPr>
          <w:rFonts w:ascii="Times New Roman" w:eastAsia="Times New Roman" w:hAnsi="Times New Roman" w:cs="Times New Roman"/>
          <w:sz w:val="24"/>
          <w:szCs w:val="24"/>
        </w:rPr>
      </w:pPr>
    </w:p>
    <w:p w:rsidR="006B0C3D" w:rsidRPr="000E6AFA" w:rsidRDefault="006B0C3D" w:rsidP="006B0C3D">
      <w:pPr>
        <w:spacing w:after="0" w:line="240" w:lineRule="auto"/>
        <w:rPr>
          <w:rFonts w:ascii="Times New Roman" w:eastAsia="Calibri" w:hAnsi="Times New Roman" w:cs="Times New Roman"/>
          <w:sz w:val="24"/>
          <w:szCs w:val="24"/>
        </w:rPr>
      </w:pPr>
      <w:r w:rsidRPr="000E6AFA">
        <w:rPr>
          <w:rFonts w:ascii="Times New Roman" w:eastAsia="Times New Roman" w:hAnsi="Times New Roman" w:cs="Times New Roman"/>
          <w:sz w:val="24"/>
          <w:szCs w:val="24"/>
        </w:rPr>
        <w:t xml:space="preserve">Re:  Further Information Regarding PECO’s Proposed 2016-2018 USECP </w:t>
      </w:r>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6B0C3D">
      <w:pPr>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The Public Utility Commission (PUC) has received comments and reply comments to its February 25, 2016 Tentative Order </w:t>
      </w:r>
      <w:r>
        <w:rPr>
          <w:rFonts w:ascii="Times New Roman" w:eastAsia="Calibri" w:hAnsi="Times New Roman" w:cs="Times New Roman"/>
          <w:sz w:val="24"/>
          <w:szCs w:val="24"/>
        </w:rPr>
        <w:t xml:space="preserve">(or TO) </w:t>
      </w:r>
      <w:r w:rsidRPr="000E6AFA">
        <w:rPr>
          <w:rFonts w:ascii="Times New Roman" w:eastAsia="Calibri" w:hAnsi="Times New Roman" w:cs="Times New Roman"/>
          <w:sz w:val="24"/>
          <w:szCs w:val="24"/>
        </w:rPr>
        <w:t>regarding PECO Energy Company’s (PECO or Company) proposed Universal Service and Energy Conservation Plan (USECP or Plan) for 2016-2018.  The Tentati</w:t>
      </w:r>
      <w:r w:rsidR="00B5083D">
        <w:rPr>
          <w:rFonts w:ascii="Times New Roman" w:eastAsia="Calibri" w:hAnsi="Times New Roman" w:cs="Times New Roman"/>
          <w:sz w:val="24"/>
          <w:szCs w:val="24"/>
        </w:rPr>
        <w:t xml:space="preserve">ve Order requested that PECO </w:t>
      </w:r>
      <w:r w:rsidRPr="000E6AFA">
        <w:rPr>
          <w:rFonts w:ascii="Times New Roman" w:eastAsia="Calibri" w:hAnsi="Times New Roman" w:cs="Times New Roman"/>
          <w:sz w:val="24"/>
          <w:szCs w:val="24"/>
        </w:rPr>
        <w:t xml:space="preserve">provide information on multiple subjects through its comments.  Upon review of </w:t>
      </w:r>
      <w:r>
        <w:rPr>
          <w:rFonts w:ascii="Times New Roman" w:eastAsia="Calibri" w:hAnsi="Times New Roman" w:cs="Times New Roman"/>
          <w:sz w:val="24"/>
          <w:szCs w:val="24"/>
        </w:rPr>
        <w:t xml:space="preserve">the </w:t>
      </w:r>
      <w:r w:rsidRPr="000E6AFA">
        <w:rPr>
          <w:rFonts w:ascii="Times New Roman" w:eastAsia="Calibri" w:hAnsi="Times New Roman" w:cs="Times New Roman"/>
          <w:sz w:val="24"/>
          <w:szCs w:val="24"/>
        </w:rPr>
        <w:t>comments</w:t>
      </w:r>
      <w:r>
        <w:rPr>
          <w:rFonts w:ascii="Times New Roman" w:eastAsia="Calibri" w:hAnsi="Times New Roman" w:cs="Times New Roman"/>
          <w:sz w:val="24"/>
          <w:szCs w:val="24"/>
        </w:rPr>
        <w:t xml:space="preserve"> from PECO and other stakeholders</w:t>
      </w:r>
      <w:r w:rsidRPr="000E6AFA">
        <w:rPr>
          <w:rFonts w:ascii="Times New Roman" w:eastAsia="Calibri" w:hAnsi="Times New Roman" w:cs="Times New Roman"/>
          <w:sz w:val="24"/>
          <w:szCs w:val="24"/>
        </w:rPr>
        <w:t xml:space="preserve">, </w:t>
      </w:r>
      <w:r w:rsidR="00B5083D">
        <w:rPr>
          <w:rFonts w:ascii="Times New Roman" w:eastAsia="Calibri" w:hAnsi="Times New Roman" w:cs="Times New Roman"/>
          <w:sz w:val="24"/>
          <w:szCs w:val="24"/>
        </w:rPr>
        <w:t xml:space="preserve">our </w:t>
      </w:r>
      <w:r w:rsidRPr="000E6AFA">
        <w:rPr>
          <w:rFonts w:ascii="Times New Roman" w:eastAsia="Calibri" w:hAnsi="Times New Roman" w:cs="Times New Roman"/>
          <w:sz w:val="24"/>
          <w:szCs w:val="24"/>
        </w:rPr>
        <w:t>staff has determined that certain information is still lacking</w:t>
      </w:r>
      <w:r>
        <w:rPr>
          <w:rFonts w:ascii="Times New Roman" w:eastAsia="Calibri" w:hAnsi="Times New Roman" w:cs="Times New Roman"/>
          <w:sz w:val="24"/>
          <w:szCs w:val="24"/>
        </w:rPr>
        <w:t xml:space="preserve"> as identified in the data requests below</w:t>
      </w:r>
      <w:r w:rsidRPr="000E6AFA">
        <w:rPr>
          <w:rFonts w:ascii="Times New Roman" w:eastAsia="Calibri" w:hAnsi="Times New Roman" w:cs="Times New Roman"/>
          <w:sz w:val="24"/>
          <w:szCs w:val="24"/>
        </w:rPr>
        <w:t xml:space="preserve">.  To ensure that participating parties have an opportunity to comment on all information provided, PECO should file and serve the following information regarding its Universal Service programs: </w:t>
      </w:r>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6B0C3D">
      <w:pPr>
        <w:numPr>
          <w:ilvl w:val="0"/>
          <w:numId w:val="1"/>
        </w:numPr>
        <w:spacing w:after="0" w:line="240" w:lineRule="auto"/>
        <w:contextualSpacing/>
        <w:rPr>
          <w:rFonts w:ascii="Times New Roman" w:eastAsia="Calibri" w:hAnsi="Times New Roman" w:cs="Times New Roman"/>
          <w:i/>
          <w:sz w:val="24"/>
          <w:szCs w:val="24"/>
        </w:rPr>
      </w:pPr>
      <w:r w:rsidRPr="000E6AFA" w:rsidDel="001A493F">
        <w:rPr>
          <w:rFonts w:ascii="Times New Roman" w:eastAsia="Calibri" w:hAnsi="Times New Roman" w:cs="Times New Roman"/>
          <w:i/>
          <w:sz w:val="24"/>
          <w:szCs w:val="24"/>
        </w:rPr>
        <w:t>Explain what a</w:t>
      </w:r>
      <w:r w:rsidRPr="000E6AFA">
        <w:rPr>
          <w:rFonts w:ascii="Times New Roman" w:eastAsia="Calibri" w:hAnsi="Times New Roman" w:cs="Times New Roman"/>
          <w:i/>
          <w:sz w:val="24"/>
          <w:szCs w:val="24"/>
        </w:rPr>
        <w:t xml:space="preserve">mount a customer previously enrolled in PECO’s customer assistance program (CAP) is required to pay to re-enroll in CAP. </w:t>
      </w:r>
    </w:p>
    <w:p w:rsidR="006B0C3D" w:rsidRPr="000E6AFA" w:rsidRDefault="006B0C3D" w:rsidP="006B0C3D">
      <w:pPr>
        <w:spacing w:after="0" w:line="240" w:lineRule="auto"/>
        <w:ind w:left="720"/>
        <w:contextualSpacing/>
        <w:rPr>
          <w:rFonts w:ascii="Times New Roman" w:eastAsia="Calibri" w:hAnsi="Times New Roman" w:cs="Times New Roman"/>
          <w:i/>
          <w:sz w:val="24"/>
          <w:szCs w:val="24"/>
        </w:rPr>
      </w:pPr>
    </w:p>
    <w:p w:rsidR="006B0C3D" w:rsidRPr="000E6AFA" w:rsidRDefault="006B0C3D" w:rsidP="006B0C3D">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T</w:t>
      </w:r>
      <w:r w:rsidRPr="000E6AFA">
        <w:rPr>
          <w:rFonts w:ascii="Times New Roman" w:eastAsia="Calibri" w:hAnsi="Times New Roman" w:cs="Times New Roman"/>
          <w:sz w:val="24"/>
          <w:szCs w:val="24"/>
        </w:rPr>
        <w:t xml:space="preserve">he Tentative Order noted that PECO’s Proposed 2016-2018 Plan does not describe what a former CAP customer must pay to reenroll in CAP.  </w:t>
      </w:r>
      <w:r>
        <w:rPr>
          <w:rFonts w:ascii="Times New Roman" w:eastAsia="Calibri" w:hAnsi="Times New Roman" w:cs="Times New Roman"/>
          <w:sz w:val="24"/>
          <w:szCs w:val="24"/>
        </w:rPr>
        <w:t xml:space="preserve">TO at 17.  </w:t>
      </w:r>
      <w:r w:rsidRPr="000E6AFA">
        <w:rPr>
          <w:rFonts w:ascii="Times New Roman" w:eastAsia="Calibri" w:hAnsi="Times New Roman" w:cs="Times New Roman"/>
          <w:sz w:val="24"/>
          <w:szCs w:val="24"/>
        </w:rPr>
        <w:t xml:space="preserve">In its Comments, PECO describes different ways customers may be removed from CAP and what requirements they would have to meet for reenrollment.  PECO Comments at 6.  </w:t>
      </w:r>
    </w:p>
    <w:p w:rsidR="006B0C3D" w:rsidRPr="000E6AFA" w:rsidRDefault="006B0C3D" w:rsidP="006B0C3D">
      <w:pPr>
        <w:spacing w:after="0" w:line="240" w:lineRule="auto"/>
        <w:ind w:left="720"/>
        <w:contextualSpacing/>
        <w:rPr>
          <w:rFonts w:ascii="Times New Roman" w:eastAsia="Calibri" w:hAnsi="Times New Roman" w:cs="Times New Roman"/>
          <w:sz w:val="24"/>
          <w:szCs w:val="24"/>
        </w:rPr>
      </w:pPr>
    </w:p>
    <w:p w:rsidR="006B0C3D" w:rsidRPr="000E6AFA" w:rsidRDefault="006B0C3D" w:rsidP="006B0C3D">
      <w:pPr>
        <w:spacing w:after="0" w:line="240" w:lineRule="auto"/>
        <w:ind w:left="720"/>
        <w:contextualSpacing/>
        <w:rPr>
          <w:rFonts w:ascii="Times New Roman" w:eastAsia="Calibri" w:hAnsi="Times New Roman" w:cs="Times New Roman"/>
          <w:sz w:val="24"/>
          <w:szCs w:val="24"/>
        </w:rPr>
        <w:sectPr w:rsidR="006B0C3D" w:rsidRPr="000E6AFA" w:rsidSect="005B2F42">
          <w:headerReference w:type="even" r:id="rId9"/>
          <w:headerReference w:type="default" r:id="rId10"/>
          <w:footerReference w:type="even" r:id="rId11"/>
          <w:footerReference w:type="default" r:id="rId12"/>
          <w:headerReference w:type="first" r:id="rId13"/>
          <w:footerReference w:type="first" r:id="rId14"/>
          <w:pgSz w:w="12240" w:h="15840"/>
          <w:pgMar w:top="540" w:right="1080" w:bottom="500" w:left="1080" w:header="720" w:footer="432" w:gutter="0"/>
          <w:cols w:space="720"/>
          <w:docGrid w:linePitch="360"/>
        </w:sectPr>
      </w:pPr>
      <w:r w:rsidRPr="000E6AFA">
        <w:rPr>
          <w:rFonts w:ascii="Times New Roman" w:eastAsia="Calibri" w:hAnsi="Times New Roman" w:cs="Times New Roman"/>
          <w:sz w:val="24"/>
          <w:szCs w:val="24"/>
        </w:rPr>
        <w:t>PECO did not address what balances customers would have to pay prior to reenrolling in CAP.  For example, some energy utilities require customers to pay all CAP and non-CAP arrears (with the exception of the originally deferred balance) prior to reenrollment.  Other utilities require customers to pay any CAP arrears and the CAP bill for the months spent out of the program.  PECO should further clarify its response and explain what amounts it will require a customer to pay before reenrollment into CAP.</w:t>
      </w:r>
    </w:p>
    <w:p w:rsidR="006B0C3D" w:rsidRPr="000E6AFA" w:rsidRDefault="006B0C3D" w:rsidP="006B0C3D">
      <w:pPr>
        <w:spacing w:after="0" w:line="240" w:lineRule="auto"/>
        <w:ind w:left="720"/>
        <w:contextualSpacing/>
        <w:rPr>
          <w:rFonts w:ascii="Times New Roman" w:eastAsia="Calibri" w:hAnsi="Times New Roman" w:cs="Times New Roman"/>
          <w:sz w:val="24"/>
          <w:szCs w:val="24"/>
        </w:rPr>
      </w:pPr>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6B0C3D">
      <w:pPr>
        <w:keepNext/>
        <w:numPr>
          <w:ilvl w:val="0"/>
          <w:numId w:val="1"/>
        </w:numPr>
        <w:spacing w:after="0" w:line="240" w:lineRule="auto"/>
        <w:contextualSpacing/>
        <w:rPr>
          <w:rFonts w:ascii="Times New Roman" w:eastAsia="Calibri" w:hAnsi="Times New Roman" w:cs="Times New Roman"/>
          <w:i/>
          <w:sz w:val="24"/>
          <w:szCs w:val="24"/>
        </w:rPr>
      </w:pPr>
      <w:r w:rsidRPr="000E6AFA" w:rsidDel="001A493F">
        <w:rPr>
          <w:rFonts w:ascii="Times New Roman" w:eastAsia="Calibri" w:hAnsi="Times New Roman" w:cs="Times New Roman"/>
          <w:i/>
          <w:sz w:val="24"/>
          <w:szCs w:val="24"/>
        </w:rPr>
        <w:t xml:space="preserve">Explain what </w:t>
      </w:r>
      <w:r>
        <w:rPr>
          <w:rFonts w:ascii="Times New Roman" w:eastAsia="Calibri" w:hAnsi="Times New Roman" w:cs="Times New Roman"/>
          <w:i/>
          <w:sz w:val="24"/>
          <w:szCs w:val="24"/>
        </w:rPr>
        <w:t>a</w:t>
      </w:r>
      <w:r w:rsidRPr="000E6AFA">
        <w:rPr>
          <w:rFonts w:ascii="Times New Roman" w:eastAsia="Calibri" w:hAnsi="Times New Roman" w:cs="Times New Roman"/>
          <w:i/>
          <w:sz w:val="24"/>
          <w:szCs w:val="24"/>
        </w:rPr>
        <w:t>mount a CAP or CAP-eligible customer must pay for service restoration.</w:t>
      </w:r>
    </w:p>
    <w:p w:rsidR="006B0C3D" w:rsidRPr="000E6AFA" w:rsidRDefault="006B0C3D" w:rsidP="006B0C3D">
      <w:pPr>
        <w:keepNext/>
        <w:spacing w:after="0" w:line="240" w:lineRule="auto"/>
        <w:rPr>
          <w:rFonts w:ascii="Times New Roman" w:eastAsia="Calibri" w:hAnsi="Times New Roman" w:cs="Times New Roman"/>
          <w:sz w:val="24"/>
          <w:szCs w:val="24"/>
        </w:rPr>
      </w:pPr>
    </w:p>
    <w:p w:rsidR="006B0C3D" w:rsidRPr="000E6AFA" w:rsidRDefault="006B0C3D" w:rsidP="006B0C3D">
      <w:pPr>
        <w:spacing w:after="0" w:line="240" w:lineRule="auto"/>
        <w:ind w:left="720"/>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On page 18 of the TO, the Commission </w:t>
      </w:r>
      <w:r>
        <w:rPr>
          <w:rFonts w:ascii="Times New Roman" w:eastAsia="Calibri" w:hAnsi="Times New Roman" w:cs="Times New Roman"/>
          <w:sz w:val="24"/>
          <w:szCs w:val="24"/>
        </w:rPr>
        <w:t xml:space="preserve">asked </w:t>
      </w:r>
      <w:r w:rsidRPr="000E6AFA">
        <w:rPr>
          <w:rFonts w:ascii="Times New Roman" w:eastAsia="Calibri" w:hAnsi="Times New Roman" w:cs="Times New Roman"/>
          <w:sz w:val="24"/>
          <w:szCs w:val="24"/>
        </w:rPr>
        <w:t xml:space="preserve">PECO to “explain its reconnection procedure and payment requirements for CAP and CAP-eligible customers.”  In its Comments, PECO explains that “customers can have their service restored by paying the restoration past due amount or catch-up amount.”  PECO Comments at 7.  </w:t>
      </w:r>
    </w:p>
    <w:p w:rsidR="006B0C3D" w:rsidRPr="000E6AFA" w:rsidRDefault="006B0C3D" w:rsidP="006B0C3D">
      <w:pPr>
        <w:spacing w:after="0" w:line="240" w:lineRule="auto"/>
        <w:ind w:left="720"/>
        <w:rPr>
          <w:rFonts w:ascii="Times New Roman" w:eastAsia="Calibri" w:hAnsi="Times New Roman" w:cs="Times New Roman"/>
          <w:sz w:val="24"/>
          <w:szCs w:val="24"/>
        </w:rPr>
      </w:pPr>
    </w:p>
    <w:p w:rsidR="006B0C3D" w:rsidRPr="000E6AFA" w:rsidRDefault="006B0C3D" w:rsidP="006B0C3D">
      <w:pPr>
        <w:spacing w:after="0" w:line="240" w:lineRule="auto"/>
        <w:ind w:left="720"/>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It is not clear whether the “restoration past due amount” refers to the restoration payment requirements in 52 Pa. Code § 56.191(c)(2) or some other amount.  It is also not clear what balances are included in PECO’s CAP “catch-up” amount.  As described above, utilities have different catch-up payment requirements for customers seeking to reenroll in CAP.  PECO </w:t>
      </w:r>
      <w:r w:rsidRPr="000E6AFA">
        <w:rPr>
          <w:rFonts w:ascii="Times New Roman" w:eastAsia="Calibri" w:hAnsi="Times New Roman" w:cs="Times New Roman"/>
          <w:sz w:val="24"/>
          <w:szCs w:val="24"/>
        </w:rPr>
        <w:lastRenderedPageBreak/>
        <w:t>should clarify what specific balances CAP and CAP-eligible customers must pay to obtain restoration of electric service.</w:t>
      </w:r>
    </w:p>
    <w:p w:rsidR="006B0C3D" w:rsidRPr="000E6AFA" w:rsidRDefault="006B0C3D" w:rsidP="006B0C3D">
      <w:pPr>
        <w:spacing w:after="0" w:line="240" w:lineRule="auto"/>
        <w:ind w:left="720"/>
        <w:rPr>
          <w:rFonts w:ascii="Times New Roman" w:eastAsia="Calibri" w:hAnsi="Times New Roman" w:cs="Times New Roman"/>
          <w:sz w:val="24"/>
          <w:szCs w:val="24"/>
        </w:rPr>
      </w:pPr>
    </w:p>
    <w:p w:rsidR="006B0C3D" w:rsidRPr="000E6AFA" w:rsidRDefault="006B0C3D" w:rsidP="006B0C3D">
      <w:pPr>
        <w:spacing w:after="0" w:line="240" w:lineRule="auto"/>
        <w:ind w:left="720"/>
        <w:rPr>
          <w:rFonts w:ascii="Times New Roman" w:eastAsia="Calibri" w:hAnsi="Times New Roman" w:cs="Times New Roman"/>
          <w:sz w:val="24"/>
          <w:szCs w:val="24"/>
        </w:rPr>
      </w:pPr>
    </w:p>
    <w:p w:rsidR="006B0C3D" w:rsidRPr="000E6AFA" w:rsidRDefault="006B0C3D" w:rsidP="006B0C3D">
      <w:pPr>
        <w:keepNext/>
        <w:numPr>
          <w:ilvl w:val="0"/>
          <w:numId w:val="1"/>
        </w:numPr>
        <w:spacing w:after="0" w:line="240" w:lineRule="auto"/>
        <w:contextualSpacing/>
        <w:rPr>
          <w:rFonts w:ascii="Times New Roman" w:eastAsia="Calibri" w:hAnsi="Times New Roman" w:cs="Times New Roman"/>
          <w:i/>
          <w:sz w:val="24"/>
          <w:szCs w:val="24"/>
        </w:rPr>
      </w:pPr>
      <w:r w:rsidRPr="000E6AFA" w:rsidDel="001A493F">
        <w:rPr>
          <w:rFonts w:ascii="Times New Roman" w:eastAsia="Calibri" w:hAnsi="Times New Roman" w:cs="Times New Roman"/>
          <w:i/>
          <w:sz w:val="24"/>
          <w:szCs w:val="24"/>
        </w:rPr>
        <w:t>Provide an e</w:t>
      </w:r>
      <w:r w:rsidRPr="000E6AFA">
        <w:rPr>
          <w:rFonts w:ascii="Times New Roman" w:eastAsia="Calibri" w:hAnsi="Times New Roman" w:cs="Times New Roman"/>
          <w:i/>
          <w:sz w:val="24"/>
          <w:szCs w:val="24"/>
        </w:rPr>
        <w:t>stimated cost breakdown of the Matching Energy Assistance Fund (MEAF) budgets from 2016 through 2018</w:t>
      </w:r>
    </w:p>
    <w:p w:rsidR="006B0C3D" w:rsidRPr="000E6AFA" w:rsidRDefault="006B0C3D" w:rsidP="006B0C3D">
      <w:pPr>
        <w:keepNext/>
        <w:spacing w:after="0" w:line="240" w:lineRule="auto"/>
        <w:rPr>
          <w:rFonts w:ascii="Times New Roman" w:eastAsia="Calibri" w:hAnsi="Times New Roman" w:cs="Times New Roman"/>
          <w:b/>
          <w:sz w:val="24"/>
          <w:szCs w:val="24"/>
        </w:rPr>
      </w:pPr>
    </w:p>
    <w:p w:rsidR="006B0C3D" w:rsidRPr="000E6AFA" w:rsidRDefault="006B0C3D" w:rsidP="006B0C3D">
      <w:pPr>
        <w:spacing w:after="0" w:line="240" w:lineRule="auto"/>
        <w:ind w:left="720"/>
        <w:rPr>
          <w:rFonts w:ascii="Times New Roman" w:eastAsia="Calibri" w:hAnsi="Times New Roman" w:cs="Times New Roman"/>
          <w:sz w:val="24"/>
          <w:szCs w:val="24"/>
        </w:rPr>
      </w:pPr>
      <w:r w:rsidRPr="000E6AFA">
        <w:rPr>
          <w:rFonts w:ascii="Times New Roman" w:eastAsia="Calibri" w:hAnsi="Times New Roman" w:cs="Times New Roman"/>
          <w:sz w:val="24"/>
          <w:szCs w:val="24"/>
        </w:rPr>
        <w:t>In its Proposed 2016-2018 Plan at page 25, PECO provided the following projected budgets for its hardship fund, known as MEAF:</w:t>
      </w:r>
    </w:p>
    <w:p w:rsidR="006B0C3D" w:rsidRPr="000E6AFA" w:rsidRDefault="006B0C3D" w:rsidP="006B0C3D">
      <w:pPr>
        <w:spacing w:after="0" w:line="240" w:lineRule="auto"/>
        <w:ind w:left="720"/>
        <w:rPr>
          <w:rFonts w:ascii="Times New Roman" w:eastAsia="Calibri" w:hAnsi="Times New Roman" w:cs="Times New Roman"/>
          <w:sz w:val="24"/>
          <w:szCs w:val="24"/>
        </w:rPr>
      </w:pPr>
    </w:p>
    <w:tbl>
      <w:tblPr>
        <w:tblStyle w:val="TableGrid"/>
        <w:tblW w:w="0" w:type="auto"/>
        <w:tblInd w:w="720" w:type="dxa"/>
        <w:tblLook w:val="04A0" w:firstRow="1" w:lastRow="0" w:firstColumn="1" w:lastColumn="0" w:noHBand="0" w:noVBand="1"/>
      </w:tblPr>
      <w:tblGrid>
        <w:gridCol w:w="3192"/>
        <w:gridCol w:w="3192"/>
        <w:gridCol w:w="3192"/>
      </w:tblGrid>
      <w:tr w:rsidR="006B0C3D" w:rsidRPr="000E6AFA" w:rsidTr="00F3295C">
        <w:tc>
          <w:tcPr>
            <w:tcW w:w="3432" w:type="dxa"/>
          </w:tcPr>
          <w:p w:rsidR="006B0C3D" w:rsidRPr="000E6AFA" w:rsidRDefault="006B0C3D" w:rsidP="00F3295C">
            <w:pPr>
              <w:jc w:val="center"/>
              <w:rPr>
                <w:rFonts w:ascii="Times New Roman" w:eastAsia="Calibri" w:hAnsi="Times New Roman" w:cs="Times New Roman"/>
                <w:b/>
                <w:sz w:val="24"/>
                <w:szCs w:val="24"/>
              </w:rPr>
            </w:pPr>
            <w:r w:rsidRPr="000E6AFA">
              <w:rPr>
                <w:rFonts w:ascii="Times New Roman" w:eastAsia="Calibri" w:hAnsi="Times New Roman" w:cs="Times New Roman"/>
                <w:b/>
                <w:sz w:val="24"/>
                <w:szCs w:val="24"/>
              </w:rPr>
              <w:t>2016</w:t>
            </w:r>
          </w:p>
        </w:tc>
        <w:tc>
          <w:tcPr>
            <w:tcW w:w="3432" w:type="dxa"/>
          </w:tcPr>
          <w:p w:rsidR="006B0C3D" w:rsidRPr="000E6AFA" w:rsidRDefault="006B0C3D" w:rsidP="00F3295C">
            <w:pPr>
              <w:jc w:val="center"/>
              <w:rPr>
                <w:rFonts w:ascii="Times New Roman" w:eastAsia="Calibri" w:hAnsi="Times New Roman" w:cs="Times New Roman"/>
                <w:b/>
                <w:sz w:val="24"/>
                <w:szCs w:val="24"/>
              </w:rPr>
            </w:pPr>
            <w:r w:rsidRPr="000E6AFA">
              <w:rPr>
                <w:rFonts w:ascii="Times New Roman" w:eastAsia="Calibri" w:hAnsi="Times New Roman" w:cs="Times New Roman"/>
                <w:b/>
                <w:sz w:val="24"/>
                <w:szCs w:val="24"/>
              </w:rPr>
              <w:t>2017</w:t>
            </w:r>
          </w:p>
        </w:tc>
        <w:tc>
          <w:tcPr>
            <w:tcW w:w="3432" w:type="dxa"/>
          </w:tcPr>
          <w:p w:rsidR="006B0C3D" w:rsidRPr="000E6AFA" w:rsidRDefault="006B0C3D" w:rsidP="00F3295C">
            <w:pPr>
              <w:jc w:val="center"/>
              <w:rPr>
                <w:rFonts w:ascii="Times New Roman" w:eastAsia="Calibri" w:hAnsi="Times New Roman" w:cs="Times New Roman"/>
                <w:b/>
                <w:sz w:val="24"/>
                <w:szCs w:val="24"/>
              </w:rPr>
            </w:pPr>
            <w:r w:rsidRPr="000E6AFA">
              <w:rPr>
                <w:rFonts w:ascii="Times New Roman" w:eastAsia="Calibri" w:hAnsi="Times New Roman" w:cs="Times New Roman"/>
                <w:b/>
                <w:sz w:val="24"/>
                <w:szCs w:val="24"/>
              </w:rPr>
              <w:t>2018</w:t>
            </w:r>
          </w:p>
        </w:tc>
      </w:tr>
      <w:tr w:rsidR="006B0C3D" w:rsidRPr="000E6AFA" w:rsidTr="00F3295C">
        <w:tc>
          <w:tcPr>
            <w:tcW w:w="3432" w:type="dxa"/>
          </w:tcPr>
          <w:p w:rsidR="006B0C3D" w:rsidRPr="000E6AFA" w:rsidRDefault="006B0C3D" w:rsidP="00F3295C">
            <w:pPr>
              <w:jc w:val="center"/>
              <w:rPr>
                <w:rFonts w:ascii="Times New Roman" w:eastAsia="Calibri" w:hAnsi="Times New Roman" w:cs="Times New Roman"/>
                <w:sz w:val="24"/>
                <w:szCs w:val="24"/>
              </w:rPr>
            </w:pPr>
            <w:r w:rsidRPr="000E6AFA">
              <w:rPr>
                <w:rFonts w:ascii="Times New Roman" w:eastAsia="Calibri" w:hAnsi="Times New Roman" w:cs="Times New Roman"/>
                <w:sz w:val="24"/>
                <w:szCs w:val="24"/>
              </w:rPr>
              <w:t>$930,958</w:t>
            </w:r>
          </w:p>
        </w:tc>
        <w:tc>
          <w:tcPr>
            <w:tcW w:w="3432" w:type="dxa"/>
          </w:tcPr>
          <w:p w:rsidR="006B0C3D" w:rsidRPr="000E6AFA" w:rsidRDefault="006B0C3D" w:rsidP="00F3295C">
            <w:pPr>
              <w:jc w:val="center"/>
              <w:rPr>
                <w:rFonts w:ascii="Times New Roman" w:eastAsia="Calibri" w:hAnsi="Times New Roman" w:cs="Times New Roman"/>
                <w:sz w:val="24"/>
                <w:szCs w:val="24"/>
              </w:rPr>
            </w:pPr>
            <w:r w:rsidRPr="000E6AFA">
              <w:rPr>
                <w:rFonts w:ascii="Times New Roman" w:eastAsia="Calibri" w:hAnsi="Times New Roman" w:cs="Times New Roman"/>
                <w:sz w:val="24"/>
                <w:szCs w:val="24"/>
              </w:rPr>
              <w:t>$969,891</w:t>
            </w:r>
          </w:p>
        </w:tc>
        <w:tc>
          <w:tcPr>
            <w:tcW w:w="3432" w:type="dxa"/>
          </w:tcPr>
          <w:p w:rsidR="006B0C3D" w:rsidRPr="000E6AFA" w:rsidRDefault="006B0C3D" w:rsidP="00F3295C">
            <w:pPr>
              <w:jc w:val="center"/>
              <w:rPr>
                <w:rFonts w:ascii="Times New Roman" w:eastAsia="Calibri" w:hAnsi="Times New Roman" w:cs="Times New Roman"/>
                <w:sz w:val="24"/>
                <w:szCs w:val="24"/>
              </w:rPr>
            </w:pPr>
            <w:r w:rsidRPr="000E6AFA">
              <w:rPr>
                <w:rFonts w:ascii="Times New Roman" w:eastAsia="Calibri" w:hAnsi="Times New Roman" w:cs="Times New Roman"/>
                <w:sz w:val="24"/>
                <w:szCs w:val="24"/>
              </w:rPr>
              <w:t>$989,432</w:t>
            </w:r>
          </w:p>
        </w:tc>
      </w:tr>
    </w:tbl>
    <w:p w:rsidR="006B0C3D" w:rsidRPr="000E6AFA" w:rsidRDefault="006B0C3D" w:rsidP="006B0C3D">
      <w:pPr>
        <w:spacing w:after="0" w:line="240" w:lineRule="auto"/>
        <w:ind w:left="720"/>
        <w:rPr>
          <w:rFonts w:ascii="Times New Roman" w:eastAsia="Calibri" w:hAnsi="Times New Roman" w:cs="Times New Roman"/>
          <w:sz w:val="24"/>
          <w:szCs w:val="24"/>
        </w:rPr>
      </w:pPr>
    </w:p>
    <w:p w:rsidR="006B0C3D" w:rsidRPr="000E6AFA" w:rsidRDefault="006B0C3D" w:rsidP="006B0C3D">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T</w:t>
      </w:r>
      <w:r w:rsidRPr="000E6AFA">
        <w:rPr>
          <w:rFonts w:ascii="Times New Roman" w:eastAsia="Calibri" w:hAnsi="Times New Roman" w:cs="Times New Roman"/>
          <w:sz w:val="24"/>
          <w:szCs w:val="24"/>
        </w:rPr>
        <w:t xml:space="preserve">he Commission </w:t>
      </w:r>
      <w:r>
        <w:rPr>
          <w:rFonts w:ascii="Times New Roman" w:eastAsia="Calibri" w:hAnsi="Times New Roman" w:cs="Times New Roman"/>
          <w:sz w:val="24"/>
          <w:szCs w:val="24"/>
        </w:rPr>
        <w:t xml:space="preserve">asked </w:t>
      </w:r>
      <w:r w:rsidRPr="000E6AFA">
        <w:rPr>
          <w:rFonts w:ascii="Times New Roman" w:eastAsia="Calibri" w:hAnsi="Times New Roman" w:cs="Times New Roman"/>
          <w:sz w:val="24"/>
          <w:szCs w:val="24"/>
        </w:rPr>
        <w:t xml:space="preserve">PECO to provide a breakdown of the estimated hardship fund budgets, identifying the amounts of company contributions, customer/employee donations, administrative costs, and other expenses.  TO at 30.  In its Comments, PECO explains that a large portion of the hardship fund budget is used to cover operating expenses for the six community based organizations (CBOs) that administer PECO’s MEAF program.  PECO explained that operating costs for these CBOs in 2016 will be $487,583.  The Company also reports that it will incur $175,000 in additional MEAF administrative, outreach, and coordination costs.  PECO matches $250,000 of customer/employee donations for MEAF grants.  PECO Comments at 19-20.  </w:t>
      </w:r>
    </w:p>
    <w:p w:rsidR="006B0C3D" w:rsidRPr="000E6AFA" w:rsidRDefault="006B0C3D" w:rsidP="006B0C3D">
      <w:pPr>
        <w:spacing w:after="0" w:line="240" w:lineRule="auto"/>
        <w:ind w:left="720"/>
        <w:rPr>
          <w:rFonts w:ascii="Times New Roman" w:eastAsia="Calibri" w:hAnsi="Times New Roman" w:cs="Times New Roman"/>
          <w:sz w:val="24"/>
          <w:szCs w:val="24"/>
        </w:rPr>
      </w:pPr>
    </w:p>
    <w:p w:rsidR="006B0C3D" w:rsidRPr="000E6AFA" w:rsidRDefault="006B0C3D" w:rsidP="006B0C3D">
      <w:pPr>
        <w:spacing w:after="0" w:line="240" w:lineRule="auto"/>
        <w:ind w:left="720"/>
        <w:rPr>
          <w:rFonts w:ascii="Times New Roman" w:eastAsia="Calibri" w:hAnsi="Times New Roman" w:cs="Times New Roman"/>
          <w:sz w:val="24"/>
          <w:szCs w:val="24"/>
        </w:rPr>
      </w:pPr>
      <w:r w:rsidRPr="000E6AFA">
        <w:rPr>
          <w:rFonts w:ascii="Times New Roman" w:eastAsia="Calibri" w:hAnsi="Times New Roman" w:cs="Times New Roman"/>
          <w:sz w:val="24"/>
          <w:szCs w:val="24"/>
        </w:rPr>
        <w:t>PECO’s cost breakdown does not appear to be consistent with its projected hardship fund budgets.  Total administrative costs for the program, including Company and CBO expenses, are $662,583 ($487,583 + $175,000).  The $250,000 matching funds increase this amount to $912,583.  This is less than the $930,958 projected MEAF budget for 2016 in the Proposed 2016-2018 Plan.  It is still not clear how PECO calculated its projected hardship fund budgets annually through 2018.</w:t>
      </w:r>
      <w:r>
        <w:rPr>
          <w:rFonts w:ascii="Times New Roman" w:eastAsia="Calibri" w:hAnsi="Times New Roman" w:cs="Times New Roman"/>
          <w:sz w:val="24"/>
          <w:szCs w:val="24"/>
        </w:rPr>
        <w:t xml:space="preserve">  </w:t>
      </w:r>
      <w:r w:rsidRPr="000E6AFA">
        <w:rPr>
          <w:rFonts w:ascii="Times New Roman" w:eastAsia="Calibri" w:hAnsi="Times New Roman" w:cs="Times New Roman"/>
          <w:sz w:val="24"/>
          <w:szCs w:val="24"/>
        </w:rPr>
        <w:t>PECO should provide a breakdown of anticipated costs for its hardship fund for each year from 2016 through 2018.  These program costs should total the projected budget for each program year.</w:t>
      </w:r>
    </w:p>
    <w:p w:rsidR="006B0C3D" w:rsidRDefault="006B0C3D" w:rsidP="006B0C3D">
      <w:pPr>
        <w:spacing w:after="0" w:line="240" w:lineRule="auto"/>
        <w:ind w:left="720"/>
        <w:rPr>
          <w:rFonts w:ascii="Times New Roman" w:eastAsia="Calibri" w:hAnsi="Times New Roman" w:cs="Times New Roman"/>
          <w:sz w:val="24"/>
          <w:szCs w:val="24"/>
        </w:rPr>
      </w:pPr>
    </w:p>
    <w:p w:rsidR="006B0C3D" w:rsidRDefault="006B0C3D" w:rsidP="006B0C3D">
      <w:pPr>
        <w:spacing w:after="0" w:line="240" w:lineRule="auto"/>
        <w:ind w:left="720"/>
        <w:rPr>
          <w:rFonts w:ascii="Times New Roman" w:eastAsia="Calibri" w:hAnsi="Times New Roman" w:cs="Times New Roman"/>
          <w:sz w:val="24"/>
          <w:szCs w:val="24"/>
        </w:rPr>
      </w:pPr>
    </w:p>
    <w:p w:rsidR="006B0C3D" w:rsidRDefault="006B0C3D" w:rsidP="006B0C3D">
      <w:pPr>
        <w:pStyle w:val="ListParagraph"/>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Provide additional information regarding its fraud investigation practice for CAP.</w:t>
      </w:r>
    </w:p>
    <w:p w:rsidR="006B0C3D" w:rsidRDefault="006B0C3D" w:rsidP="006B0C3D">
      <w:pPr>
        <w:pStyle w:val="ListParagraph"/>
        <w:spacing w:after="0" w:line="240" w:lineRule="auto"/>
        <w:rPr>
          <w:rFonts w:ascii="Times New Roman" w:eastAsia="Calibri" w:hAnsi="Times New Roman" w:cs="Times New Roman"/>
          <w:sz w:val="24"/>
          <w:szCs w:val="24"/>
        </w:rPr>
      </w:pPr>
    </w:p>
    <w:p w:rsidR="006B0C3D" w:rsidRDefault="006B0C3D" w:rsidP="006B0C3D">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their respective individual Comments to the TO, both </w:t>
      </w:r>
      <w:r w:rsidRPr="00DE3D2A">
        <w:rPr>
          <w:rFonts w:ascii="Times New Roman" w:eastAsia="Calibri" w:hAnsi="Times New Roman" w:cs="Times New Roman"/>
          <w:sz w:val="24"/>
          <w:szCs w:val="24"/>
        </w:rPr>
        <w:t>the Coalition for Affordable Utility Services and Energy Efficie</w:t>
      </w:r>
      <w:r>
        <w:rPr>
          <w:rFonts w:ascii="Times New Roman" w:eastAsia="Calibri" w:hAnsi="Times New Roman" w:cs="Times New Roman"/>
          <w:sz w:val="24"/>
          <w:szCs w:val="24"/>
        </w:rPr>
        <w:t xml:space="preserve">ncy in Pennsylvania (CAUSE-PA) and </w:t>
      </w:r>
      <w:r w:rsidRPr="00DE3D2A">
        <w:rPr>
          <w:rFonts w:ascii="Times New Roman" w:eastAsia="Calibri" w:hAnsi="Times New Roman" w:cs="Times New Roman"/>
          <w:sz w:val="24"/>
          <w:szCs w:val="24"/>
        </w:rPr>
        <w:t>the Tenant Union Representative Network and Action Alliance of Senior Citizens of Greater Philadelphia (TURN et al.)</w:t>
      </w:r>
      <w:r>
        <w:rPr>
          <w:rFonts w:ascii="Times New Roman" w:eastAsia="Calibri" w:hAnsi="Times New Roman" w:cs="Times New Roman"/>
          <w:sz w:val="24"/>
          <w:szCs w:val="24"/>
        </w:rPr>
        <w:t xml:space="preserve"> raised concerns about PECO’s use of credit reporting information as part of its CAP fraud investigation.  CAUSE-PA Comments at 14-16 and TURN et al. Comments at 9-11.  In its Reply Comments, PECO explained that it has contracted with a “credit reporting agency” to run an “inquiry” on CAP customers and identify households with bills “suggesting an income exceeding $100,000.”  When these customers are identified, PECO sends a letter asking how they afford these bills.  If these customers do not provide a reasonable explanation or do not respond, they are removed from CAP.  PECO Reply Comments at 19-20.</w:t>
      </w:r>
    </w:p>
    <w:p w:rsidR="006B0C3D" w:rsidRDefault="006B0C3D" w:rsidP="006B0C3D">
      <w:pPr>
        <w:pStyle w:val="ListParagraph"/>
        <w:spacing w:after="0" w:line="240" w:lineRule="auto"/>
        <w:rPr>
          <w:rFonts w:ascii="Times New Roman" w:eastAsia="Calibri" w:hAnsi="Times New Roman" w:cs="Times New Roman"/>
          <w:sz w:val="24"/>
          <w:szCs w:val="24"/>
        </w:rPr>
      </w:pPr>
    </w:p>
    <w:p w:rsidR="006B0C3D" w:rsidRDefault="006B0C3D" w:rsidP="006B0C3D">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Based on this description and the issues raised by CAUSE-PA and TURN et al. in their Comments, PECO should provide additional details about this process, including the following:</w:t>
      </w:r>
    </w:p>
    <w:p w:rsidR="006B0C3D" w:rsidRDefault="006B0C3D" w:rsidP="006B0C3D">
      <w:pPr>
        <w:pStyle w:val="ListParagraph"/>
        <w:spacing w:after="0" w:line="240" w:lineRule="auto"/>
        <w:rPr>
          <w:rFonts w:ascii="Times New Roman" w:eastAsia="Calibri" w:hAnsi="Times New Roman" w:cs="Times New Roman"/>
          <w:sz w:val="24"/>
          <w:szCs w:val="24"/>
        </w:rPr>
      </w:pPr>
    </w:p>
    <w:p w:rsidR="006B0C3D" w:rsidRDefault="006B0C3D" w:rsidP="006B0C3D">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Identify when this process began.</w:t>
      </w:r>
    </w:p>
    <w:p w:rsidR="006B0C3D" w:rsidRDefault="006B0C3D" w:rsidP="006B0C3D">
      <w:pPr>
        <w:pStyle w:val="ListParagraph"/>
        <w:spacing w:after="0" w:line="240" w:lineRule="auto"/>
        <w:rPr>
          <w:rFonts w:ascii="Times New Roman" w:eastAsia="Calibri" w:hAnsi="Times New Roman" w:cs="Times New Roman"/>
          <w:sz w:val="24"/>
          <w:szCs w:val="24"/>
        </w:rPr>
      </w:pPr>
    </w:p>
    <w:p w:rsidR="006B0C3D" w:rsidRDefault="006B0C3D" w:rsidP="006B0C3D">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Identify the credit reporting agency used to process these requests.</w:t>
      </w:r>
    </w:p>
    <w:p w:rsidR="006B0C3D" w:rsidRDefault="006B0C3D" w:rsidP="006B0C3D">
      <w:pPr>
        <w:pStyle w:val="ListParagraph"/>
        <w:spacing w:after="0" w:line="240" w:lineRule="auto"/>
        <w:rPr>
          <w:rFonts w:ascii="Times New Roman" w:eastAsia="Calibri" w:hAnsi="Times New Roman" w:cs="Times New Roman"/>
          <w:sz w:val="24"/>
          <w:szCs w:val="24"/>
        </w:rPr>
      </w:pPr>
    </w:p>
    <w:p w:rsidR="006B0C3D" w:rsidRDefault="006B0C3D" w:rsidP="006B0C3D">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Clarify the costs of this process.  In its Reply Comments, PECO states “t</w:t>
      </w:r>
      <w:r w:rsidRPr="005E6B0B">
        <w:rPr>
          <w:rFonts w:ascii="Times New Roman" w:eastAsia="Calibri" w:hAnsi="Times New Roman" w:cs="Times New Roman"/>
          <w:sz w:val="24"/>
          <w:szCs w:val="24"/>
        </w:rPr>
        <w:t xml:space="preserve">he cost is quite minimal – </w:t>
      </w:r>
      <w:r>
        <w:rPr>
          <w:rFonts w:ascii="Times New Roman" w:eastAsia="Calibri" w:hAnsi="Times New Roman" w:cs="Times New Roman"/>
          <w:sz w:val="24"/>
          <w:szCs w:val="24"/>
        </w:rPr>
        <w:t>a few thousand dollars per ‘run’</w:t>
      </w:r>
      <w:r w:rsidRPr="005E6B0B">
        <w:rPr>
          <w:rFonts w:ascii="Times New Roman" w:eastAsia="Calibri" w:hAnsi="Times New Roman" w:cs="Times New Roman"/>
          <w:sz w:val="24"/>
          <w:szCs w:val="24"/>
        </w:rPr>
        <w:t xml:space="preserve"> to cover the expenses of the credit reporting agency, the letters and follow-up with the customers who exceed the presumptive target income level.</w:t>
      </w:r>
      <w:r w:rsidR="00B5083D">
        <w:rPr>
          <w:rFonts w:ascii="Times New Roman" w:eastAsia="Calibri" w:hAnsi="Times New Roman" w:cs="Times New Roman"/>
          <w:sz w:val="24"/>
          <w:szCs w:val="24"/>
        </w:rPr>
        <w:t>”</w:t>
      </w:r>
      <w:r>
        <w:rPr>
          <w:rFonts w:ascii="Times New Roman" w:eastAsia="Calibri" w:hAnsi="Times New Roman" w:cs="Times New Roman"/>
          <w:sz w:val="24"/>
          <w:szCs w:val="24"/>
        </w:rPr>
        <w:t xml:space="preserve">  PECO Reply Comments at 21.  Without clarifying how many credit “runs” PECO conducts each year and an approximate figure for each instance, the Commission is unable to gauge the cost-effectiveness of this process.  PECO should provide this information, the cost per CAP household reviewed, and the total amount spent on CAP credit reviews in 2015.</w:t>
      </w:r>
    </w:p>
    <w:p w:rsidR="006B0C3D" w:rsidRDefault="006B0C3D" w:rsidP="006B0C3D">
      <w:pPr>
        <w:pStyle w:val="ListParagraph"/>
        <w:spacing w:after="0" w:line="240" w:lineRule="auto"/>
        <w:ind w:left="1440"/>
        <w:rPr>
          <w:rFonts w:ascii="Times New Roman" w:eastAsia="Calibri" w:hAnsi="Times New Roman" w:cs="Times New Roman"/>
          <w:sz w:val="24"/>
          <w:szCs w:val="24"/>
        </w:rPr>
      </w:pPr>
    </w:p>
    <w:p w:rsidR="006B0C3D" w:rsidRPr="00FB72CB" w:rsidRDefault="006B0C3D" w:rsidP="00FB72CB">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Explain</w:t>
      </w:r>
      <w:r w:rsidRPr="00C2606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how the </w:t>
      </w:r>
      <w:r w:rsidRPr="00C26063">
        <w:rPr>
          <w:rFonts w:ascii="Times New Roman" w:eastAsia="Calibri" w:hAnsi="Times New Roman" w:cs="Times New Roman"/>
          <w:sz w:val="24"/>
          <w:szCs w:val="24"/>
        </w:rPr>
        <w:t>credit re</w:t>
      </w:r>
      <w:r>
        <w:rPr>
          <w:rFonts w:ascii="Times New Roman" w:eastAsia="Calibri" w:hAnsi="Times New Roman" w:cs="Times New Roman"/>
          <w:sz w:val="24"/>
          <w:szCs w:val="24"/>
        </w:rPr>
        <w:t xml:space="preserve">porting agency </w:t>
      </w:r>
      <w:r w:rsidRPr="00C26063">
        <w:rPr>
          <w:rFonts w:ascii="Times New Roman" w:eastAsia="Calibri" w:hAnsi="Times New Roman" w:cs="Times New Roman"/>
          <w:sz w:val="24"/>
          <w:szCs w:val="24"/>
        </w:rPr>
        <w:t>obtain</w:t>
      </w:r>
      <w:r>
        <w:rPr>
          <w:rFonts w:ascii="Times New Roman" w:eastAsia="Calibri" w:hAnsi="Times New Roman" w:cs="Times New Roman"/>
          <w:sz w:val="24"/>
          <w:szCs w:val="24"/>
        </w:rPr>
        <w:t>s</w:t>
      </w:r>
      <w:r w:rsidRPr="00C26063">
        <w:rPr>
          <w:rFonts w:ascii="Times New Roman" w:eastAsia="Calibri" w:hAnsi="Times New Roman" w:cs="Times New Roman"/>
          <w:sz w:val="24"/>
          <w:szCs w:val="24"/>
        </w:rPr>
        <w:t xml:space="preserve"> a household’s </w:t>
      </w:r>
      <w:r>
        <w:rPr>
          <w:rFonts w:ascii="Times New Roman" w:eastAsia="Calibri" w:hAnsi="Times New Roman" w:cs="Times New Roman"/>
          <w:sz w:val="24"/>
          <w:szCs w:val="24"/>
        </w:rPr>
        <w:t>current bills</w:t>
      </w:r>
      <w:r w:rsidRPr="00C26063">
        <w:rPr>
          <w:rFonts w:ascii="Times New Roman" w:eastAsia="Calibri" w:hAnsi="Times New Roman" w:cs="Times New Roman"/>
          <w:sz w:val="24"/>
          <w:szCs w:val="24"/>
        </w:rPr>
        <w:t xml:space="preserve"> without conducting a credit inquiry.</w:t>
      </w:r>
      <w:r>
        <w:rPr>
          <w:rFonts w:ascii="Times New Roman" w:eastAsia="Calibri" w:hAnsi="Times New Roman" w:cs="Times New Roman"/>
          <w:sz w:val="24"/>
          <w:szCs w:val="24"/>
        </w:rPr>
        <w:br/>
      </w:r>
    </w:p>
    <w:p w:rsidR="006B0C3D" w:rsidRPr="000E6AFA" w:rsidRDefault="006B0C3D" w:rsidP="006B0C3D">
      <w:pPr>
        <w:spacing w:after="0" w:line="240" w:lineRule="auto"/>
        <w:ind w:left="720"/>
        <w:rPr>
          <w:rFonts w:ascii="Times New Roman" w:eastAsia="Calibri" w:hAnsi="Times New Roman" w:cs="Times New Roman"/>
          <w:sz w:val="24"/>
          <w:szCs w:val="24"/>
        </w:rPr>
      </w:pPr>
    </w:p>
    <w:p w:rsidR="006B0C3D" w:rsidRPr="000E6AFA" w:rsidRDefault="006B0C3D" w:rsidP="006B0C3D">
      <w:pPr>
        <w:keepNext/>
        <w:numPr>
          <w:ilvl w:val="0"/>
          <w:numId w:val="1"/>
        </w:numPr>
        <w:spacing w:after="0" w:line="240" w:lineRule="auto"/>
        <w:contextualSpacing/>
        <w:rPr>
          <w:rFonts w:ascii="Times New Roman" w:eastAsia="Calibri" w:hAnsi="Times New Roman" w:cs="Times New Roman"/>
          <w:i/>
          <w:sz w:val="24"/>
          <w:szCs w:val="24"/>
        </w:rPr>
      </w:pPr>
      <w:r w:rsidRPr="000E6AFA" w:rsidDel="001A493F">
        <w:rPr>
          <w:rFonts w:ascii="Times New Roman" w:eastAsia="Calibri" w:hAnsi="Times New Roman" w:cs="Times New Roman"/>
          <w:i/>
          <w:sz w:val="24"/>
          <w:szCs w:val="24"/>
        </w:rPr>
        <w:t>Provide an a</w:t>
      </w:r>
      <w:r w:rsidRPr="000E6AFA">
        <w:rPr>
          <w:rFonts w:ascii="Times New Roman" w:eastAsia="Calibri" w:hAnsi="Times New Roman" w:cs="Times New Roman"/>
          <w:i/>
          <w:sz w:val="24"/>
          <w:szCs w:val="24"/>
        </w:rPr>
        <w:t>ccurate Jobs Estimate for 2016-2018 Gas and Electric LIURP Jobs</w:t>
      </w:r>
    </w:p>
    <w:p w:rsidR="006B0C3D" w:rsidRPr="000E6AFA" w:rsidRDefault="006B0C3D" w:rsidP="006B0C3D">
      <w:pPr>
        <w:keepNext/>
        <w:spacing w:after="0" w:line="240" w:lineRule="auto"/>
        <w:ind w:left="720"/>
        <w:contextualSpacing/>
        <w:rPr>
          <w:rFonts w:ascii="Times New Roman" w:eastAsia="Calibri" w:hAnsi="Times New Roman" w:cs="Times New Roman"/>
          <w:i/>
          <w:sz w:val="24"/>
          <w:szCs w:val="24"/>
        </w:rPr>
      </w:pPr>
    </w:p>
    <w:p w:rsidR="006B0C3D" w:rsidRPr="000E6AFA" w:rsidRDefault="006B0C3D" w:rsidP="006B0C3D">
      <w:pPr>
        <w:spacing w:after="0" w:line="240" w:lineRule="auto"/>
        <w:ind w:left="720"/>
        <w:contextualSpacing/>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On page 24 of the Tentative Order, the Commission directed PECO to “provide revised LIURP job estimates…[including] specific job estimates for each job type, within both electric and gas categories…”  In its Comments, PECO explains “that historical data on achieved services is only one input into the process of estimating future jobs.  The type and cost of measures expected to be implemented in a residence and other key factors also affect the projected job estimates.”  PECO Comments at 16.  </w:t>
      </w:r>
    </w:p>
    <w:p w:rsidR="006B0C3D" w:rsidRPr="000E6AFA" w:rsidRDefault="006B0C3D" w:rsidP="006B0C3D">
      <w:pPr>
        <w:spacing w:after="0" w:line="240" w:lineRule="auto"/>
        <w:ind w:left="720"/>
        <w:contextualSpacing/>
        <w:rPr>
          <w:rFonts w:ascii="Times New Roman" w:eastAsia="Calibri" w:hAnsi="Times New Roman" w:cs="Times New Roman"/>
          <w:sz w:val="24"/>
          <w:szCs w:val="24"/>
        </w:rPr>
      </w:pPr>
    </w:p>
    <w:p w:rsidR="006B0C3D" w:rsidRPr="00F02AA7" w:rsidRDefault="006B0C3D" w:rsidP="006B0C3D">
      <w:pPr>
        <w:keepNext/>
        <w:spacing w:after="0" w:line="240" w:lineRule="auto"/>
        <w:ind w:left="720"/>
        <w:contextualSpacing/>
        <w:rPr>
          <w:rFonts w:ascii="Times New Roman" w:eastAsia="Calibri" w:hAnsi="Times New Roman" w:cs="Times New Roman"/>
          <w:sz w:val="24"/>
          <w:szCs w:val="24"/>
        </w:rPr>
      </w:pPr>
      <w:r w:rsidRPr="000E6AFA">
        <w:rPr>
          <w:rFonts w:ascii="Times New Roman" w:eastAsia="Calibri" w:hAnsi="Times New Roman" w:cs="Times New Roman"/>
          <w:sz w:val="24"/>
          <w:szCs w:val="24"/>
        </w:rPr>
        <w:t>The Commission is not questioning the methodology that PECO uses to determine the projected number of jobs, but rather was characterizing a phrase such as “approximately 9,000 jobs” to satisfy this facet of USECP reporting as vague at best.  Every other utility that performs LIURP is able to provide a concrete figure when reporting the projected number of LIURP jobs in the USECP.  PECO’s own response to the 2016 annual LIURP data request, sent to the Commission on February 29, 2016, shows a specific job estimate for electric and gas.  It is unclear why this data was not also provided in this USECP proceeding.  PECO should provide concrete figures for the 2016-2018 electric and gas LIURP jobs and to break out the electric jobs estimate by the anticipated number of heating and baseload jobs.</w:t>
      </w:r>
      <w:r w:rsidRPr="000E6AFA">
        <w:rPr>
          <w:rFonts w:ascii="Times New Roman" w:eastAsia="Calibri" w:hAnsi="Times New Roman" w:cs="Times New Roman"/>
          <w:sz w:val="24"/>
          <w:szCs w:val="24"/>
          <w:vertAlign w:val="superscript"/>
        </w:rPr>
        <w:footnoteReference w:id="1"/>
      </w:r>
      <w:r w:rsidRPr="000E6AFA">
        <w:rPr>
          <w:rFonts w:ascii="Times New Roman" w:eastAsia="Calibri" w:hAnsi="Times New Roman" w:cs="Times New Roman"/>
          <w:sz w:val="24"/>
          <w:szCs w:val="24"/>
        </w:rPr>
        <w:t xml:space="preserve">   </w:t>
      </w:r>
      <w:r w:rsidRPr="000E6AFA">
        <w:rPr>
          <w:rFonts w:ascii="Times New Roman" w:eastAsia="Calibri" w:hAnsi="Times New Roman" w:cs="Times New Roman"/>
          <w:i/>
          <w:sz w:val="24"/>
          <w:szCs w:val="24"/>
        </w:rPr>
        <w:t xml:space="preserve"> </w:t>
      </w:r>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F02AA7">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lastRenderedPageBreak/>
        <w:t xml:space="preserve">In order for Commission review of PECO’s proposed </w:t>
      </w:r>
      <w:r>
        <w:rPr>
          <w:rFonts w:ascii="Times New Roman" w:eastAsia="Calibri" w:hAnsi="Times New Roman" w:cs="Times New Roman"/>
          <w:sz w:val="24"/>
          <w:szCs w:val="24"/>
        </w:rPr>
        <w:t xml:space="preserve">2016-2018 </w:t>
      </w:r>
      <w:r w:rsidRPr="000E6AFA">
        <w:rPr>
          <w:rFonts w:ascii="Times New Roman" w:eastAsia="Calibri" w:hAnsi="Times New Roman" w:cs="Times New Roman"/>
          <w:sz w:val="24"/>
          <w:szCs w:val="24"/>
        </w:rPr>
        <w:t xml:space="preserve">USECP to proceed, PECO must file its further comments </w:t>
      </w:r>
      <w:r>
        <w:rPr>
          <w:rFonts w:ascii="Times New Roman" w:eastAsia="Calibri" w:hAnsi="Times New Roman" w:cs="Times New Roman"/>
          <w:sz w:val="24"/>
          <w:szCs w:val="24"/>
        </w:rPr>
        <w:t xml:space="preserve">in response to this data request </w:t>
      </w:r>
      <w:r w:rsidRPr="000E6AFA">
        <w:rPr>
          <w:rFonts w:ascii="Times New Roman" w:eastAsia="Calibri" w:hAnsi="Times New Roman" w:cs="Times New Roman"/>
          <w:sz w:val="24"/>
          <w:szCs w:val="24"/>
        </w:rPr>
        <w:t xml:space="preserve">and to serve all parties and interveners at this docket no later than </w:t>
      </w:r>
      <w:r>
        <w:rPr>
          <w:rFonts w:ascii="Times New Roman" w:eastAsia="Calibri" w:hAnsi="Times New Roman" w:cs="Times New Roman"/>
          <w:sz w:val="24"/>
          <w:szCs w:val="24"/>
        </w:rPr>
        <w:t xml:space="preserve">June </w:t>
      </w:r>
      <w:r w:rsidR="00FB72CB">
        <w:rPr>
          <w:rFonts w:ascii="Times New Roman" w:eastAsia="Calibri" w:hAnsi="Times New Roman" w:cs="Times New Roman"/>
          <w:sz w:val="24"/>
          <w:szCs w:val="24"/>
        </w:rPr>
        <w:t>13</w:t>
      </w:r>
      <w:r w:rsidRPr="000E6AFA">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R</w:t>
      </w:r>
      <w:r w:rsidRPr="000E6AFA">
        <w:rPr>
          <w:rFonts w:ascii="Times New Roman" w:eastAsia="Calibri" w:hAnsi="Times New Roman" w:cs="Times New Roman"/>
          <w:sz w:val="24"/>
          <w:szCs w:val="24"/>
        </w:rPr>
        <w:t xml:space="preserve">eply comments </w:t>
      </w:r>
      <w:r>
        <w:rPr>
          <w:rFonts w:ascii="Times New Roman" w:eastAsia="Calibri" w:hAnsi="Times New Roman" w:cs="Times New Roman"/>
          <w:sz w:val="24"/>
          <w:szCs w:val="24"/>
        </w:rPr>
        <w:t xml:space="preserve">must be submitted </w:t>
      </w:r>
      <w:r w:rsidR="00F02AA7">
        <w:rPr>
          <w:rFonts w:ascii="Times New Roman" w:eastAsia="Calibri" w:hAnsi="Times New Roman" w:cs="Times New Roman"/>
          <w:sz w:val="24"/>
          <w:szCs w:val="24"/>
        </w:rPr>
        <w:t>no later than June 17</w:t>
      </w:r>
      <w:r w:rsidRPr="000E6AFA">
        <w:rPr>
          <w:rFonts w:ascii="Times New Roman" w:eastAsia="Calibri" w:hAnsi="Times New Roman" w:cs="Times New Roman"/>
          <w:sz w:val="24"/>
          <w:szCs w:val="24"/>
        </w:rPr>
        <w:t xml:space="preserve">, 2016.  </w:t>
      </w:r>
    </w:p>
    <w:p w:rsidR="006B0C3D" w:rsidRPr="000E6AFA" w:rsidRDefault="006B0C3D" w:rsidP="00F02AA7">
      <w:pPr>
        <w:keepNext/>
        <w:spacing w:after="0" w:line="240" w:lineRule="auto"/>
        <w:rPr>
          <w:rFonts w:ascii="Times New Roman" w:eastAsia="Calibri" w:hAnsi="Times New Roman" w:cs="Times New Roman"/>
          <w:sz w:val="24"/>
          <w:szCs w:val="24"/>
        </w:rPr>
      </w:pPr>
    </w:p>
    <w:p w:rsidR="006B0C3D" w:rsidRPr="000E6AFA" w:rsidRDefault="006B0C3D" w:rsidP="00F02AA7">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Questions may be directed to Joseph Magee, </w:t>
      </w:r>
      <w:hyperlink r:id="rId15" w:history="1">
        <w:r w:rsidRPr="000E6AFA">
          <w:rPr>
            <w:rFonts w:ascii="Times New Roman" w:eastAsia="Calibri" w:hAnsi="Times New Roman" w:cs="Times New Roman"/>
            <w:color w:val="0000FF" w:themeColor="hyperlink"/>
            <w:sz w:val="24"/>
            <w:szCs w:val="24"/>
            <w:u w:val="single"/>
          </w:rPr>
          <w:t>jmagee@pa.gov</w:t>
        </w:r>
      </w:hyperlink>
      <w:r w:rsidRPr="000E6AFA">
        <w:rPr>
          <w:rFonts w:ascii="Times New Roman" w:eastAsia="Calibri" w:hAnsi="Times New Roman" w:cs="Times New Roman"/>
          <w:sz w:val="24"/>
          <w:szCs w:val="24"/>
        </w:rPr>
        <w:t xml:space="preserve">, and Sarah Dewey, </w:t>
      </w:r>
      <w:hyperlink r:id="rId16"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sz w:val="24"/>
          <w:szCs w:val="24"/>
        </w:rPr>
        <w:t xml:space="preserve">.  </w:t>
      </w:r>
    </w:p>
    <w:p w:rsidR="006B0C3D" w:rsidRPr="000E6AFA" w:rsidRDefault="006B0C3D" w:rsidP="00F02AA7">
      <w:pPr>
        <w:keepNext/>
        <w:spacing w:after="0" w:line="240" w:lineRule="auto"/>
        <w:rPr>
          <w:rFonts w:ascii="Times New Roman" w:eastAsia="Calibri" w:hAnsi="Times New Roman" w:cs="Times New Roman"/>
          <w:sz w:val="24"/>
          <w:szCs w:val="24"/>
        </w:rPr>
      </w:pPr>
    </w:p>
    <w:p w:rsidR="006B0C3D" w:rsidRPr="000E6AFA" w:rsidRDefault="00654FCE" w:rsidP="00F02AA7">
      <w:pPr>
        <w:keepNext/>
        <w:spacing w:after="0" w:line="240" w:lineRule="auto"/>
        <w:rPr>
          <w:rFonts w:ascii="Times New Roman" w:eastAsia="Calibri" w:hAnsi="Times New Roman" w:cs="Times New Roman"/>
          <w:sz w:val="24"/>
          <w:szCs w:val="24"/>
        </w:rPr>
      </w:pPr>
      <w:r>
        <w:rPr>
          <w:noProof/>
        </w:rPr>
        <w:drawing>
          <wp:anchor distT="0" distB="0" distL="114300" distR="114300" simplePos="0" relativeHeight="251659264" behindDoc="1" locked="0" layoutInCell="1" allowOverlap="1" wp14:anchorId="58A7022F" wp14:editId="1A0BA18A">
            <wp:simplePos x="0" y="0"/>
            <wp:positionH relativeFrom="column">
              <wp:posOffset>3173730</wp:posOffset>
            </wp:positionH>
            <wp:positionV relativeFrom="paragraph">
              <wp:posOffset>166370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B0C3D" w:rsidRPr="000E6AFA">
        <w:rPr>
          <w:rFonts w:ascii="Times New Roman" w:eastAsia="Calibri" w:hAnsi="Times New Roman" w:cs="Times New Roman"/>
          <w:sz w:val="24"/>
          <w:szCs w:val="24"/>
        </w:rPr>
        <w:tab/>
      </w:r>
      <w:r w:rsidR="006B0C3D" w:rsidRPr="000E6AFA">
        <w:rPr>
          <w:rFonts w:ascii="Times New Roman" w:eastAsia="Calibri" w:hAnsi="Times New Roman" w:cs="Times New Roman"/>
          <w:sz w:val="24"/>
          <w:szCs w:val="24"/>
        </w:rPr>
        <w:tab/>
      </w:r>
      <w:r w:rsidR="006B0C3D" w:rsidRPr="000E6AFA">
        <w:rPr>
          <w:rFonts w:ascii="Times New Roman" w:eastAsia="Calibri" w:hAnsi="Times New Roman" w:cs="Times New Roman"/>
          <w:sz w:val="24"/>
          <w:szCs w:val="24"/>
        </w:rPr>
        <w:tab/>
      </w:r>
      <w:r w:rsidR="006B0C3D" w:rsidRPr="000E6AFA">
        <w:rPr>
          <w:rFonts w:ascii="Times New Roman" w:eastAsia="Calibri" w:hAnsi="Times New Roman" w:cs="Times New Roman"/>
          <w:sz w:val="24"/>
          <w:szCs w:val="24"/>
        </w:rPr>
        <w:tab/>
      </w:r>
      <w:r w:rsidR="006B0C3D" w:rsidRPr="000E6AFA">
        <w:rPr>
          <w:rFonts w:ascii="Times New Roman" w:eastAsia="Calibri" w:hAnsi="Times New Roman" w:cs="Times New Roman"/>
          <w:sz w:val="24"/>
          <w:szCs w:val="24"/>
        </w:rPr>
        <w:tab/>
      </w:r>
      <w:r w:rsidR="006B0C3D" w:rsidRPr="000E6AFA">
        <w:rPr>
          <w:rFonts w:ascii="Times New Roman" w:eastAsia="Calibri" w:hAnsi="Times New Roman" w:cs="Times New Roman"/>
          <w:sz w:val="24"/>
          <w:szCs w:val="24"/>
        </w:rPr>
        <w:tab/>
      </w:r>
      <w:r w:rsidR="006B0C3D" w:rsidRPr="000E6AFA">
        <w:rPr>
          <w:rFonts w:ascii="Times New Roman" w:eastAsia="Calibri" w:hAnsi="Times New Roman" w:cs="Times New Roman"/>
          <w:sz w:val="24"/>
          <w:szCs w:val="24"/>
        </w:rPr>
        <w:tab/>
        <w:t xml:space="preserve">Very truly yours, </w:t>
      </w:r>
    </w:p>
    <w:p w:rsidR="006B0C3D" w:rsidRPr="000E6AFA" w:rsidRDefault="006B0C3D" w:rsidP="00F02AA7">
      <w:pPr>
        <w:keepNext/>
        <w:spacing w:after="0" w:line="240" w:lineRule="auto"/>
        <w:rPr>
          <w:rFonts w:ascii="Times New Roman" w:eastAsia="Calibri" w:hAnsi="Times New Roman" w:cs="Times New Roman"/>
          <w:sz w:val="24"/>
          <w:szCs w:val="24"/>
        </w:rPr>
      </w:pPr>
    </w:p>
    <w:p w:rsidR="006B0C3D" w:rsidRPr="000E6AFA" w:rsidRDefault="006B0C3D" w:rsidP="00F02AA7">
      <w:pPr>
        <w:keepNext/>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p>
    <w:p w:rsidR="006B0C3D" w:rsidRPr="000E6AFA" w:rsidRDefault="006B0C3D" w:rsidP="00F02AA7">
      <w:pPr>
        <w:keepNext/>
        <w:spacing w:after="0" w:line="240" w:lineRule="auto"/>
        <w:rPr>
          <w:rFonts w:ascii="Times New Roman" w:eastAsia="Calibri" w:hAnsi="Times New Roman" w:cs="Times New Roman"/>
          <w:sz w:val="24"/>
          <w:szCs w:val="24"/>
        </w:rPr>
      </w:pPr>
      <w:bookmarkStart w:id="3" w:name="_GoBack"/>
      <w:bookmarkEnd w:id="3"/>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6B0C3D">
      <w:pPr>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Rosemary Chiavetta</w:t>
      </w:r>
    </w:p>
    <w:p w:rsidR="006B0C3D" w:rsidRPr="000E6AFA" w:rsidRDefault="006B0C3D" w:rsidP="006B0C3D">
      <w:pPr>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Secretary</w:t>
      </w:r>
    </w:p>
    <w:p w:rsidR="006B0C3D" w:rsidRPr="000E6AFA" w:rsidRDefault="006B0C3D" w:rsidP="006B0C3D">
      <w:pPr>
        <w:spacing w:after="0" w:line="240" w:lineRule="auto"/>
        <w:rPr>
          <w:rFonts w:ascii="Times New Roman" w:eastAsia="Calibri" w:hAnsi="Times New Roman" w:cs="Times New Roman"/>
          <w:sz w:val="24"/>
          <w:szCs w:val="24"/>
        </w:rPr>
      </w:pPr>
    </w:p>
    <w:p w:rsidR="006B0C3D" w:rsidRPr="000E6AFA" w:rsidRDefault="006B0C3D" w:rsidP="006B0C3D">
      <w:pPr>
        <w:spacing w:after="0" w:line="240" w:lineRule="auto"/>
        <w:rPr>
          <w:rFonts w:ascii="Times New Roman" w:eastAsia="Calibri" w:hAnsi="Times New Roman" w:cs="Times New Roman"/>
          <w:color w:val="0000FF" w:themeColor="hyperlink"/>
          <w:sz w:val="24"/>
          <w:szCs w:val="24"/>
          <w:u w:val="single"/>
        </w:rPr>
      </w:pPr>
      <w:r w:rsidRPr="000E6AFA">
        <w:rPr>
          <w:rFonts w:ascii="Times New Roman" w:eastAsia="Calibri" w:hAnsi="Times New Roman" w:cs="Times New Roman"/>
          <w:sz w:val="24"/>
          <w:szCs w:val="24"/>
        </w:rPr>
        <w:t xml:space="preserve">Cc:  </w:t>
      </w:r>
      <w:r w:rsidRPr="000E6AFA">
        <w:rPr>
          <w:rFonts w:ascii="Times New Roman" w:eastAsia="Calibri" w:hAnsi="Times New Roman" w:cs="Times New Roman"/>
          <w:sz w:val="24"/>
          <w:szCs w:val="24"/>
        </w:rPr>
        <w:tab/>
        <w:t xml:space="preserve">James Farley, BCS, </w:t>
      </w:r>
      <w:hyperlink r:id="rId18" w:history="1">
        <w:r w:rsidRPr="000E6AFA">
          <w:rPr>
            <w:rFonts w:ascii="Times New Roman" w:eastAsia="Calibri" w:hAnsi="Times New Roman" w:cs="Times New Roman"/>
            <w:color w:val="0000FF" w:themeColor="hyperlink"/>
            <w:sz w:val="24"/>
            <w:szCs w:val="24"/>
            <w:u w:val="single"/>
          </w:rPr>
          <w:t>gmcgovern@pa.gov</w:t>
        </w:r>
      </w:hyperlink>
    </w:p>
    <w:p w:rsidR="006B0C3D" w:rsidRPr="000E6AFA" w:rsidRDefault="006B0C3D" w:rsidP="006B0C3D">
      <w:pPr>
        <w:spacing w:after="0" w:line="240" w:lineRule="auto"/>
        <w:rPr>
          <w:rFonts w:ascii="Times New Roman" w:eastAsia="Calibri" w:hAnsi="Times New Roman" w:cs="Times New Roman"/>
          <w:color w:val="0000FF" w:themeColor="hyperlink"/>
          <w:sz w:val="24"/>
          <w:szCs w:val="24"/>
          <w:u w:val="single"/>
        </w:rPr>
      </w:pPr>
      <w:r w:rsidRPr="000E6AFA">
        <w:rPr>
          <w:rFonts w:ascii="Times New Roman" w:eastAsia="Calibri" w:hAnsi="Times New Roman" w:cs="Times New Roman"/>
          <w:sz w:val="24"/>
          <w:szCs w:val="24"/>
        </w:rPr>
        <w:tab/>
        <w:t xml:space="preserve">Joseph Magee, BCS, </w:t>
      </w:r>
      <w:hyperlink r:id="rId19" w:history="1">
        <w:r w:rsidRPr="000E6AFA">
          <w:rPr>
            <w:rFonts w:ascii="Times New Roman" w:eastAsia="Calibri" w:hAnsi="Times New Roman" w:cs="Times New Roman"/>
            <w:color w:val="0000FF" w:themeColor="hyperlink"/>
            <w:sz w:val="24"/>
            <w:szCs w:val="24"/>
            <w:u w:val="single"/>
          </w:rPr>
          <w:t>jmagee@pa.gov</w:t>
        </w:r>
      </w:hyperlink>
    </w:p>
    <w:p w:rsidR="006B0C3D" w:rsidRPr="000E6AFA" w:rsidRDefault="006B0C3D" w:rsidP="006B0C3D">
      <w:pPr>
        <w:spacing w:after="0" w:line="240" w:lineRule="auto"/>
        <w:rPr>
          <w:rFonts w:ascii="Times New Roman" w:eastAsia="Calibri" w:hAnsi="Times New Roman" w:cs="Times New Roman"/>
          <w:sz w:val="24"/>
          <w:szCs w:val="24"/>
        </w:rPr>
      </w:pPr>
      <w:r w:rsidRPr="006F6A28">
        <w:rPr>
          <w:rFonts w:ascii="Times New Roman" w:eastAsia="Calibri" w:hAnsi="Times New Roman" w:cs="Times New Roman"/>
          <w:sz w:val="24"/>
          <w:szCs w:val="24"/>
        </w:rPr>
        <w:tab/>
        <w:t>Sarah Dewey, BCS,</w:t>
      </w:r>
      <w:r w:rsidRPr="006F6A28">
        <w:rPr>
          <w:rFonts w:ascii="Times New Roman" w:eastAsia="Calibri" w:hAnsi="Times New Roman" w:cs="Times New Roman"/>
          <w:color w:val="0000FF" w:themeColor="hyperlink"/>
          <w:sz w:val="24"/>
          <w:szCs w:val="24"/>
        </w:rPr>
        <w:t xml:space="preserve"> </w:t>
      </w:r>
      <w:hyperlink r:id="rId20"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color w:val="0000FF" w:themeColor="hyperlink"/>
          <w:sz w:val="24"/>
          <w:szCs w:val="24"/>
          <w:u w:val="single"/>
        </w:rPr>
        <w:t xml:space="preserve"> </w:t>
      </w:r>
    </w:p>
    <w:p w:rsidR="006B0C3D" w:rsidRPr="000E6AFA" w:rsidRDefault="006B0C3D" w:rsidP="006B0C3D">
      <w:pPr>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t xml:space="preserve">Louise Fink Smith, Law Bureau, </w:t>
      </w:r>
      <w:hyperlink r:id="rId21" w:history="1">
        <w:r w:rsidRPr="000E6AFA">
          <w:rPr>
            <w:rFonts w:ascii="Times New Roman" w:eastAsia="Calibri" w:hAnsi="Times New Roman" w:cs="Times New Roman"/>
            <w:color w:val="0000FF" w:themeColor="hyperlink"/>
            <w:sz w:val="24"/>
            <w:szCs w:val="24"/>
            <w:u w:val="single"/>
          </w:rPr>
          <w:t>finksmith@pa.gov</w:t>
        </w:r>
      </w:hyperlink>
      <w:r w:rsidRPr="000E6AFA">
        <w:rPr>
          <w:rFonts w:ascii="Times New Roman" w:eastAsia="Calibri" w:hAnsi="Times New Roman" w:cs="Times New Roman"/>
          <w:sz w:val="24"/>
          <w:szCs w:val="24"/>
        </w:rPr>
        <w:t xml:space="preserve"> </w:t>
      </w:r>
    </w:p>
    <w:p w:rsidR="006B0C3D" w:rsidRPr="000E6AFA" w:rsidRDefault="006B0C3D" w:rsidP="006B0C3D">
      <w:pPr>
        <w:spacing w:after="0" w:line="240" w:lineRule="auto"/>
        <w:rPr>
          <w:rFonts w:ascii="Times New Roman" w:eastAsia="Times New Roman" w:hAnsi="Times New Roman" w:cs="Times New Roman"/>
          <w:sz w:val="24"/>
          <w:szCs w:val="24"/>
        </w:rPr>
      </w:pPr>
      <w:r w:rsidRPr="000E6AFA">
        <w:rPr>
          <w:rFonts w:ascii="Times New Roman" w:eastAsia="Times New Roman" w:hAnsi="Times New Roman" w:cs="Times New Roman"/>
          <w:sz w:val="24"/>
          <w:szCs w:val="24"/>
        </w:rPr>
        <w:tab/>
        <w:t xml:space="preserve">Cert. of Service via email  </w:t>
      </w:r>
    </w:p>
    <w:p w:rsidR="006B0C3D" w:rsidRPr="000E6AFA" w:rsidRDefault="006B0C3D" w:rsidP="006B0C3D">
      <w:pPr>
        <w:spacing w:after="0" w:line="240" w:lineRule="auto"/>
        <w:rPr>
          <w:rFonts w:ascii="Arial" w:eastAsia="Times New Roman" w:hAnsi="Arial" w:cs="Arial"/>
          <w:sz w:val="24"/>
          <w:szCs w:val="24"/>
        </w:rPr>
      </w:pPr>
    </w:p>
    <w:p w:rsidR="006B0C3D" w:rsidRPr="000E6AFA" w:rsidRDefault="006B0C3D" w:rsidP="006B0C3D"/>
    <w:p w:rsidR="006B0C3D" w:rsidRPr="000E6AFA" w:rsidRDefault="006B0C3D" w:rsidP="006B0C3D"/>
    <w:p w:rsidR="002F357B" w:rsidRPr="006B0C3D" w:rsidRDefault="002F357B" w:rsidP="006B0C3D"/>
    <w:sectPr w:rsidR="002F357B" w:rsidRPr="006B0C3D" w:rsidSect="00A75924">
      <w:headerReference w:type="default" r:id="rId22"/>
      <w:type w:val="continuous"/>
      <w:pgSz w:w="12240" w:h="15840"/>
      <w:pgMar w:top="540" w:right="1080" w:bottom="50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D8" w:rsidRDefault="00FE55D8" w:rsidP="006B0C3D">
      <w:pPr>
        <w:spacing w:after="0" w:line="240" w:lineRule="auto"/>
      </w:pPr>
      <w:r>
        <w:separator/>
      </w:r>
    </w:p>
  </w:endnote>
  <w:endnote w:type="continuationSeparator" w:id="0">
    <w:p w:rsidR="00FE55D8" w:rsidRDefault="00FE55D8" w:rsidP="006B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3D" w:rsidRDefault="006B0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3D" w:rsidRDefault="006B0C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3D" w:rsidRDefault="006B0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D8" w:rsidRDefault="00FE55D8" w:rsidP="006B0C3D">
      <w:pPr>
        <w:spacing w:after="0" w:line="240" w:lineRule="auto"/>
      </w:pPr>
      <w:r>
        <w:separator/>
      </w:r>
    </w:p>
  </w:footnote>
  <w:footnote w:type="continuationSeparator" w:id="0">
    <w:p w:rsidR="00FE55D8" w:rsidRDefault="00FE55D8" w:rsidP="006B0C3D">
      <w:pPr>
        <w:spacing w:after="0" w:line="240" w:lineRule="auto"/>
      </w:pPr>
      <w:r>
        <w:continuationSeparator/>
      </w:r>
    </w:p>
  </w:footnote>
  <w:footnote w:id="1">
    <w:p w:rsidR="006B0C3D" w:rsidRDefault="006B0C3D" w:rsidP="006B0C3D">
      <w:pPr>
        <w:pStyle w:val="FootnoteText"/>
      </w:pPr>
      <w:r>
        <w:rPr>
          <w:rStyle w:val="FootnoteReference"/>
        </w:rPr>
        <w:footnoteRef/>
      </w:r>
      <w:r>
        <w:t xml:space="preserve">  </w:t>
      </w:r>
      <w:r>
        <w:rPr>
          <w:rFonts w:ascii="Times New Roman" w:eastAsia="Calibri" w:hAnsi="Times New Roman" w:cs="Times New Roman"/>
          <w:sz w:val="24"/>
          <w:szCs w:val="24"/>
        </w:rPr>
        <w:t xml:space="preserve">Since plans for the additional funding from the Settlement have not been finalized, those dollars and jobs do not need to be reflected in response to this request.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3D" w:rsidRDefault="006B0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3D" w:rsidRDefault="006B0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3D" w:rsidRDefault="006B0C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B5" w:rsidRDefault="006B0C3D" w:rsidP="00097441">
    <w:pPr>
      <w:spacing w:after="0" w:line="240" w:lineRule="auto"/>
    </w:pPr>
    <w:r w:rsidRPr="00C00993">
      <w:t>M-2015-2507139</w:t>
    </w:r>
    <w:r>
      <w:t xml:space="preserve"> </w:t>
    </w:r>
    <w:r w:rsidRPr="00BA1D3E">
      <w:t>F</w:t>
    </w:r>
    <w:r>
      <w:t>urther information regarding PECO’s</w:t>
    </w:r>
    <w:r w:rsidRPr="00BA1D3E">
      <w:t xml:space="preserve"> </w:t>
    </w:r>
    <w:r>
      <w:t>Proposed 2016-2018 USECP</w:t>
    </w:r>
  </w:p>
  <w:p w:rsidR="00830DB5" w:rsidRDefault="006B0C3D" w:rsidP="00097441">
    <w:pPr>
      <w:spacing w:after="0" w:line="240" w:lineRule="auto"/>
    </w:pPr>
    <w:r>
      <w:t xml:space="preserve">Page </w:t>
    </w:r>
    <w:r>
      <w:fldChar w:fldCharType="begin"/>
    </w:r>
    <w:r>
      <w:instrText xml:space="preserve"> PAGE   \* MERGEFORMAT </w:instrText>
    </w:r>
    <w:r>
      <w:fldChar w:fldCharType="separate"/>
    </w:r>
    <w:r w:rsidR="00654FCE">
      <w:rPr>
        <w:noProof/>
      </w:rPr>
      <w:t>2</w:t>
    </w:r>
    <w:r>
      <w:rPr>
        <w:noProof/>
      </w:rPr>
      <w:fldChar w:fldCharType="end"/>
    </w:r>
  </w:p>
  <w:p w:rsidR="00830DB5" w:rsidRDefault="00FE55D8" w:rsidP="00097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52693"/>
    <w:multiLevelType w:val="hybridMultilevel"/>
    <w:tmpl w:val="8FCC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EF5E73"/>
    <w:multiLevelType w:val="hybridMultilevel"/>
    <w:tmpl w:val="4AF06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3D"/>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54FCE"/>
    <w:rsid w:val="00662A6C"/>
    <w:rsid w:val="00664D60"/>
    <w:rsid w:val="00667E93"/>
    <w:rsid w:val="00680B92"/>
    <w:rsid w:val="00680CB5"/>
    <w:rsid w:val="00681A7F"/>
    <w:rsid w:val="00687981"/>
    <w:rsid w:val="00690589"/>
    <w:rsid w:val="006A1C55"/>
    <w:rsid w:val="006B0C3D"/>
    <w:rsid w:val="006B5747"/>
    <w:rsid w:val="006D137D"/>
    <w:rsid w:val="006D1438"/>
    <w:rsid w:val="006F6288"/>
    <w:rsid w:val="006F6A2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8E5F9F"/>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83D"/>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02AA7"/>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B72CB"/>
    <w:rsid w:val="00FC364B"/>
    <w:rsid w:val="00FC42C3"/>
    <w:rsid w:val="00FD19CD"/>
    <w:rsid w:val="00FD71E4"/>
    <w:rsid w:val="00FD7E9A"/>
    <w:rsid w:val="00FE3ECA"/>
    <w:rsid w:val="00FE55D8"/>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C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C3D"/>
  </w:style>
  <w:style w:type="paragraph" w:styleId="Footer">
    <w:name w:val="footer"/>
    <w:basedOn w:val="Normal"/>
    <w:link w:val="FooterChar"/>
    <w:uiPriority w:val="99"/>
    <w:semiHidden/>
    <w:unhideWhenUsed/>
    <w:rsid w:val="006B0C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C3D"/>
  </w:style>
  <w:style w:type="table" w:styleId="TableGrid">
    <w:name w:val="Table Grid"/>
    <w:basedOn w:val="TableNormal"/>
    <w:uiPriority w:val="59"/>
    <w:rsid w:val="006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0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C3D"/>
    <w:rPr>
      <w:sz w:val="20"/>
      <w:szCs w:val="20"/>
    </w:rPr>
  </w:style>
  <w:style w:type="character" w:styleId="FootnoteReference">
    <w:name w:val="footnote reference"/>
    <w:basedOn w:val="DefaultParagraphFont"/>
    <w:uiPriority w:val="99"/>
    <w:semiHidden/>
    <w:unhideWhenUsed/>
    <w:rsid w:val="006B0C3D"/>
    <w:rPr>
      <w:vertAlign w:val="superscript"/>
    </w:rPr>
  </w:style>
  <w:style w:type="paragraph" w:styleId="ListParagraph">
    <w:name w:val="List Paragraph"/>
    <w:basedOn w:val="Normal"/>
    <w:uiPriority w:val="34"/>
    <w:qFormat/>
    <w:rsid w:val="006B0C3D"/>
    <w:pPr>
      <w:ind w:left="720"/>
      <w:contextualSpacing/>
    </w:pPr>
  </w:style>
  <w:style w:type="paragraph" w:styleId="BalloonText">
    <w:name w:val="Balloon Text"/>
    <w:basedOn w:val="Normal"/>
    <w:link w:val="BalloonTextChar"/>
    <w:uiPriority w:val="99"/>
    <w:semiHidden/>
    <w:unhideWhenUsed/>
    <w:rsid w:val="00B50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C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C3D"/>
  </w:style>
  <w:style w:type="paragraph" w:styleId="Footer">
    <w:name w:val="footer"/>
    <w:basedOn w:val="Normal"/>
    <w:link w:val="FooterChar"/>
    <w:uiPriority w:val="99"/>
    <w:semiHidden/>
    <w:unhideWhenUsed/>
    <w:rsid w:val="006B0C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C3D"/>
  </w:style>
  <w:style w:type="table" w:styleId="TableGrid">
    <w:name w:val="Table Grid"/>
    <w:basedOn w:val="TableNormal"/>
    <w:uiPriority w:val="59"/>
    <w:rsid w:val="006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0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C3D"/>
    <w:rPr>
      <w:sz w:val="20"/>
      <w:szCs w:val="20"/>
    </w:rPr>
  </w:style>
  <w:style w:type="character" w:styleId="FootnoteReference">
    <w:name w:val="footnote reference"/>
    <w:basedOn w:val="DefaultParagraphFont"/>
    <w:uiPriority w:val="99"/>
    <w:semiHidden/>
    <w:unhideWhenUsed/>
    <w:rsid w:val="006B0C3D"/>
    <w:rPr>
      <w:vertAlign w:val="superscript"/>
    </w:rPr>
  </w:style>
  <w:style w:type="paragraph" w:styleId="ListParagraph">
    <w:name w:val="List Paragraph"/>
    <w:basedOn w:val="Normal"/>
    <w:uiPriority w:val="34"/>
    <w:qFormat/>
    <w:rsid w:val="006B0C3D"/>
    <w:pPr>
      <w:ind w:left="720"/>
      <w:contextualSpacing/>
    </w:pPr>
  </w:style>
  <w:style w:type="paragraph" w:styleId="BalloonText">
    <w:name w:val="Balloon Text"/>
    <w:basedOn w:val="Normal"/>
    <w:link w:val="BalloonTextChar"/>
    <w:uiPriority w:val="99"/>
    <w:semiHidden/>
    <w:unhideWhenUsed/>
    <w:rsid w:val="00B50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gmcgovern@pa.gov" TargetMode="External"/><Relationship Id="rId3" Type="http://schemas.microsoft.com/office/2007/relationships/stylesWithEffects" Target="stylesWithEffects.xml"/><Relationship Id="rId21" Type="http://schemas.openxmlformats.org/officeDocument/2006/relationships/hyperlink" Target="mailto:finksmith@pa.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sdewey@pa.gov" TargetMode="External"/><Relationship Id="rId20" Type="http://schemas.openxmlformats.org/officeDocument/2006/relationships/hyperlink" Target="mailto:sdewey@p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magee@pa.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jmagee@p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4</cp:revision>
  <dcterms:created xsi:type="dcterms:W3CDTF">2016-06-03T15:03:00Z</dcterms:created>
  <dcterms:modified xsi:type="dcterms:W3CDTF">2016-06-03T15:37:00Z</dcterms:modified>
</cp:coreProperties>
</file>