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B8" w:rsidRDefault="00A42FB8" w:rsidP="00A42FB8">
      <w:pPr>
        <w:pStyle w:val="Title"/>
        <w:tabs>
          <w:tab w:val="clear" w:pos="360"/>
          <w:tab w:val="left" w:pos="0"/>
        </w:tabs>
        <w:spacing w:line="240" w:lineRule="auto"/>
      </w:pPr>
      <w:r>
        <w:t>BEFORE THE</w:t>
      </w:r>
    </w:p>
    <w:p w:rsidR="00A42FB8" w:rsidRDefault="00A42FB8" w:rsidP="00A42FB8">
      <w:pPr>
        <w:tabs>
          <w:tab w:val="left" w:pos="0"/>
        </w:tabs>
        <w:spacing w:before="0" w:after="0" w:line="240" w:lineRule="auto"/>
        <w:jc w:val="center"/>
        <w:rPr>
          <w:b/>
        </w:rPr>
      </w:pPr>
      <w:r>
        <w:rPr>
          <w:b/>
        </w:rPr>
        <w:t>PENNSYLVANIA PUBLIC UTILITY COMMISSION</w:t>
      </w:r>
    </w:p>
    <w:p w:rsidR="00A42FB8" w:rsidRDefault="00A42FB8" w:rsidP="00A42FB8">
      <w:pPr>
        <w:tabs>
          <w:tab w:val="left" w:pos="0"/>
        </w:tabs>
        <w:spacing w:before="0" w:after="0" w:line="240" w:lineRule="auto"/>
        <w:jc w:val="both"/>
        <w:rPr>
          <w:b/>
        </w:rPr>
      </w:pPr>
    </w:p>
    <w:p w:rsidR="00A42FB8" w:rsidRDefault="00A42FB8" w:rsidP="00A42FB8">
      <w:pPr>
        <w:tabs>
          <w:tab w:val="left" w:pos="0"/>
        </w:tabs>
        <w:spacing w:before="0" w:after="0" w:line="240" w:lineRule="auto"/>
        <w:jc w:val="both"/>
        <w:rPr>
          <w:b/>
        </w:rPr>
      </w:pPr>
    </w:p>
    <w:p w:rsidR="00A42FB8" w:rsidRDefault="00A42FB8" w:rsidP="00A42FB8">
      <w:pPr>
        <w:tabs>
          <w:tab w:val="left" w:pos="0"/>
        </w:tabs>
        <w:spacing w:before="0" w:after="0" w:line="240" w:lineRule="auto"/>
        <w:jc w:val="both"/>
        <w:rPr>
          <w:b/>
        </w:rPr>
      </w:pPr>
    </w:p>
    <w:p w:rsidR="00A42FB8" w:rsidRDefault="00A42FB8" w:rsidP="00A42FB8">
      <w:pPr>
        <w:tabs>
          <w:tab w:val="left" w:pos="0"/>
          <w:tab w:val="left" w:pos="5040"/>
        </w:tabs>
        <w:spacing w:before="0" w:after="0" w:line="240" w:lineRule="auto"/>
        <w:jc w:val="both"/>
        <w:rPr>
          <w:b/>
        </w:rPr>
      </w:pPr>
      <w:r>
        <w:t xml:space="preserve">Tonia Scott </w:t>
      </w:r>
      <w:r>
        <w:tab/>
      </w:r>
      <w:r>
        <w:tab/>
        <w:t>:</w:t>
      </w:r>
    </w:p>
    <w:p w:rsidR="00A42FB8" w:rsidRPr="00560DC5" w:rsidRDefault="00A42FB8" w:rsidP="00A42FB8">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A42FB8" w:rsidRPr="003B279A" w:rsidRDefault="00A42FB8" w:rsidP="00A42FB8">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C-2016-2529902</w:t>
      </w:r>
    </w:p>
    <w:p w:rsidR="00A42FB8" w:rsidRPr="00560DC5" w:rsidRDefault="00A42FB8" w:rsidP="00A42FB8">
      <w:pPr>
        <w:tabs>
          <w:tab w:val="left" w:pos="0"/>
        </w:tabs>
        <w:spacing w:before="0" w:after="0" w:line="240" w:lineRule="auto"/>
        <w:jc w:val="both"/>
      </w:pPr>
      <w:r>
        <w:tab/>
      </w:r>
      <w:r>
        <w:tab/>
      </w:r>
      <w:r>
        <w:tab/>
      </w:r>
      <w:r>
        <w:tab/>
      </w:r>
      <w:r>
        <w:tab/>
      </w:r>
      <w:r>
        <w:tab/>
      </w:r>
      <w:r w:rsidRPr="00560DC5">
        <w:t>:</w:t>
      </w:r>
    </w:p>
    <w:p w:rsidR="00A42FB8" w:rsidRDefault="00A42FB8" w:rsidP="00A42FB8">
      <w:pPr>
        <w:tabs>
          <w:tab w:val="left" w:pos="0"/>
        </w:tabs>
        <w:spacing w:before="0" w:after="0" w:line="240" w:lineRule="auto"/>
        <w:jc w:val="both"/>
      </w:pPr>
      <w:r>
        <w:t>Pennsylvania-American Water Company</w:t>
      </w:r>
      <w:r>
        <w:tab/>
      </w:r>
      <w:r>
        <w:tab/>
      </w:r>
      <w:r w:rsidRPr="00560DC5">
        <w:t>:</w:t>
      </w:r>
    </w:p>
    <w:p w:rsidR="00A42FB8" w:rsidRDefault="00A42FB8" w:rsidP="00A42FB8">
      <w:pPr>
        <w:tabs>
          <w:tab w:val="left" w:pos="0"/>
        </w:tabs>
        <w:spacing w:before="0" w:after="0" w:line="240" w:lineRule="auto"/>
        <w:jc w:val="both"/>
      </w:pPr>
      <w:r>
        <w:tab/>
      </w:r>
      <w:r>
        <w:tab/>
      </w:r>
    </w:p>
    <w:p w:rsidR="00A42FB8" w:rsidRDefault="00A42FB8" w:rsidP="00A42FB8">
      <w:pPr>
        <w:tabs>
          <w:tab w:val="left" w:pos="0"/>
        </w:tabs>
        <w:spacing w:before="0" w:after="0" w:line="240" w:lineRule="auto"/>
        <w:jc w:val="both"/>
        <w:rPr>
          <w:b/>
        </w:rPr>
      </w:pPr>
    </w:p>
    <w:p w:rsidR="00A42FB8" w:rsidRDefault="00A42FB8" w:rsidP="00A42FB8">
      <w:pPr>
        <w:tabs>
          <w:tab w:val="left" w:pos="0"/>
        </w:tabs>
        <w:spacing w:before="0" w:after="0" w:line="240" w:lineRule="auto"/>
        <w:jc w:val="both"/>
        <w:rPr>
          <w:b/>
        </w:rPr>
      </w:pPr>
    </w:p>
    <w:p w:rsidR="00F50CE7" w:rsidRDefault="00DF41F5" w:rsidP="00A42FB8">
      <w:pPr>
        <w:spacing w:before="0" w:after="0" w:line="240" w:lineRule="auto"/>
        <w:jc w:val="center"/>
        <w:rPr>
          <w:b/>
          <w:u w:val="single"/>
        </w:rPr>
      </w:pPr>
      <w:r w:rsidRPr="004015D0">
        <w:rPr>
          <w:b/>
          <w:u w:val="single"/>
        </w:rPr>
        <w:t>INITIAL DECISION</w:t>
      </w:r>
    </w:p>
    <w:p w:rsidR="00A42FB8" w:rsidRPr="004015D0" w:rsidRDefault="00A42FB8" w:rsidP="00A42FB8">
      <w:pPr>
        <w:spacing w:before="0" w:after="0" w:line="240" w:lineRule="auto"/>
        <w:jc w:val="center"/>
        <w:rPr>
          <w:b/>
          <w:u w:val="single"/>
        </w:rPr>
      </w:pPr>
    </w:p>
    <w:p w:rsidR="004015D0" w:rsidRDefault="004015D0" w:rsidP="00A42FB8">
      <w:pPr>
        <w:spacing w:before="0" w:after="0" w:line="240" w:lineRule="auto"/>
        <w:jc w:val="center"/>
      </w:pPr>
    </w:p>
    <w:p w:rsidR="004015D0" w:rsidRDefault="004015D0" w:rsidP="00A42FB8">
      <w:pPr>
        <w:spacing w:before="0" w:after="0" w:line="240" w:lineRule="auto"/>
        <w:jc w:val="center"/>
      </w:pPr>
      <w:r>
        <w:t>Before</w:t>
      </w:r>
    </w:p>
    <w:p w:rsidR="004015D0" w:rsidRDefault="004015D0" w:rsidP="00A42FB8">
      <w:pPr>
        <w:spacing w:before="0" w:after="0" w:line="240" w:lineRule="auto"/>
        <w:jc w:val="center"/>
      </w:pPr>
      <w:r>
        <w:t>Mary D. Long</w:t>
      </w:r>
    </w:p>
    <w:p w:rsidR="004015D0" w:rsidRDefault="004015D0" w:rsidP="00A42FB8">
      <w:pPr>
        <w:spacing w:before="0" w:after="0" w:line="240" w:lineRule="auto"/>
        <w:jc w:val="center"/>
      </w:pPr>
      <w:r>
        <w:t>Administrative Law Judge</w:t>
      </w:r>
    </w:p>
    <w:p w:rsidR="004015D0" w:rsidRDefault="004015D0" w:rsidP="00A42FB8">
      <w:pPr>
        <w:spacing w:before="0" w:after="0"/>
      </w:pPr>
    </w:p>
    <w:p w:rsidR="00DF41F5" w:rsidRDefault="00DF41F5" w:rsidP="00A42FB8">
      <w:pPr>
        <w:spacing w:before="0" w:after="0"/>
      </w:pPr>
      <w:r>
        <w:tab/>
        <w:t xml:space="preserve">A complaint filed by a consumer against a water utility is dismissed based on the doctrine of </w:t>
      </w:r>
      <w:r>
        <w:rPr>
          <w:i/>
        </w:rPr>
        <w:t>res judicata</w:t>
      </w:r>
      <w:r>
        <w:t>.  The issues raised by the consumer have been adjudicated by the Commission in a prior order.</w:t>
      </w:r>
      <w:r w:rsidR="004015D0">
        <w:t xml:space="preserve">  Further, the issue raised by the consumer regarding the use of property is dismissed because the Commission lacks jurisdiction to resolve private property disputes.</w:t>
      </w:r>
    </w:p>
    <w:p w:rsidR="00A42FB8" w:rsidRDefault="00A42FB8" w:rsidP="00A42FB8">
      <w:pPr>
        <w:spacing w:before="0" w:after="0"/>
      </w:pPr>
    </w:p>
    <w:p w:rsidR="00DF41F5" w:rsidRDefault="00DF41F5" w:rsidP="00A42FB8">
      <w:pPr>
        <w:spacing w:before="0" w:after="0"/>
        <w:jc w:val="center"/>
        <w:rPr>
          <w:u w:val="single"/>
        </w:rPr>
      </w:pPr>
      <w:r w:rsidRPr="008F21CD">
        <w:rPr>
          <w:u w:val="single"/>
        </w:rPr>
        <w:t>PROCEDURAL HISTORY</w:t>
      </w:r>
    </w:p>
    <w:p w:rsidR="00A42FB8" w:rsidRPr="008F21CD" w:rsidRDefault="00A42FB8" w:rsidP="00A42FB8">
      <w:pPr>
        <w:spacing w:before="0" w:after="0"/>
        <w:jc w:val="center"/>
        <w:rPr>
          <w:u w:val="single"/>
        </w:rPr>
      </w:pPr>
    </w:p>
    <w:p w:rsidR="00DF41F5" w:rsidRDefault="00DF41F5" w:rsidP="00A42FB8">
      <w:pPr>
        <w:spacing w:before="0" w:after="0"/>
      </w:pPr>
      <w:r>
        <w:tab/>
        <w:t>On February 18, 2016, Tonia Scott (Complainant) filed a formal com</w:t>
      </w:r>
      <w:r w:rsidR="001059A0">
        <w:t>plaint against the Pennsylvania-</w:t>
      </w:r>
      <w:r>
        <w:t>American Water Company</w:t>
      </w:r>
      <w:r w:rsidR="00F15EE2">
        <w:t xml:space="preserve"> (PAWC)</w:t>
      </w:r>
      <w:r>
        <w:t>.  In her complaint she alleged the utility was threatening to terminate</w:t>
      </w:r>
      <w:r w:rsidR="00DB0545">
        <w:t xml:space="preserve"> her service.  She also contended</w:t>
      </w:r>
      <w:r>
        <w:t xml:space="preserve"> that PAWC violated the United States Constitution and several treaties by refusing to accept her proffered negotiable instrument as payment for utility services</w:t>
      </w:r>
      <w:r w:rsidR="00DB0545">
        <w:t xml:space="preserve"> and by refusing to recognize her property rights as a Native American</w:t>
      </w:r>
      <w:r>
        <w:t>.</w:t>
      </w:r>
    </w:p>
    <w:p w:rsidR="00A42FB8" w:rsidRDefault="00A42FB8" w:rsidP="00A42FB8">
      <w:pPr>
        <w:spacing w:before="0" w:after="0"/>
      </w:pPr>
    </w:p>
    <w:p w:rsidR="008E26A0" w:rsidRDefault="008E26A0" w:rsidP="00A42FB8">
      <w:pPr>
        <w:spacing w:before="0" w:after="0"/>
      </w:pPr>
      <w:r>
        <w:tab/>
        <w:t>PAWC filed an answer</w:t>
      </w:r>
      <w:r w:rsidR="008C54E1">
        <w:t xml:space="preserve"> on March 2, 2016, denying the material allegations of the complaint and contending that the complaint is barred by the doctrine of </w:t>
      </w:r>
      <w:r w:rsidR="008C54E1">
        <w:rPr>
          <w:i/>
        </w:rPr>
        <w:t>res judicata.</w:t>
      </w:r>
      <w:r w:rsidR="008C54E1">
        <w:t xml:space="preserve">  On the </w:t>
      </w:r>
      <w:r w:rsidR="008C54E1">
        <w:lastRenderedPageBreak/>
        <w:t>same day PAWC filed preliminary objections which included a</w:t>
      </w:r>
      <w:r w:rsidR="00DB0545">
        <w:t xml:space="preserve"> notice to plead.  PAWC contended</w:t>
      </w:r>
      <w:r w:rsidR="008C54E1">
        <w:t xml:space="preserve"> that the Complainant’s formal complaint should be dismissed </w:t>
      </w:r>
      <w:r w:rsidR="000839D4">
        <w:t>because it raise</w:t>
      </w:r>
      <w:r w:rsidR="00DB0545">
        <w:t>d</w:t>
      </w:r>
      <w:r w:rsidR="000839D4">
        <w:t xml:space="preserve"> the</w:t>
      </w:r>
      <w:r w:rsidR="008C54E1">
        <w:t xml:space="preserve"> same claims which were disposed of by the Commission in </w:t>
      </w:r>
      <w:r w:rsidR="008C54E1">
        <w:rPr>
          <w:i/>
        </w:rPr>
        <w:t>Scott v. Pennsylvania</w:t>
      </w:r>
      <w:r w:rsidR="009267C6">
        <w:rPr>
          <w:i/>
        </w:rPr>
        <w:t>-</w:t>
      </w:r>
      <w:r w:rsidR="008C54E1">
        <w:rPr>
          <w:i/>
        </w:rPr>
        <w:t>American Water Company,</w:t>
      </w:r>
      <w:r w:rsidR="008C54E1">
        <w:t xml:space="preserve"> Docket C-2015-248945</w:t>
      </w:r>
      <w:r w:rsidR="008C232A">
        <w:t>3</w:t>
      </w:r>
      <w:r w:rsidR="008C54E1">
        <w:t xml:space="preserve"> (Final Order entered December 22, 2015).</w:t>
      </w:r>
      <w:r w:rsidR="000839D4">
        <w:t xml:space="preserve">  To date the Complainant has not filed a response to the preliminary objections.</w:t>
      </w:r>
      <w:r w:rsidR="001E0F42">
        <w:rPr>
          <w:rStyle w:val="FootnoteReference"/>
        </w:rPr>
        <w:footnoteReference w:id="1"/>
      </w:r>
    </w:p>
    <w:p w:rsidR="00A42FB8" w:rsidRDefault="00A42FB8" w:rsidP="00A42FB8">
      <w:pPr>
        <w:spacing w:before="0" w:after="0"/>
      </w:pPr>
    </w:p>
    <w:p w:rsidR="000839D4" w:rsidRDefault="000839D4" w:rsidP="00A42FB8">
      <w:pPr>
        <w:spacing w:before="0" w:after="0"/>
      </w:pPr>
      <w:r>
        <w:tab/>
      </w:r>
      <w:r w:rsidR="00F83872">
        <w:t xml:space="preserve">By hearing notice dated April 28, 2016, the Commission scheduled an initial telephonic hearing for Wednesday, June 8, 2016 and assigned the matter to me for disposition.  I sent a prehearing order </w:t>
      </w:r>
      <w:r w:rsidR="00F15EE2">
        <w:t xml:space="preserve">on April 28, 2016 </w:t>
      </w:r>
      <w:r w:rsidR="00F83872">
        <w:t>which detailed pertinent procedures for the conduct of the hearing</w:t>
      </w:r>
      <w:r w:rsidR="00F15EE2">
        <w:t>.</w:t>
      </w:r>
      <w:r w:rsidR="00F83872">
        <w:t xml:space="preserve">  Following a review of the file I determined that the preliminary objection could not be resolved in time for the parties to adequately prepare for the hearing scheduled on June 8, 2016.  Accordingly, by interim order dated May 3, 2016, the hearing was cancelled.</w:t>
      </w:r>
    </w:p>
    <w:p w:rsidR="00A42FB8" w:rsidRDefault="00A42FB8" w:rsidP="00A42FB8">
      <w:pPr>
        <w:spacing w:before="0" w:after="0"/>
      </w:pPr>
    </w:p>
    <w:p w:rsidR="00FE214C" w:rsidRDefault="00FE214C" w:rsidP="00A42FB8">
      <w:pPr>
        <w:spacing w:before="0" w:after="0"/>
        <w:jc w:val="center"/>
        <w:rPr>
          <w:u w:val="single"/>
        </w:rPr>
      </w:pPr>
      <w:r w:rsidRPr="001D0BFF">
        <w:rPr>
          <w:u w:val="single"/>
        </w:rPr>
        <w:t>FINDINGS OF FACT</w:t>
      </w:r>
    </w:p>
    <w:p w:rsidR="00A42FB8" w:rsidRPr="001D0BFF" w:rsidRDefault="00A42FB8" w:rsidP="00A42FB8">
      <w:pPr>
        <w:spacing w:before="0" w:after="0"/>
        <w:jc w:val="center"/>
        <w:rPr>
          <w:u w:val="single"/>
        </w:rPr>
      </w:pPr>
    </w:p>
    <w:p w:rsidR="00FE214C" w:rsidRDefault="00FE214C" w:rsidP="00CD420B">
      <w:pPr>
        <w:pStyle w:val="ListParagraph"/>
      </w:pPr>
      <w:r>
        <w:t>The Complainant is Tonia Scott.</w:t>
      </w:r>
    </w:p>
    <w:p w:rsidR="00A42FB8" w:rsidRDefault="00A42FB8" w:rsidP="00CD420B">
      <w:pPr>
        <w:spacing w:before="0" w:after="0"/>
        <w:ind w:left="720"/>
      </w:pPr>
    </w:p>
    <w:p w:rsidR="00FE214C" w:rsidRDefault="00FE214C" w:rsidP="00CD420B">
      <w:pPr>
        <w:pStyle w:val="ListParagraph"/>
      </w:pPr>
      <w:r>
        <w:t>Pennsylvania</w:t>
      </w:r>
      <w:r w:rsidR="007429F3">
        <w:t>-</w:t>
      </w:r>
      <w:r>
        <w:t>American Water Company (PAWC) is a jurisdictional public utility.</w:t>
      </w:r>
    </w:p>
    <w:p w:rsidR="00A42FB8" w:rsidRDefault="00A42FB8" w:rsidP="00CD420B">
      <w:pPr>
        <w:spacing w:before="0" w:after="0"/>
        <w:ind w:left="720"/>
      </w:pPr>
    </w:p>
    <w:p w:rsidR="00FE214C" w:rsidRDefault="00FE214C" w:rsidP="00CD420B">
      <w:pPr>
        <w:pStyle w:val="ListParagraph"/>
      </w:pPr>
      <w:r>
        <w:t>On June 24, 2015, the Complainant filed a formal complaint which alleged, among other things, the PAWC was improperly refusing to accept a negotiable instrument as payment for public utility service.</w:t>
      </w:r>
    </w:p>
    <w:p w:rsidR="00A42FB8" w:rsidRDefault="00A42FB8" w:rsidP="00CD420B">
      <w:pPr>
        <w:spacing w:before="0" w:after="0"/>
        <w:ind w:left="720"/>
      </w:pPr>
    </w:p>
    <w:p w:rsidR="00FE214C" w:rsidRDefault="00FE214C" w:rsidP="00CD420B">
      <w:pPr>
        <w:pStyle w:val="ListParagraph"/>
      </w:pPr>
      <w:r>
        <w:t>After a hearing, the complaint was dismissed by an initial decision serv</w:t>
      </w:r>
      <w:r w:rsidR="00F15EE2">
        <w:t>ed</w:t>
      </w:r>
      <w:r>
        <w:t xml:space="preserve"> on November 19, 2015.</w:t>
      </w:r>
    </w:p>
    <w:p w:rsidR="00FE214C" w:rsidRDefault="00FE214C" w:rsidP="00CD420B">
      <w:pPr>
        <w:pStyle w:val="ListParagraph"/>
      </w:pPr>
      <w:r>
        <w:lastRenderedPageBreak/>
        <w:t>No exceptions were filed and the initial decision became the final order of the Commission on December 22, 2015.</w:t>
      </w:r>
    </w:p>
    <w:p w:rsidR="00C15072" w:rsidRDefault="00C15072" w:rsidP="00721CE3">
      <w:pPr>
        <w:spacing w:before="0" w:after="0"/>
        <w:ind w:left="720"/>
      </w:pPr>
    </w:p>
    <w:p w:rsidR="00FE214C" w:rsidRDefault="00FE214C" w:rsidP="00CD420B">
      <w:pPr>
        <w:pStyle w:val="ListParagraph"/>
      </w:pPr>
      <w:r>
        <w:t>On February 18, 2016, the Complainant filed another formal complaint which also claimed that PAWC was improperly refusing to accept a negotiable instrument as payment for public utility service.</w:t>
      </w:r>
    </w:p>
    <w:p w:rsidR="00C15072" w:rsidRDefault="00C15072" w:rsidP="00721CE3">
      <w:pPr>
        <w:spacing w:before="0" w:after="0"/>
        <w:ind w:left="720"/>
      </w:pPr>
    </w:p>
    <w:p w:rsidR="00FE214C" w:rsidRDefault="00FE214C" w:rsidP="00CD420B">
      <w:pPr>
        <w:pStyle w:val="ListParagraph"/>
      </w:pPr>
      <w:r>
        <w:t>PAWC filed preliminary objections seeking dismissal of the complaint on March</w:t>
      </w:r>
      <w:r w:rsidR="00B77DCF">
        <w:t> </w:t>
      </w:r>
      <w:r>
        <w:t>2, 2016.</w:t>
      </w:r>
    </w:p>
    <w:p w:rsidR="00C15072" w:rsidRDefault="00C15072" w:rsidP="00721CE3">
      <w:pPr>
        <w:spacing w:before="0" w:after="0"/>
        <w:ind w:left="720"/>
      </w:pPr>
    </w:p>
    <w:p w:rsidR="00FE214C" w:rsidRDefault="00FE214C" w:rsidP="00CD420B">
      <w:pPr>
        <w:pStyle w:val="ListParagraph"/>
      </w:pPr>
      <w:r>
        <w:t>The Complainant did not respond to the preliminary objections.</w:t>
      </w:r>
    </w:p>
    <w:p w:rsidR="00C15072" w:rsidRDefault="00C15072" w:rsidP="00CD420B">
      <w:pPr>
        <w:ind w:left="720"/>
      </w:pPr>
    </w:p>
    <w:p w:rsidR="001E0F42" w:rsidRDefault="001E0F42" w:rsidP="00A42FB8">
      <w:pPr>
        <w:spacing w:before="0" w:after="0"/>
        <w:jc w:val="center"/>
        <w:rPr>
          <w:u w:val="single"/>
        </w:rPr>
      </w:pPr>
      <w:r w:rsidRPr="003F1F5E">
        <w:rPr>
          <w:u w:val="single"/>
        </w:rPr>
        <w:t>DISCUSSION</w:t>
      </w:r>
    </w:p>
    <w:p w:rsidR="00C15072" w:rsidRPr="003F1F5E" w:rsidRDefault="00C15072" w:rsidP="00A42FB8">
      <w:pPr>
        <w:spacing w:before="0" w:after="0"/>
        <w:jc w:val="center"/>
        <w:rPr>
          <w:u w:val="single"/>
        </w:rPr>
      </w:pPr>
    </w:p>
    <w:p w:rsidR="00E753F7" w:rsidRDefault="00E753F7" w:rsidP="00A42FB8">
      <w:pPr>
        <w:spacing w:before="0" w:after="0"/>
      </w:pPr>
      <w:r>
        <w:tab/>
        <w:t xml:space="preserve">While the Commission has granted preliminary objections based on the doctrine of </w:t>
      </w:r>
      <w:r w:rsidRPr="009267C6">
        <w:rPr>
          <w:i/>
        </w:rPr>
        <w:t>res judicata</w:t>
      </w:r>
      <w:r>
        <w:t xml:space="preserve">, the Commission has held that </w:t>
      </w:r>
      <w:r w:rsidR="00647BEE">
        <w:t>the doctrine</w:t>
      </w:r>
      <w:r>
        <w:t xml:space="preserve"> is more appropriately raised as an affirmative defense under the heading of “new matter” and can be disposed of in a motion to dismiss or a motion for summary judgement.</w:t>
      </w:r>
      <w:r w:rsidR="00ED48C6">
        <w:rPr>
          <w:rStyle w:val="FootnoteReference"/>
        </w:rPr>
        <w:footnoteReference w:id="2"/>
      </w:r>
      <w:r>
        <w:t xml:space="preserve">  Here, PAWC raised the issue of </w:t>
      </w:r>
      <w:r w:rsidRPr="009267C6">
        <w:rPr>
          <w:i/>
        </w:rPr>
        <w:t>res judicata</w:t>
      </w:r>
      <w:r>
        <w:t xml:space="preserve"> in its answer, but did not insert the “new matter” heading, and seeks dismissal based on legal insufficiency pursuant to the Commission’s rule on preliminary objections.</w:t>
      </w:r>
      <w:r w:rsidR="00C4077C">
        <w:t xml:space="preserve">  PAWC included as exhibits to its preliminary objection the current formal complaint, the formal complaint filed by the Complainant at Docket C-2015-248945</w:t>
      </w:r>
      <w:r w:rsidR="008C232A">
        <w:t>3</w:t>
      </w:r>
      <w:r w:rsidR="00C4077C">
        <w:t>, the initial decision at C-2015-248945</w:t>
      </w:r>
      <w:r w:rsidR="008C232A">
        <w:t>3</w:t>
      </w:r>
      <w:r w:rsidR="00C4077C">
        <w:t xml:space="preserve"> dated November 12, 2015, and the final order of the Commission at C-2015-248945</w:t>
      </w:r>
      <w:r w:rsidR="008C232A">
        <w:t>3</w:t>
      </w:r>
      <w:r w:rsidR="00C4077C">
        <w:t>.</w:t>
      </w:r>
      <w:r w:rsidR="00A942CF">
        <w:t xml:space="preserve">  However, a decision on preliminary objections may only consider the facts raised in the initial pleading</w:t>
      </w:r>
      <w:r w:rsidR="006069AC">
        <w:t>.</w:t>
      </w:r>
      <w:r w:rsidR="00A942CF">
        <w:rPr>
          <w:rStyle w:val="FootnoteReference"/>
        </w:rPr>
        <w:footnoteReference w:id="3"/>
      </w:r>
      <w:r w:rsidR="006069AC">
        <w:t xml:space="preserve">  It is therefore not appropriate to consider exhibits attached to a preliminary objection.</w:t>
      </w:r>
    </w:p>
    <w:p w:rsidR="00893F39" w:rsidRDefault="00893F39" w:rsidP="00A42FB8">
      <w:pPr>
        <w:spacing w:before="0" w:after="0"/>
      </w:pPr>
      <w:r>
        <w:lastRenderedPageBreak/>
        <w:tab/>
      </w:r>
      <w:r w:rsidR="00F376CE">
        <w:t>But</w:t>
      </w:r>
      <w:r>
        <w:t xml:space="preserve"> Commission’s regulations permit a presiding officer to disregard procedural</w:t>
      </w:r>
      <w:r w:rsidR="00274CFD">
        <w:t xml:space="preserve"> defects which do not affect the substantive rights of the parties.</w:t>
      </w:r>
      <w:r w:rsidR="00274CFD">
        <w:rPr>
          <w:rStyle w:val="FootnoteReference"/>
        </w:rPr>
        <w:footnoteReference w:id="4"/>
      </w:r>
      <w:r w:rsidR="00274CFD">
        <w:t xml:space="preserve">  In this particular case, it is appropriate to consider PAWC’s preliminary objection as a motion to dismiss.  Therefore, I will decide PAWC’s claim that the complaint is barred by the doctrine of </w:t>
      </w:r>
      <w:r w:rsidR="00274CFD" w:rsidRPr="009267C6">
        <w:rPr>
          <w:i/>
        </w:rPr>
        <w:t>res judicata</w:t>
      </w:r>
      <w:r w:rsidR="00274CFD">
        <w:t xml:space="preserve"> pursuant to Section 5.102 of the Commission’s regulations, which permit consideration of the exhibits included with the motion.  The issue was raised in PAWC’s answer to the complaint, which put the Complainant on notice that PAWC would seek dismissal of the complaint.  Also </w:t>
      </w:r>
      <w:r w:rsidR="00F376CE">
        <w:t xml:space="preserve">the </w:t>
      </w:r>
      <w:r w:rsidR="00274CFD">
        <w:t>Complainant has had more than two months to respond to PAWC’s request for dismissal</w:t>
      </w:r>
      <w:r w:rsidR="00CA34BE">
        <w:rPr>
          <w:rStyle w:val="FootnoteReference"/>
        </w:rPr>
        <w:footnoteReference w:id="5"/>
      </w:r>
      <w:r w:rsidR="009267C6">
        <w:t xml:space="preserve"> but has declined to do so.  H</w:t>
      </w:r>
      <w:r w:rsidR="00274CFD">
        <w:t>er substantive rights are not affected.</w:t>
      </w:r>
      <w:r w:rsidR="003F6B5B">
        <w:rPr>
          <w:rStyle w:val="FootnoteReference"/>
        </w:rPr>
        <w:footnoteReference w:id="6"/>
      </w:r>
    </w:p>
    <w:p w:rsidR="00C15072" w:rsidRDefault="00C15072" w:rsidP="00A42FB8">
      <w:pPr>
        <w:spacing w:before="0" w:after="0"/>
      </w:pPr>
    </w:p>
    <w:p w:rsidR="00CA34BE" w:rsidRDefault="00CA34BE" w:rsidP="00A42FB8">
      <w:pPr>
        <w:spacing w:before="0" w:after="0"/>
      </w:pPr>
      <w:r>
        <w:tab/>
        <w:t>A motion to dismiss may be granted if the applicable pleadings, depositions, answers to interrogatories and admissions, demonstrate that there is no genuine issue of material fact in dispute and the moving party is entitled to judgment in its favor as a matter of law.</w:t>
      </w:r>
      <w:r>
        <w:rPr>
          <w:rStyle w:val="FootnoteReference"/>
        </w:rPr>
        <w:footnoteReference w:id="7"/>
      </w:r>
      <w:r>
        <w:t xml:space="preserve"> </w:t>
      </w:r>
      <w:r w:rsidR="0005241F">
        <w:t xml:space="preserve"> As explained more fully below, PAWC’s motion will be granted and the formal complaint will be dismissed.</w:t>
      </w:r>
    </w:p>
    <w:p w:rsidR="00C15072" w:rsidRDefault="00C15072" w:rsidP="00A42FB8">
      <w:pPr>
        <w:spacing w:before="0" w:after="0"/>
      </w:pPr>
    </w:p>
    <w:p w:rsidR="00503E16" w:rsidRDefault="00503E16" w:rsidP="00A42FB8">
      <w:pPr>
        <w:spacing w:before="0" w:after="0"/>
      </w:pPr>
      <w:r>
        <w:tab/>
        <w:t>PAWC contends that this complaint should be dismissed because the matters raised have already been fully litigated and decided by a final order of the Commission.  In support of this argument PAWC presents the following exhibits to its motion:  the formal complaint and attachments filed on February 18, 2016 (Ex. 1); the formal complaint at Docket No. C-2015-</w:t>
      </w:r>
      <w:r w:rsidR="008C232A">
        <w:t xml:space="preserve">2489453 </w:t>
      </w:r>
      <w:r>
        <w:t xml:space="preserve">(Ex. 2)(hereafter referred to as 2015 Complaint); the initial decision dismissing the 2015 Complaint (Ex. 3)(hereafter 2015 Initial Decision); the Final Order of the Commission dismissing the 2015 Complaint (Ex. 4).  According to PAWC, the issues raised in this complaint are identical to those raised in the 2015 Complaint which were fully litigated and </w:t>
      </w:r>
      <w:r>
        <w:lastRenderedPageBreak/>
        <w:t>decided by 2015 Initial Decision, which became final by Commission order entered December</w:t>
      </w:r>
      <w:r w:rsidR="00C775D2">
        <w:t> </w:t>
      </w:r>
      <w:r>
        <w:t>22, 2015.</w:t>
      </w:r>
    </w:p>
    <w:p w:rsidR="00D21BB1" w:rsidRDefault="00D21BB1" w:rsidP="00A42FB8">
      <w:pPr>
        <w:spacing w:before="0" w:after="0"/>
      </w:pPr>
    </w:p>
    <w:p w:rsidR="00503E16" w:rsidRDefault="00503E16" w:rsidP="00A42FB8">
      <w:pPr>
        <w:spacing w:before="0" w:after="0"/>
        <w:ind w:firstLine="1440"/>
      </w:pPr>
      <w:r>
        <w:t xml:space="preserve">In order for the doctrine of </w:t>
      </w:r>
      <w:r>
        <w:rPr>
          <w:i/>
        </w:rPr>
        <w:t>res judicata</w:t>
      </w:r>
      <w:r>
        <w:t xml:space="preserve"> to bar a subsequent claim, several factors must be met:</w:t>
      </w:r>
    </w:p>
    <w:p w:rsidR="00503E16" w:rsidRDefault="00503E16" w:rsidP="00A42FB8">
      <w:pPr>
        <w:pStyle w:val="IndentedQuote"/>
      </w:pPr>
    </w:p>
    <w:p w:rsidR="00503E16" w:rsidRDefault="00503E16" w:rsidP="00A42FB8">
      <w:pPr>
        <w:pStyle w:val="IndentedQuote"/>
        <w:ind w:left="1440" w:right="1350"/>
      </w:pPr>
      <w:r>
        <w:t xml:space="preserve">The doctrine of </w:t>
      </w:r>
      <w:r>
        <w:rPr>
          <w:i/>
        </w:rPr>
        <w:t>res judicata</w:t>
      </w:r>
      <w:r>
        <w:t xml:space="preserve"> prevents a suit between the same parties on the same cause of action after a court of competent jurisdiction has rendered a final judgment on the merits.  In order for the doctrine to prevail, all of the following four requirements must be met:  (1) identity of issues, (2) identity of causes of action, (3) identity of persons and parties to the action, and (4) identity of the quality or capacity of the parties suing or sued.</w:t>
      </w:r>
      <w:r>
        <w:rPr>
          <w:rStyle w:val="FootnoteReference"/>
        </w:rPr>
        <w:footnoteReference w:id="8"/>
      </w:r>
    </w:p>
    <w:p w:rsidR="00503E16" w:rsidRDefault="00503E16" w:rsidP="00A42FB8">
      <w:pPr>
        <w:pStyle w:val="IndentedQuote"/>
        <w:ind w:left="1440" w:right="1350"/>
      </w:pPr>
    </w:p>
    <w:p w:rsidR="00503E16" w:rsidRDefault="00503E16" w:rsidP="00A42FB8">
      <w:pPr>
        <w:pStyle w:val="IndentedQuote"/>
        <w:ind w:left="1440" w:right="1350"/>
      </w:pPr>
    </w:p>
    <w:p w:rsidR="00503E16" w:rsidRDefault="00503E16" w:rsidP="00A42FB8">
      <w:pPr>
        <w:pStyle w:val="NoSpacing"/>
        <w:spacing w:line="360" w:lineRule="auto"/>
        <w:rPr>
          <w:sz w:val="24"/>
          <w:szCs w:val="24"/>
        </w:rPr>
      </w:pPr>
      <w:r>
        <w:rPr>
          <w:sz w:val="24"/>
          <w:szCs w:val="24"/>
        </w:rPr>
        <w:tab/>
      </w:r>
      <w:r>
        <w:rPr>
          <w:sz w:val="24"/>
          <w:szCs w:val="24"/>
        </w:rPr>
        <w:tab/>
        <w:t>In addition, Section 316 of the Public Utility Code, further prevents collateral attacks upon Commission orders:</w:t>
      </w:r>
    </w:p>
    <w:p w:rsidR="00503E16" w:rsidRDefault="00503E16" w:rsidP="00A42FB8">
      <w:pPr>
        <w:pStyle w:val="NoSpacing"/>
        <w:spacing w:line="360" w:lineRule="auto"/>
        <w:ind w:left="1440" w:right="1440"/>
        <w:rPr>
          <w:sz w:val="24"/>
          <w:szCs w:val="24"/>
        </w:rPr>
      </w:pPr>
    </w:p>
    <w:p w:rsidR="00503E16" w:rsidRDefault="00503E16" w:rsidP="00A42FB8">
      <w:pPr>
        <w:pStyle w:val="IndentedQuote"/>
        <w:ind w:left="1440" w:right="1440"/>
      </w:pPr>
      <w:r>
        <w:t>Whenever the commission shall make any rule, finding, determination or order, the same shall be prima facie evidence of the facts found and shall remain conclusive upon all parties affected thereby, unless set aside, annulled or modified on judicial review.</w:t>
      </w:r>
      <w:r>
        <w:rPr>
          <w:rStyle w:val="FootnoteReference"/>
        </w:rPr>
        <w:footnoteReference w:id="9"/>
      </w:r>
    </w:p>
    <w:p w:rsidR="00503E16" w:rsidRDefault="00503E16" w:rsidP="00A42FB8">
      <w:pPr>
        <w:pStyle w:val="IndentedQuote"/>
        <w:ind w:left="1440" w:right="1440"/>
      </w:pPr>
    </w:p>
    <w:p w:rsidR="00503E16" w:rsidRDefault="00503E16" w:rsidP="00A42FB8">
      <w:pPr>
        <w:pStyle w:val="IndentedQuote"/>
        <w:ind w:left="1440" w:right="1440"/>
        <w:rPr>
          <w:szCs w:val="20"/>
        </w:rPr>
      </w:pPr>
    </w:p>
    <w:p w:rsidR="00503E16" w:rsidRDefault="00503E16" w:rsidP="00A42FB8">
      <w:pPr>
        <w:spacing w:before="0" w:after="0"/>
      </w:pPr>
      <w:r>
        <w:t xml:space="preserve">Reviewing the claims made in the </w:t>
      </w:r>
      <w:r w:rsidR="0059130B">
        <w:t>2015 Complaint</w:t>
      </w:r>
      <w:r w:rsidR="00F376CE">
        <w:t xml:space="preserve"> regarding the Complainant’s tender of a negotiable instrument as payment for utility service</w:t>
      </w:r>
      <w:r>
        <w:t xml:space="preserve">, it is clear that these claims were fully addressed in the </w:t>
      </w:r>
      <w:r w:rsidR="0059130B">
        <w:t>2015</w:t>
      </w:r>
      <w:r>
        <w:t xml:space="preserve"> Initial Decision that became final </w:t>
      </w:r>
      <w:r w:rsidR="00BB6CAB">
        <w:t>i</w:t>
      </w:r>
      <w:r w:rsidR="0059130B">
        <w:t>n December 2015</w:t>
      </w:r>
      <w:r>
        <w:t>.</w:t>
      </w:r>
    </w:p>
    <w:p w:rsidR="00D21BB1" w:rsidRDefault="00D21BB1" w:rsidP="00A42FB8">
      <w:pPr>
        <w:spacing w:before="0" w:after="0"/>
      </w:pPr>
    </w:p>
    <w:p w:rsidR="0023662B" w:rsidRDefault="0023662B" w:rsidP="00A42FB8">
      <w:pPr>
        <w:spacing w:before="0" w:after="0"/>
      </w:pPr>
      <w:r>
        <w:tab/>
      </w:r>
      <w:r w:rsidR="00B03227">
        <w:t xml:space="preserve">In the 2015 Complaint, the Complainant checked boxes indicating that the utility was threatening to shut off her service and that she would like a payment arrangement.  She explained that she wanted to pay her bill with a security agreement.  In her view, PAWC was in </w:t>
      </w:r>
      <w:r w:rsidR="00B03227">
        <w:lastRenderedPageBreak/>
        <w:t>violation of the Uniform Commercial Code and the U.S. Constitution by refusing to accept the security agreement as payment for utility service.</w:t>
      </w:r>
    </w:p>
    <w:p w:rsidR="00D21BB1" w:rsidRDefault="00D21BB1" w:rsidP="00A42FB8">
      <w:pPr>
        <w:spacing w:before="0" w:after="0"/>
      </w:pPr>
    </w:p>
    <w:p w:rsidR="00B03227" w:rsidRDefault="00B03227" w:rsidP="00A42FB8">
      <w:pPr>
        <w:spacing w:before="0" w:after="0"/>
      </w:pPr>
      <w:r>
        <w:tab/>
        <w:t>A hearing was held on October 1, 2015.  After considering the evidence, the ALJ dismissed the complaint:</w:t>
      </w:r>
    </w:p>
    <w:p w:rsidR="00D21BB1" w:rsidRDefault="00D21BB1" w:rsidP="00D21BB1">
      <w:pPr>
        <w:spacing w:before="0" w:after="0" w:line="240" w:lineRule="auto"/>
      </w:pPr>
    </w:p>
    <w:p w:rsidR="00B03227" w:rsidRDefault="00B03227" w:rsidP="00A42FB8">
      <w:pPr>
        <w:spacing w:before="0" w:after="0" w:line="240" w:lineRule="auto"/>
        <w:ind w:left="1440" w:right="1440"/>
        <w:rPr>
          <w:szCs w:val="24"/>
        </w:rPr>
      </w:pPr>
      <w:r w:rsidRPr="0063245B">
        <w:rPr>
          <w:szCs w:val="24"/>
        </w:rPr>
        <w:t xml:space="preserve">The Commission’s regulations do not </w:t>
      </w:r>
      <w:r>
        <w:rPr>
          <w:szCs w:val="24"/>
        </w:rPr>
        <w:t xml:space="preserve">specifically address the forms </w:t>
      </w:r>
      <w:r w:rsidRPr="0063245B">
        <w:rPr>
          <w:szCs w:val="24"/>
        </w:rPr>
        <w:t>f</w:t>
      </w:r>
      <w:r>
        <w:rPr>
          <w:szCs w:val="24"/>
        </w:rPr>
        <w:t>or</w:t>
      </w:r>
      <w:r w:rsidRPr="0063245B">
        <w:rPr>
          <w:szCs w:val="24"/>
        </w:rPr>
        <w:t xml:space="preserve"> payment which a utility is required to accept from a customer as payment for services rendered.  However, the regulations relating to termination note that a customer may avoid termination if “payment in full is tendered in </w:t>
      </w:r>
      <w:r w:rsidRPr="0063245B">
        <w:rPr>
          <w:i/>
          <w:szCs w:val="24"/>
        </w:rPr>
        <w:t>any reasonable manner</w:t>
      </w:r>
      <w:r w:rsidRPr="0063245B">
        <w:rPr>
          <w:szCs w:val="24"/>
        </w:rPr>
        <w:t>…”  The regulation also notes that payment “in any reasonable manner includes p</w:t>
      </w:r>
      <w:r w:rsidR="0079206A">
        <w:rPr>
          <w:szCs w:val="24"/>
        </w:rPr>
        <w:t>ayment by personal check . . .”</w:t>
      </w:r>
      <w:r w:rsidRPr="0063245B">
        <w:rPr>
          <w:szCs w:val="24"/>
        </w:rPr>
        <w:t xml:space="preserve">  </w:t>
      </w:r>
    </w:p>
    <w:p w:rsidR="00D21BB1" w:rsidRDefault="00D21BB1" w:rsidP="00A42FB8">
      <w:pPr>
        <w:spacing w:before="0" w:after="0" w:line="240" w:lineRule="auto"/>
        <w:ind w:left="1440" w:right="1440"/>
        <w:rPr>
          <w:szCs w:val="24"/>
        </w:rPr>
      </w:pPr>
    </w:p>
    <w:p w:rsidR="00B03227" w:rsidRDefault="00B03227" w:rsidP="00A42FB8">
      <w:pPr>
        <w:spacing w:before="0" w:after="0" w:line="240" w:lineRule="auto"/>
        <w:ind w:left="1440" w:right="1440" w:firstLine="1440"/>
        <w:rPr>
          <w:szCs w:val="24"/>
        </w:rPr>
      </w:pPr>
      <w:r w:rsidRPr="0063245B">
        <w:rPr>
          <w:szCs w:val="24"/>
        </w:rPr>
        <w:t>The Complainant contends that PAWC should accept the negotiable instrument for a sapphire ring as payment for electricity service.  She claims that this mode of payment is an acceptable “negotiable instrument” as defined by the Uniform Commercial Code.  In her view, PAWC is unlawfully demanding a specific form of payment.</w:t>
      </w:r>
    </w:p>
    <w:p w:rsidR="00D21BB1" w:rsidRPr="0063245B" w:rsidRDefault="00D21BB1" w:rsidP="00A42FB8">
      <w:pPr>
        <w:spacing w:before="0" w:after="0" w:line="240" w:lineRule="auto"/>
        <w:ind w:left="1440" w:right="1440" w:firstLine="1440"/>
        <w:rPr>
          <w:szCs w:val="24"/>
        </w:rPr>
      </w:pPr>
    </w:p>
    <w:p w:rsidR="00B03227" w:rsidRDefault="00B03227" w:rsidP="00A42FB8">
      <w:pPr>
        <w:spacing w:before="0" w:after="0" w:line="240" w:lineRule="auto"/>
        <w:ind w:left="1440" w:right="1440" w:firstLine="1440"/>
        <w:rPr>
          <w:szCs w:val="24"/>
        </w:rPr>
      </w:pPr>
      <w:r w:rsidRPr="0063245B">
        <w:rPr>
          <w:szCs w:val="24"/>
        </w:rPr>
        <w:t xml:space="preserve">The Commission has held that the Commission does not have jurisdiction to interpret the Uniform Commercial Code to determine the negotiability of instruments.  However, even if the </w:t>
      </w:r>
      <w:r>
        <w:rPr>
          <w:szCs w:val="24"/>
        </w:rPr>
        <w:t>sapphire ring</w:t>
      </w:r>
      <w:r w:rsidRPr="0063245B">
        <w:rPr>
          <w:szCs w:val="24"/>
        </w:rPr>
        <w:t xml:space="preserve"> was a properly negotiable debt instrument as claimed by the Complainant, there is no language in the regulations which mandates </w:t>
      </w:r>
      <w:r>
        <w:rPr>
          <w:szCs w:val="24"/>
        </w:rPr>
        <w:t>PAWC</w:t>
      </w:r>
      <w:r w:rsidRPr="0063245B">
        <w:rPr>
          <w:szCs w:val="24"/>
        </w:rPr>
        <w:t xml:space="preserve"> to accept </w:t>
      </w:r>
      <w:r w:rsidRPr="0063245B">
        <w:rPr>
          <w:i/>
          <w:szCs w:val="24"/>
        </w:rPr>
        <w:t xml:space="preserve">all </w:t>
      </w:r>
      <w:r w:rsidRPr="0063245B">
        <w:rPr>
          <w:szCs w:val="24"/>
        </w:rPr>
        <w:t xml:space="preserve">forms of payment.  </w:t>
      </w:r>
    </w:p>
    <w:p w:rsidR="00D21BB1" w:rsidRDefault="00D21BB1" w:rsidP="00A42FB8">
      <w:pPr>
        <w:spacing w:before="0" w:after="0" w:line="240" w:lineRule="auto"/>
        <w:ind w:left="1440" w:right="1440" w:firstLine="1440"/>
        <w:rPr>
          <w:szCs w:val="24"/>
        </w:rPr>
      </w:pPr>
    </w:p>
    <w:p w:rsidR="00B03227" w:rsidRPr="0063245B" w:rsidRDefault="00B03227" w:rsidP="00A42FB8">
      <w:pPr>
        <w:spacing w:before="0" w:after="0" w:line="240" w:lineRule="auto"/>
        <w:ind w:left="1440" w:right="1440" w:firstLine="1440"/>
        <w:rPr>
          <w:szCs w:val="24"/>
        </w:rPr>
      </w:pPr>
      <w:r w:rsidRPr="0063245B">
        <w:rPr>
          <w:szCs w:val="24"/>
        </w:rPr>
        <w:t>The Complainant did not demonstrate that P</w:t>
      </w:r>
      <w:r>
        <w:rPr>
          <w:szCs w:val="24"/>
        </w:rPr>
        <w:t>AWC</w:t>
      </w:r>
      <w:r w:rsidRPr="0063245B">
        <w:rPr>
          <w:szCs w:val="24"/>
        </w:rPr>
        <w:t xml:space="preserve">’s policy of only accepting cash, certified checks, money orders, validated checks or payment by credit card and no other allegedly negotiable instruments was unreasonable or in violation of the Public Utility Code or any regulation of the Commission.  </w:t>
      </w:r>
      <w:r>
        <w:rPr>
          <w:szCs w:val="24"/>
        </w:rPr>
        <w:t>Sh</w:t>
      </w:r>
      <w:r w:rsidRPr="0063245B">
        <w:rPr>
          <w:szCs w:val="24"/>
        </w:rPr>
        <w:t xml:space="preserve">e did not offer specific evidence which proved that </w:t>
      </w:r>
      <w:r>
        <w:rPr>
          <w:szCs w:val="24"/>
        </w:rPr>
        <w:t>s</w:t>
      </w:r>
      <w:r w:rsidRPr="0063245B">
        <w:rPr>
          <w:szCs w:val="24"/>
        </w:rPr>
        <w:t>he had successfully paid other debts in this manner or that h</w:t>
      </w:r>
      <w:r>
        <w:rPr>
          <w:szCs w:val="24"/>
        </w:rPr>
        <w:t>er</w:t>
      </w:r>
      <w:r w:rsidRPr="0063245B">
        <w:rPr>
          <w:szCs w:val="24"/>
        </w:rPr>
        <w:t xml:space="preserve"> proposed method of payment is customary in any other commercial context or any other indicia that </w:t>
      </w:r>
      <w:r>
        <w:rPr>
          <w:szCs w:val="24"/>
        </w:rPr>
        <w:t>PAWC</w:t>
      </w:r>
      <w:r w:rsidRPr="0063245B">
        <w:rPr>
          <w:szCs w:val="24"/>
        </w:rPr>
        <w:t xml:space="preserve">’s policy is not reasonable.  Therefore, </w:t>
      </w:r>
      <w:r>
        <w:rPr>
          <w:szCs w:val="24"/>
        </w:rPr>
        <w:t>s</w:t>
      </w:r>
      <w:r w:rsidRPr="0063245B">
        <w:rPr>
          <w:szCs w:val="24"/>
        </w:rPr>
        <w:t>he failed to prove that P</w:t>
      </w:r>
      <w:r>
        <w:rPr>
          <w:szCs w:val="24"/>
        </w:rPr>
        <w:t>AWC</w:t>
      </w:r>
      <w:r w:rsidRPr="0063245B">
        <w:rPr>
          <w:szCs w:val="24"/>
        </w:rPr>
        <w:t>’s policy was unreasonable and h</w:t>
      </w:r>
      <w:r>
        <w:rPr>
          <w:szCs w:val="24"/>
        </w:rPr>
        <w:t>er complaint will be dismissed for lack of jurisdiction.</w:t>
      </w:r>
      <w:r w:rsidR="0079206A">
        <w:rPr>
          <w:rStyle w:val="FootnoteReference"/>
          <w:szCs w:val="24"/>
        </w:rPr>
        <w:footnoteReference w:id="10"/>
      </w:r>
    </w:p>
    <w:p w:rsidR="00AB3FBB" w:rsidRDefault="00AB3FBB" w:rsidP="00D21BB1">
      <w:pPr>
        <w:spacing w:before="0" w:after="0"/>
      </w:pPr>
    </w:p>
    <w:p w:rsidR="003E2278" w:rsidRDefault="003E2278" w:rsidP="00A42FB8">
      <w:pPr>
        <w:spacing w:before="0" w:after="0"/>
      </w:pPr>
      <w:r>
        <w:lastRenderedPageBreak/>
        <w:tab/>
        <w:t>The Complainant did not file exceptions and the ALJ’s decision became the final order of the Commission on December 22, 2015.</w:t>
      </w:r>
    </w:p>
    <w:p w:rsidR="00D21BB1" w:rsidRDefault="00D21BB1" w:rsidP="00A42FB8">
      <w:pPr>
        <w:spacing w:before="0" w:after="0"/>
      </w:pPr>
    </w:p>
    <w:p w:rsidR="00BF2548" w:rsidRDefault="003E2278" w:rsidP="00A42FB8">
      <w:pPr>
        <w:spacing w:before="0" w:after="0"/>
      </w:pPr>
      <w:r>
        <w:tab/>
        <w:t>In her complaint filed on February 18, 2016, the Complainant does not request a payment arrangement, but checked the box stating that the utility is threatening to shut off her service and refers to attached pages and exhibits which explain her position.  In her attachments she explains that she filed a complaint in 2015 wherein she took the position that “her security agreement offered a negotiable instrument collateralized by a documented precious commodity as payment in exchange for water service.”  Thereafter she provides citations to various legal provisions which supported her view that the security agreement should be accepted by PAWC as payment for utility service.  She further explains that, in her view, the use of cash is equivalent to fraud and counterfeiting as she is not a Federal Reserve Agent.</w:t>
      </w:r>
      <w:r w:rsidR="00240BBF">
        <w:t xml:space="preserve">  The Complainant further noted that a hearing was scheduled on her complaint by the Public Utility Commission and that she received a copy of the ALJ’s initial decision dismissing her complaint.  Her complaint then enume</w:t>
      </w:r>
      <w:r w:rsidR="00A50FAA">
        <w:t xml:space="preserve">rates the legal provisions that, in her view, </w:t>
      </w:r>
      <w:r w:rsidR="00240BBF">
        <w:t xml:space="preserve">the ALJ failed to </w:t>
      </w:r>
      <w:r w:rsidR="00A50FAA">
        <w:t>understand</w:t>
      </w:r>
      <w:r w:rsidR="00240BBF">
        <w:t xml:space="preserve"> in rendering her decision.</w:t>
      </w:r>
      <w:r w:rsidR="00EE5226">
        <w:t xml:space="preserve">  </w:t>
      </w:r>
    </w:p>
    <w:p w:rsidR="00D21BB1" w:rsidRDefault="00D21BB1" w:rsidP="00A42FB8">
      <w:pPr>
        <w:spacing w:before="0" w:after="0"/>
      </w:pPr>
    </w:p>
    <w:p w:rsidR="00BF2548" w:rsidRDefault="00BF2548" w:rsidP="00A42FB8">
      <w:pPr>
        <w:spacing w:before="0" w:after="0"/>
      </w:pPr>
      <w:r>
        <w:tab/>
        <w:t>Comparing the 2015 claims which were adjudicated in the 2015 Initial Decision, the issues raised</w:t>
      </w:r>
      <w:r w:rsidR="00FD29F0">
        <w:t xml:space="preserve"> in this proceeding </w:t>
      </w:r>
      <w:r>
        <w:t xml:space="preserve">are identical.  The parties are the same and the relief sought is the same.  That is, the Complainant seeks to pay her utility bills with a negotiable instrument.  As this issue has been determined after a full due process hearing and the Commission rendered a final decision, further consideration is precluded by the doctrine of </w:t>
      </w:r>
      <w:r w:rsidRPr="009267C6">
        <w:rPr>
          <w:i/>
        </w:rPr>
        <w:t>res judicata</w:t>
      </w:r>
      <w:r>
        <w:t>, and these claims raised by the Complainant are dismissed.</w:t>
      </w:r>
    </w:p>
    <w:p w:rsidR="00D21BB1" w:rsidRDefault="00D21BB1" w:rsidP="00A42FB8">
      <w:pPr>
        <w:spacing w:before="0" w:after="0"/>
      </w:pPr>
    </w:p>
    <w:p w:rsidR="00207878" w:rsidRDefault="00BF2548" w:rsidP="00A42FB8">
      <w:pPr>
        <w:spacing w:before="0" w:after="0"/>
      </w:pPr>
      <w:r>
        <w:tab/>
        <w:t>In her complaint t</w:t>
      </w:r>
      <w:r w:rsidR="00A50FAA">
        <w:t>he Complainant</w:t>
      </w:r>
      <w:r w:rsidR="00EE5226">
        <w:t xml:space="preserve"> </w:t>
      </w:r>
      <w:r>
        <w:t>also explains</w:t>
      </w:r>
      <w:r w:rsidR="00EE5226">
        <w:t xml:space="preserve"> her</w:t>
      </w:r>
      <w:r w:rsidR="004B4817">
        <w:t xml:space="preserve"> position that a number of U.S.</w:t>
      </w:r>
      <w:r w:rsidR="008A3DFF">
        <w:t xml:space="preserve"> </w:t>
      </w:r>
      <w:r w:rsidR="004B4817">
        <w:t>t</w:t>
      </w:r>
      <w:r w:rsidR="00EE5226">
        <w:t xml:space="preserve">reaties require PAWC to compensate her for the use of land and that PAWC is “extorting </w:t>
      </w:r>
      <w:r w:rsidR="00FD29F0">
        <w:t xml:space="preserve">complainant </w:t>
      </w:r>
      <w:r w:rsidR="00EE5226">
        <w:t>to commit securities fraud by counterfeiting Federal Reserve notes with threats to terminate complainant’s water service.”</w:t>
      </w:r>
      <w:r w:rsidR="00550C0E">
        <w:t xml:space="preserve"> </w:t>
      </w:r>
      <w:r w:rsidR="00450D64">
        <w:t xml:space="preserve"> The complaint does not challenge the procedure used by PAWC to notify her of the impending termination of service, nor does the compla</w:t>
      </w:r>
      <w:r w:rsidR="003F06C9">
        <w:t>int challenge the amount of her bills.</w:t>
      </w:r>
    </w:p>
    <w:p w:rsidR="00C024E7" w:rsidRDefault="00C024E7" w:rsidP="00A42FB8">
      <w:pPr>
        <w:spacing w:before="0" w:after="0"/>
      </w:pPr>
    </w:p>
    <w:p w:rsidR="00207878" w:rsidRDefault="001B6154" w:rsidP="00A42FB8">
      <w:pPr>
        <w:spacing w:before="0" w:after="0"/>
      </w:pPr>
      <w:r>
        <w:lastRenderedPageBreak/>
        <w:tab/>
        <w:t>PAWC does not address this argument raised in the complaint</w:t>
      </w:r>
      <w:r w:rsidR="00BF2548">
        <w:t xml:space="preserve"> in its motion</w:t>
      </w:r>
      <w:r>
        <w:t>.  However, subject-matter jurisdiction can be raised  by the presiding officer at any time.</w:t>
      </w:r>
      <w:r w:rsidR="00C811EF">
        <w:rPr>
          <w:rStyle w:val="FootnoteReference"/>
        </w:rPr>
        <w:footnoteReference w:id="11"/>
      </w:r>
      <w:r>
        <w:t xml:space="preserve">  </w:t>
      </w:r>
      <w:r w:rsidR="00207878" w:rsidRPr="001B6154">
        <w:t>The</w:t>
      </w:r>
      <w:r w:rsidR="00207878" w:rsidRPr="00BE1ABD">
        <w:t xml:space="preserve"> Commission, as a creation of the General Assembly, has only the powers and authority granted to it by the General Assembly contained in the Public Utility Code.</w:t>
      </w:r>
      <w:r w:rsidR="00207878">
        <w:rPr>
          <w:rStyle w:val="FootnoteReference"/>
        </w:rPr>
        <w:footnoteReference w:id="12"/>
      </w:r>
      <w:r w:rsidR="00207878" w:rsidRPr="00BE1ABD">
        <w:t xml:space="preserve">  The Commission must act within, and cannot exceed, its jurisdiction.</w:t>
      </w:r>
      <w:r w:rsidR="00207878">
        <w:rPr>
          <w:rStyle w:val="FootnoteReference"/>
        </w:rPr>
        <w:footnoteReference w:id="13"/>
      </w:r>
      <w:r w:rsidR="00207878" w:rsidRPr="00BE1ABD">
        <w:t xml:space="preserve">  Jurisdiction may not be conferred by the parties where none exists</w:t>
      </w:r>
      <w:r w:rsidR="00207878">
        <w:t>.</w:t>
      </w:r>
      <w:r w:rsidR="00207878">
        <w:rPr>
          <w:rStyle w:val="FootnoteReference"/>
        </w:rPr>
        <w:footnoteReference w:id="14"/>
      </w:r>
      <w:r w:rsidR="00207878">
        <w:t xml:space="preserve"> </w:t>
      </w:r>
      <w:r w:rsidR="00D01776">
        <w:t xml:space="preserve"> </w:t>
      </w:r>
      <w:r w:rsidR="00207878" w:rsidRPr="00BE1ABD">
        <w:t xml:space="preserve">Subject matter jurisdiction is a prerequisite to the exercise of power to decide a controversy. </w:t>
      </w:r>
      <w:r w:rsidR="00207878">
        <w:rPr>
          <w:rStyle w:val="FootnoteReference"/>
        </w:rPr>
        <w:footnoteReference w:id="15"/>
      </w:r>
      <w:r w:rsidR="00207878" w:rsidRPr="00BE1ABD">
        <w:t xml:space="preserve"> </w:t>
      </w:r>
    </w:p>
    <w:p w:rsidR="00C024E7" w:rsidRPr="00BE1ABD" w:rsidRDefault="00C024E7" w:rsidP="00A42FB8">
      <w:pPr>
        <w:spacing w:before="0" w:after="0"/>
      </w:pPr>
    </w:p>
    <w:p w:rsidR="00207878" w:rsidRDefault="009450D7" w:rsidP="00A42FB8">
      <w:pPr>
        <w:spacing w:before="0" w:after="0"/>
      </w:pPr>
      <w:r>
        <w:tab/>
      </w:r>
      <w:r w:rsidR="00207878" w:rsidRPr="00BE1ABD">
        <w:t>The Commission has determined that it is not the proper forum for resolving property rights controversies.  Rather, such controversies are a matter for a court of general jurisdiction.</w:t>
      </w:r>
      <w:r w:rsidR="00207878">
        <w:rPr>
          <w:rStyle w:val="FootnoteReference"/>
        </w:rPr>
        <w:footnoteReference w:id="16"/>
      </w:r>
      <w:r w:rsidR="00207878" w:rsidRPr="00BE1ABD">
        <w:t xml:space="preserve">  The Commission has recently reiterated that real property issues such as trespass are outside its jurisdiction.</w:t>
      </w:r>
      <w:r w:rsidR="00207878">
        <w:rPr>
          <w:rStyle w:val="FootnoteReference"/>
        </w:rPr>
        <w:footnoteReference w:id="17"/>
      </w:r>
      <w:r w:rsidR="00207878" w:rsidRPr="00BE1ABD">
        <w:t xml:space="preserve">  </w:t>
      </w:r>
      <w:r>
        <w:t>Therefore, the claim made by the Complainant that PAWC is required to compensate her for the use of the land is also dismissed.</w:t>
      </w:r>
    </w:p>
    <w:p w:rsidR="00C024E7" w:rsidRDefault="00C024E7" w:rsidP="00A42FB8">
      <w:pPr>
        <w:spacing w:before="0" w:after="0"/>
      </w:pPr>
    </w:p>
    <w:p w:rsidR="004826A4" w:rsidRPr="004826A4" w:rsidRDefault="004826A4" w:rsidP="00A42FB8">
      <w:pPr>
        <w:spacing w:before="0" w:after="0"/>
        <w:jc w:val="center"/>
        <w:rPr>
          <w:u w:val="single"/>
        </w:rPr>
      </w:pPr>
      <w:r w:rsidRPr="004826A4">
        <w:rPr>
          <w:u w:val="single"/>
        </w:rPr>
        <w:t>CONCLUSIONS OF LAW</w:t>
      </w:r>
    </w:p>
    <w:p w:rsidR="004826A4" w:rsidRDefault="004826A4" w:rsidP="00A42FB8">
      <w:pPr>
        <w:spacing w:before="0" w:after="0"/>
      </w:pPr>
    </w:p>
    <w:p w:rsidR="004826A4" w:rsidRDefault="004826A4" w:rsidP="00A42FB8">
      <w:pPr>
        <w:spacing w:before="0" w:after="0"/>
      </w:pPr>
      <w:r>
        <w:tab/>
        <w:t>1.</w:t>
      </w:r>
      <w:r>
        <w:tab/>
        <w:t>The Commission has jurisdiction over the parties and subject matter of this proceeding</w:t>
      </w:r>
      <w:r w:rsidR="00FD29F0">
        <w:t>, except for the real property issue</w:t>
      </w:r>
      <w:r>
        <w:t>.</w:t>
      </w:r>
    </w:p>
    <w:p w:rsidR="00C024E7" w:rsidRDefault="00C024E7" w:rsidP="00A42FB8">
      <w:pPr>
        <w:spacing w:before="0" w:after="0"/>
      </w:pPr>
    </w:p>
    <w:p w:rsidR="004826A4" w:rsidRDefault="004826A4" w:rsidP="00A42FB8">
      <w:pPr>
        <w:spacing w:before="0" w:after="0"/>
      </w:pPr>
      <w:r>
        <w:tab/>
        <w:t>2.</w:t>
      </w:r>
      <w:r>
        <w:tab/>
        <w:t>The Commission’s regulations permit a presiding officer to disregard procedural defects which do not affect the substantive rights of the parties.  52 Pa.Code § 1.2.</w:t>
      </w:r>
    </w:p>
    <w:p w:rsidR="00C024E7" w:rsidRDefault="00C024E7" w:rsidP="00A42FB8">
      <w:pPr>
        <w:spacing w:before="0" w:after="0"/>
      </w:pPr>
    </w:p>
    <w:p w:rsidR="004826A4" w:rsidRDefault="004826A4" w:rsidP="00A42FB8">
      <w:pPr>
        <w:spacing w:before="0" w:after="0"/>
      </w:pPr>
      <w:r>
        <w:lastRenderedPageBreak/>
        <w:tab/>
        <w:t>3.</w:t>
      </w:r>
      <w:r>
        <w:tab/>
        <w:t>A motion to dismiss should only be granted where no material facts are in dispute and when the moving party is entitled to judgment as a matter of law.  52 Pa.Code §</w:t>
      </w:r>
      <w:r w:rsidR="00C024E7">
        <w:t> </w:t>
      </w:r>
      <w:r>
        <w:t>5.102.</w:t>
      </w:r>
    </w:p>
    <w:p w:rsidR="00C024E7" w:rsidRDefault="00C024E7" w:rsidP="00A42FB8">
      <w:pPr>
        <w:spacing w:before="0" w:after="0"/>
      </w:pPr>
    </w:p>
    <w:p w:rsidR="004826A4" w:rsidRDefault="004826A4" w:rsidP="00A42FB8">
      <w:pPr>
        <w:spacing w:before="0" w:after="0"/>
      </w:pPr>
      <w:r>
        <w:tab/>
        <w:t>4.</w:t>
      </w:r>
      <w:r>
        <w:tab/>
        <w:t>In this matter, no material facts are in dispute.</w:t>
      </w:r>
    </w:p>
    <w:p w:rsidR="00C024E7" w:rsidRDefault="00C024E7" w:rsidP="00A42FB8">
      <w:pPr>
        <w:spacing w:before="0" w:after="0"/>
      </w:pPr>
    </w:p>
    <w:p w:rsidR="004826A4" w:rsidRDefault="004826A4" w:rsidP="00A42FB8">
      <w:pPr>
        <w:spacing w:before="0" w:after="0"/>
      </w:pPr>
      <w:r>
        <w:tab/>
        <w:t>5.</w:t>
      </w:r>
      <w:r>
        <w:tab/>
        <w:t xml:space="preserve">The claim made in the complaint regarding the payment for utility service with a negotiable instrument is barred by </w:t>
      </w:r>
      <w:r w:rsidRPr="004826A4">
        <w:rPr>
          <w:i/>
        </w:rPr>
        <w:t>res judicata</w:t>
      </w:r>
      <w:r w:rsidR="00DD5CB3">
        <w:rPr>
          <w:i/>
        </w:rPr>
        <w:t>.</w:t>
      </w:r>
      <w:r w:rsidR="00DD5CB3" w:rsidRPr="00DD5CB3">
        <w:rPr>
          <w:i/>
        </w:rPr>
        <w:t xml:space="preserve"> </w:t>
      </w:r>
      <w:r w:rsidR="00DD5CB3">
        <w:rPr>
          <w:i/>
        </w:rPr>
        <w:t>Reynolds v. PPL Electric Utilities Corp.</w:t>
      </w:r>
      <w:r w:rsidR="00DD5CB3">
        <w:t xml:space="preserve">, PUC Docket No. C-2011-2255268 (Commission order entered January 5, 2012), slip op. at 4 (citing </w:t>
      </w:r>
      <w:r w:rsidR="00DD5CB3">
        <w:rPr>
          <w:i/>
        </w:rPr>
        <w:t>Day v. Volkswagenwerk Aktiengesellschaft</w:t>
      </w:r>
      <w:r w:rsidR="00DD5CB3">
        <w:t>, 464 A.2d 1313, 1316 (Pa</w:t>
      </w:r>
      <w:r w:rsidR="00FF31BB">
        <w:t>.Super.</w:t>
      </w:r>
      <w:r w:rsidR="00DD5CB3">
        <w:t xml:space="preserve"> 1983).</w:t>
      </w:r>
      <w:r>
        <w:t xml:space="preserve"> </w:t>
      </w:r>
    </w:p>
    <w:p w:rsidR="004826A4" w:rsidRDefault="004826A4" w:rsidP="00A42FB8">
      <w:pPr>
        <w:spacing w:before="0" w:after="0"/>
      </w:pPr>
    </w:p>
    <w:p w:rsidR="004826A4" w:rsidRDefault="004826A4" w:rsidP="00A42FB8">
      <w:pPr>
        <w:spacing w:before="0" w:after="0"/>
      </w:pPr>
      <w:r>
        <w:tab/>
        <w:t>6.</w:t>
      </w:r>
      <w:r>
        <w:tab/>
        <w:t xml:space="preserve">A final valid judgment bars any future suit between the same parties on the same cause of action.  </w:t>
      </w:r>
      <w:r w:rsidRPr="00275DCE">
        <w:rPr>
          <w:i/>
        </w:rPr>
        <w:t>McCarthy v. Twp. of McCandless</w:t>
      </w:r>
      <w:r w:rsidR="00C024E7">
        <w:t>, 300 A.2d 815 (Pa.</w:t>
      </w:r>
      <w:r>
        <w:t xml:space="preserve">Cmwlth. 1973).  </w:t>
      </w:r>
    </w:p>
    <w:p w:rsidR="004826A4" w:rsidRDefault="004826A4" w:rsidP="00A42FB8">
      <w:pPr>
        <w:spacing w:before="0" w:after="0"/>
      </w:pPr>
    </w:p>
    <w:p w:rsidR="004826A4" w:rsidRDefault="004826A4" w:rsidP="00A42FB8">
      <w:pPr>
        <w:spacing w:before="0" w:after="0"/>
      </w:pPr>
      <w:r>
        <w:tab/>
        <w:t>7.</w:t>
      </w:r>
      <w:r>
        <w:tab/>
        <w:t>Whenever the commission shall make any rule, finding, determination or order, the same shall be prima facie evidence of the facts found and shall remain conclusive upon all parties affected thereby, unless set aside, annulled or modified on judicial review.  66 Pa.C.S. § 316.</w:t>
      </w:r>
    </w:p>
    <w:p w:rsidR="004826A4" w:rsidRDefault="004826A4" w:rsidP="00A42FB8">
      <w:pPr>
        <w:spacing w:before="0" w:after="0"/>
      </w:pPr>
    </w:p>
    <w:p w:rsidR="004826A4" w:rsidRDefault="004826A4" w:rsidP="00A42FB8">
      <w:pPr>
        <w:spacing w:before="0" w:after="0"/>
      </w:pPr>
      <w:r>
        <w:tab/>
        <w:t>8.</w:t>
      </w:r>
      <w:r>
        <w:tab/>
        <w:t xml:space="preserve">The Commission does not have jurisdiction to resolve private property disputes.  </w:t>
      </w:r>
      <w:r w:rsidRPr="002B7323">
        <w:rPr>
          <w:i/>
        </w:rPr>
        <w:t>Perrige v. Metropolitan Edison Co</w:t>
      </w:r>
      <w:r w:rsidRPr="009F6A3E">
        <w:t>.</w:t>
      </w:r>
      <w:r w:rsidRPr="00BE1ABD">
        <w:t xml:space="preserve">, Docket No. C-00004110 (Order entered July 3, 2003); </w:t>
      </w:r>
      <w:r w:rsidRPr="002B7323">
        <w:rPr>
          <w:i/>
        </w:rPr>
        <w:t>Fiorillo v. PECO Energy Co</w:t>
      </w:r>
      <w:r w:rsidRPr="00846DFE">
        <w:t>.</w:t>
      </w:r>
      <w:r w:rsidRPr="00BE1ABD">
        <w:t>, Docket No. C-00971088 (Order entered September 15, 1999)</w:t>
      </w:r>
      <w:r>
        <w:t>.</w:t>
      </w:r>
    </w:p>
    <w:p w:rsidR="00846DFE" w:rsidRDefault="00846DFE" w:rsidP="00A42FB8">
      <w:pPr>
        <w:spacing w:before="0" w:after="0"/>
      </w:pPr>
      <w:r>
        <w:br w:type="page"/>
      </w:r>
    </w:p>
    <w:p w:rsidR="00E753F7" w:rsidRDefault="00275DCE" w:rsidP="00A42FB8">
      <w:pPr>
        <w:spacing w:before="0" w:after="0"/>
        <w:jc w:val="center"/>
        <w:rPr>
          <w:u w:val="single"/>
        </w:rPr>
      </w:pPr>
      <w:r w:rsidRPr="009E4FFB">
        <w:rPr>
          <w:u w:val="single"/>
        </w:rPr>
        <w:lastRenderedPageBreak/>
        <w:t>ORDER</w:t>
      </w:r>
    </w:p>
    <w:p w:rsidR="00A42FB8" w:rsidRDefault="00A42FB8" w:rsidP="00A42FB8">
      <w:pPr>
        <w:spacing w:before="0" w:after="0"/>
        <w:jc w:val="center"/>
        <w:rPr>
          <w:u w:val="single"/>
        </w:rPr>
      </w:pPr>
    </w:p>
    <w:p w:rsidR="00A42FB8" w:rsidRPr="009E4FFB" w:rsidRDefault="00A42FB8" w:rsidP="00A42FB8">
      <w:pPr>
        <w:spacing w:before="0" w:after="0"/>
        <w:jc w:val="center"/>
        <w:rPr>
          <w:u w:val="single"/>
        </w:rPr>
      </w:pPr>
    </w:p>
    <w:p w:rsidR="00275DCE" w:rsidRDefault="006620D4" w:rsidP="00A42FB8">
      <w:pPr>
        <w:spacing w:before="0" w:after="0"/>
      </w:pPr>
      <w:r>
        <w:tab/>
      </w:r>
      <w:r w:rsidR="00275DCE">
        <w:t>THEREFORE</w:t>
      </w:r>
      <w:r w:rsidR="00A42FB8">
        <w:t>,</w:t>
      </w:r>
    </w:p>
    <w:p w:rsidR="00A42FB8" w:rsidRDefault="00A42FB8" w:rsidP="00A42FB8">
      <w:pPr>
        <w:spacing w:before="0" w:after="0"/>
      </w:pPr>
    </w:p>
    <w:p w:rsidR="00275DCE" w:rsidRDefault="006620D4" w:rsidP="00A42FB8">
      <w:pPr>
        <w:spacing w:before="0" w:after="0"/>
      </w:pPr>
      <w:r>
        <w:tab/>
      </w:r>
      <w:r w:rsidR="00275DCE">
        <w:t>IT IS ORDERED:</w:t>
      </w:r>
    </w:p>
    <w:p w:rsidR="006620D4" w:rsidRDefault="006620D4" w:rsidP="00A42FB8">
      <w:pPr>
        <w:spacing w:before="0" w:after="0"/>
      </w:pPr>
    </w:p>
    <w:p w:rsidR="00275DCE" w:rsidRDefault="00275DCE" w:rsidP="00A42FB8">
      <w:pPr>
        <w:spacing w:before="0" w:after="0"/>
      </w:pPr>
      <w:r>
        <w:tab/>
        <w:t>1.</w:t>
      </w:r>
      <w:r>
        <w:tab/>
        <w:t>That the formal complaint of Tonia Sc</w:t>
      </w:r>
      <w:bookmarkStart w:id="0" w:name="_GoBack"/>
      <w:bookmarkEnd w:id="0"/>
      <w:r>
        <w:t>ott v. Pennsylvania</w:t>
      </w:r>
      <w:r w:rsidR="006969B2">
        <w:t>-</w:t>
      </w:r>
      <w:r>
        <w:t xml:space="preserve">American Water Company </w:t>
      </w:r>
      <w:r w:rsidR="006620D4">
        <w:t xml:space="preserve">at Docket No. C-2016-2529902 </w:t>
      </w:r>
      <w:r>
        <w:t>is dismissed.</w:t>
      </w:r>
    </w:p>
    <w:p w:rsidR="00C024E7" w:rsidRDefault="00C024E7" w:rsidP="00A42FB8">
      <w:pPr>
        <w:spacing w:before="0" w:after="0"/>
      </w:pPr>
    </w:p>
    <w:p w:rsidR="00275DCE" w:rsidRDefault="00275DCE" w:rsidP="00A42FB8">
      <w:pPr>
        <w:spacing w:before="0" w:after="0"/>
      </w:pPr>
      <w:r>
        <w:tab/>
        <w:t>2.</w:t>
      </w:r>
      <w:r>
        <w:tab/>
        <w:t>That the Secretary mark the docket closed and discontinued.</w:t>
      </w:r>
    </w:p>
    <w:p w:rsidR="001E0F42" w:rsidRDefault="001E0F42" w:rsidP="00A42FB8">
      <w:pPr>
        <w:spacing w:before="0" w:after="0"/>
      </w:pPr>
      <w:r>
        <w:tab/>
      </w:r>
    </w:p>
    <w:p w:rsidR="00C024E7" w:rsidRDefault="00C024E7" w:rsidP="00A42FB8">
      <w:pPr>
        <w:spacing w:before="0" w:after="0"/>
      </w:pPr>
    </w:p>
    <w:p w:rsidR="007A3F35" w:rsidRPr="007A3F35" w:rsidRDefault="007A3F35" w:rsidP="007A3F35">
      <w:pPr>
        <w:tabs>
          <w:tab w:val="left" w:pos="0"/>
        </w:tabs>
        <w:spacing w:before="0" w:after="0" w:line="240" w:lineRule="auto"/>
        <w:jc w:val="both"/>
        <w:rPr>
          <w:szCs w:val="24"/>
          <w:u w:val="single"/>
        </w:rPr>
      </w:pPr>
      <w:r w:rsidRPr="007A3F35">
        <w:rPr>
          <w:szCs w:val="24"/>
        </w:rPr>
        <w:t xml:space="preserve">Date:  </w:t>
      </w:r>
      <w:r>
        <w:rPr>
          <w:szCs w:val="24"/>
          <w:u w:val="single"/>
        </w:rPr>
        <w:t>May 1</w:t>
      </w:r>
      <w:r w:rsidR="00FF31BB">
        <w:rPr>
          <w:szCs w:val="24"/>
          <w:u w:val="single"/>
        </w:rPr>
        <w:t>8</w:t>
      </w:r>
      <w:r w:rsidRPr="007A3F35">
        <w:rPr>
          <w:szCs w:val="24"/>
          <w:u w:val="single"/>
        </w:rPr>
        <w:t>, 2016</w:t>
      </w:r>
      <w:r w:rsidRPr="007A3F35">
        <w:rPr>
          <w:szCs w:val="24"/>
        </w:rPr>
        <w:tab/>
      </w:r>
      <w:r w:rsidRPr="007A3F35">
        <w:rPr>
          <w:szCs w:val="24"/>
        </w:rPr>
        <w:tab/>
      </w:r>
      <w:r w:rsidRPr="007A3F35">
        <w:rPr>
          <w:szCs w:val="24"/>
        </w:rPr>
        <w:tab/>
      </w:r>
      <w:r w:rsidRPr="007A3F35">
        <w:rPr>
          <w:szCs w:val="24"/>
        </w:rPr>
        <w:tab/>
      </w:r>
      <w:r>
        <w:rPr>
          <w:szCs w:val="24"/>
        </w:rPr>
        <w:tab/>
      </w:r>
      <w:r w:rsidRPr="007A3F35">
        <w:rPr>
          <w:szCs w:val="24"/>
          <w:u w:val="single"/>
        </w:rPr>
        <w:tab/>
      </w:r>
      <w:r w:rsidRPr="007A3F35">
        <w:rPr>
          <w:szCs w:val="24"/>
          <w:u w:val="single"/>
        </w:rPr>
        <w:tab/>
        <w:t>/s/</w:t>
      </w:r>
      <w:r w:rsidRPr="007A3F35">
        <w:rPr>
          <w:szCs w:val="24"/>
          <w:u w:val="single"/>
        </w:rPr>
        <w:tab/>
      </w:r>
      <w:r w:rsidRPr="007A3F35">
        <w:rPr>
          <w:szCs w:val="24"/>
          <w:u w:val="single"/>
        </w:rPr>
        <w:tab/>
      </w:r>
      <w:r w:rsidRPr="007A3F35">
        <w:rPr>
          <w:szCs w:val="24"/>
          <w:u w:val="single"/>
        </w:rPr>
        <w:tab/>
      </w:r>
      <w:r w:rsidRPr="007A3F35">
        <w:rPr>
          <w:szCs w:val="24"/>
          <w:u w:val="single"/>
        </w:rPr>
        <w:tab/>
      </w:r>
    </w:p>
    <w:p w:rsidR="007A3F35" w:rsidRPr="007A3F35" w:rsidRDefault="007A3F35" w:rsidP="007A3F35">
      <w:pPr>
        <w:tabs>
          <w:tab w:val="left" w:pos="0"/>
        </w:tabs>
        <w:spacing w:before="0" w:after="0" w:line="240" w:lineRule="auto"/>
        <w:jc w:val="both"/>
        <w:rPr>
          <w:szCs w:val="24"/>
        </w:rPr>
      </w:pPr>
      <w:r w:rsidRPr="007A3F35">
        <w:rPr>
          <w:szCs w:val="24"/>
        </w:rPr>
        <w:tab/>
      </w:r>
      <w:r w:rsidRPr="007A3F35">
        <w:rPr>
          <w:szCs w:val="24"/>
        </w:rPr>
        <w:tab/>
      </w:r>
      <w:r w:rsidRPr="007A3F35">
        <w:rPr>
          <w:szCs w:val="24"/>
        </w:rPr>
        <w:tab/>
      </w:r>
      <w:r w:rsidRPr="007A3F35">
        <w:rPr>
          <w:szCs w:val="24"/>
        </w:rPr>
        <w:tab/>
      </w:r>
      <w:r w:rsidRPr="007A3F35">
        <w:rPr>
          <w:szCs w:val="24"/>
        </w:rPr>
        <w:tab/>
      </w:r>
      <w:r w:rsidRPr="007A3F35">
        <w:rPr>
          <w:szCs w:val="24"/>
        </w:rPr>
        <w:tab/>
        <w:t>Mary D. Long</w:t>
      </w:r>
    </w:p>
    <w:p w:rsidR="007A3F35" w:rsidRPr="007A3F35" w:rsidRDefault="007A3F35" w:rsidP="007A3F35">
      <w:pPr>
        <w:tabs>
          <w:tab w:val="left" w:pos="0"/>
        </w:tabs>
        <w:spacing w:before="0" w:after="0" w:line="240" w:lineRule="auto"/>
        <w:jc w:val="both"/>
        <w:rPr>
          <w:szCs w:val="24"/>
        </w:rPr>
      </w:pPr>
      <w:r w:rsidRPr="007A3F35">
        <w:rPr>
          <w:szCs w:val="24"/>
        </w:rPr>
        <w:tab/>
      </w:r>
      <w:r w:rsidRPr="007A3F35">
        <w:rPr>
          <w:szCs w:val="24"/>
        </w:rPr>
        <w:tab/>
      </w:r>
      <w:r w:rsidRPr="007A3F35">
        <w:rPr>
          <w:szCs w:val="24"/>
        </w:rPr>
        <w:tab/>
      </w:r>
      <w:r w:rsidRPr="007A3F35">
        <w:rPr>
          <w:szCs w:val="24"/>
        </w:rPr>
        <w:tab/>
      </w:r>
      <w:r w:rsidRPr="007A3F35">
        <w:rPr>
          <w:szCs w:val="24"/>
        </w:rPr>
        <w:tab/>
      </w:r>
      <w:r w:rsidRPr="007A3F35">
        <w:rPr>
          <w:szCs w:val="24"/>
        </w:rPr>
        <w:tab/>
        <w:t>Administrative Law Judge</w:t>
      </w:r>
    </w:p>
    <w:p w:rsidR="00C024E7" w:rsidRPr="008C54E1" w:rsidRDefault="00C024E7" w:rsidP="00A42FB8">
      <w:pPr>
        <w:spacing w:before="0" w:after="0"/>
      </w:pPr>
    </w:p>
    <w:sectPr w:rsidR="00C024E7" w:rsidRPr="008C54E1" w:rsidSect="00C5159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CA3" w:rsidRDefault="009B1CA3" w:rsidP="00C51596">
      <w:pPr>
        <w:spacing w:before="0" w:after="0" w:line="240" w:lineRule="auto"/>
      </w:pPr>
      <w:r>
        <w:separator/>
      </w:r>
    </w:p>
  </w:endnote>
  <w:endnote w:type="continuationSeparator" w:id="0">
    <w:p w:rsidR="009B1CA3" w:rsidRDefault="009B1CA3" w:rsidP="00C515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297668"/>
      <w:docPartObj>
        <w:docPartGallery w:val="Page Numbers (Bottom of Page)"/>
        <w:docPartUnique/>
      </w:docPartObj>
    </w:sdtPr>
    <w:sdtEndPr>
      <w:rPr>
        <w:noProof/>
        <w:sz w:val="20"/>
      </w:rPr>
    </w:sdtEndPr>
    <w:sdtContent>
      <w:p w:rsidR="00C51596" w:rsidRPr="00212EA2" w:rsidRDefault="00C51596">
        <w:pPr>
          <w:pStyle w:val="Footer"/>
          <w:jc w:val="center"/>
          <w:rPr>
            <w:sz w:val="20"/>
          </w:rPr>
        </w:pPr>
        <w:r w:rsidRPr="00212EA2">
          <w:rPr>
            <w:sz w:val="20"/>
          </w:rPr>
          <w:fldChar w:fldCharType="begin"/>
        </w:r>
        <w:r w:rsidRPr="00212EA2">
          <w:rPr>
            <w:sz w:val="20"/>
          </w:rPr>
          <w:instrText xml:space="preserve"> PAGE   \* MERGEFORMAT </w:instrText>
        </w:r>
        <w:r w:rsidRPr="00212EA2">
          <w:rPr>
            <w:sz w:val="20"/>
          </w:rPr>
          <w:fldChar w:fldCharType="separate"/>
        </w:r>
        <w:r w:rsidR="006969B2">
          <w:rPr>
            <w:noProof/>
            <w:sz w:val="20"/>
          </w:rPr>
          <w:t>10</w:t>
        </w:r>
        <w:r w:rsidRPr="00212EA2">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CA3" w:rsidRDefault="009B1CA3" w:rsidP="00C51596">
      <w:pPr>
        <w:spacing w:before="0" w:after="0" w:line="240" w:lineRule="auto"/>
      </w:pPr>
      <w:r>
        <w:separator/>
      </w:r>
    </w:p>
  </w:footnote>
  <w:footnote w:type="continuationSeparator" w:id="0">
    <w:p w:rsidR="009B1CA3" w:rsidRDefault="009B1CA3" w:rsidP="00C51596">
      <w:pPr>
        <w:spacing w:before="0" w:after="0" w:line="240" w:lineRule="auto"/>
      </w:pPr>
      <w:r>
        <w:continuationSeparator/>
      </w:r>
    </w:p>
  </w:footnote>
  <w:footnote w:id="1">
    <w:p w:rsidR="001E0F42" w:rsidRPr="00C775D2" w:rsidRDefault="001E0F42" w:rsidP="00C775D2">
      <w:pPr>
        <w:pStyle w:val="FootnoteText"/>
      </w:pPr>
      <w:r w:rsidRPr="00C775D2">
        <w:rPr>
          <w:rStyle w:val="FootnoteReference"/>
        </w:rPr>
        <w:footnoteRef/>
      </w:r>
      <w:r w:rsidRPr="00C775D2">
        <w:tab/>
        <w:t>The Complainant did file letters directed to the Commission’s Secretary on April 19, 2016, April 28, 2016, and on May 3, 2016.</w:t>
      </w:r>
      <w:r w:rsidR="00B77DCF" w:rsidRPr="00C775D2">
        <w:t xml:space="preserve"> </w:t>
      </w:r>
      <w:r w:rsidRPr="00C775D2">
        <w:t xml:space="preserve"> The April letters notify the Commission that the Complainant has sent letters to PAWC and First Energy seeking board membership.  The May letter includes the Complainant’s basis for her claim that she is entitled to membership to the boards of PAWC and First Energy by virtue of her ethnicity as American Indian.</w:t>
      </w:r>
      <w:r w:rsidR="00374075" w:rsidRPr="00C775D2">
        <w:t xml:space="preserve">  Neither of these letters are responsive to PAWC’s motion to dismiss her complaint, and are therefore not considered in my disposition of the motion.</w:t>
      </w:r>
    </w:p>
  </w:footnote>
  <w:footnote w:id="2">
    <w:p w:rsidR="00ED48C6" w:rsidRDefault="00ED48C6" w:rsidP="00C775D2">
      <w:pPr>
        <w:pStyle w:val="FootnoteText"/>
      </w:pPr>
      <w:r>
        <w:rPr>
          <w:rStyle w:val="FootnoteReference"/>
        </w:rPr>
        <w:footnoteRef/>
      </w:r>
      <w:r>
        <w:tab/>
      </w:r>
      <w:r>
        <w:rPr>
          <w:i/>
        </w:rPr>
        <w:t>Cannon v. Verizon Pennsylvania LLC</w:t>
      </w:r>
      <w:r>
        <w:t>, Docket C-2013-2353818 (Opinion and Order entered March 6, 2014)</w:t>
      </w:r>
      <w:r w:rsidR="00F376CE">
        <w:t>.</w:t>
      </w:r>
    </w:p>
    <w:p w:rsidR="00C15072" w:rsidRPr="00ED48C6" w:rsidRDefault="00C15072" w:rsidP="00C775D2">
      <w:pPr>
        <w:pStyle w:val="FootnoteText"/>
      </w:pPr>
    </w:p>
  </w:footnote>
  <w:footnote w:id="3">
    <w:p w:rsidR="00A942CF" w:rsidRDefault="00A942CF" w:rsidP="00C775D2">
      <w:pPr>
        <w:pStyle w:val="FootnoteText"/>
      </w:pPr>
      <w:r>
        <w:rPr>
          <w:rStyle w:val="FootnoteReference"/>
        </w:rPr>
        <w:footnoteRef/>
      </w:r>
      <w:r>
        <w:tab/>
      </w:r>
      <w:r w:rsidR="00A75B19">
        <w:rPr>
          <w:i/>
        </w:rPr>
        <w:t>County of Allegheny v. Commonwealth of Pennsylvania</w:t>
      </w:r>
      <w:r w:rsidR="00A75B19">
        <w:t xml:space="preserve">, 490 A.2d 402 (Pa. 1985). </w:t>
      </w:r>
      <w:r w:rsidR="00A75B19">
        <w:rPr>
          <w:i/>
        </w:rPr>
        <w:t xml:space="preserve"> See also Glod v. PECO Energy Company,</w:t>
      </w:r>
      <w:r w:rsidR="00A75B19">
        <w:t xml:space="preserve"> Docket No. C-2012-2305158 (Interim Order dated July 2, 2012). </w:t>
      </w:r>
    </w:p>
    <w:p w:rsidR="00C775D2" w:rsidRPr="00A75B19" w:rsidRDefault="00C775D2" w:rsidP="00C775D2">
      <w:pPr>
        <w:pStyle w:val="FootnoteText"/>
      </w:pPr>
    </w:p>
  </w:footnote>
  <w:footnote w:id="4">
    <w:p w:rsidR="00274CFD" w:rsidRDefault="00274CFD" w:rsidP="00C775D2">
      <w:pPr>
        <w:pStyle w:val="FootnoteText"/>
      </w:pPr>
      <w:r>
        <w:rPr>
          <w:rStyle w:val="FootnoteReference"/>
        </w:rPr>
        <w:footnoteRef/>
      </w:r>
      <w:r>
        <w:tab/>
        <w:t>52 Pa.Code § 1.2.</w:t>
      </w:r>
    </w:p>
    <w:p w:rsidR="00C15072" w:rsidRDefault="00C15072" w:rsidP="00C775D2">
      <w:pPr>
        <w:pStyle w:val="FootnoteText"/>
      </w:pPr>
    </w:p>
  </w:footnote>
  <w:footnote w:id="5">
    <w:p w:rsidR="00CA34BE" w:rsidRDefault="00CA34BE" w:rsidP="00C775D2">
      <w:pPr>
        <w:pStyle w:val="FootnoteText"/>
      </w:pPr>
      <w:r>
        <w:rPr>
          <w:rStyle w:val="FootnoteReference"/>
        </w:rPr>
        <w:footnoteRef/>
      </w:r>
      <w:r>
        <w:tab/>
        <w:t>Commission rules require a response to a preliminary objection within ten days.  52</w:t>
      </w:r>
      <w:r w:rsidR="00C15072">
        <w:t> </w:t>
      </w:r>
      <w:r>
        <w:t>Pa.Code § 5.101(f)(1).  A motion to dismiss in the form of a motion for summary judgement or motion for judgement on the pleadings requires a response in 20 days.  52 Pa.Code § 5.102(b).</w:t>
      </w:r>
    </w:p>
    <w:p w:rsidR="00C15072" w:rsidRDefault="00C15072" w:rsidP="00C775D2">
      <w:pPr>
        <w:pStyle w:val="FootnoteText"/>
      </w:pPr>
    </w:p>
  </w:footnote>
  <w:footnote w:id="6">
    <w:p w:rsidR="003F6B5B" w:rsidRDefault="003F6B5B" w:rsidP="00C775D2">
      <w:pPr>
        <w:pStyle w:val="FootnoteText"/>
      </w:pPr>
      <w:r>
        <w:rPr>
          <w:rStyle w:val="FootnoteReference"/>
        </w:rPr>
        <w:footnoteRef/>
      </w:r>
      <w:r w:rsidR="00BF321F">
        <w:tab/>
      </w:r>
      <w:r w:rsidRPr="00781ADA">
        <w:rPr>
          <w:i/>
        </w:rPr>
        <w:t xml:space="preserve">Schneider v. </w:t>
      </w:r>
      <w:r>
        <w:rPr>
          <w:i/>
        </w:rPr>
        <w:t>Pa.</w:t>
      </w:r>
      <w:r w:rsidRPr="00781ADA">
        <w:rPr>
          <w:i/>
        </w:rPr>
        <w:t xml:space="preserve"> Pub. Util. Comm’n</w:t>
      </w:r>
      <w:r>
        <w:t>, 479 A.2d 10 (Pa.Cmwlth. 1984)(due process is satisfied when a party has been provided an opportunity to be heard</w:t>
      </w:r>
      <w:r w:rsidR="00AB3FBB">
        <w:t xml:space="preserve"> by an administrative agency</w:t>
      </w:r>
      <w:r w:rsidR="003C18C7">
        <w:t xml:space="preserve">).  </w:t>
      </w:r>
      <w:r w:rsidR="002E1EAB">
        <w:rPr>
          <w:i/>
        </w:rPr>
        <w:t>See also</w:t>
      </w:r>
      <w:r w:rsidR="002E1EAB">
        <w:t xml:space="preserve"> </w:t>
      </w:r>
      <w:r w:rsidR="00F07741">
        <w:rPr>
          <w:i/>
        </w:rPr>
        <w:t>Wro</w:t>
      </w:r>
      <w:r w:rsidR="002E1EAB">
        <w:rPr>
          <w:i/>
        </w:rPr>
        <w:t>blewski v. Pennsylvania Electric Company</w:t>
      </w:r>
      <w:r w:rsidR="002E1EAB">
        <w:t>, Docket No. C-2008-2058385 (Initial Decision served December 30</w:t>
      </w:r>
      <w:r w:rsidR="001D2587">
        <w:t>, 2008</w:t>
      </w:r>
      <w:r w:rsidR="002E1EAB">
        <w:t xml:space="preserve">, at p. 7 n. 5, </w:t>
      </w:r>
      <w:r w:rsidR="002E1EAB">
        <w:rPr>
          <w:i/>
        </w:rPr>
        <w:t>adopted,</w:t>
      </w:r>
      <w:r w:rsidR="002E1EAB">
        <w:t xml:space="preserve"> Opinion and Order entered May 15, 2009).</w:t>
      </w:r>
    </w:p>
    <w:p w:rsidR="00C15072" w:rsidRPr="002E1EAB" w:rsidRDefault="00C15072" w:rsidP="00C775D2">
      <w:pPr>
        <w:pStyle w:val="FootnoteText"/>
      </w:pPr>
    </w:p>
  </w:footnote>
  <w:footnote w:id="7">
    <w:p w:rsidR="00CA34BE" w:rsidRDefault="00CA34BE" w:rsidP="00C775D2">
      <w:pPr>
        <w:pStyle w:val="FootnoteText"/>
      </w:pPr>
      <w:r>
        <w:rPr>
          <w:rStyle w:val="FootnoteReference"/>
        </w:rPr>
        <w:footnoteRef/>
      </w:r>
      <w:r>
        <w:tab/>
        <w:t>52 Pa.Code § 5.102(d)(1).</w:t>
      </w:r>
    </w:p>
  </w:footnote>
  <w:footnote w:id="8">
    <w:p w:rsidR="00503E16" w:rsidRDefault="00503E16" w:rsidP="00C775D2">
      <w:pPr>
        <w:pStyle w:val="FootnoteText"/>
      </w:pPr>
      <w:r>
        <w:rPr>
          <w:rStyle w:val="FootnoteReference"/>
        </w:rPr>
        <w:footnoteRef/>
      </w:r>
      <w:r>
        <w:tab/>
      </w:r>
      <w:r>
        <w:rPr>
          <w:i/>
        </w:rPr>
        <w:t>Reynolds v. PPL Electric Utilities Corp.</w:t>
      </w:r>
      <w:r>
        <w:t xml:space="preserve">, PUC Docket No. C-2011-2255268 (Commission order entered January 5, 2012), slip op. at 4 (citing </w:t>
      </w:r>
      <w:r>
        <w:rPr>
          <w:i/>
        </w:rPr>
        <w:t>Day v. Volkswagenwerk Aktiengesellschaft</w:t>
      </w:r>
      <w:r>
        <w:t>, 464 A.2d 1313, 1316 (Pa</w:t>
      </w:r>
      <w:r w:rsidR="008C232A">
        <w:t xml:space="preserve">.Super. </w:t>
      </w:r>
      <w:r>
        <w:t>1983).</w:t>
      </w:r>
    </w:p>
    <w:p w:rsidR="00503E16" w:rsidRDefault="00503E16" w:rsidP="00C775D2">
      <w:pPr>
        <w:pStyle w:val="FootnoteText"/>
      </w:pPr>
    </w:p>
  </w:footnote>
  <w:footnote w:id="9">
    <w:p w:rsidR="00503E16" w:rsidRDefault="00503E16" w:rsidP="00C775D2">
      <w:pPr>
        <w:pStyle w:val="FootnoteText"/>
      </w:pPr>
      <w:r>
        <w:rPr>
          <w:rStyle w:val="FootnoteReference"/>
        </w:rPr>
        <w:footnoteRef/>
      </w:r>
      <w:r>
        <w:tab/>
        <w:t>66 Pa.C.S. § 316.</w:t>
      </w:r>
    </w:p>
    <w:p w:rsidR="00503E16" w:rsidRDefault="00503E16" w:rsidP="00C775D2">
      <w:pPr>
        <w:pStyle w:val="FootnoteText"/>
      </w:pPr>
    </w:p>
  </w:footnote>
  <w:footnote w:id="10">
    <w:p w:rsidR="0079206A" w:rsidRPr="0079206A" w:rsidRDefault="0079206A" w:rsidP="00C775D2">
      <w:pPr>
        <w:pStyle w:val="FootnoteText"/>
      </w:pPr>
      <w:r>
        <w:rPr>
          <w:rStyle w:val="FootnoteReference"/>
        </w:rPr>
        <w:footnoteRef/>
      </w:r>
      <w:r>
        <w:tab/>
      </w:r>
      <w:r>
        <w:rPr>
          <w:i/>
        </w:rPr>
        <w:t>Scott v. Pennsylvania</w:t>
      </w:r>
      <w:r w:rsidR="0058169A">
        <w:rPr>
          <w:i/>
        </w:rPr>
        <w:t>-</w:t>
      </w:r>
      <w:r>
        <w:rPr>
          <w:i/>
        </w:rPr>
        <w:t>American Water Company</w:t>
      </w:r>
      <w:r>
        <w:t>, Docket C-2015-2489453 (Initial Decision served</w:t>
      </w:r>
      <w:r w:rsidR="005317A5">
        <w:t xml:space="preserve"> November 19, 2015), at pp. 4-5 (footnotes omitted).</w:t>
      </w:r>
    </w:p>
  </w:footnote>
  <w:footnote w:id="11">
    <w:p w:rsidR="00C811EF" w:rsidRDefault="00C811EF" w:rsidP="00C775D2">
      <w:pPr>
        <w:pStyle w:val="FootnoteText"/>
      </w:pPr>
      <w:r>
        <w:rPr>
          <w:rStyle w:val="FootnoteReference"/>
        </w:rPr>
        <w:footnoteRef/>
      </w:r>
      <w:r>
        <w:tab/>
      </w:r>
      <w:r>
        <w:rPr>
          <w:i/>
        </w:rPr>
        <w:t xml:space="preserve">Powell v. Verizon Pennsylvania, Inc., </w:t>
      </w:r>
      <w:r>
        <w:t xml:space="preserve"> Docket C-2011-2264876 (Order entered March 1, 2012).</w:t>
      </w:r>
    </w:p>
    <w:p w:rsidR="00C024E7" w:rsidRPr="00C811EF" w:rsidRDefault="00C024E7" w:rsidP="00C775D2">
      <w:pPr>
        <w:pStyle w:val="FootnoteText"/>
      </w:pPr>
    </w:p>
  </w:footnote>
  <w:footnote w:id="12">
    <w:p w:rsidR="00207878" w:rsidRDefault="00207878" w:rsidP="00C775D2">
      <w:pPr>
        <w:pStyle w:val="FootnoteText"/>
      </w:pPr>
      <w:r>
        <w:rPr>
          <w:rStyle w:val="FootnoteReference"/>
        </w:rPr>
        <w:footnoteRef/>
      </w:r>
      <w:r>
        <w:tab/>
      </w:r>
      <w:r w:rsidRPr="002B7323">
        <w:rPr>
          <w:i/>
        </w:rPr>
        <w:t>Shedlosky v. Pennsylvania Electric Co.,</w:t>
      </w:r>
      <w:r w:rsidRPr="00BE1ABD">
        <w:t xml:space="preserve"> Docket No. C-20066937 (Order entered May 28, 2008); </w:t>
      </w:r>
      <w:r w:rsidRPr="002B7323">
        <w:rPr>
          <w:i/>
        </w:rPr>
        <w:t>Feingold v. Bell Tel. Co. of Pa</w:t>
      </w:r>
      <w:r w:rsidRPr="00C459F2">
        <w:t>.</w:t>
      </w:r>
      <w:r w:rsidRPr="00BE1ABD">
        <w:t>, 383 A.2d 791 (Pa. 1977).</w:t>
      </w:r>
    </w:p>
    <w:p w:rsidR="00C024E7" w:rsidRDefault="00C024E7" w:rsidP="00C775D2">
      <w:pPr>
        <w:pStyle w:val="FootnoteText"/>
      </w:pPr>
    </w:p>
  </w:footnote>
  <w:footnote w:id="13">
    <w:p w:rsidR="00207878" w:rsidRDefault="00207878" w:rsidP="00C775D2">
      <w:pPr>
        <w:pStyle w:val="FootnoteText"/>
      </w:pPr>
      <w:r>
        <w:rPr>
          <w:rStyle w:val="FootnoteReference"/>
        </w:rPr>
        <w:footnoteRef/>
      </w:r>
      <w:r>
        <w:tab/>
      </w:r>
      <w:proofErr w:type="gramStart"/>
      <w:r w:rsidRPr="00C459F2">
        <w:rPr>
          <w:i/>
        </w:rPr>
        <w:t>City of Pittsburgh v. P</w:t>
      </w:r>
      <w:r w:rsidR="00C024E7" w:rsidRPr="00C459F2">
        <w:rPr>
          <w:i/>
        </w:rPr>
        <w:t>a.</w:t>
      </w:r>
      <w:r w:rsidRPr="00C459F2">
        <w:rPr>
          <w:i/>
        </w:rPr>
        <w:t xml:space="preserve"> Pub.</w:t>
      </w:r>
      <w:proofErr w:type="gramEnd"/>
      <w:r w:rsidRPr="00C459F2">
        <w:rPr>
          <w:i/>
        </w:rPr>
        <w:t xml:space="preserve"> Util. Comm’n</w:t>
      </w:r>
      <w:r w:rsidRPr="002B7323">
        <w:t>.,</w:t>
      </w:r>
      <w:r w:rsidRPr="00BE1ABD">
        <w:t xml:space="preserve"> 43 A.2d 348 (Pa</w:t>
      </w:r>
      <w:r w:rsidR="00C024E7">
        <w:t>.</w:t>
      </w:r>
      <w:r w:rsidRPr="00BE1ABD">
        <w:t>Super. 1945).</w:t>
      </w:r>
    </w:p>
    <w:p w:rsidR="00C024E7" w:rsidRDefault="00C024E7" w:rsidP="00C775D2">
      <w:pPr>
        <w:pStyle w:val="FootnoteText"/>
      </w:pPr>
    </w:p>
  </w:footnote>
  <w:footnote w:id="14">
    <w:p w:rsidR="00207878" w:rsidRDefault="00207878" w:rsidP="00C775D2">
      <w:pPr>
        <w:pStyle w:val="FootnoteText"/>
      </w:pPr>
      <w:r>
        <w:rPr>
          <w:rStyle w:val="FootnoteReference"/>
        </w:rPr>
        <w:footnoteRef/>
      </w:r>
      <w:r>
        <w:t xml:space="preserve"> </w:t>
      </w:r>
      <w:r>
        <w:tab/>
      </w:r>
      <w:r w:rsidRPr="002B7323">
        <w:rPr>
          <w:i/>
        </w:rPr>
        <w:t>Roberts v. Martorano</w:t>
      </w:r>
      <w:r w:rsidRPr="00BE1ABD">
        <w:t xml:space="preserve">, 235 A.2d 602 (Pa. 1967).  </w:t>
      </w:r>
    </w:p>
    <w:p w:rsidR="00C024E7" w:rsidRDefault="00C024E7" w:rsidP="00C775D2">
      <w:pPr>
        <w:pStyle w:val="FootnoteText"/>
      </w:pPr>
    </w:p>
  </w:footnote>
  <w:footnote w:id="15">
    <w:p w:rsidR="00207878" w:rsidRDefault="00207878" w:rsidP="00C775D2">
      <w:pPr>
        <w:pStyle w:val="FootnoteText"/>
      </w:pPr>
      <w:r>
        <w:rPr>
          <w:rStyle w:val="FootnoteReference"/>
        </w:rPr>
        <w:footnoteRef/>
      </w:r>
      <w:r>
        <w:t xml:space="preserve"> </w:t>
      </w:r>
      <w:r>
        <w:tab/>
      </w:r>
      <w:r w:rsidRPr="005602DF">
        <w:rPr>
          <w:i/>
        </w:rPr>
        <w:t>Hughes v. Pennsylvania State Police</w:t>
      </w:r>
      <w:r w:rsidRPr="00BE1ABD">
        <w:t>, 619 A.2d 390 (Pa</w:t>
      </w:r>
      <w:r w:rsidR="00C024E7">
        <w:t>.</w:t>
      </w:r>
      <w:r w:rsidRPr="00BE1ABD">
        <w:t>Cmwlth. 1992</w:t>
      </w:r>
      <w:r w:rsidR="00C024E7" w:rsidRPr="00BE1ABD">
        <w:t xml:space="preserve">) </w:t>
      </w:r>
      <w:r w:rsidR="00C024E7" w:rsidRPr="005602DF">
        <w:rPr>
          <w:i/>
        </w:rPr>
        <w:t>petition</w:t>
      </w:r>
      <w:r w:rsidRPr="005602DF">
        <w:rPr>
          <w:i/>
        </w:rPr>
        <w:t xml:space="preserve"> for allowance of appeal denied</w:t>
      </w:r>
      <w:r w:rsidRPr="002B7323">
        <w:t xml:space="preserve">, </w:t>
      </w:r>
      <w:r w:rsidRPr="00BE1ABD">
        <w:t>637 A.2d 293 (Pa. 1993).</w:t>
      </w:r>
    </w:p>
    <w:p w:rsidR="00C024E7" w:rsidRDefault="00C024E7" w:rsidP="00C775D2">
      <w:pPr>
        <w:pStyle w:val="FootnoteText"/>
      </w:pPr>
    </w:p>
  </w:footnote>
  <w:footnote w:id="16">
    <w:p w:rsidR="00207878" w:rsidRDefault="00207878" w:rsidP="00C775D2">
      <w:pPr>
        <w:pStyle w:val="FootnoteText"/>
      </w:pPr>
      <w:r>
        <w:rPr>
          <w:rStyle w:val="FootnoteReference"/>
        </w:rPr>
        <w:footnoteRef/>
      </w:r>
      <w:r>
        <w:t xml:space="preserve">  </w:t>
      </w:r>
      <w:r>
        <w:tab/>
      </w:r>
      <w:r w:rsidRPr="002B7323">
        <w:rPr>
          <w:i/>
        </w:rPr>
        <w:t>Perrige v. Metropolitan Edison Co</w:t>
      </w:r>
      <w:r w:rsidRPr="00C459F2">
        <w:t>.</w:t>
      </w:r>
      <w:r w:rsidRPr="00BE1ABD">
        <w:t xml:space="preserve">, Docket No. C-00004110 (Order entered July 3, 2003); </w:t>
      </w:r>
      <w:r w:rsidRPr="002B7323">
        <w:rPr>
          <w:i/>
        </w:rPr>
        <w:t>Fiorillo v. PECO Energy Co</w:t>
      </w:r>
      <w:r w:rsidRPr="00C024E7">
        <w:t>.</w:t>
      </w:r>
      <w:r w:rsidRPr="00BE1ABD">
        <w:t>, Docket No. C-00971088 (Order entered September 15, 1999).</w:t>
      </w:r>
    </w:p>
    <w:p w:rsidR="00C024E7" w:rsidRDefault="00C024E7" w:rsidP="00C775D2">
      <w:pPr>
        <w:pStyle w:val="FootnoteText"/>
      </w:pPr>
    </w:p>
  </w:footnote>
  <w:footnote w:id="17">
    <w:p w:rsidR="00207878" w:rsidRDefault="00207878" w:rsidP="00C775D2">
      <w:pPr>
        <w:pStyle w:val="FootnoteText"/>
      </w:pPr>
      <w:r>
        <w:rPr>
          <w:rStyle w:val="FootnoteReference"/>
        </w:rPr>
        <w:footnoteRef/>
      </w:r>
      <w:r>
        <w:t xml:space="preserve">  </w:t>
      </w:r>
      <w:r>
        <w:tab/>
      </w:r>
      <w:r w:rsidRPr="002B7323">
        <w:rPr>
          <w:i/>
        </w:rPr>
        <w:t>Stabler v Verizon Pennsylvania, Inc.,</w:t>
      </w:r>
      <w:r w:rsidRPr="00BE1ABD">
        <w:t xml:space="preserve"> Docket No. C-2012-2284222 (Order entered June 1, 2012)</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789EA4"/>
    <w:lvl w:ilvl="0">
      <w:start w:val="1"/>
      <w:numFmt w:val="decimal"/>
      <w:lvlText w:val="%1."/>
      <w:lvlJc w:val="left"/>
      <w:pPr>
        <w:tabs>
          <w:tab w:val="num" w:pos="1800"/>
        </w:tabs>
        <w:ind w:left="1800" w:hanging="360"/>
      </w:pPr>
    </w:lvl>
  </w:abstractNum>
  <w:abstractNum w:abstractNumId="1">
    <w:nsid w:val="FFFFFF7D"/>
    <w:multiLevelType w:val="singleLevel"/>
    <w:tmpl w:val="3E663296"/>
    <w:lvl w:ilvl="0">
      <w:start w:val="1"/>
      <w:numFmt w:val="decimal"/>
      <w:lvlText w:val="%1."/>
      <w:lvlJc w:val="left"/>
      <w:pPr>
        <w:tabs>
          <w:tab w:val="num" w:pos="1440"/>
        </w:tabs>
        <w:ind w:left="1440" w:hanging="360"/>
      </w:pPr>
    </w:lvl>
  </w:abstractNum>
  <w:abstractNum w:abstractNumId="2">
    <w:nsid w:val="FFFFFF7E"/>
    <w:multiLevelType w:val="singleLevel"/>
    <w:tmpl w:val="9404E3F2"/>
    <w:lvl w:ilvl="0">
      <w:start w:val="1"/>
      <w:numFmt w:val="decimal"/>
      <w:lvlText w:val="%1."/>
      <w:lvlJc w:val="left"/>
      <w:pPr>
        <w:tabs>
          <w:tab w:val="num" w:pos="1080"/>
        </w:tabs>
        <w:ind w:left="1080" w:hanging="360"/>
      </w:pPr>
    </w:lvl>
  </w:abstractNum>
  <w:abstractNum w:abstractNumId="3">
    <w:nsid w:val="FFFFFF7F"/>
    <w:multiLevelType w:val="singleLevel"/>
    <w:tmpl w:val="881E4E92"/>
    <w:lvl w:ilvl="0">
      <w:start w:val="1"/>
      <w:numFmt w:val="decimal"/>
      <w:lvlText w:val="%1."/>
      <w:lvlJc w:val="left"/>
      <w:pPr>
        <w:tabs>
          <w:tab w:val="num" w:pos="720"/>
        </w:tabs>
        <w:ind w:left="720" w:hanging="360"/>
      </w:pPr>
    </w:lvl>
  </w:abstractNum>
  <w:abstractNum w:abstractNumId="4">
    <w:nsid w:val="FFFFFF80"/>
    <w:multiLevelType w:val="singleLevel"/>
    <w:tmpl w:val="9D0C66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EEEA52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C09C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E8AD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88C3E"/>
    <w:lvl w:ilvl="0">
      <w:start w:val="1"/>
      <w:numFmt w:val="decimal"/>
      <w:lvlText w:val="%1."/>
      <w:lvlJc w:val="left"/>
      <w:pPr>
        <w:tabs>
          <w:tab w:val="num" w:pos="360"/>
        </w:tabs>
        <w:ind w:left="360" w:hanging="360"/>
      </w:pPr>
    </w:lvl>
  </w:abstractNum>
  <w:abstractNum w:abstractNumId="9">
    <w:nsid w:val="FFFFFF89"/>
    <w:multiLevelType w:val="singleLevel"/>
    <w:tmpl w:val="7212A644"/>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9913FD1"/>
    <w:multiLevelType w:val="hybridMultilevel"/>
    <w:tmpl w:val="DF3E0CB0"/>
    <w:lvl w:ilvl="0" w:tplc="FAD0A142">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2"/>
  </w:num>
  <w:num w:numId="3">
    <w:abstractNumId w:val="27"/>
  </w:num>
  <w:num w:numId="4">
    <w:abstractNumId w:val="31"/>
  </w:num>
  <w:num w:numId="5">
    <w:abstractNumId w:val="16"/>
  </w:num>
  <w:num w:numId="6">
    <w:abstractNumId w:val="14"/>
  </w:num>
  <w:num w:numId="7">
    <w:abstractNumId w:val="13"/>
  </w:num>
  <w:num w:numId="8">
    <w:abstractNumId w:val="30"/>
  </w:num>
  <w:num w:numId="9">
    <w:abstractNumId w:val="11"/>
  </w:num>
  <w:num w:numId="10">
    <w:abstractNumId w:val="24"/>
  </w:num>
  <w:num w:numId="11">
    <w:abstractNumId w:val="26"/>
  </w:num>
  <w:num w:numId="12">
    <w:abstractNumId w:val="20"/>
  </w:num>
  <w:num w:numId="13">
    <w:abstractNumId w:val="25"/>
  </w:num>
  <w:num w:numId="14">
    <w:abstractNumId w:val="28"/>
  </w:num>
  <w:num w:numId="15">
    <w:abstractNumId w:val="10"/>
  </w:num>
  <w:num w:numId="16">
    <w:abstractNumId w:val="23"/>
  </w:num>
  <w:num w:numId="17">
    <w:abstractNumId w:val="23"/>
  </w:num>
  <w:num w:numId="18">
    <w:abstractNumId w:val="15"/>
  </w:num>
  <w:num w:numId="19">
    <w:abstractNumId w:val="21"/>
  </w:num>
  <w:num w:numId="20">
    <w:abstractNumId w:val="32"/>
  </w:num>
  <w:num w:numId="21">
    <w:abstractNumId w:val="18"/>
  </w:num>
  <w:num w:numId="22">
    <w:abstractNumId w:val="12"/>
  </w:num>
  <w:num w:numId="23">
    <w:abstractNumId w:val="19"/>
  </w:num>
  <w:num w:numId="24">
    <w:abstractNumId w:val="17"/>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E7"/>
    <w:rsid w:val="00004C37"/>
    <w:rsid w:val="0005241F"/>
    <w:rsid w:val="000839D4"/>
    <w:rsid w:val="000E3EDE"/>
    <w:rsid w:val="001059A0"/>
    <w:rsid w:val="001A21B6"/>
    <w:rsid w:val="001B1CBA"/>
    <w:rsid w:val="001B6154"/>
    <w:rsid w:val="001D0BFF"/>
    <w:rsid w:val="001D2587"/>
    <w:rsid w:val="001D2AF7"/>
    <w:rsid w:val="001E0F42"/>
    <w:rsid w:val="00207878"/>
    <w:rsid w:val="00212EA2"/>
    <w:rsid w:val="00213167"/>
    <w:rsid w:val="0023662B"/>
    <w:rsid w:val="00240BBF"/>
    <w:rsid w:val="002512F9"/>
    <w:rsid w:val="00274CFD"/>
    <w:rsid w:val="00275DCE"/>
    <w:rsid w:val="002B42A7"/>
    <w:rsid w:val="002E1EAB"/>
    <w:rsid w:val="003145FA"/>
    <w:rsid w:val="00367A41"/>
    <w:rsid w:val="00374075"/>
    <w:rsid w:val="00380690"/>
    <w:rsid w:val="00384DF8"/>
    <w:rsid w:val="00391E86"/>
    <w:rsid w:val="00393C92"/>
    <w:rsid w:val="003C18C7"/>
    <w:rsid w:val="003E2278"/>
    <w:rsid w:val="003F06C9"/>
    <w:rsid w:val="003F1F5E"/>
    <w:rsid w:val="003F6B5B"/>
    <w:rsid w:val="004015D0"/>
    <w:rsid w:val="00427572"/>
    <w:rsid w:val="00450D64"/>
    <w:rsid w:val="004826A4"/>
    <w:rsid w:val="00486269"/>
    <w:rsid w:val="00495B6E"/>
    <w:rsid w:val="004B4817"/>
    <w:rsid w:val="004D523C"/>
    <w:rsid w:val="00503E16"/>
    <w:rsid w:val="005317A5"/>
    <w:rsid w:val="00534F75"/>
    <w:rsid w:val="00550C0E"/>
    <w:rsid w:val="005602DF"/>
    <w:rsid w:val="00567D35"/>
    <w:rsid w:val="0057364C"/>
    <w:rsid w:val="0058169A"/>
    <w:rsid w:val="0059130B"/>
    <w:rsid w:val="005A1C17"/>
    <w:rsid w:val="005A2ABA"/>
    <w:rsid w:val="005E7B69"/>
    <w:rsid w:val="006069AC"/>
    <w:rsid w:val="0061775F"/>
    <w:rsid w:val="00647BEE"/>
    <w:rsid w:val="006620D4"/>
    <w:rsid w:val="006969B2"/>
    <w:rsid w:val="00696C0D"/>
    <w:rsid w:val="006D591F"/>
    <w:rsid w:val="006F0329"/>
    <w:rsid w:val="00700807"/>
    <w:rsid w:val="00712E58"/>
    <w:rsid w:val="00721CE3"/>
    <w:rsid w:val="007429F3"/>
    <w:rsid w:val="0079206A"/>
    <w:rsid w:val="00792796"/>
    <w:rsid w:val="007A3F35"/>
    <w:rsid w:val="007E6779"/>
    <w:rsid w:val="00820B4C"/>
    <w:rsid w:val="00846DFE"/>
    <w:rsid w:val="008529D2"/>
    <w:rsid w:val="00893999"/>
    <w:rsid w:val="00893F39"/>
    <w:rsid w:val="008A3DFF"/>
    <w:rsid w:val="008C232A"/>
    <w:rsid w:val="008C54E1"/>
    <w:rsid w:val="008E26A0"/>
    <w:rsid w:val="008F21CD"/>
    <w:rsid w:val="009267C6"/>
    <w:rsid w:val="009450D7"/>
    <w:rsid w:val="009B1CA3"/>
    <w:rsid w:val="009B5334"/>
    <w:rsid w:val="009E4FFB"/>
    <w:rsid w:val="009F1D27"/>
    <w:rsid w:val="009F5106"/>
    <w:rsid w:val="009F6A3E"/>
    <w:rsid w:val="00A0620D"/>
    <w:rsid w:val="00A42FB8"/>
    <w:rsid w:val="00A47096"/>
    <w:rsid w:val="00A50FAA"/>
    <w:rsid w:val="00A738C8"/>
    <w:rsid w:val="00A75B19"/>
    <w:rsid w:val="00A942CF"/>
    <w:rsid w:val="00AA2EC5"/>
    <w:rsid w:val="00AB3FBB"/>
    <w:rsid w:val="00AB4C73"/>
    <w:rsid w:val="00AE6F47"/>
    <w:rsid w:val="00AF2EC0"/>
    <w:rsid w:val="00AF2F7F"/>
    <w:rsid w:val="00B03227"/>
    <w:rsid w:val="00B77DCF"/>
    <w:rsid w:val="00B91E47"/>
    <w:rsid w:val="00BB6CAB"/>
    <w:rsid w:val="00BC1297"/>
    <w:rsid w:val="00BC6B21"/>
    <w:rsid w:val="00BF2548"/>
    <w:rsid w:val="00BF321F"/>
    <w:rsid w:val="00C024E7"/>
    <w:rsid w:val="00C15072"/>
    <w:rsid w:val="00C4077C"/>
    <w:rsid w:val="00C459F2"/>
    <w:rsid w:val="00C51596"/>
    <w:rsid w:val="00C55480"/>
    <w:rsid w:val="00C775D2"/>
    <w:rsid w:val="00C811EF"/>
    <w:rsid w:val="00C87E57"/>
    <w:rsid w:val="00C9193C"/>
    <w:rsid w:val="00C92DF5"/>
    <w:rsid w:val="00CA34BE"/>
    <w:rsid w:val="00CD420B"/>
    <w:rsid w:val="00CE57B4"/>
    <w:rsid w:val="00D01776"/>
    <w:rsid w:val="00D10FBF"/>
    <w:rsid w:val="00D21BB1"/>
    <w:rsid w:val="00DB0545"/>
    <w:rsid w:val="00DD5C37"/>
    <w:rsid w:val="00DD5CB3"/>
    <w:rsid w:val="00DE3039"/>
    <w:rsid w:val="00DE7F31"/>
    <w:rsid w:val="00DF41F5"/>
    <w:rsid w:val="00E4239A"/>
    <w:rsid w:val="00E753F7"/>
    <w:rsid w:val="00EC1CBA"/>
    <w:rsid w:val="00ED48C6"/>
    <w:rsid w:val="00EE5226"/>
    <w:rsid w:val="00EE7801"/>
    <w:rsid w:val="00F07741"/>
    <w:rsid w:val="00F15EE2"/>
    <w:rsid w:val="00F16554"/>
    <w:rsid w:val="00F376CE"/>
    <w:rsid w:val="00F50CE7"/>
    <w:rsid w:val="00F544E1"/>
    <w:rsid w:val="00F81441"/>
    <w:rsid w:val="00F83872"/>
    <w:rsid w:val="00FD29F0"/>
    <w:rsid w:val="00FD5C10"/>
    <w:rsid w:val="00FE214C"/>
    <w:rsid w:val="00FF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D420B"/>
    <w:pPr>
      <w:numPr>
        <w:numId w:val="24"/>
      </w:numPr>
      <w:spacing w:before="0" w:after="0"/>
      <w:ind w:left="0" w:firstLine="1440"/>
    </w:pPr>
  </w:style>
  <w:style w:type="paragraph" w:styleId="FootnoteText">
    <w:name w:val="footnote text"/>
    <w:aliases w:val="Car"/>
    <w:link w:val="FootnoteTextChar"/>
    <w:autoRedefine/>
    <w:uiPriority w:val="99"/>
    <w:unhideWhenUsed/>
    <w:qFormat/>
    <w:rsid w:val="00C775D2"/>
    <w:pPr>
      <w:spacing w:after="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C775D2"/>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51596"/>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51596"/>
    <w:rPr>
      <w:rFonts w:ascii="Times New Roman" w:hAnsi="Times New Roman" w:cs="Times New Roman"/>
      <w:sz w:val="24"/>
      <w:szCs w:val="20"/>
    </w:rPr>
  </w:style>
  <w:style w:type="paragraph" w:styleId="Footer">
    <w:name w:val="footer"/>
    <w:basedOn w:val="Normal"/>
    <w:link w:val="FooterChar"/>
    <w:uiPriority w:val="99"/>
    <w:unhideWhenUsed/>
    <w:rsid w:val="00C51596"/>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51596"/>
    <w:rPr>
      <w:rFonts w:ascii="Times New Roman" w:hAnsi="Times New Roman" w:cs="Times New Roman"/>
      <w:sz w:val="24"/>
      <w:szCs w:val="20"/>
    </w:rPr>
  </w:style>
  <w:style w:type="character" w:styleId="FootnoteReference">
    <w:name w:val="footnote reference"/>
    <w:basedOn w:val="DefaultParagraphFont"/>
    <w:uiPriority w:val="99"/>
    <w:unhideWhenUsed/>
    <w:rsid w:val="001E0F42"/>
    <w:rPr>
      <w:vertAlign w:val="superscript"/>
    </w:rPr>
  </w:style>
  <w:style w:type="paragraph" w:styleId="Quote">
    <w:name w:val="Quote"/>
    <w:basedOn w:val="Normal"/>
    <w:next w:val="Normal"/>
    <w:link w:val="QuoteChar"/>
    <w:uiPriority w:val="29"/>
    <w:qFormat/>
    <w:rsid w:val="008F21CD"/>
    <w:pPr>
      <w:tabs>
        <w:tab w:val="clear" w:pos="1440"/>
      </w:tabs>
      <w:spacing w:before="0" w:line="240" w:lineRule="auto"/>
    </w:pPr>
    <w:rPr>
      <w:iCs/>
      <w:color w:val="000000" w:themeColor="text1"/>
    </w:rPr>
  </w:style>
  <w:style w:type="character" w:customStyle="1" w:styleId="QuoteChar">
    <w:name w:val="Quote Char"/>
    <w:basedOn w:val="DefaultParagraphFont"/>
    <w:link w:val="Quote"/>
    <w:uiPriority w:val="29"/>
    <w:rsid w:val="008F21CD"/>
    <w:rPr>
      <w:rFonts w:ascii="Times New Roman" w:hAnsi="Times New Roman" w:cs="Times New Roman"/>
      <w:iCs/>
      <w:color w:val="000000" w:themeColor="text1"/>
      <w:sz w:val="24"/>
      <w:szCs w:val="20"/>
    </w:rPr>
  </w:style>
  <w:style w:type="paragraph" w:customStyle="1" w:styleId="IndentedQuote">
    <w:name w:val="Indented Quote"/>
    <w:basedOn w:val="Normal"/>
    <w:qFormat/>
    <w:rsid w:val="00503E16"/>
    <w:pPr>
      <w:tabs>
        <w:tab w:val="clear" w:pos="1440"/>
      </w:tabs>
      <w:spacing w:before="0" w:after="0" w:line="240" w:lineRule="auto"/>
      <w:ind w:left="720" w:right="720"/>
    </w:pPr>
    <w:rPr>
      <w:szCs w:val="24"/>
    </w:rPr>
  </w:style>
  <w:style w:type="paragraph" w:styleId="NoSpacing">
    <w:name w:val="No Spacing"/>
    <w:uiPriority w:val="1"/>
    <w:qFormat/>
    <w:rsid w:val="00503E16"/>
    <w:pPr>
      <w:spacing w:after="0" w:line="240" w:lineRule="auto"/>
    </w:pPr>
    <w:rPr>
      <w:rFonts w:ascii="Times New Roman" w:hAnsi="Times New Roman" w:cs="Times New Roman"/>
      <w:sz w:val="26"/>
      <w:szCs w:val="20"/>
    </w:rPr>
  </w:style>
  <w:style w:type="paragraph" w:styleId="Title">
    <w:name w:val="Title"/>
    <w:basedOn w:val="Normal"/>
    <w:link w:val="TitleChar"/>
    <w:qFormat/>
    <w:rsid w:val="00A42FB8"/>
    <w:pPr>
      <w:tabs>
        <w:tab w:val="clear" w:pos="1440"/>
        <w:tab w:val="left" w:pos="360"/>
      </w:tabs>
      <w:spacing w:before="0" w:after="0" w:line="233" w:lineRule="auto"/>
      <w:jc w:val="center"/>
    </w:pPr>
    <w:rPr>
      <w:b/>
    </w:rPr>
  </w:style>
  <w:style w:type="character" w:customStyle="1" w:styleId="TitleChar">
    <w:name w:val="Title Char"/>
    <w:basedOn w:val="DefaultParagraphFont"/>
    <w:link w:val="Title"/>
    <w:rsid w:val="00A42FB8"/>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C775D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5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D420B"/>
    <w:pPr>
      <w:numPr>
        <w:numId w:val="24"/>
      </w:numPr>
      <w:spacing w:before="0" w:after="0"/>
      <w:ind w:left="0" w:firstLine="1440"/>
    </w:pPr>
  </w:style>
  <w:style w:type="paragraph" w:styleId="FootnoteText">
    <w:name w:val="footnote text"/>
    <w:aliases w:val="Car"/>
    <w:link w:val="FootnoteTextChar"/>
    <w:autoRedefine/>
    <w:uiPriority w:val="99"/>
    <w:unhideWhenUsed/>
    <w:qFormat/>
    <w:rsid w:val="00C775D2"/>
    <w:pPr>
      <w:spacing w:after="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C775D2"/>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51596"/>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51596"/>
    <w:rPr>
      <w:rFonts w:ascii="Times New Roman" w:hAnsi="Times New Roman" w:cs="Times New Roman"/>
      <w:sz w:val="24"/>
      <w:szCs w:val="20"/>
    </w:rPr>
  </w:style>
  <w:style w:type="paragraph" w:styleId="Footer">
    <w:name w:val="footer"/>
    <w:basedOn w:val="Normal"/>
    <w:link w:val="FooterChar"/>
    <w:uiPriority w:val="99"/>
    <w:unhideWhenUsed/>
    <w:rsid w:val="00C51596"/>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51596"/>
    <w:rPr>
      <w:rFonts w:ascii="Times New Roman" w:hAnsi="Times New Roman" w:cs="Times New Roman"/>
      <w:sz w:val="24"/>
      <w:szCs w:val="20"/>
    </w:rPr>
  </w:style>
  <w:style w:type="character" w:styleId="FootnoteReference">
    <w:name w:val="footnote reference"/>
    <w:basedOn w:val="DefaultParagraphFont"/>
    <w:uiPriority w:val="99"/>
    <w:unhideWhenUsed/>
    <w:rsid w:val="001E0F42"/>
    <w:rPr>
      <w:vertAlign w:val="superscript"/>
    </w:rPr>
  </w:style>
  <w:style w:type="paragraph" w:styleId="Quote">
    <w:name w:val="Quote"/>
    <w:basedOn w:val="Normal"/>
    <w:next w:val="Normal"/>
    <w:link w:val="QuoteChar"/>
    <w:uiPriority w:val="29"/>
    <w:qFormat/>
    <w:rsid w:val="008F21CD"/>
    <w:pPr>
      <w:tabs>
        <w:tab w:val="clear" w:pos="1440"/>
      </w:tabs>
      <w:spacing w:before="0" w:line="240" w:lineRule="auto"/>
    </w:pPr>
    <w:rPr>
      <w:iCs/>
      <w:color w:val="000000" w:themeColor="text1"/>
    </w:rPr>
  </w:style>
  <w:style w:type="character" w:customStyle="1" w:styleId="QuoteChar">
    <w:name w:val="Quote Char"/>
    <w:basedOn w:val="DefaultParagraphFont"/>
    <w:link w:val="Quote"/>
    <w:uiPriority w:val="29"/>
    <w:rsid w:val="008F21CD"/>
    <w:rPr>
      <w:rFonts w:ascii="Times New Roman" w:hAnsi="Times New Roman" w:cs="Times New Roman"/>
      <w:iCs/>
      <w:color w:val="000000" w:themeColor="text1"/>
      <w:sz w:val="24"/>
      <w:szCs w:val="20"/>
    </w:rPr>
  </w:style>
  <w:style w:type="paragraph" w:customStyle="1" w:styleId="IndentedQuote">
    <w:name w:val="Indented Quote"/>
    <w:basedOn w:val="Normal"/>
    <w:qFormat/>
    <w:rsid w:val="00503E16"/>
    <w:pPr>
      <w:tabs>
        <w:tab w:val="clear" w:pos="1440"/>
      </w:tabs>
      <w:spacing w:before="0" w:after="0" w:line="240" w:lineRule="auto"/>
      <w:ind w:left="720" w:right="720"/>
    </w:pPr>
    <w:rPr>
      <w:szCs w:val="24"/>
    </w:rPr>
  </w:style>
  <w:style w:type="paragraph" w:styleId="NoSpacing">
    <w:name w:val="No Spacing"/>
    <w:uiPriority w:val="1"/>
    <w:qFormat/>
    <w:rsid w:val="00503E16"/>
    <w:pPr>
      <w:spacing w:after="0" w:line="240" w:lineRule="auto"/>
    </w:pPr>
    <w:rPr>
      <w:rFonts w:ascii="Times New Roman" w:hAnsi="Times New Roman" w:cs="Times New Roman"/>
      <w:sz w:val="26"/>
      <w:szCs w:val="20"/>
    </w:rPr>
  </w:style>
  <w:style w:type="paragraph" w:styleId="Title">
    <w:name w:val="Title"/>
    <w:basedOn w:val="Normal"/>
    <w:link w:val="TitleChar"/>
    <w:qFormat/>
    <w:rsid w:val="00A42FB8"/>
    <w:pPr>
      <w:tabs>
        <w:tab w:val="clear" w:pos="1440"/>
        <w:tab w:val="left" w:pos="360"/>
      </w:tabs>
      <w:spacing w:before="0" w:after="0" w:line="233" w:lineRule="auto"/>
      <w:jc w:val="center"/>
    </w:pPr>
    <w:rPr>
      <w:b/>
    </w:rPr>
  </w:style>
  <w:style w:type="character" w:customStyle="1" w:styleId="TitleChar">
    <w:name w:val="Title Char"/>
    <w:basedOn w:val="DefaultParagraphFont"/>
    <w:link w:val="Title"/>
    <w:rsid w:val="00A42FB8"/>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C775D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19</cp:revision>
  <cp:lastPrinted>2016-05-26T15:57:00Z</cp:lastPrinted>
  <dcterms:created xsi:type="dcterms:W3CDTF">2016-05-17T18:31:00Z</dcterms:created>
  <dcterms:modified xsi:type="dcterms:W3CDTF">2016-05-26T15:58:00Z</dcterms:modified>
</cp:coreProperties>
</file>