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8F78A8" w:rsidRDefault="00F514FB" w:rsidP="009F0FBD">
      <w:pPr>
        <w:widowControl/>
        <w:tabs>
          <w:tab w:val="center" w:pos="4680"/>
        </w:tabs>
        <w:suppressAutoHyphens/>
        <w:contextualSpacing/>
        <w:jc w:val="center"/>
        <w:rPr>
          <w:b/>
          <w:sz w:val="26"/>
          <w:szCs w:val="26"/>
        </w:rPr>
      </w:pPr>
      <w:r w:rsidRPr="008F78A8">
        <w:rPr>
          <w:b/>
          <w:sz w:val="26"/>
          <w:szCs w:val="26"/>
        </w:rPr>
        <w:t>PENNSYLVANIA</w:t>
      </w:r>
    </w:p>
    <w:p w:rsidR="00F514FB" w:rsidRPr="008F78A8" w:rsidRDefault="00F514FB" w:rsidP="009F0FBD">
      <w:pPr>
        <w:widowControl/>
        <w:tabs>
          <w:tab w:val="center" w:pos="4680"/>
        </w:tabs>
        <w:suppressAutoHyphens/>
        <w:contextualSpacing/>
        <w:jc w:val="center"/>
        <w:rPr>
          <w:sz w:val="26"/>
          <w:szCs w:val="26"/>
        </w:rPr>
      </w:pPr>
      <w:r w:rsidRPr="008F78A8">
        <w:rPr>
          <w:b/>
          <w:sz w:val="26"/>
          <w:szCs w:val="26"/>
        </w:rPr>
        <w:t>PUBLIC UTILITY COMMISSION</w:t>
      </w:r>
    </w:p>
    <w:p w:rsidR="00F514FB" w:rsidRPr="008F78A8" w:rsidRDefault="00F514FB" w:rsidP="009F0FBD">
      <w:pPr>
        <w:widowControl/>
        <w:tabs>
          <w:tab w:val="center" w:pos="4680"/>
        </w:tabs>
        <w:suppressAutoHyphens/>
        <w:contextualSpacing/>
        <w:jc w:val="center"/>
        <w:rPr>
          <w:sz w:val="26"/>
          <w:szCs w:val="26"/>
        </w:rPr>
      </w:pPr>
      <w:r w:rsidRPr="008F78A8">
        <w:rPr>
          <w:b/>
          <w:sz w:val="26"/>
          <w:szCs w:val="26"/>
        </w:rPr>
        <w:t>Harrisburg, PA 17105-3265</w:t>
      </w:r>
    </w:p>
    <w:p w:rsidR="00F514FB" w:rsidRPr="008F78A8" w:rsidRDefault="00F514FB" w:rsidP="009F0FBD">
      <w:pPr>
        <w:widowControl/>
        <w:tabs>
          <w:tab w:val="left" w:pos="-720"/>
        </w:tabs>
        <w:suppressAutoHyphens/>
        <w:contextualSpacing/>
        <w:rPr>
          <w:sz w:val="26"/>
          <w:szCs w:val="26"/>
        </w:rPr>
      </w:pPr>
    </w:p>
    <w:p w:rsidR="00F514FB" w:rsidRPr="008F78A8" w:rsidRDefault="00F514FB" w:rsidP="009F0FBD">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F78A8" w:rsidRPr="008F78A8" w:rsidTr="00DE25AC">
        <w:tc>
          <w:tcPr>
            <w:tcW w:w="5058" w:type="dxa"/>
          </w:tcPr>
          <w:p w:rsidR="00F514FB" w:rsidRPr="008F78A8" w:rsidRDefault="00F514FB" w:rsidP="009F0FBD">
            <w:pPr>
              <w:widowControl/>
              <w:contextualSpacing/>
              <w:rPr>
                <w:sz w:val="26"/>
                <w:szCs w:val="26"/>
              </w:rPr>
            </w:pPr>
          </w:p>
        </w:tc>
        <w:tc>
          <w:tcPr>
            <w:tcW w:w="4428" w:type="dxa"/>
          </w:tcPr>
          <w:p w:rsidR="00F514FB" w:rsidRPr="008F78A8" w:rsidRDefault="00F514FB" w:rsidP="009F0FBD">
            <w:pPr>
              <w:widowControl/>
              <w:contextualSpacing/>
              <w:jc w:val="right"/>
              <w:rPr>
                <w:sz w:val="26"/>
                <w:szCs w:val="26"/>
              </w:rPr>
            </w:pPr>
            <w:r w:rsidRPr="008F78A8">
              <w:rPr>
                <w:sz w:val="26"/>
                <w:szCs w:val="26"/>
              </w:rPr>
              <w:t xml:space="preserve">Public Meeting held </w:t>
            </w:r>
            <w:r w:rsidR="00580F43">
              <w:rPr>
                <w:sz w:val="26"/>
                <w:szCs w:val="26"/>
              </w:rPr>
              <w:t>June 9</w:t>
            </w:r>
            <w:r w:rsidR="0097038B">
              <w:rPr>
                <w:sz w:val="26"/>
                <w:szCs w:val="26"/>
              </w:rPr>
              <w:t>, 201</w:t>
            </w:r>
            <w:r w:rsidR="00FF0735">
              <w:rPr>
                <w:sz w:val="26"/>
                <w:szCs w:val="26"/>
              </w:rPr>
              <w:t>6</w:t>
            </w:r>
          </w:p>
          <w:p w:rsidR="00F514FB" w:rsidRPr="008F78A8" w:rsidRDefault="00F514FB" w:rsidP="009F0FBD">
            <w:pPr>
              <w:widowControl/>
              <w:contextualSpacing/>
              <w:jc w:val="right"/>
              <w:rPr>
                <w:sz w:val="26"/>
                <w:szCs w:val="26"/>
              </w:rPr>
            </w:pPr>
          </w:p>
          <w:p w:rsidR="00F514FB" w:rsidRPr="008F78A8" w:rsidRDefault="00F514FB" w:rsidP="009F0FBD">
            <w:pPr>
              <w:widowControl/>
              <w:contextualSpacing/>
              <w:jc w:val="right"/>
              <w:rPr>
                <w:sz w:val="26"/>
                <w:szCs w:val="26"/>
              </w:rPr>
            </w:pPr>
          </w:p>
        </w:tc>
      </w:tr>
      <w:tr w:rsidR="008F78A8" w:rsidRPr="008F78A8" w:rsidTr="00580F43">
        <w:tc>
          <w:tcPr>
            <w:tcW w:w="5058" w:type="dxa"/>
          </w:tcPr>
          <w:p w:rsidR="00580F43" w:rsidRPr="009D4A74" w:rsidRDefault="00580F43" w:rsidP="00580F43">
            <w:pPr>
              <w:widowControl/>
              <w:contextualSpacing/>
              <w:rPr>
                <w:sz w:val="26"/>
                <w:szCs w:val="26"/>
              </w:rPr>
            </w:pPr>
            <w:r w:rsidRPr="009D4A74">
              <w:rPr>
                <w:sz w:val="26"/>
                <w:szCs w:val="26"/>
              </w:rPr>
              <w:t>Commissioners Present:</w:t>
            </w:r>
          </w:p>
          <w:p w:rsidR="00580F43" w:rsidRPr="009D4A74" w:rsidRDefault="00580F43" w:rsidP="00580F43">
            <w:pPr>
              <w:widowControl/>
              <w:contextualSpacing/>
              <w:rPr>
                <w:sz w:val="26"/>
                <w:szCs w:val="26"/>
              </w:rPr>
            </w:pPr>
          </w:p>
          <w:p w:rsidR="00580F43" w:rsidRPr="00105A1F" w:rsidRDefault="00580F43" w:rsidP="00580F43">
            <w:pPr>
              <w:widowControl/>
              <w:tabs>
                <w:tab w:val="left" w:pos="705"/>
              </w:tabs>
              <w:ind w:firstLine="720"/>
              <w:contextualSpacing/>
              <w:jc w:val="both"/>
              <w:rPr>
                <w:sz w:val="26"/>
                <w:szCs w:val="26"/>
              </w:rPr>
            </w:pPr>
            <w:r w:rsidRPr="00105A1F">
              <w:rPr>
                <w:sz w:val="26"/>
                <w:szCs w:val="26"/>
              </w:rPr>
              <w:t>Gladys M. Brown, Chairman</w:t>
            </w:r>
          </w:p>
          <w:p w:rsidR="00580F43" w:rsidRPr="00105A1F" w:rsidRDefault="00580F43" w:rsidP="00580F43">
            <w:pPr>
              <w:widowControl/>
              <w:tabs>
                <w:tab w:val="left" w:pos="705"/>
              </w:tabs>
              <w:ind w:firstLine="720"/>
              <w:contextualSpacing/>
              <w:jc w:val="both"/>
              <w:rPr>
                <w:sz w:val="26"/>
                <w:szCs w:val="26"/>
              </w:rPr>
            </w:pPr>
            <w:r w:rsidRPr="00105A1F">
              <w:rPr>
                <w:sz w:val="26"/>
                <w:szCs w:val="26"/>
              </w:rPr>
              <w:t>Andrew G. Place, Vice Chairman</w:t>
            </w:r>
          </w:p>
          <w:p w:rsidR="00580F43" w:rsidRPr="00105A1F" w:rsidRDefault="00580F43" w:rsidP="00580F43">
            <w:pPr>
              <w:widowControl/>
              <w:tabs>
                <w:tab w:val="left" w:pos="705"/>
              </w:tabs>
              <w:ind w:firstLine="720"/>
              <w:contextualSpacing/>
              <w:jc w:val="both"/>
              <w:rPr>
                <w:sz w:val="26"/>
                <w:szCs w:val="26"/>
              </w:rPr>
            </w:pPr>
            <w:r w:rsidRPr="00105A1F">
              <w:rPr>
                <w:sz w:val="26"/>
                <w:szCs w:val="26"/>
              </w:rPr>
              <w:t xml:space="preserve">John F. Coleman, Jr. </w:t>
            </w:r>
          </w:p>
          <w:p w:rsidR="0097038B" w:rsidRPr="00665B4A" w:rsidRDefault="00580F43" w:rsidP="00580F43">
            <w:pPr>
              <w:widowControl/>
              <w:tabs>
                <w:tab w:val="left" w:pos="705"/>
              </w:tabs>
              <w:ind w:firstLine="720"/>
              <w:contextualSpacing/>
              <w:rPr>
                <w:sz w:val="26"/>
                <w:szCs w:val="26"/>
              </w:rPr>
            </w:pPr>
            <w:r w:rsidRPr="00105A1F">
              <w:rPr>
                <w:sz w:val="26"/>
                <w:szCs w:val="26"/>
              </w:rPr>
              <w:t>Robert F. Powelson</w:t>
            </w:r>
          </w:p>
          <w:p w:rsidR="00F514FB" w:rsidRPr="008F78A8" w:rsidRDefault="00F514FB" w:rsidP="009F0FBD">
            <w:pPr>
              <w:widowControl/>
              <w:tabs>
                <w:tab w:val="left" w:pos="705"/>
              </w:tabs>
              <w:ind w:firstLine="720"/>
              <w:contextualSpacing/>
              <w:rPr>
                <w:sz w:val="26"/>
                <w:szCs w:val="26"/>
              </w:rPr>
            </w:pPr>
          </w:p>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tc>
        <w:tc>
          <w:tcPr>
            <w:tcW w:w="4428" w:type="dxa"/>
          </w:tcPr>
          <w:p w:rsidR="00F514FB" w:rsidRPr="008F78A8" w:rsidRDefault="00F514FB" w:rsidP="009F0FBD">
            <w:pPr>
              <w:widowControl/>
              <w:contextualSpacing/>
              <w:jc w:val="right"/>
              <w:rPr>
                <w:sz w:val="26"/>
                <w:szCs w:val="26"/>
              </w:rPr>
            </w:pPr>
          </w:p>
          <w:p w:rsidR="00F514FB" w:rsidRPr="008F78A8" w:rsidRDefault="00F514FB" w:rsidP="009F0FBD">
            <w:pPr>
              <w:widowControl/>
              <w:contextualSpacing/>
              <w:jc w:val="right"/>
              <w:rPr>
                <w:sz w:val="26"/>
                <w:szCs w:val="26"/>
              </w:rPr>
            </w:pPr>
          </w:p>
        </w:tc>
      </w:tr>
      <w:tr w:rsidR="008F78A8" w:rsidRPr="008F78A8" w:rsidTr="00DE25AC">
        <w:tc>
          <w:tcPr>
            <w:tcW w:w="5058" w:type="dxa"/>
          </w:tcPr>
          <w:p w:rsidR="00F514FB" w:rsidRPr="008F78A8" w:rsidRDefault="00580F43" w:rsidP="009F0FBD">
            <w:pPr>
              <w:widowControl/>
              <w:contextualSpacing/>
              <w:rPr>
                <w:sz w:val="26"/>
                <w:szCs w:val="26"/>
              </w:rPr>
            </w:pPr>
            <w:r>
              <w:rPr>
                <w:sz w:val="26"/>
                <w:szCs w:val="26"/>
              </w:rPr>
              <w:t>Vito Satiro</w:t>
            </w:r>
          </w:p>
          <w:p w:rsidR="00F514FB" w:rsidRPr="008F78A8" w:rsidRDefault="00F514FB" w:rsidP="009F0FBD">
            <w:pPr>
              <w:widowControl/>
              <w:contextualSpacing/>
              <w:rPr>
                <w:sz w:val="26"/>
                <w:szCs w:val="26"/>
              </w:rPr>
            </w:pPr>
          </w:p>
        </w:tc>
        <w:tc>
          <w:tcPr>
            <w:tcW w:w="4428" w:type="dxa"/>
          </w:tcPr>
          <w:p w:rsidR="00F514FB" w:rsidRPr="008F78A8" w:rsidRDefault="00580F43" w:rsidP="009F0FBD">
            <w:pPr>
              <w:widowControl/>
              <w:contextualSpacing/>
              <w:jc w:val="right"/>
              <w:rPr>
                <w:sz w:val="26"/>
                <w:szCs w:val="26"/>
              </w:rPr>
            </w:pPr>
            <w:r w:rsidRPr="00580F43">
              <w:rPr>
                <w:sz w:val="26"/>
                <w:szCs w:val="26"/>
              </w:rPr>
              <w:t>F-2015-2510660</w:t>
            </w:r>
            <w:r w:rsidR="00940BD4" w:rsidRPr="008F78A8">
              <w:rPr>
                <w:sz w:val="26"/>
                <w:szCs w:val="26"/>
              </w:rPr>
              <w:t xml:space="preserve"> </w:t>
            </w:r>
          </w:p>
        </w:tc>
      </w:tr>
      <w:tr w:rsidR="008F78A8" w:rsidRPr="008F78A8" w:rsidTr="00DE25AC">
        <w:tc>
          <w:tcPr>
            <w:tcW w:w="5058" w:type="dxa"/>
          </w:tcPr>
          <w:p w:rsidR="00F514FB" w:rsidRPr="008F78A8" w:rsidRDefault="00F514FB" w:rsidP="009F0FBD">
            <w:pPr>
              <w:widowControl/>
              <w:ind w:firstLine="720"/>
              <w:contextualSpacing/>
              <w:rPr>
                <w:sz w:val="26"/>
                <w:szCs w:val="26"/>
              </w:rPr>
            </w:pPr>
            <w:r w:rsidRPr="008F78A8">
              <w:rPr>
                <w:sz w:val="26"/>
                <w:szCs w:val="26"/>
              </w:rPr>
              <w:t>v.</w:t>
            </w:r>
          </w:p>
          <w:p w:rsidR="00F514FB" w:rsidRPr="008F78A8" w:rsidRDefault="00F514FB" w:rsidP="009F0FBD">
            <w:pPr>
              <w:widowControl/>
              <w:ind w:firstLine="1440"/>
              <w:contextualSpacing/>
              <w:rPr>
                <w:sz w:val="26"/>
                <w:szCs w:val="26"/>
              </w:rPr>
            </w:pPr>
          </w:p>
        </w:tc>
        <w:tc>
          <w:tcPr>
            <w:tcW w:w="4428" w:type="dxa"/>
          </w:tcPr>
          <w:p w:rsidR="00F514FB" w:rsidRPr="008F78A8" w:rsidRDefault="00F514FB" w:rsidP="009F0FBD">
            <w:pPr>
              <w:widowControl/>
              <w:contextualSpacing/>
              <w:rPr>
                <w:sz w:val="26"/>
                <w:szCs w:val="26"/>
              </w:rPr>
            </w:pPr>
          </w:p>
        </w:tc>
      </w:tr>
      <w:tr w:rsidR="008F78A8" w:rsidRPr="008F78A8" w:rsidTr="00580F43">
        <w:tc>
          <w:tcPr>
            <w:tcW w:w="5058" w:type="dxa"/>
          </w:tcPr>
          <w:p w:rsidR="00F514FB" w:rsidRPr="008F78A8" w:rsidRDefault="0097038B" w:rsidP="009F0FBD">
            <w:pPr>
              <w:widowControl/>
              <w:contextualSpacing/>
              <w:rPr>
                <w:sz w:val="26"/>
                <w:szCs w:val="26"/>
              </w:rPr>
            </w:pPr>
            <w:r>
              <w:rPr>
                <w:sz w:val="26"/>
                <w:szCs w:val="26"/>
              </w:rPr>
              <w:t>PECO Energy Company</w:t>
            </w:r>
            <w:r w:rsidR="00940BD4" w:rsidRPr="008F78A8">
              <w:rPr>
                <w:sz w:val="26"/>
                <w:szCs w:val="26"/>
              </w:rPr>
              <w:t xml:space="preserve"> </w:t>
            </w:r>
          </w:p>
        </w:tc>
        <w:tc>
          <w:tcPr>
            <w:tcW w:w="4428" w:type="dxa"/>
          </w:tcPr>
          <w:p w:rsidR="00F514FB" w:rsidRPr="008F78A8" w:rsidRDefault="00F514FB" w:rsidP="009F0FBD">
            <w:pPr>
              <w:widowControl/>
              <w:contextualSpacing/>
              <w:rPr>
                <w:sz w:val="26"/>
                <w:szCs w:val="26"/>
              </w:rPr>
            </w:pPr>
          </w:p>
        </w:tc>
      </w:tr>
    </w:tbl>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p w:rsidR="00F514FB" w:rsidRPr="008F78A8" w:rsidRDefault="00F514FB" w:rsidP="009F0FBD">
      <w:pPr>
        <w:widowControl/>
        <w:contextualSpacing/>
        <w:jc w:val="center"/>
        <w:rPr>
          <w:b/>
          <w:sz w:val="26"/>
          <w:szCs w:val="26"/>
        </w:rPr>
      </w:pPr>
      <w:r w:rsidRPr="008F78A8">
        <w:rPr>
          <w:b/>
          <w:sz w:val="26"/>
          <w:szCs w:val="26"/>
        </w:rPr>
        <w:t>OPINION AND ORDER</w:t>
      </w:r>
    </w:p>
    <w:p w:rsidR="00F514FB" w:rsidRPr="008F78A8" w:rsidRDefault="00F514FB" w:rsidP="009F0FBD">
      <w:pPr>
        <w:widowControl/>
        <w:contextualSpacing/>
        <w:jc w:val="center"/>
        <w:rPr>
          <w:b/>
          <w:sz w:val="26"/>
          <w:szCs w:val="26"/>
        </w:rPr>
      </w:pPr>
    </w:p>
    <w:p w:rsidR="00F514FB" w:rsidRPr="008F78A8" w:rsidRDefault="00F514FB" w:rsidP="009F0FBD">
      <w:pPr>
        <w:widowControl/>
        <w:contextualSpacing/>
        <w:jc w:val="center"/>
        <w:rPr>
          <w:b/>
          <w:sz w:val="26"/>
          <w:szCs w:val="26"/>
        </w:rPr>
      </w:pPr>
    </w:p>
    <w:p w:rsidR="00F514FB" w:rsidRPr="008F78A8" w:rsidRDefault="00F514FB" w:rsidP="009F0FBD">
      <w:pPr>
        <w:widowControl/>
        <w:contextualSpacing/>
        <w:rPr>
          <w:b/>
          <w:sz w:val="26"/>
          <w:szCs w:val="26"/>
        </w:rPr>
      </w:pPr>
      <w:r w:rsidRPr="008F78A8">
        <w:rPr>
          <w:b/>
          <w:sz w:val="26"/>
          <w:szCs w:val="26"/>
        </w:rPr>
        <w:t>BY THE COMMISSION:</w:t>
      </w:r>
    </w:p>
    <w:p w:rsidR="00F514FB" w:rsidRPr="008F78A8" w:rsidRDefault="00F514FB" w:rsidP="009F0FBD">
      <w:pPr>
        <w:widowControl/>
        <w:contextualSpacing/>
        <w:rPr>
          <w:sz w:val="26"/>
          <w:szCs w:val="26"/>
        </w:rPr>
      </w:pPr>
    </w:p>
    <w:p w:rsidR="00F514FB" w:rsidRPr="008F78A8" w:rsidRDefault="00F514FB" w:rsidP="009F0FBD">
      <w:pPr>
        <w:widowControl/>
        <w:contextualSpacing/>
        <w:rPr>
          <w:sz w:val="26"/>
          <w:szCs w:val="26"/>
        </w:rPr>
      </w:pPr>
    </w:p>
    <w:p w:rsidR="00CA43A5" w:rsidRPr="008F78A8" w:rsidRDefault="00CA43A5" w:rsidP="009F0FBD">
      <w:pPr>
        <w:widowControl/>
        <w:spacing w:line="360" w:lineRule="auto"/>
        <w:ind w:firstLine="1440"/>
        <w:contextualSpacing/>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r w:rsidR="00580F43">
        <w:rPr>
          <w:sz w:val="26"/>
        </w:rPr>
        <w:t>Vito Satiro</w:t>
      </w:r>
      <w:r w:rsidR="00671E4C" w:rsidRPr="008F78A8">
        <w:rPr>
          <w:sz w:val="26"/>
        </w:rPr>
        <w:t xml:space="preserve"> (</w:t>
      </w:r>
      <w:r w:rsidR="000F0AD9" w:rsidRPr="008F78A8">
        <w:rPr>
          <w:sz w:val="26"/>
        </w:rPr>
        <w:t>Complainant</w:t>
      </w:r>
      <w:r w:rsidR="00671E4C" w:rsidRPr="008F78A8">
        <w:rPr>
          <w:sz w:val="26"/>
        </w:rPr>
        <w:t>)</w:t>
      </w:r>
      <w:r w:rsidR="006E018F">
        <w:rPr>
          <w:sz w:val="26"/>
        </w:rPr>
        <w:t>,</w:t>
      </w:r>
      <w:r w:rsidR="00671E4C" w:rsidRPr="008F78A8">
        <w:rPr>
          <w:sz w:val="26"/>
        </w:rPr>
        <w:t xml:space="preserve"> filed on </w:t>
      </w:r>
      <w:r w:rsidR="001B1525">
        <w:rPr>
          <w:sz w:val="26"/>
        </w:rPr>
        <w:t>January 15, 2016</w:t>
      </w:r>
      <w:r w:rsidR="00CB4762" w:rsidRPr="008F78A8">
        <w:rPr>
          <w:sz w:val="26"/>
        </w:rPr>
        <w:t>,</w:t>
      </w:r>
      <w:r w:rsidR="00671E4C" w:rsidRPr="008F78A8">
        <w:rPr>
          <w:sz w:val="26"/>
        </w:rPr>
        <w:t xml:space="preserve"> to the Initial Decision (I.D.) of Administrative Law Judge (ALJ) </w:t>
      </w:r>
      <w:r w:rsidR="001B1525">
        <w:rPr>
          <w:sz w:val="26"/>
        </w:rPr>
        <w:t>Joel H. Cheskis</w:t>
      </w:r>
      <w:r w:rsidR="00671E4C" w:rsidRPr="008F78A8">
        <w:rPr>
          <w:sz w:val="26"/>
        </w:rPr>
        <w:t>, which was issued on</w:t>
      </w:r>
      <w:r w:rsidR="003D1F5A" w:rsidRPr="008F78A8">
        <w:rPr>
          <w:sz w:val="26"/>
        </w:rPr>
        <w:t xml:space="preserve"> </w:t>
      </w:r>
      <w:r w:rsidR="001B1525">
        <w:rPr>
          <w:sz w:val="26"/>
        </w:rPr>
        <w:t>December 29, 2015</w:t>
      </w:r>
      <w:r w:rsidR="00671E4C" w:rsidRPr="008F78A8">
        <w:rPr>
          <w:sz w:val="26"/>
        </w:rPr>
        <w:t>, in the above-captioned proceeding.</w:t>
      </w:r>
      <w:r w:rsidR="001B1525">
        <w:rPr>
          <w:sz w:val="26"/>
        </w:rPr>
        <w:t xml:space="preserve"> </w:t>
      </w:r>
      <w:r w:rsidR="00671E4C" w:rsidRPr="008F78A8">
        <w:rPr>
          <w:sz w:val="26"/>
        </w:rPr>
        <w:t xml:space="preserve"> </w:t>
      </w:r>
      <w:r w:rsidR="0097038B">
        <w:rPr>
          <w:sz w:val="26"/>
        </w:rPr>
        <w:t>PECO Energy Company</w:t>
      </w:r>
      <w:r w:rsidR="00547BEA" w:rsidRPr="008F78A8">
        <w:rPr>
          <w:sz w:val="26"/>
        </w:rPr>
        <w:t xml:space="preserve"> (P</w:t>
      </w:r>
      <w:r w:rsidR="0097038B">
        <w:rPr>
          <w:sz w:val="26"/>
        </w:rPr>
        <w:t>ECO</w:t>
      </w:r>
      <w:r w:rsidR="00547BEA" w:rsidRPr="008F78A8">
        <w:rPr>
          <w:sz w:val="26"/>
        </w:rPr>
        <w:t>) filed</w:t>
      </w:r>
      <w:r w:rsidR="003D1F5A" w:rsidRPr="008F78A8">
        <w:rPr>
          <w:sz w:val="26"/>
        </w:rPr>
        <w:t xml:space="preserve"> </w:t>
      </w:r>
      <w:r w:rsidR="00671E4C" w:rsidRPr="008F78A8">
        <w:rPr>
          <w:sz w:val="26"/>
        </w:rPr>
        <w:t>Replies to Exceptions</w:t>
      </w:r>
      <w:r w:rsidR="00547BEA" w:rsidRPr="008F78A8">
        <w:rPr>
          <w:sz w:val="26"/>
        </w:rPr>
        <w:t xml:space="preserve"> on </w:t>
      </w:r>
      <w:r w:rsidR="001B1525">
        <w:rPr>
          <w:sz w:val="26"/>
        </w:rPr>
        <w:t>January 29, 2016</w:t>
      </w:r>
      <w:r w:rsidR="00671E4C" w:rsidRPr="008F78A8">
        <w:rPr>
          <w:sz w:val="26"/>
        </w:rPr>
        <w:t>.</w:t>
      </w:r>
      <w:r w:rsidR="00A22121" w:rsidRPr="008F78A8">
        <w:rPr>
          <w:sz w:val="26"/>
        </w:rPr>
        <w:t xml:space="preserve"> </w:t>
      </w:r>
      <w:r w:rsidR="00671E4C" w:rsidRPr="008F78A8">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rsidR="003D1F5A" w:rsidRDefault="003D1F5A" w:rsidP="003663E7">
      <w:pPr>
        <w:widowControl/>
        <w:spacing w:line="360" w:lineRule="auto"/>
        <w:contextualSpacing/>
        <w:rPr>
          <w:b/>
          <w:sz w:val="26"/>
          <w:szCs w:val="26"/>
        </w:rPr>
      </w:pPr>
      <w:bookmarkStart w:id="0" w:name="OLE_LINK1"/>
      <w:bookmarkStart w:id="1" w:name="OLE_LINK2"/>
    </w:p>
    <w:p w:rsidR="00CA43A5" w:rsidRPr="008F78A8" w:rsidRDefault="00CA43A5" w:rsidP="003663E7">
      <w:pPr>
        <w:keepNext/>
        <w:keepLines/>
        <w:widowControl/>
        <w:spacing w:line="360" w:lineRule="auto"/>
        <w:contextualSpacing/>
        <w:jc w:val="center"/>
        <w:rPr>
          <w:b/>
          <w:sz w:val="26"/>
          <w:szCs w:val="26"/>
        </w:rPr>
      </w:pPr>
      <w:r w:rsidRPr="008F78A8">
        <w:rPr>
          <w:b/>
          <w:sz w:val="26"/>
          <w:szCs w:val="26"/>
        </w:rPr>
        <w:lastRenderedPageBreak/>
        <w:t>History of the Proceeding</w:t>
      </w:r>
    </w:p>
    <w:bookmarkEnd w:id="0"/>
    <w:bookmarkEnd w:id="1"/>
    <w:p w:rsidR="00CA43A5" w:rsidRDefault="00CA43A5" w:rsidP="003663E7">
      <w:pPr>
        <w:keepNext/>
        <w:keepLines/>
        <w:widowControl/>
        <w:spacing w:line="360" w:lineRule="auto"/>
        <w:contextualSpacing/>
        <w:jc w:val="center"/>
        <w:rPr>
          <w:b/>
          <w:sz w:val="26"/>
          <w:szCs w:val="26"/>
          <w:u w:val="single"/>
        </w:rPr>
      </w:pPr>
    </w:p>
    <w:p w:rsidR="0097038B" w:rsidRPr="008C68E3" w:rsidRDefault="0097038B" w:rsidP="009F0FBD">
      <w:pPr>
        <w:widowControl/>
        <w:spacing w:line="360" w:lineRule="auto"/>
        <w:ind w:firstLine="1440"/>
        <w:contextualSpacing/>
        <w:rPr>
          <w:sz w:val="26"/>
          <w:szCs w:val="26"/>
        </w:rPr>
      </w:pPr>
      <w:r w:rsidRPr="008C68E3">
        <w:rPr>
          <w:sz w:val="26"/>
          <w:szCs w:val="26"/>
        </w:rPr>
        <w:t xml:space="preserve">On </w:t>
      </w:r>
      <w:r w:rsidR="00A31758" w:rsidRPr="008C68E3">
        <w:rPr>
          <w:sz w:val="26"/>
          <w:szCs w:val="26"/>
        </w:rPr>
        <w:t>October 26</w:t>
      </w:r>
      <w:r w:rsidRPr="008C68E3">
        <w:rPr>
          <w:sz w:val="26"/>
          <w:szCs w:val="26"/>
        </w:rPr>
        <w:t>, 2015, the Complainant</w:t>
      </w:r>
      <w:r w:rsidR="00A31758" w:rsidRPr="008C68E3">
        <w:rPr>
          <w:sz w:val="26"/>
          <w:szCs w:val="26"/>
        </w:rPr>
        <w:t>, through counsel,</w:t>
      </w:r>
      <w:r w:rsidRPr="008C68E3">
        <w:rPr>
          <w:sz w:val="26"/>
          <w:szCs w:val="26"/>
        </w:rPr>
        <w:t xml:space="preserve"> filed a Formal Complaint (Complaint)</w:t>
      </w:r>
      <w:r w:rsidR="00134D42" w:rsidRPr="008C68E3">
        <w:rPr>
          <w:rStyle w:val="FootnoteReference"/>
          <w:sz w:val="26"/>
          <w:szCs w:val="26"/>
        </w:rPr>
        <w:footnoteReference w:id="1"/>
      </w:r>
      <w:r w:rsidRPr="008C68E3">
        <w:rPr>
          <w:sz w:val="26"/>
          <w:szCs w:val="26"/>
        </w:rPr>
        <w:t xml:space="preserve"> against PECO alleging that </w:t>
      </w:r>
      <w:r w:rsidR="008C68E3" w:rsidRPr="008C68E3">
        <w:rPr>
          <w:sz w:val="26"/>
          <w:szCs w:val="26"/>
        </w:rPr>
        <w:t xml:space="preserve">there were incorrect charges on his bill and that he owns a </w:t>
      </w:r>
      <w:r w:rsidR="00A6401F">
        <w:rPr>
          <w:sz w:val="26"/>
          <w:szCs w:val="26"/>
        </w:rPr>
        <w:t xml:space="preserve">rental </w:t>
      </w:r>
      <w:r w:rsidR="008C68E3" w:rsidRPr="008C68E3">
        <w:rPr>
          <w:sz w:val="26"/>
          <w:szCs w:val="26"/>
        </w:rPr>
        <w:t>property wi</w:t>
      </w:r>
      <w:r w:rsidR="007D1348">
        <w:rPr>
          <w:sz w:val="26"/>
          <w:szCs w:val="26"/>
        </w:rPr>
        <w:t>th six separate electric meters.  According to the Complainant,</w:t>
      </w:r>
      <w:r w:rsidR="008C68E3" w:rsidRPr="008C68E3">
        <w:rPr>
          <w:sz w:val="26"/>
          <w:szCs w:val="26"/>
        </w:rPr>
        <w:t xml:space="preserve"> a</w:t>
      </w:r>
      <w:r w:rsidR="007D1348">
        <w:rPr>
          <w:sz w:val="26"/>
          <w:szCs w:val="26"/>
        </w:rPr>
        <w:t xml:space="preserve"> PECO</w:t>
      </w:r>
      <w:r w:rsidR="008C68E3" w:rsidRPr="008C68E3">
        <w:rPr>
          <w:sz w:val="26"/>
          <w:szCs w:val="26"/>
        </w:rPr>
        <w:t xml:space="preserve"> inspector determined that there was a hallway light attached to one of his tenant’s meters.  The Complainant averred that an electrician corrected the problem within forty-eight hours and that PECO billed him $1,439.98 for the associated usage.  The Complainant further averred that </w:t>
      </w:r>
      <w:r w:rsidR="00FD1FD6">
        <w:rPr>
          <w:sz w:val="26"/>
          <w:szCs w:val="26"/>
        </w:rPr>
        <w:t xml:space="preserve">the </w:t>
      </w:r>
      <w:r w:rsidR="008C68E3" w:rsidRPr="008C68E3">
        <w:rPr>
          <w:sz w:val="26"/>
          <w:szCs w:val="26"/>
        </w:rPr>
        <w:t xml:space="preserve">tenant </w:t>
      </w:r>
      <w:r w:rsidR="00FD1FD6">
        <w:rPr>
          <w:sz w:val="26"/>
          <w:szCs w:val="26"/>
        </w:rPr>
        <w:t xml:space="preserve">whose </w:t>
      </w:r>
      <w:r w:rsidR="00A07C8C">
        <w:rPr>
          <w:sz w:val="26"/>
          <w:szCs w:val="26"/>
        </w:rPr>
        <w:t>meter was affected by the foreign load</w:t>
      </w:r>
      <w:r w:rsidR="00560083" w:rsidRPr="00242FE6">
        <w:rPr>
          <w:rStyle w:val="FootnoteReference"/>
          <w:sz w:val="26"/>
          <w:szCs w:val="26"/>
        </w:rPr>
        <w:footnoteReference w:id="2"/>
      </w:r>
      <w:r w:rsidR="00A07C8C">
        <w:rPr>
          <w:sz w:val="26"/>
          <w:szCs w:val="26"/>
        </w:rPr>
        <w:t xml:space="preserve"> from the hallway light</w:t>
      </w:r>
      <w:r w:rsidR="00FD1FD6">
        <w:rPr>
          <w:sz w:val="26"/>
          <w:szCs w:val="26"/>
        </w:rPr>
        <w:t xml:space="preserve"> </w:t>
      </w:r>
      <w:r w:rsidR="008C68E3" w:rsidRPr="008C68E3">
        <w:rPr>
          <w:sz w:val="26"/>
          <w:szCs w:val="26"/>
        </w:rPr>
        <w:t xml:space="preserve">vacated the apartment without paying rent.  As relief, the Complainant requested that the Commission direct PECO to remove the $1,439.98 charge from his account and place it on the tenant’s account.  </w:t>
      </w:r>
      <w:r w:rsidR="00134D42" w:rsidRPr="008C68E3">
        <w:rPr>
          <w:sz w:val="26"/>
          <w:szCs w:val="26"/>
        </w:rPr>
        <w:t>Complaint at ¶¶</w:t>
      </w:r>
      <w:r w:rsidR="0031014A" w:rsidRPr="008C68E3">
        <w:rPr>
          <w:sz w:val="26"/>
          <w:szCs w:val="26"/>
        </w:rPr>
        <w:t> </w:t>
      </w:r>
      <w:r w:rsidR="00134D42" w:rsidRPr="008C68E3">
        <w:rPr>
          <w:sz w:val="26"/>
          <w:szCs w:val="26"/>
        </w:rPr>
        <w:t>4-5.</w:t>
      </w:r>
    </w:p>
    <w:p w:rsidR="0097038B" w:rsidRPr="007B2448" w:rsidRDefault="0097038B" w:rsidP="009F0FBD">
      <w:pPr>
        <w:widowControl/>
        <w:spacing w:line="360" w:lineRule="auto"/>
        <w:ind w:firstLine="1440"/>
        <w:contextualSpacing/>
        <w:rPr>
          <w:sz w:val="26"/>
          <w:szCs w:val="26"/>
        </w:rPr>
      </w:pPr>
    </w:p>
    <w:p w:rsidR="008C3EA6" w:rsidRPr="00081322" w:rsidRDefault="008C3EA6" w:rsidP="009F0FBD">
      <w:pPr>
        <w:widowControl/>
        <w:spacing w:line="360" w:lineRule="auto"/>
        <w:ind w:firstLine="1440"/>
        <w:contextualSpacing/>
        <w:rPr>
          <w:sz w:val="26"/>
          <w:szCs w:val="26"/>
        </w:rPr>
      </w:pPr>
      <w:r w:rsidRPr="008C68E3">
        <w:rPr>
          <w:sz w:val="26"/>
          <w:szCs w:val="26"/>
        </w:rPr>
        <w:t xml:space="preserve">On </w:t>
      </w:r>
      <w:r w:rsidR="008C68E3" w:rsidRPr="008C68E3">
        <w:rPr>
          <w:sz w:val="26"/>
          <w:szCs w:val="26"/>
        </w:rPr>
        <w:t>November 11</w:t>
      </w:r>
      <w:r w:rsidRPr="008C68E3">
        <w:rPr>
          <w:sz w:val="26"/>
          <w:szCs w:val="26"/>
        </w:rPr>
        <w:t>, 2015, PECO filed an Answer and Preliminary Objections</w:t>
      </w:r>
      <w:r w:rsidR="00974423" w:rsidRPr="008C68E3">
        <w:rPr>
          <w:sz w:val="26"/>
          <w:szCs w:val="26"/>
        </w:rPr>
        <w:t xml:space="preserve">. </w:t>
      </w:r>
      <w:r w:rsidR="00974423" w:rsidRPr="00D438CE">
        <w:rPr>
          <w:color w:val="FF0000"/>
          <w:sz w:val="26"/>
          <w:szCs w:val="26"/>
        </w:rPr>
        <w:t xml:space="preserve"> </w:t>
      </w:r>
      <w:r w:rsidR="00E1187A" w:rsidRPr="00E1187A">
        <w:rPr>
          <w:sz w:val="26"/>
          <w:szCs w:val="26"/>
        </w:rPr>
        <w:t xml:space="preserve">In its Answer, PECO, </w:t>
      </w:r>
      <w:r w:rsidR="00E1187A" w:rsidRPr="00E1187A">
        <w:rPr>
          <w:i/>
          <w:sz w:val="26"/>
          <w:szCs w:val="26"/>
        </w:rPr>
        <w:t>inter alia,</w:t>
      </w:r>
      <w:r w:rsidR="00E1187A" w:rsidRPr="00E1187A">
        <w:rPr>
          <w:sz w:val="26"/>
          <w:szCs w:val="26"/>
        </w:rPr>
        <w:t xml:space="preserve"> admitted that a PECO inspector determined that a second floor hallway light was connected to a tenant’s meter and that the Complainant was billed $1,439.98 </w:t>
      </w:r>
      <w:r w:rsidR="00E1187A">
        <w:rPr>
          <w:sz w:val="26"/>
          <w:szCs w:val="26"/>
        </w:rPr>
        <w:t xml:space="preserve">as a result.  However, </w:t>
      </w:r>
      <w:r w:rsidR="00E1187A" w:rsidRPr="00E1187A">
        <w:rPr>
          <w:sz w:val="26"/>
          <w:szCs w:val="26"/>
        </w:rPr>
        <w:t>PECO</w:t>
      </w:r>
      <w:r w:rsidR="00E1187A">
        <w:rPr>
          <w:sz w:val="26"/>
          <w:szCs w:val="26"/>
        </w:rPr>
        <w:t xml:space="preserve"> denied that its actions </w:t>
      </w:r>
      <w:r w:rsidR="00E1187A" w:rsidRPr="00242FE6">
        <w:rPr>
          <w:sz w:val="26"/>
          <w:szCs w:val="26"/>
        </w:rPr>
        <w:t xml:space="preserve">constituted incorrect charges on the Complainant’s bill.  In this regard, PECO </w:t>
      </w:r>
      <w:r w:rsidR="00242FE6" w:rsidRPr="00242FE6">
        <w:rPr>
          <w:sz w:val="26"/>
          <w:szCs w:val="26"/>
        </w:rPr>
        <w:t>asserted that</w:t>
      </w:r>
      <w:r w:rsidR="00E1187A" w:rsidRPr="00242FE6">
        <w:rPr>
          <w:sz w:val="26"/>
          <w:szCs w:val="26"/>
        </w:rPr>
        <w:t xml:space="preserve"> </w:t>
      </w:r>
      <w:r w:rsidRPr="00242FE6">
        <w:rPr>
          <w:sz w:val="26"/>
          <w:szCs w:val="26"/>
        </w:rPr>
        <w:t>pursuant to the Pennsylvania Public Utility Code (Code) at 66 Pa. C.S. §§ 1529.1 (a) and (c), and Pennsylvania case law interpreting this provision, public utilities are required to list the account, including any arrearages, in the name of the landlord</w:t>
      </w:r>
      <w:r w:rsidR="00DD35FA" w:rsidRPr="00242FE6">
        <w:rPr>
          <w:sz w:val="26"/>
          <w:szCs w:val="26"/>
        </w:rPr>
        <w:t xml:space="preserve"> if</w:t>
      </w:r>
      <w:r w:rsidRPr="00242FE6">
        <w:rPr>
          <w:sz w:val="26"/>
          <w:szCs w:val="26"/>
        </w:rPr>
        <w:t xml:space="preserve"> </w:t>
      </w:r>
      <w:r w:rsidR="001F162B" w:rsidRPr="00242FE6">
        <w:rPr>
          <w:sz w:val="26"/>
          <w:szCs w:val="26"/>
        </w:rPr>
        <w:t xml:space="preserve">the presence of foreign load </w:t>
      </w:r>
      <w:r w:rsidR="00E96794" w:rsidRPr="00242FE6">
        <w:rPr>
          <w:sz w:val="26"/>
          <w:szCs w:val="26"/>
        </w:rPr>
        <w:t>is found at the property owner’s premises.</w:t>
      </w:r>
      <w:r w:rsidRPr="00242FE6">
        <w:rPr>
          <w:sz w:val="26"/>
          <w:szCs w:val="26"/>
        </w:rPr>
        <w:t xml:space="preserve"> </w:t>
      </w:r>
      <w:r w:rsidR="00974423" w:rsidRPr="00242FE6">
        <w:rPr>
          <w:sz w:val="26"/>
          <w:szCs w:val="26"/>
        </w:rPr>
        <w:t xml:space="preserve"> </w:t>
      </w:r>
      <w:r w:rsidR="00242FE6" w:rsidRPr="00242FE6">
        <w:rPr>
          <w:sz w:val="26"/>
          <w:szCs w:val="26"/>
        </w:rPr>
        <w:t xml:space="preserve">Answer at 1-3.  </w:t>
      </w:r>
      <w:r w:rsidR="00242FE6">
        <w:rPr>
          <w:sz w:val="26"/>
          <w:szCs w:val="26"/>
        </w:rPr>
        <w:t xml:space="preserve">In its Preliminary Objections, </w:t>
      </w:r>
      <w:r w:rsidR="00081322">
        <w:rPr>
          <w:sz w:val="26"/>
          <w:szCs w:val="26"/>
        </w:rPr>
        <w:t xml:space="preserve">PECO argued that consistent with this Commission precedent, there are no </w:t>
      </w:r>
      <w:r w:rsidR="00081322">
        <w:rPr>
          <w:sz w:val="26"/>
          <w:szCs w:val="26"/>
        </w:rPr>
        <w:lastRenderedPageBreak/>
        <w:t xml:space="preserve">genuine issues of </w:t>
      </w:r>
      <w:r w:rsidR="00081322" w:rsidRPr="00081322">
        <w:rPr>
          <w:sz w:val="26"/>
          <w:szCs w:val="26"/>
        </w:rPr>
        <w:t xml:space="preserve">fact.  </w:t>
      </w:r>
      <w:r w:rsidR="00974423" w:rsidRPr="00081322">
        <w:rPr>
          <w:sz w:val="26"/>
          <w:szCs w:val="26"/>
        </w:rPr>
        <w:t>Therefore, PECO sought dismissal of the Complaint on the basis of legal insufficiency.  Preliminary Objections at 3-7.</w:t>
      </w:r>
      <w:r w:rsidR="00081322">
        <w:rPr>
          <w:sz w:val="26"/>
          <w:szCs w:val="26"/>
        </w:rPr>
        <w:t xml:space="preserve">  </w:t>
      </w:r>
    </w:p>
    <w:p w:rsidR="00713192" w:rsidRPr="00081322" w:rsidRDefault="00713192" w:rsidP="009F0FBD">
      <w:pPr>
        <w:widowControl/>
        <w:spacing w:line="360" w:lineRule="auto"/>
        <w:ind w:firstLine="1440"/>
        <w:contextualSpacing/>
        <w:rPr>
          <w:sz w:val="26"/>
          <w:szCs w:val="26"/>
        </w:rPr>
      </w:pPr>
    </w:p>
    <w:p w:rsidR="00713192" w:rsidRPr="00081322" w:rsidRDefault="00713192" w:rsidP="009F0FBD">
      <w:pPr>
        <w:widowControl/>
        <w:spacing w:line="360" w:lineRule="auto"/>
        <w:ind w:firstLine="1440"/>
        <w:contextualSpacing/>
        <w:rPr>
          <w:sz w:val="26"/>
          <w:szCs w:val="26"/>
        </w:rPr>
      </w:pPr>
      <w:r w:rsidRPr="00081322">
        <w:rPr>
          <w:sz w:val="26"/>
          <w:szCs w:val="26"/>
        </w:rPr>
        <w:t xml:space="preserve">On </w:t>
      </w:r>
      <w:r w:rsidR="00081322" w:rsidRPr="00081322">
        <w:rPr>
          <w:sz w:val="26"/>
          <w:szCs w:val="26"/>
        </w:rPr>
        <w:t>December 29</w:t>
      </w:r>
      <w:r w:rsidRPr="00081322">
        <w:rPr>
          <w:sz w:val="26"/>
          <w:szCs w:val="26"/>
        </w:rPr>
        <w:t xml:space="preserve">, 2015, the Commission issued </w:t>
      </w:r>
      <w:r w:rsidR="00081322" w:rsidRPr="00081322">
        <w:rPr>
          <w:sz w:val="26"/>
          <w:szCs w:val="26"/>
        </w:rPr>
        <w:t>the</w:t>
      </w:r>
      <w:r w:rsidRPr="00081322">
        <w:rPr>
          <w:sz w:val="26"/>
          <w:szCs w:val="26"/>
        </w:rPr>
        <w:t xml:space="preserve"> Initial Decision </w:t>
      </w:r>
      <w:r w:rsidR="00081322" w:rsidRPr="00081322">
        <w:rPr>
          <w:sz w:val="26"/>
          <w:szCs w:val="26"/>
        </w:rPr>
        <w:t xml:space="preserve">of ALJ Cheskis </w:t>
      </w:r>
      <w:r w:rsidRPr="00081322">
        <w:rPr>
          <w:sz w:val="26"/>
          <w:szCs w:val="26"/>
        </w:rPr>
        <w:t>in which he granted PECO’s Preliminary Objections and dismissed the Complaint.</w:t>
      </w:r>
    </w:p>
    <w:p w:rsidR="00713192" w:rsidRPr="007B2448" w:rsidRDefault="00713192" w:rsidP="009F0FBD">
      <w:pPr>
        <w:widowControl/>
        <w:spacing w:line="360" w:lineRule="auto"/>
        <w:ind w:firstLine="1440"/>
        <w:contextualSpacing/>
        <w:rPr>
          <w:sz w:val="26"/>
          <w:szCs w:val="26"/>
        </w:rPr>
      </w:pPr>
    </w:p>
    <w:p w:rsidR="00713192" w:rsidRPr="00081322" w:rsidRDefault="00713192" w:rsidP="009F0FBD">
      <w:pPr>
        <w:widowControl/>
        <w:spacing w:line="360" w:lineRule="auto"/>
        <w:ind w:firstLine="1440"/>
        <w:contextualSpacing/>
        <w:rPr>
          <w:sz w:val="26"/>
          <w:szCs w:val="26"/>
        </w:rPr>
      </w:pPr>
      <w:r w:rsidRPr="00081322">
        <w:rPr>
          <w:sz w:val="26"/>
          <w:szCs w:val="26"/>
        </w:rPr>
        <w:t xml:space="preserve">As previously noted, the Complainant filed Exceptions to the Initial Decision on </w:t>
      </w:r>
      <w:r w:rsidR="00081322" w:rsidRPr="00081322">
        <w:rPr>
          <w:sz w:val="26"/>
          <w:szCs w:val="26"/>
        </w:rPr>
        <w:t>January 15</w:t>
      </w:r>
      <w:r w:rsidRPr="00081322">
        <w:rPr>
          <w:sz w:val="26"/>
          <w:szCs w:val="26"/>
        </w:rPr>
        <w:t>, 201</w:t>
      </w:r>
      <w:r w:rsidR="00081322" w:rsidRPr="00081322">
        <w:rPr>
          <w:sz w:val="26"/>
          <w:szCs w:val="26"/>
        </w:rPr>
        <w:t>6</w:t>
      </w:r>
      <w:r w:rsidRPr="00081322">
        <w:rPr>
          <w:sz w:val="26"/>
          <w:szCs w:val="26"/>
        </w:rPr>
        <w:t xml:space="preserve">.  PECO filed Replies to Exceptions on </w:t>
      </w:r>
      <w:r w:rsidR="00081322" w:rsidRPr="00081322">
        <w:rPr>
          <w:sz w:val="26"/>
          <w:szCs w:val="26"/>
        </w:rPr>
        <w:t>January 29, 2016</w:t>
      </w:r>
      <w:r w:rsidRPr="00081322">
        <w:rPr>
          <w:sz w:val="26"/>
          <w:szCs w:val="26"/>
        </w:rPr>
        <w:t>.</w:t>
      </w:r>
    </w:p>
    <w:p w:rsidR="008F2510" w:rsidRPr="003D45D9" w:rsidRDefault="008F2510" w:rsidP="009F0FBD">
      <w:pPr>
        <w:widowControl/>
        <w:spacing w:line="360" w:lineRule="auto"/>
        <w:contextualSpacing/>
        <w:rPr>
          <w:sz w:val="26"/>
          <w:szCs w:val="24"/>
        </w:rPr>
      </w:pPr>
    </w:p>
    <w:p w:rsidR="00CA43A5" w:rsidRPr="008F78A8" w:rsidRDefault="00CA43A5" w:rsidP="009F0FBD">
      <w:pPr>
        <w:widowControl/>
        <w:spacing w:line="360" w:lineRule="auto"/>
        <w:contextualSpacing/>
        <w:jc w:val="center"/>
        <w:rPr>
          <w:b/>
          <w:sz w:val="26"/>
          <w:szCs w:val="26"/>
        </w:rPr>
      </w:pPr>
      <w:r w:rsidRPr="008F78A8">
        <w:rPr>
          <w:b/>
          <w:sz w:val="26"/>
          <w:szCs w:val="26"/>
        </w:rPr>
        <w:t>Discussion</w:t>
      </w:r>
    </w:p>
    <w:p w:rsidR="000D5232" w:rsidRPr="008F78A8" w:rsidRDefault="000D5232" w:rsidP="009F0FBD">
      <w:pPr>
        <w:widowControl/>
        <w:spacing w:line="360" w:lineRule="auto"/>
        <w:contextualSpacing/>
        <w:jc w:val="center"/>
        <w:rPr>
          <w:sz w:val="26"/>
          <w:szCs w:val="26"/>
        </w:rPr>
      </w:pPr>
    </w:p>
    <w:p w:rsidR="0043592C" w:rsidRPr="008F78A8" w:rsidRDefault="000D5232" w:rsidP="009F0FBD">
      <w:pPr>
        <w:widowControl/>
        <w:spacing w:line="360" w:lineRule="auto"/>
        <w:contextualSpacing/>
        <w:rPr>
          <w:b/>
          <w:sz w:val="26"/>
          <w:szCs w:val="26"/>
        </w:rPr>
      </w:pPr>
      <w:r w:rsidRPr="008F78A8">
        <w:rPr>
          <w:b/>
          <w:sz w:val="26"/>
          <w:szCs w:val="26"/>
        </w:rPr>
        <w:t>Legal Standards</w:t>
      </w:r>
    </w:p>
    <w:p w:rsidR="000A3C18" w:rsidRPr="008F78A8" w:rsidRDefault="000A3C18" w:rsidP="00E01B86">
      <w:pPr>
        <w:widowControl/>
        <w:spacing w:line="360" w:lineRule="auto"/>
        <w:ind w:firstLine="1440"/>
        <w:contextualSpacing/>
        <w:rPr>
          <w:sz w:val="26"/>
          <w:szCs w:val="26"/>
        </w:rPr>
      </w:pPr>
    </w:p>
    <w:p w:rsidR="004C7B3D" w:rsidRDefault="004C7B3D" w:rsidP="00E01B86">
      <w:pPr>
        <w:widowControl/>
        <w:spacing w:line="360" w:lineRule="auto"/>
        <w:ind w:firstLine="1440"/>
        <w:contextualSpacing/>
        <w:rPr>
          <w:sz w:val="26"/>
          <w:szCs w:val="26"/>
        </w:rPr>
      </w:pPr>
      <w:r w:rsidRPr="00241BE3">
        <w:rPr>
          <w:sz w:val="26"/>
          <w:szCs w:val="26"/>
        </w:rPr>
        <w:t>The Commission's Rules of Administrative Practice and Procedure permit the filing of preliminary objections, as follows:</w:t>
      </w:r>
    </w:p>
    <w:p w:rsidR="00E01B86" w:rsidRDefault="00E01B86" w:rsidP="00E01B86">
      <w:pPr>
        <w:widowControl/>
        <w:spacing w:line="360" w:lineRule="auto"/>
        <w:ind w:firstLine="1440"/>
        <w:contextualSpacing/>
        <w:rPr>
          <w:sz w:val="26"/>
          <w:szCs w:val="26"/>
        </w:rPr>
      </w:pPr>
    </w:p>
    <w:p w:rsidR="009F0FBD" w:rsidRDefault="004C7B3D" w:rsidP="009F0FBD">
      <w:pPr>
        <w:keepNext/>
        <w:widowControl/>
        <w:ind w:left="1440" w:right="1440"/>
        <w:contextualSpacing/>
        <w:rPr>
          <w:rFonts w:eastAsiaTheme="minorHAnsi"/>
          <w:b/>
          <w:bCs/>
          <w:sz w:val="26"/>
          <w:szCs w:val="26"/>
        </w:rPr>
      </w:pPr>
      <w:r w:rsidRPr="00241BE3">
        <w:rPr>
          <w:rFonts w:eastAsiaTheme="minorHAnsi"/>
          <w:b/>
          <w:bCs/>
          <w:sz w:val="26"/>
          <w:szCs w:val="26"/>
        </w:rPr>
        <w:t>§ 5.101. Preliminary objections.</w:t>
      </w:r>
    </w:p>
    <w:p w:rsidR="009F0FBD" w:rsidRDefault="009F0FBD" w:rsidP="009F0FBD">
      <w:pPr>
        <w:keepNext/>
        <w:widowControl/>
        <w:ind w:left="1440" w:right="1440"/>
        <w:contextualSpacing/>
        <w:rPr>
          <w:rFonts w:eastAsiaTheme="minorHAnsi"/>
          <w:sz w:val="26"/>
          <w:szCs w:val="26"/>
        </w:rPr>
      </w:pPr>
    </w:p>
    <w:p w:rsidR="009F0FBD" w:rsidRDefault="004C7B3D" w:rsidP="009F0FBD">
      <w:pPr>
        <w:keepNext/>
        <w:widowControl/>
        <w:ind w:left="1440" w:right="1440"/>
        <w:contextualSpacing/>
        <w:rPr>
          <w:rFonts w:eastAsiaTheme="minorHAnsi"/>
          <w:sz w:val="26"/>
          <w:szCs w:val="26"/>
        </w:rPr>
      </w:pPr>
      <w:r w:rsidRPr="00241BE3">
        <w:rPr>
          <w:rFonts w:eastAsiaTheme="minorHAnsi"/>
          <w:sz w:val="26"/>
          <w:szCs w:val="26"/>
        </w:rPr>
        <w:t xml:space="preserve">(a) </w:t>
      </w:r>
      <w:r w:rsidRPr="00241BE3">
        <w:rPr>
          <w:rFonts w:eastAsiaTheme="minorHAnsi"/>
          <w:i/>
          <w:iCs/>
          <w:sz w:val="26"/>
          <w:szCs w:val="26"/>
        </w:rPr>
        <w:t>Grounds.</w:t>
      </w:r>
      <w:r w:rsidRPr="00241BE3">
        <w:rPr>
          <w:rFonts w:eastAsiaTheme="minorHAnsi"/>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(1) Lack of Commission jurisdiction or improper service of the pleading initiating the proceeding.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(2) Failure of a pleading to conform to this chapter or the inclusion of scandalous or impertinent matter.</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 xml:space="preserve">(3) Insufficient </w:t>
      </w:r>
      <w:r w:rsidRPr="00241BE3">
        <w:rPr>
          <w:rFonts w:eastAsiaTheme="minorHAnsi"/>
          <w:bCs/>
          <w:sz w:val="26"/>
          <w:szCs w:val="26"/>
        </w:rPr>
        <w:t>specificity</w:t>
      </w:r>
      <w:r w:rsidRPr="00241BE3">
        <w:rPr>
          <w:rFonts w:eastAsiaTheme="minorHAnsi"/>
          <w:sz w:val="26"/>
          <w:szCs w:val="26"/>
        </w:rPr>
        <w:t xml:space="preserve"> of a pleading.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lastRenderedPageBreak/>
        <w:t>(4) Legal insufficiency of a pleading.</w:t>
      </w:r>
    </w:p>
    <w:p w:rsidR="009F0FBD" w:rsidRDefault="009F0FBD" w:rsidP="009F0FBD">
      <w:pPr>
        <w:widowControl/>
        <w:ind w:left="1440" w:right="1440"/>
        <w:contextualSpacing/>
        <w:rPr>
          <w:rFonts w:eastAsiaTheme="minorHAnsi"/>
          <w:sz w:val="26"/>
          <w:szCs w:val="26"/>
        </w:rPr>
      </w:pPr>
    </w:p>
    <w:p w:rsidR="009F0FBD" w:rsidRDefault="004C7B3D" w:rsidP="009F0FBD">
      <w:pPr>
        <w:widowControl/>
        <w:ind w:left="1440" w:right="1440"/>
        <w:contextualSpacing/>
        <w:rPr>
          <w:rFonts w:eastAsiaTheme="minorHAnsi"/>
          <w:sz w:val="26"/>
          <w:szCs w:val="26"/>
        </w:rPr>
      </w:pPr>
      <w:r w:rsidRPr="00241BE3">
        <w:rPr>
          <w:rFonts w:eastAsiaTheme="minorHAnsi"/>
          <w:sz w:val="26"/>
          <w:szCs w:val="26"/>
        </w:rPr>
        <w:t>(5) Lack of capacity to sue, nonjoinder of a necessary party or misjoinder of a cause of action.</w:t>
      </w:r>
    </w:p>
    <w:p w:rsidR="009F0FBD" w:rsidRDefault="009F0FBD" w:rsidP="009F0FBD">
      <w:pPr>
        <w:widowControl/>
        <w:ind w:left="1440" w:right="1440"/>
        <w:contextualSpacing/>
        <w:rPr>
          <w:rFonts w:eastAsiaTheme="minorHAnsi"/>
          <w:sz w:val="26"/>
          <w:szCs w:val="26"/>
        </w:rPr>
      </w:pPr>
    </w:p>
    <w:p w:rsidR="004C7B3D" w:rsidRDefault="004C7B3D" w:rsidP="009F0FBD">
      <w:pPr>
        <w:keepNext/>
        <w:keepLines/>
        <w:ind w:left="1440" w:right="1440"/>
        <w:contextualSpacing/>
        <w:rPr>
          <w:rFonts w:eastAsiaTheme="minorHAnsi"/>
          <w:sz w:val="26"/>
          <w:szCs w:val="26"/>
        </w:rPr>
      </w:pPr>
      <w:r w:rsidRPr="00241BE3">
        <w:rPr>
          <w:rFonts w:eastAsiaTheme="minorHAnsi"/>
          <w:sz w:val="26"/>
          <w:szCs w:val="26"/>
        </w:rPr>
        <w:t>(6) Pendency of a prior proceeding or agreement for alternative dispute resolution.</w:t>
      </w:r>
    </w:p>
    <w:p w:rsidR="004C7B3D" w:rsidRDefault="004C7B3D" w:rsidP="009F0FBD">
      <w:pPr>
        <w:keepNext/>
        <w:keepLines/>
        <w:ind w:left="1440" w:right="1440"/>
        <w:contextualSpacing/>
        <w:rPr>
          <w:rFonts w:eastAsiaTheme="minorHAnsi"/>
          <w:sz w:val="26"/>
          <w:szCs w:val="26"/>
        </w:rPr>
      </w:pPr>
    </w:p>
    <w:p w:rsidR="004C7B3D" w:rsidRDefault="004C7B3D" w:rsidP="009F0FBD">
      <w:pPr>
        <w:keepNext/>
        <w:keepLines/>
        <w:ind w:left="1440" w:right="1440"/>
        <w:contextualSpacing/>
        <w:rPr>
          <w:rFonts w:eastAsiaTheme="minorHAnsi"/>
          <w:sz w:val="26"/>
          <w:szCs w:val="26"/>
        </w:rPr>
      </w:pPr>
      <w:r>
        <w:rPr>
          <w:rFonts w:eastAsiaTheme="minorHAnsi"/>
          <w:sz w:val="26"/>
          <w:szCs w:val="26"/>
        </w:rPr>
        <w:t>(7) Standing of a party to participate in the proceeding.</w:t>
      </w:r>
    </w:p>
    <w:p w:rsidR="007F4AED" w:rsidRDefault="007F4AED" w:rsidP="009F0FBD">
      <w:pPr>
        <w:keepNext/>
        <w:keepLines/>
        <w:ind w:left="1440" w:right="1440"/>
        <w:contextualSpacing/>
        <w:rPr>
          <w:rFonts w:eastAsiaTheme="minorHAnsi"/>
          <w:sz w:val="26"/>
          <w:szCs w:val="26"/>
        </w:rPr>
      </w:pPr>
    </w:p>
    <w:p w:rsidR="00E01B86" w:rsidRDefault="00E01B86" w:rsidP="009F0FBD">
      <w:pPr>
        <w:keepNext/>
        <w:keepLines/>
        <w:ind w:left="1440" w:right="1440"/>
        <w:contextualSpacing/>
        <w:rPr>
          <w:rFonts w:eastAsiaTheme="minorHAnsi"/>
          <w:sz w:val="26"/>
          <w:szCs w:val="26"/>
        </w:rPr>
      </w:pPr>
    </w:p>
    <w:p w:rsidR="004C7B3D" w:rsidRPr="00241BE3" w:rsidRDefault="004C7B3D" w:rsidP="009F0FBD">
      <w:pPr>
        <w:widowControl/>
        <w:spacing w:line="360" w:lineRule="auto"/>
        <w:contextualSpacing/>
        <w:rPr>
          <w:sz w:val="26"/>
          <w:szCs w:val="26"/>
        </w:rPr>
      </w:pPr>
      <w:r w:rsidRPr="00241BE3">
        <w:rPr>
          <w:sz w:val="26"/>
          <w:szCs w:val="26"/>
        </w:rPr>
        <w:t>52 Pa.</w:t>
      </w:r>
      <w:r>
        <w:rPr>
          <w:sz w:val="26"/>
          <w:szCs w:val="26"/>
        </w:rPr>
        <w:t xml:space="preserve"> </w:t>
      </w:r>
      <w:r w:rsidRPr="00241BE3">
        <w:rPr>
          <w:sz w:val="26"/>
          <w:szCs w:val="26"/>
        </w:rPr>
        <w:t xml:space="preserve">Code § 5.101.  Commission practice regarding preliminary objections is similar to that utilized in Pennsylvania civil practice.  </w:t>
      </w:r>
      <w:r w:rsidRPr="00241BE3">
        <w:rPr>
          <w:i/>
          <w:sz w:val="26"/>
          <w:szCs w:val="26"/>
        </w:rPr>
        <w:t>Equitable Small Transportation Intervenors v.</w:t>
      </w:r>
      <w:r w:rsidR="00E0157A">
        <w:rPr>
          <w:i/>
          <w:sz w:val="26"/>
          <w:szCs w:val="26"/>
        </w:rPr>
        <w:t> </w:t>
      </w:r>
      <w:r w:rsidRPr="00241BE3">
        <w:rPr>
          <w:i/>
          <w:sz w:val="26"/>
          <w:szCs w:val="26"/>
        </w:rPr>
        <w:t>Equitable Gas Company</w:t>
      </w:r>
      <w:r w:rsidRPr="00241BE3">
        <w:rPr>
          <w:sz w:val="26"/>
          <w:szCs w:val="26"/>
        </w:rPr>
        <w:t>, Docket No. C-00935435 (Order entered July 18, 1994)</w:t>
      </w:r>
      <w:r w:rsidR="00DC78AD">
        <w:rPr>
          <w:sz w:val="26"/>
          <w:szCs w:val="26"/>
        </w:rPr>
        <w:t xml:space="preserve"> (</w:t>
      </w:r>
      <w:r w:rsidR="00DC78AD" w:rsidRPr="00DC78AD">
        <w:rPr>
          <w:i/>
          <w:sz w:val="26"/>
          <w:szCs w:val="26"/>
        </w:rPr>
        <w:t>Equitable Small Transportation Intervenors</w:t>
      </w:r>
      <w:r w:rsidR="00DC78AD">
        <w:rPr>
          <w:sz w:val="26"/>
          <w:szCs w:val="26"/>
        </w:rPr>
        <w:t>)</w:t>
      </w:r>
      <w:r w:rsidRPr="00241BE3">
        <w:rPr>
          <w:sz w:val="26"/>
          <w:szCs w:val="26"/>
        </w:rPr>
        <w:t>.  When considering preliminary objections, the Commission must determine:</w:t>
      </w:r>
    </w:p>
    <w:p w:rsidR="004C7B3D" w:rsidRPr="00241BE3" w:rsidRDefault="004C7B3D" w:rsidP="009F0FBD">
      <w:pPr>
        <w:widowControl/>
        <w:tabs>
          <w:tab w:val="left" w:pos="-720"/>
        </w:tabs>
        <w:suppressAutoHyphens/>
        <w:spacing w:line="360" w:lineRule="auto"/>
        <w:ind w:firstLine="1440"/>
        <w:contextualSpacing/>
        <w:rPr>
          <w:sz w:val="26"/>
          <w:szCs w:val="26"/>
        </w:rPr>
      </w:pPr>
    </w:p>
    <w:p w:rsidR="004C7B3D" w:rsidRPr="00241BE3" w:rsidRDefault="004C7B3D" w:rsidP="009F0FBD">
      <w:pPr>
        <w:widowControl/>
        <w:tabs>
          <w:tab w:val="left" w:pos="-720"/>
        </w:tabs>
        <w:suppressAutoHyphens/>
        <w:ind w:left="1440" w:right="1440"/>
        <w:contextualSpacing/>
        <w:rPr>
          <w:sz w:val="26"/>
          <w:szCs w:val="26"/>
        </w:rPr>
      </w:pPr>
      <w:r w:rsidRPr="00241BE3">
        <w:rPr>
          <w:sz w:val="26"/>
          <w:szCs w:val="26"/>
        </w:rPr>
        <w:t xml:space="preserve">. . . whether the law says with certainty, based on well-pleaded factual averments . . . that no recovery or relief is possible.  </w:t>
      </w:r>
      <w:r w:rsidRPr="00241BE3">
        <w:rPr>
          <w:i/>
          <w:sz w:val="26"/>
          <w:szCs w:val="26"/>
        </w:rPr>
        <w:t xml:space="preserve">P.J.S. v. Pa. State Ethics Commission, </w:t>
      </w:r>
      <w:r w:rsidRPr="00241BE3">
        <w:rPr>
          <w:sz w:val="26"/>
          <w:szCs w:val="26"/>
        </w:rPr>
        <w:t xml:space="preserve">669 A.2d 1105 (Pa. Cmwlth. 1996).  Any doubt must be resolved in favor of the non-moving party by refusing to sustain the preliminary objections.  </w:t>
      </w:r>
      <w:r w:rsidRPr="00241BE3">
        <w:rPr>
          <w:i/>
          <w:sz w:val="26"/>
          <w:szCs w:val="26"/>
        </w:rPr>
        <w:t xml:space="preserve">Boyd v. Ward, </w:t>
      </w:r>
      <w:r w:rsidRPr="00241BE3">
        <w:rPr>
          <w:sz w:val="26"/>
          <w:szCs w:val="26"/>
        </w:rPr>
        <w:t>802 A.2d 705 (Pa. Cmwlth. 2002).</w:t>
      </w:r>
    </w:p>
    <w:p w:rsidR="004C7B3D" w:rsidRDefault="004C7B3D" w:rsidP="009F0FBD">
      <w:pPr>
        <w:widowControl/>
        <w:tabs>
          <w:tab w:val="left" w:pos="-720"/>
        </w:tabs>
        <w:suppressAutoHyphens/>
        <w:ind w:left="1440" w:right="1440"/>
        <w:contextualSpacing/>
        <w:rPr>
          <w:sz w:val="26"/>
          <w:szCs w:val="26"/>
        </w:rPr>
      </w:pPr>
    </w:p>
    <w:p w:rsidR="00602E55" w:rsidRPr="00241BE3" w:rsidRDefault="00602E55" w:rsidP="009F0FBD">
      <w:pPr>
        <w:widowControl/>
        <w:tabs>
          <w:tab w:val="left" w:pos="-720"/>
        </w:tabs>
        <w:suppressAutoHyphens/>
        <w:ind w:left="1440" w:right="1440"/>
        <w:contextualSpacing/>
        <w:rPr>
          <w:sz w:val="26"/>
          <w:szCs w:val="26"/>
        </w:rPr>
      </w:pPr>
    </w:p>
    <w:p w:rsidR="004C7B3D" w:rsidRDefault="004C7B3D" w:rsidP="003F0AAF">
      <w:pPr>
        <w:widowControl/>
        <w:tabs>
          <w:tab w:val="left" w:pos="-720"/>
        </w:tabs>
        <w:suppressAutoHyphens/>
        <w:contextualSpacing/>
        <w:rPr>
          <w:sz w:val="26"/>
          <w:szCs w:val="26"/>
        </w:rPr>
      </w:pPr>
      <w:r w:rsidRPr="00241BE3">
        <w:rPr>
          <w:i/>
          <w:sz w:val="26"/>
          <w:szCs w:val="26"/>
        </w:rPr>
        <w:t xml:space="preserve">Dept. of Auditor General v. State Employees’ Retirement System, </w:t>
      </w:r>
      <w:r w:rsidRPr="00241BE3">
        <w:rPr>
          <w:sz w:val="26"/>
          <w:szCs w:val="26"/>
        </w:rPr>
        <w:t xml:space="preserve">836 A.2d 1053, 1064 (Pa. Cmwlth. 2003). </w:t>
      </w:r>
    </w:p>
    <w:p w:rsidR="004C7B3D" w:rsidRPr="00241BE3" w:rsidRDefault="004C7B3D" w:rsidP="009F0FBD">
      <w:pPr>
        <w:widowControl/>
        <w:tabs>
          <w:tab w:val="left" w:pos="-720"/>
        </w:tabs>
        <w:suppressAutoHyphens/>
        <w:spacing w:line="360" w:lineRule="auto"/>
        <w:contextualSpacing/>
        <w:rPr>
          <w:sz w:val="26"/>
          <w:szCs w:val="26"/>
        </w:rPr>
      </w:pPr>
    </w:p>
    <w:p w:rsidR="004C7B3D" w:rsidRPr="00241BE3" w:rsidRDefault="004C7B3D" w:rsidP="009F0FBD">
      <w:pPr>
        <w:widowControl/>
        <w:tabs>
          <w:tab w:val="left" w:pos="-720"/>
        </w:tabs>
        <w:suppressAutoHyphens/>
        <w:spacing w:line="360" w:lineRule="auto"/>
        <w:ind w:firstLine="1440"/>
        <w:contextualSpacing/>
        <w:rPr>
          <w:sz w:val="26"/>
          <w:szCs w:val="26"/>
        </w:rPr>
      </w:pPr>
      <w:r w:rsidRPr="00241BE3">
        <w:rPr>
          <w:sz w:val="26"/>
          <w:szCs w:val="26"/>
        </w:rPr>
        <w:t xml:space="preserve">In considering preliminary objections, the Commission may not rely upon the factual assertions of the moving party, but must accept as true for purposes of disposing of the preliminary objections all well-pleaded, material facts of the nonmoving party as well as every inference from those facts.  </w:t>
      </w:r>
      <w:r w:rsidRPr="00241BE3">
        <w:rPr>
          <w:i/>
          <w:sz w:val="26"/>
          <w:szCs w:val="26"/>
        </w:rPr>
        <w:t>County of Allegheny v. Commonwealth of Pennsylvania</w:t>
      </w:r>
      <w:r w:rsidRPr="00241BE3">
        <w:rPr>
          <w:sz w:val="26"/>
          <w:szCs w:val="26"/>
        </w:rPr>
        <w:t xml:space="preserve">, </w:t>
      </w:r>
      <w:r>
        <w:rPr>
          <w:sz w:val="26"/>
          <w:szCs w:val="26"/>
        </w:rPr>
        <w:t>507 Pa. 360, 490 A.2d 402 (</w:t>
      </w:r>
      <w:r w:rsidRPr="00241BE3">
        <w:rPr>
          <w:sz w:val="26"/>
          <w:szCs w:val="26"/>
        </w:rPr>
        <w:t>1985);</w:t>
      </w:r>
      <w:r w:rsidRPr="00241BE3">
        <w:rPr>
          <w:i/>
          <w:sz w:val="26"/>
          <w:szCs w:val="26"/>
        </w:rPr>
        <w:t xml:space="preserve"> Commonwealth of Pennsylvania v. Bell Telephone Co. of Pa.</w:t>
      </w:r>
      <w:r w:rsidRPr="00241BE3">
        <w:rPr>
          <w:sz w:val="26"/>
          <w:szCs w:val="26"/>
        </w:rPr>
        <w:t>, 551 A.2d 602 (Pa.</w:t>
      </w:r>
      <w:r>
        <w:rPr>
          <w:sz w:val="26"/>
          <w:szCs w:val="26"/>
        </w:rPr>
        <w:t xml:space="preserve"> Cmwlth. 1988).  T</w:t>
      </w:r>
      <w:r w:rsidRPr="00241BE3">
        <w:rPr>
          <w:sz w:val="26"/>
          <w:szCs w:val="26"/>
        </w:rPr>
        <w:t xml:space="preserve">he Commission must view the Complaint in the light most favorable to the Complainant, and should dismiss </w:t>
      </w:r>
      <w:r w:rsidRPr="00241BE3">
        <w:rPr>
          <w:sz w:val="26"/>
          <w:szCs w:val="26"/>
        </w:rPr>
        <w:lastRenderedPageBreak/>
        <w:t xml:space="preserve">the Complaint only if it appears that the Complainant would not be entitled to relief under any circumstances as a matter of law.  </w:t>
      </w:r>
      <w:r w:rsidRPr="00241BE3">
        <w:rPr>
          <w:i/>
          <w:sz w:val="26"/>
          <w:szCs w:val="26"/>
        </w:rPr>
        <w:t>Equitable Small Transportation Intervenors, supra</w:t>
      </w:r>
      <w:r w:rsidRPr="00241BE3">
        <w:rPr>
          <w:sz w:val="26"/>
          <w:szCs w:val="26"/>
        </w:rPr>
        <w:t>.  A preliminary objection in civil practice seeking dismissal of a pleading will be granted only where relief is clearly warranted and free from doub</w:t>
      </w:r>
      <w:r>
        <w:rPr>
          <w:sz w:val="26"/>
          <w:szCs w:val="26"/>
        </w:rPr>
        <w:t>t.</w:t>
      </w:r>
    </w:p>
    <w:p w:rsidR="00CB44B1" w:rsidRPr="00241BE3" w:rsidRDefault="00CB44B1" w:rsidP="009F0FBD">
      <w:pPr>
        <w:widowControl/>
        <w:spacing w:line="360" w:lineRule="auto"/>
        <w:contextualSpacing/>
        <w:rPr>
          <w:sz w:val="26"/>
          <w:szCs w:val="26"/>
        </w:rPr>
      </w:pPr>
    </w:p>
    <w:p w:rsidR="00006F35" w:rsidRPr="008F78A8" w:rsidRDefault="007756C7" w:rsidP="00E01B86">
      <w:pPr>
        <w:keepNext/>
        <w:keepLines/>
        <w:widowControl/>
        <w:spacing w:line="360" w:lineRule="auto"/>
        <w:contextualSpacing/>
        <w:rPr>
          <w:b/>
          <w:sz w:val="26"/>
          <w:szCs w:val="26"/>
        </w:rPr>
      </w:pPr>
      <w:r w:rsidRPr="008F78A8">
        <w:rPr>
          <w:b/>
          <w:sz w:val="26"/>
          <w:szCs w:val="26"/>
        </w:rPr>
        <w:t>ALJ’s Initial Decision</w:t>
      </w:r>
    </w:p>
    <w:p w:rsidR="00006F35" w:rsidRDefault="00006F35" w:rsidP="00E01B86">
      <w:pPr>
        <w:keepNext/>
        <w:keepLines/>
        <w:widowControl/>
        <w:spacing w:line="360" w:lineRule="auto"/>
        <w:ind w:firstLine="1440"/>
        <w:contextualSpacing/>
        <w:rPr>
          <w:sz w:val="26"/>
          <w:szCs w:val="26"/>
        </w:rPr>
      </w:pPr>
    </w:p>
    <w:p w:rsidR="00087CC1" w:rsidRPr="00081322" w:rsidRDefault="00087CC1" w:rsidP="009F0FBD">
      <w:pPr>
        <w:widowControl/>
        <w:spacing w:line="360" w:lineRule="auto"/>
        <w:ind w:firstLine="1440"/>
        <w:contextualSpacing/>
        <w:rPr>
          <w:sz w:val="26"/>
          <w:szCs w:val="26"/>
        </w:rPr>
      </w:pPr>
      <w:r w:rsidRPr="00081322">
        <w:rPr>
          <w:sz w:val="26"/>
          <w:szCs w:val="26"/>
        </w:rPr>
        <w:t xml:space="preserve">ALJ </w:t>
      </w:r>
      <w:r w:rsidR="00081322" w:rsidRPr="00081322">
        <w:rPr>
          <w:sz w:val="26"/>
          <w:szCs w:val="26"/>
        </w:rPr>
        <w:t>Cheski</w:t>
      </w:r>
      <w:r w:rsidRPr="00081322">
        <w:rPr>
          <w:sz w:val="26"/>
          <w:szCs w:val="26"/>
        </w:rPr>
        <w:t xml:space="preserve">s made </w:t>
      </w:r>
      <w:r w:rsidR="00081322" w:rsidRPr="00081322">
        <w:rPr>
          <w:sz w:val="26"/>
          <w:szCs w:val="26"/>
        </w:rPr>
        <w:t>seven</w:t>
      </w:r>
      <w:r w:rsidRPr="00081322">
        <w:rPr>
          <w:sz w:val="26"/>
          <w:szCs w:val="26"/>
        </w:rPr>
        <w:t xml:space="preserve"> Findings of Fact an</w:t>
      </w:r>
      <w:r w:rsidR="00081322" w:rsidRPr="00081322">
        <w:rPr>
          <w:sz w:val="26"/>
          <w:szCs w:val="26"/>
        </w:rPr>
        <w:t>d reached nine</w:t>
      </w:r>
      <w:r w:rsidRPr="00081322">
        <w:rPr>
          <w:sz w:val="26"/>
          <w:szCs w:val="26"/>
        </w:rPr>
        <w:t xml:space="preserve"> Conclusions of Law.  I.D. at 3</w:t>
      </w:r>
      <w:r w:rsidR="00081322" w:rsidRPr="00081322">
        <w:rPr>
          <w:sz w:val="26"/>
          <w:szCs w:val="26"/>
        </w:rPr>
        <w:t>-4</w:t>
      </w:r>
      <w:r w:rsidR="006F5D5F" w:rsidRPr="00081322">
        <w:rPr>
          <w:sz w:val="26"/>
          <w:szCs w:val="26"/>
        </w:rPr>
        <w:t xml:space="preserve">, </w:t>
      </w:r>
      <w:r w:rsidRPr="00081322">
        <w:rPr>
          <w:sz w:val="26"/>
          <w:szCs w:val="26"/>
        </w:rPr>
        <w:t>11</w:t>
      </w:r>
      <w:r w:rsidR="00081322" w:rsidRPr="00081322">
        <w:rPr>
          <w:sz w:val="26"/>
          <w:szCs w:val="26"/>
        </w:rPr>
        <w:t>-12</w:t>
      </w:r>
      <w:r w:rsidRPr="00081322">
        <w:rPr>
          <w:sz w:val="26"/>
          <w:szCs w:val="26"/>
        </w:rPr>
        <w:t>.  The Findings of Fact and Conclusions of Law are incorporated herein by reference and are adopted without comment unless they are either expressly or by necessary implication rejected or modified by this Opinion and Order.</w:t>
      </w:r>
    </w:p>
    <w:p w:rsidR="00087CC1" w:rsidRPr="00B629D3" w:rsidRDefault="00087CC1" w:rsidP="007C03CE">
      <w:pPr>
        <w:widowControl/>
        <w:spacing w:line="360" w:lineRule="auto"/>
        <w:ind w:firstLine="1440"/>
        <w:contextualSpacing/>
        <w:rPr>
          <w:sz w:val="26"/>
          <w:szCs w:val="26"/>
        </w:rPr>
      </w:pPr>
    </w:p>
    <w:p w:rsidR="009B2262" w:rsidRDefault="00FC5E92" w:rsidP="009F0FBD">
      <w:pPr>
        <w:widowControl/>
        <w:spacing w:line="360" w:lineRule="auto"/>
        <w:ind w:firstLine="1440"/>
        <w:contextualSpacing/>
        <w:rPr>
          <w:sz w:val="26"/>
          <w:szCs w:val="26"/>
        </w:rPr>
      </w:pPr>
      <w:r w:rsidRPr="00C57248">
        <w:rPr>
          <w:sz w:val="26"/>
          <w:szCs w:val="26"/>
        </w:rPr>
        <w:t xml:space="preserve">In </w:t>
      </w:r>
      <w:r w:rsidR="00033309" w:rsidRPr="00C57248">
        <w:rPr>
          <w:sz w:val="26"/>
          <w:szCs w:val="26"/>
        </w:rPr>
        <w:t>h</w:t>
      </w:r>
      <w:r w:rsidR="00F24F83" w:rsidRPr="00C57248">
        <w:rPr>
          <w:sz w:val="26"/>
          <w:szCs w:val="26"/>
        </w:rPr>
        <w:t>is</w:t>
      </w:r>
      <w:r w:rsidRPr="00C57248">
        <w:rPr>
          <w:sz w:val="26"/>
          <w:szCs w:val="26"/>
        </w:rPr>
        <w:t xml:space="preserve"> Initial Decision, ALJ </w:t>
      </w:r>
      <w:r w:rsidR="00081322" w:rsidRPr="00C57248">
        <w:rPr>
          <w:sz w:val="26"/>
          <w:szCs w:val="26"/>
        </w:rPr>
        <w:t>Cheskis</w:t>
      </w:r>
      <w:r w:rsidRPr="00C57248">
        <w:rPr>
          <w:sz w:val="26"/>
          <w:szCs w:val="26"/>
        </w:rPr>
        <w:t xml:space="preserve"> </w:t>
      </w:r>
      <w:r w:rsidR="00EB1383" w:rsidRPr="00C57248">
        <w:rPr>
          <w:sz w:val="26"/>
          <w:szCs w:val="26"/>
        </w:rPr>
        <w:t>determined</w:t>
      </w:r>
      <w:r w:rsidRPr="00C57248">
        <w:rPr>
          <w:sz w:val="26"/>
          <w:szCs w:val="26"/>
        </w:rPr>
        <w:t xml:space="preserve"> that based on </w:t>
      </w:r>
      <w:r w:rsidR="008D3B80" w:rsidRPr="00C57248">
        <w:rPr>
          <w:sz w:val="26"/>
          <w:szCs w:val="26"/>
        </w:rPr>
        <w:t>Section 1529.1 of the Code, 66 Pa. C.S. § 1529.1</w:t>
      </w:r>
      <w:r w:rsidR="007C03CE" w:rsidRPr="00C57248">
        <w:rPr>
          <w:sz w:val="26"/>
          <w:szCs w:val="26"/>
        </w:rPr>
        <w:t>,</w:t>
      </w:r>
      <w:r w:rsidR="008D3B80" w:rsidRPr="00C57248">
        <w:rPr>
          <w:sz w:val="26"/>
          <w:szCs w:val="26"/>
        </w:rPr>
        <w:t xml:space="preserve"> </w:t>
      </w:r>
      <w:r w:rsidR="008B75E0" w:rsidRPr="00C57248">
        <w:rPr>
          <w:sz w:val="26"/>
          <w:szCs w:val="26"/>
        </w:rPr>
        <w:t xml:space="preserve">and </w:t>
      </w:r>
      <w:r w:rsidRPr="00C57248">
        <w:rPr>
          <w:sz w:val="26"/>
          <w:szCs w:val="26"/>
        </w:rPr>
        <w:t xml:space="preserve">the applicable </w:t>
      </w:r>
      <w:r w:rsidR="007756C7" w:rsidRPr="00C57248">
        <w:rPr>
          <w:sz w:val="26"/>
          <w:szCs w:val="26"/>
        </w:rPr>
        <w:t xml:space="preserve">court and </w:t>
      </w:r>
      <w:r w:rsidR="00B57849" w:rsidRPr="00C57248">
        <w:rPr>
          <w:sz w:val="26"/>
          <w:szCs w:val="26"/>
        </w:rPr>
        <w:t>Commission decisions,</w:t>
      </w:r>
      <w:r w:rsidRPr="00C57248">
        <w:rPr>
          <w:sz w:val="26"/>
          <w:szCs w:val="26"/>
        </w:rPr>
        <w:t xml:space="preserve"> </w:t>
      </w:r>
      <w:r w:rsidR="006879DE" w:rsidRPr="00C57248">
        <w:rPr>
          <w:sz w:val="26"/>
          <w:szCs w:val="26"/>
        </w:rPr>
        <w:t>the Complainant failed</w:t>
      </w:r>
      <w:r w:rsidR="001A3E3B" w:rsidRPr="00C57248">
        <w:rPr>
          <w:sz w:val="26"/>
          <w:szCs w:val="26"/>
        </w:rPr>
        <w:t xml:space="preserve"> to</w:t>
      </w:r>
      <w:r w:rsidR="006879DE" w:rsidRPr="00C57248">
        <w:rPr>
          <w:sz w:val="26"/>
          <w:szCs w:val="26"/>
        </w:rPr>
        <w:t xml:space="preserve"> </w:t>
      </w:r>
      <w:r w:rsidR="00F24F83" w:rsidRPr="00C57248">
        <w:rPr>
          <w:sz w:val="26"/>
          <w:szCs w:val="26"/>
        </w:rPr>
        <w:t>state a claim upon which relief can be granted</w:t>
      </w:r>
      <w:r w:rsidR="006879DE" w:rsidRPr="00C57248">
        <w:rPr>
          <w:sz w:val="26"/>
          <w:szCs w:val="26"/>
        </w:rPr>
        <w:t>.</w:t>
      </w:r>
      <w:r w:rsidR="007C03CE" w:rsidRPr="00C57248">
        <w:rPr>
          <w:rStyle w:val="FootnoteReference"/>
          <w:sz w:val="26"/>
          <w:szCs w:val="26"/>
        </w:rPr>
        <w:footnoteReference w:id="3"/>
      </w:r>
      <w:r w:rsidR="009B2262" w:rsidRPr="00C57248">
        <w:rPr>
          <w:sz w:val="26"/>
          <w:szCs w:val="26"/>
        </w:rPr>
        <w:t xml:space="preserve">  </w:t>
      </w:r>
      <w:r w:rsidR="00D53716">
        <w:rPr>
          <w:sz w:val="26"/>
          <w:szCs w:val="26"/>
        </w:rPr>
        <w:t xml:space="preserve">The ALJ emphasized that the Complainant’s sole claim </w:t>
      </w:r>
      <w:r w:rsidR="00B86E2C">
        <w:rPr>
          <w:sz w:val="26"/>
          <w:szCs w:val="26"/>
        </w:rPr>
        <w:t>in the matter before us is</w:t>
      </w:r>
      <w:r w:rsidR="00D53716">
        <w:rPr>
          <w:sz w:val="26"/>
          <w:szCs w:val="26"/>
        </w:rPr>
        <w:t xml:space="preserve"> that he should not be held responsible for the tenant’s portion of the shared usage</w:t>
      </w:r>
      <w:r w:rsidR="00B86E2C">
        <w:rPr>
          <w:sz w:val="26"/>
          <w:szCs w:val="26"/>
        </w:rPr>
        <w:t>.  The ALJ noted that</w:t>
      </w:r>
      <w:r w:rsidR="00D53716">
        <w:rPr>
          <w:sz w:val="26"/>
          <w:szCs w:val="26"/>
        </w:rPr>
        <w:t xml:space="preserve"> this is precisely the issue </w:t>
      </w:r>
      <w:r w:rsidR="00D53716" w:rsidRPr="00B86E2C">
        <w:rPr>
          <w:sz w:val="26"/>
          <w:szCs w:val="26"/>
        </w:rPr>
        <w:t xml:space="preserve">that the Commission lacks jurisdiction to hear.  </w:t>
      </w:r>
      <w:r w:rsidR="009B2262" w:rsidRPr="00B86E2C">
        <w:rPr>
          <w:sz w:val="26"/>
          <w:szCs w:val="26"/>
        </w:rPr>
        <w:t xml:space="preserve">Specifically, the ALJ found that PECO was required by law to list the tenant’s account in the Complainant’s name immediately upon the discovery of foreign load.  </w:t>
      </w:r>
      <w:r w:rsidR="00B86E2C" w:rsidRPr="00B86E2C">
        <w:rPr>
          <w:sz w:val="26"/>
          <w:szCs w:val="26"/>
        </w:rPr>
        <w:t>The</w:t>
      </w:r>
      <w:r w:rsidR="00B86E2C">
        <w:rPr>
          <w:sz w:val="26"/>
          <w:szCs w:val="26"/>
        </w:rPr>
        <w:t>refore, the</w:t>
      </w:r>
      <w:r w:rsidR="00B86E2C" w:rsidRPr="00B86E2C">
        <w:rPr>
          <w:sz w:val="26"/>
          <w:szCs w:val="26"/>
        </w:rPr>
        <w:t xml:space="preserve"> ALJ concluded that PECO acted reasonably by transferring the entire amount of the arrearage to the Complainant regardless of </w:t>
      </w:r>
      <w:r w:rsidR="00B86E2C">
        <w:rPr>
          <w:sz w:val="26"/>
          <w:szCs w:val="26"/>
        </w:rPr>
        <w:t xml:space="preserve">whether the amount of foreign load was </w:t>
      </w:r>
      <w:r w:rsidR="00B86E2C" w:rsidRPr="00B86E2C">
        <w:rPr>
          <w:i/>
          <w:sz w:val="26"/>
          <w:szCs w:val="26"/>
        </w:rPr>
        <w:t>de minim</w:t>
      </w:r>
      <w:r w:rsidR="00DC78AD">
        <w:rPr>
          <w:i/>
          <w:sz w:val="26"/>
          <w:szCs w:val="26"/>
        </w:rPr>
        <w:t>i</w:t>
      </w:r>
      <w:r w:rsidR="00B86E2C" w:rsidRPr="00B86E2C">
        <w:rPr>
          <w:i/>
          <w:sz w:val="26"/>
          <w:szCs w:val="26"/>
        </w:rPr>
        <w:t>s</w:t>
      </w:r>
      <w:r w:rsidR="00B86E2C" w:rsidRPr="00B86E2C">
        <w:rPr>
          <w:sz w:val="26"/>
          <w:szCs w:val="26"/>
        </w:rPr>
        <w:t xml:space="preserve">.  </w:t>
      </w:r>
      <w:r w:rsidR="009B2262" w:rsidRPr="00B86E2C">
        <w:rPr>
          <w:sz w:val="26"/>
          <w:szCs w:val="26"/>
        </w:rPr>
        <w:t xml:space="preserve">The ALJ pointed out that to the extent that there are amounts in dispute, the Commission lacks jurisdiction to adjudicate disputes regarding the financial </w:t>
      </w:r>
      <w:r w:rsidR="009B2262" w:rsidRPr="00B86E2C">
        <w:rPr>
          <w:sz w:val="26"/>
          <w:szCs w:val="26"/>
        </w:rPr>
        <w:lastRenderedPageBreak/>
        <w:t xml:space="preserve">responsibilities of private parties, such as a landlord and his tenant.  </w:t>
      </w:r>
      <w:r w:rsidR="00B86E2C" w:rsidRPr="00B86E2C">
        <w:rPr>
          <w:sz w:val="26"/>
          <w:szCs w:val="26"/>
        </w:rPr>
        <w:t xml:space="preserve">The ALJ explained that such arguments must be heard before a Court of Common Pleas.  </w:t>
      </w:r>
      <w:r w:rsidR="009B2262" w:rsidRPr="00B86E2C">
        <w:rPr>
          <w:sz w:val="26"/>
          <w:szCs w:val="26"/>
        </w:rPr>
        <w:t xml:space="preserve">In light of the above, the ALJ granted PECO’s Preliminary Objections and dismissed the Complaint.  I.D. at </w:t>
      </w:r>
      <w:r w:rsidR="00B86E2C" w:rsidRPr="00B86E2C">
        <w:rPr>
          <w:sz w:val="26"/>
          <w:szCs w:val="26"/>
        </w:rPr>
        <w:t>6-11</w:t>
      </w:r>
      <w:r w:rsidR="009B2262" w:rsidRPr="00B86E2C">
        <w:rPr>
          <w:sz w:val="26"/>
          <w:szCs w:val="26"/>
        </w:rPr>
        <w:t>.</w:t>
      </w:r>
    </w:p>
    <w:p w:rsidR="00A37AD7" w:rsidRPr="008F78A8" w:rsidRDefault="00A37AD7" w:rsidP="009F0FBD">
      <w:pPr>
        <w:widowControl/>
        <w:spacing w:line="360" w:lineRule="auto"/>
        <w:ind w:firstLine="1440"/>
        <w:contextualSpacing/>
        <w:rPr>
          <w:sz w:val="26"/>
          <w:szCs w:val="26"/>
        </w:rPr>
      </w:pPr>
    </w:p>
    <w:p w:rsidR="00006F35" w:rsidRPr="008F78A8" w:rsidRDefault="00172CC7" w:rsidP="009F0FBD">
      <w:pPr>
        <w:widowControl/>
        <w:spacing w:line="360" w:lineRule="auto"/>
        <w:contextualSpacing/>
        <w:rPr>
          <w:b/>
          <w:sz w:val="26"/>
          <w:szCs w:val="26"/>
        </w:rPr>
      </w:pPr>
      <w:r w:rsidRPr="008F78A8">
        <w:rPr>
          <w:b/>
          <w:sz w:val="26"/>
          <w:szCs w:val="26"/>
        </w:rPr>
        <w:t>Exceptions and Repl</w:t>
      </w:r>
      <w:r w:rsidR="001A3E3B">
        <w:rPr>
          <w:b/>
          <w:sz w:val="26"/>
          <w:szCs w:val="26"/>
        </w:rPr>
        <w:t>ies to</w:t>
      </w:r>
      <w:r w:rsidRPr="008F78A8">
        <w:rPr>
          <w:b/>
          <w:sz w:val="26"/>
          <w:szCs w:val="26"/>
        </w:rPr>
        <w:t xml:space="preserve"> Exceptions</w:t>
      </w:r>
    </w:p>
    <w:p w:rsidR="00024D5A" w:rsidRPr="00837061" w:rsidRDefault="00024D5A" w:rsidP="009F0FBD">
      <w:pPr>
        <w:widowControl/>
        <w:spacing w:line="360" w:lineRule="auto"/>
        <w:ind w:firstLine="1440"/>
        <w:contextualSpacing/>
        <w:rPr>
          <w:sz w:val="26"/>
          <w:szCs w:val="26"/>
        </w:rPr>
      </w:pPr>
    </w:p>
    <w:p w:rsidR="00CB44B1" w:rsidRPr="00837061" w:rsidRDefault="00CB44B1" w:rsidP="009F0FBD">
      <w:pPr>
        <w:widowControl/>
        <w:spacing w:line="360" w:lineRule="auto"/>
        <w:ind w:firstLine="1440"/>
        <w:contextualSpacing/>
        <w:rPr>
          <w:sz w:val="26"/>
          <w:szCs w:val="26"/>
        </w:rPr>
      </w:pPr>
      <w:r w:rsidRPr="00837061">
        <w:rPr>
          <w:sz w:val="26"/>
          <w:szCs w:val="26"/>
        </w:rPr>
        <w:t>Before addressing the Exceptions, we note that any issue or Exception that we do not specifically address shall be deemed to have been duly considered and denied without further discussion.  The Commission is not required to consider</w:t>
      </w:r>
      <w:r w:rsidR="008B75E0" w:rsidRPr="00837061">
        <w:rPr>
          <w:sz w:val="26"/>
          <w:szCs w:val="26"/>
        </w:rPr>
        <w:t>, either</w:t>
      </w:r>
      <w:r w:rsidRPr="00837061">
        <w:rPr>
          <w:sz w:val="26"/>
          <w:szCs w:val="26"/>
        </w:rPr>
        <w:t xml:space="preserve"> expressly or at length</w:t>
      </w:r>
      <w:r w:rsidR="008B75E0" w:rsidRPr="00837061">
        <w:rPr>
          <w:sz w:val="26"/>
          <w:szCs w:val="26"/>
        </w:rPr>
        <w:t>,</w:t>
      </w:r>
      <w:r w:rsidRPr="00837061">
        <w:rPr>
          <w:sz w:val="26"/>
          <w:szCs w:val="26"/>
        </w:rPr>
        <w:t xml:space="preserve"> each contention or argument raised by the Parties.  </w:t>
      </w:r>
      <w:r w:rsidR="00F959A7">
        <w:rPr>
          <w:rStyle w:val="Emphasis"/>
          <w:sz w:val="26"/>
          <w:szCs w:val="26"/>
        </w:rPr>
        <w:t>Consolidated Rail Corp. v.</w:t>
      </w:r>
      <w:r w:rsidRPr="00837061">
        <w:rPr>
          <w:rStyle w:val="Emphasis"/>
          <w:sz w:val="26"/>
          <w:szCs w:val="26"/>
        </w:rPr>
        <w:t xml:space="preserve"> Pa. PUC, </w:t>
      </w:r>
      <w:r w:rsidRPr="00837061">
        <w:rPr>
          <w:sz w:val="26"/>
          <w:szCs w:val="26"/>
        </w:rPr>
        <w:t xml:space="preserve">625 A.2d 741 (Pa. Cmwlth. 1993); </w:t>
      </w:r>
      <w:r w:rsidRPr="00837061">
        <w:rPr>
          <w:i/>
          <w:sz w:val="26"/>
          <w:szCs w:val="26"/>
        </w:rPr>
        <w:t xml:space="preserve">also </w:t>
      </w:r>
      <w:r w:rsidRPr="00837061">
        <w:rPr>
          <w:rStyle w:val="Emphasis"/>
          <w:sz w:val="26"/>
          <w:szCs w:val="26"/>
        </w:rPr>
        <w:t>see, generally, University of Pennsylvania v. Pa. PUC</w:t>
      </w:r>
      <w:r w:rsidRPr="00837061">
        <w:rPr>
          <w:sz w:val="26"/>
          <w:szCs w:val="26"/>
        </w:rPr>
        <w:t>, 485 A.2d 1217 (Pa. Cmwlth. 1984).</w:t>
      </w:r>
    </w:p>
    <w:p w:rsidR="00CB44B1" w:rsidRPr="00E42C2E" w:rsidRDefault="00CB44B1" w:rsidP="009F0FBD">
      <w:pPr>
        <w:widowControl/>
        <w:spacing w:line="360" w:lineRule="auto"/>
        <w:ind w:firstLine="1440"/>
        <w:contextualSpacing/>
        <w:rPr>
          <w:sz w:val="26"/>
          <w:szCs w:val="26"/>
        </w:rPr>
      </w:pPr>
    </w:p>
    <w:p w:rsidR="00CB44B1" w:rsidRPr="00E42C2E" w:rsidRDefault="00E42C2E" w:rsidP="009F0FBD">
      <w:pPr>
        <w:widowControl/>
        <w:spacing w:line="360" w:lineRule="auto"/>
        <w:ind w:firstLine="1440"/>
        <w:contextualSpacing/>
        <w:rPr>
          <w:sz w:val="26"/>
          <w:szCs w:val="26"/>
        </w:rPr>
      </w:pPr>
      <w:r w:rsidRPr="00E42C2E">
        <w:rPr>
          <w:sz w:val="26"/>
          <w:szCs w:val="26"/>
        </w:rPr>
        <w:t xml:space="preserve">The Complainant’s Exceptions consist of three typewritten pages in which the Complainant, through counsel, generally expresses his disagreement with the ALJ’s ruling.  The Complainant remains of the opinion that he should not be held responsible for the outstanding electric bills of his tenant.  The Complainant also contends that the ALJ erred in granting PECO’s preliminary objections without affording him the opportunity to be heard.  Therefore, the Complainant requests that he be given a hearing, </w:t>
      </w:r>
      <w:r w:rsidRPr="00F959A7">
        <w:rPr>
          <w:i/>
          <w:sz w:val="26"/>
          <w:szCs w:val="26"/>
        </w:rPr>
        <w:t>nunc pro tunc</w:t>
      </w:r>
      <w:r w:rsidRPr="00E42C2E">
        <w:rPr>
          <w:sz w:val="26"/>
          <w:szCs w:val="26"/>
        </w:rPr>
        <w:t>.  Exc. at 1-3.</w:t>
      </w:r>
    </w:p>
    <w:p w:rsidR="00CB44B1" w:rsidRPr="00E42C2E" w:rsidRDefault="00CB44B1" w:rsidP="00F959A7">
      <w:pPr>
        <w:widowControl/>
        <w:spacing w:line="360" w:lineRule="auto"/>
        <w:ind w:firstLine="1440"/>
        <w:contextualSpacing/>
        <w:rPr>
          <w:sz w:val="26"/>
          <w:szCs w:val="26"/>
        </w:rPr>
      </w:pPr>
    </w:p>
    <w:p w:rsidR="003C7EBB" w:rsidRPr="00782EDE" w:rsidRDefault="003C7EBB" w:rsidP="00F959A7">
      <w:pPr>
        <w:widowControl/>
        <w:spacing w:line="360" w:lineRule="auto"/>
        <w:ind w:firstLine="1440"/>
        <w:contextualSpacing/>
        <w:rPr>
          <w:sz w:val="26"/>
          <w:szCs w:val="26"/>
        </w:rPr>
      </w:pPr>
      <w:r w:rsidRPr="00782EDE">
        <w:rPr>
          <w:sz w:val="26"/>
          <w:szCs w:val="26"/>
        </w:rPr>
        <w:t>PECO rejoins that the ALJ’s Initial Decision is well reasoned and sh</w:t>
      </w:r>
      <w:r w:rsidR="006F5D5F" w:rsidRPr="00782EDE">
        <w:rPr>
          <w:sz w:val="26"/>
          <w:szCs w:val="26"/>
        </w:rPr>
        <w:t xml:space="preserve">ould be upheld.  </w:t>
      </w:r>
      <w:r w:rsidRPr="00782EDE">
        <w:rPr>
          <w:sz w:val="26"/>
          <w:szCs w:val="26"/>
        </w:rPr>
        <w:t xml:space="preserve">PECO notes that the Complainant, in his Exceptions, does not allege that PECO violated any provision of the Code or any Commission Regulation or Order, but instead simply states his disagreement with the ALJ’s decision and the provisions of the Code regarding foreign wiring.  PECO argues that the ALJ correctly determined that when a utility discovers foreign load at a rental property, the utility is required to transfer the tenant’s account, including any arrearages, into the landlord’s name.  Accordingly, PECO </w:t>
      </w:r>
      <w:r w:rsidRPr="00782EDE">
        <w:rPr>
          <w:sz w:val="26"/>
          <w:szCs w:val="26"/>
        </w:rPr>
        <w:lastRenderedPageBreak/>
        <w:t xml:space="preserve">submits </w:t>
      </w:r>
      <w:r w:rsidR="00F959A7">
        <w:rPr>
          <w:sz w:val="26"/>
          <w:szCs w:val="26"/>
        </w:rPr>
        <w:t xml:space="preserve">that </w:t>
      </w:r>
      <w:r w:rsidRPr="00782EDE">
        <w:rPr>
          <w:sz w:val="26"/>
          <w:szCs w:val="26"/>
        </w:rPr>
        <w:t xml:space="preserve">upon </w:t>
      </w:r>
      <w:r w:rsidR="00F959A7">
        <w:rPr>
          <w:sz w:val="26"/>
          <w:szCs w:val="26"/>
        </w:rPr>
        <w:t>discovering the</w:t>
      </w:r>
      <w:r w:rsidRPr="00782EDE">
        <w:rPr>
          <w:sz w:val="26"/>
          <w:szCs w:val="26"/>
        </w:rPr>
        <w:t xml:space="preserve"> foreign wiring in the instant case, it properly transferred the account of the tenant, including arrearages, into the Complainant’s name consistent with Pennsylvania law.  PECO further submits that the ALJ correctly concluded that the Complainant’s case must be dismissed because the Complainant has not stated a claim upon which relief can be granted.  R. Exc. at 1-4.</w:t>
      </w:r>
    </w:p>
    <w:p w:rsidR="00AE2026" w:rsidRPr="008F78A8" w:rsidRDefault="00AE2026" w:rsidP="00F959A7">
      <w:pPr>
        <w:widowControl/>
        <w:spacing w:line="360" w:lineRule="auto"/>
        <w:ind w:firstLine="1440"/>
        <w:contextualSpacing/>
        <w:rPr>
          <w:sz w:val="26"/>
          <w:szCs w:val="26"/>
        </w:rPr>
      </w:pPr>
    </w:p>
    <w:p w:rsidR="00006F35" w:rsidRPr="008F78A8" w:rsidRDefault="00006F35" w:rsidP="007B7FB7">
      <w:pPr>
        <w:keepNext/>
        <w:keepLines/>
        <w:widowControl/>
        <w:spacing w:line="360" w:lineRule="auto"/>
        <w:contextualSpacing/>
        <w:rPr>
          <w:b/>
          <w:sz w:val="26"/>
          <w:szCs w:val="26"/>
        </w:rPr>
      </w:pPr>
      <w:r w:rsidRPr="008F78A8">
        <w:rPr>
          <w:b/>
          <w:sz w:val="26"/>
          <w:szCs w:val="26"/>
        </w:rPr>
        <w:t>Disposition</w:t>
      </w:r>
    </w:p>
    <w:p w:rsidR="00006F35" w:rsidRPr="0092195B" w:rsidRDefault="00006F35" w:rsidP="007B7FB7">
      <w:pPr>
        <w:keepNext/>
        <w:keepLines/>
        <w:widowControl/>
        <w:spacing w:line="360" w:lineRule="auto"/>
        <w:ind w:firstLine="1440"/>
        <w:contextualSpacing/>
        <w:rPr>
          <w:b/>
          <w:sz w:val="26"/>
          <w:szCs w:val="26"/>
        </w:rPr>
      </w:pPr>
    </w:p>
    <w:p w:rsidR="00B12C2E" w:rsidRPr="0092195B" w:rsidRDefault="00B12C2E" w:rsidP="009F0FBD">
      <w:pPr>
        <w:widowControl/>
        <w:spacing w:line="360" w:lineRule="auto"/>
        <w:ind w:firstLine="1440"/>
        <w:contextualSpacing/>
        <w:rPr>
          <w:sz w:val="26"/>
          <w:szCs w:val="26"/>
        </w:rPr>
      </w:pPr>
      <w:r w:rsidRPr="0092195B">
        <w:rPr>
          <w:sz w:val="26"/>
          <w:szCs w:val="26"/>
        </w:rPr>
        <w:t xml:space="preserve">We shall deny the Complainant’s Exceptions and adopt the Initial Decision of ALJ </w:t>
      </w:r>
      <w:r w:rsidR="008431FD">
        <w:rPr>
          <w:sz w:val="26"/>
          <w:szCs w:val="26"/>
        </w:rPr>
        <w:t>Cheskis</w:t>
      </w:r>
      <w:r w:rsidRPr="0092195B">
        <w:rPr>
          <w:sz w:val="26"/>
          <w:szCs w:val="26"/>
        </w:rPr>
        <w:t xml:space="preserve"> consistent with the following discussion.  As noted, </w:t>
      </w:r>
      <w:r w:rsidRPr="00F0277D">
        <w:rPr>
          <w:i/>
          <w:sz w:val="26"/>
          <w:szCs w:val="26"/>
        </w:rPr>
        <w:t>supra</w:t>
      </w:r>
      <w:r w:rsidRPr="0092195B">
        <w:rPr>
          <w:sz w:val="26"/>
          <w:szCs w:val="26"/>
        </w:rPr>
        <w:t xml:space="preserve">, in considering preliminary objections, the Commission must view the Complaint in the light most favorable to the Complainant and should dismiss the Complaint only if it appears that the Complainant would not be entitled to relief under any circumstances as a matter of law.  </w:t>
      </w:r>
    </w:p>
    <w:p w:rsidR="00B12C2E" w:rsidRPr="0092195B" w:rsidRDefault="00B12C2E" w:rsidP="009F0FBD">
      <w:pPr>
        <w:widowControl/>
        <w:spacing w:line="360" w:lineRule="auto"/>
        <w:ind w:firstLine="1440"/>
        <w:contextualSpacing/>
        <w:rPr>
          <w:sz w:val="26"/>
          <w:szCs w:val="26"/>
        </w:rPr>
      </w:pPr>
    </w:p>
    <w:p w:rsidR="006B22C2" w:rsidRDefault="007B7FB7" w:rsidP="003F0AAF">
      <w:pPr>
        <w:widowControl/>
        <w:spacing w:line="360" w:lineRule="auto"/>
        <w:ind w:firstLine="1440"/>
        <w:contextualSpacing/>
        <w:rPr>
          <w:sz w:val="26"/>
          <w:szCs w:val="26"/>
        </w:rPr>
      </w:pPr>
      <w:r>
        <w:rPr>
          <w:sz w:val="26"/>
          <w:szCs w:val="26"/>
        </w:rPr>
        <w:t xml:space="preserve">As noted, </w:t>
      </w:r>
      <w:r w:rsidR="006B22C2" w:rsidRPr="0092195B">
        <w:rPr>
          <w:sz w:val="26"/>
          <w:szCs w:val="26"/>
        </w:rPr>
        <w:t>Section 1529.1 of the Code, 66 Pa.</w:t>
      </w:r>
      <w:r w:rsidR="0024419F" w:rsidRPr="0092195B">
        <w:rPr>
          <w:sz w:val="26"/>
          <w:szCs w:val="26"/>
        </w:rPr>
        <w:t xml:space="preserve"> </w:t>
      </w:r>
      <w:r w:rsidR="006B22C2" w:rsidRPr="0092195B">
        <w:rPr>
          <w:sz w:val="26"/>
          <w:szCs w:val="26"/>
        </w:rPr>
        <w:t>C.S. § 1529.1</w:t>
      </w:r>
      <w:r w:rsidR="00685105" w:rsidRPr="0092195B">
        <w:rPr>
          <w:sz w:val="26"/>
          <w:szCs w:val="26"/>
        </w:rPr>
        <w:t>,</w:t>
      </w:r>
      <w:r w:rsidR="006B22C2" w:rsidRPr="0092195B">
        <w:rPr>
          <w:sz w:val="26"/>
          <w:szCs w:val="26"/>
        </w:rPr>
        <w:t xml:space="preserve"> s</w:t>
      </w:r>
      <w:r w:rsidR="00B378C2" w:rsidRPr="0092195B">
        <w:rPr>
          <w:sz w:val="26"/>
          <w:szCs w:val="26"/>
        </w:rPr>
        <w:t>tates</w:t>
      </w:r>
      <w:r w:rsidR="006B22C2" w:rsidRPr="0092195B">
        <w:rPr>
          <w:sz w:val="26"/>
          <w:szCs w:val="26"/>
        </w:rPr>
        <w:t xml:space="preserve"> the following:  </w:t>
      </w:r>
    </w:p>
    <w:p w:rsidR="003F0AAF" w:rsidRDefault="003F0AAF" w:rsidP="003F0AAF">
      <w:pPr>
        <w:widowControl/>
        <w:spacing w:line="360" w:lineRule="auto"/>
        <w:ind w:firstLine="1440"/>
        <w:contextualSpacing/>
        <w:rPr>
          <w:sz w:val="26"/>
          <w:szCs w:val="26"/>
        </w:rPr>
      </w:pPr>
    </w:p>
    <w:p w:rsidR="006B22C2" w:rsidRPr="0092195B" w:rsidRDefault="006B22C2" w:rsidP="009F0FBD">
      <w:pPr>
        <w:widowControl/>
        <w:autoSpaceDE w:val="0"/>
        <w:autoSpaceDN w:val="0"/>
        <w:adjustRightInd w:val="0"/>
        <w:ind w:left="1440" w:right="1440"/>
        <w:contextualSpacing/>
        <w:rPr>
          <w:b/>
          <w:bCs/>
          <w:sz w:val="26"/>
          <w:szCs w:val="26"/>
        </w:rPr>
      </w:pPr>
      <w:r w:rsidRPr="0092195B">
        <w:rPr>
          <w:b/>
          <w:bCs/>
          <w:sz w:val="26"/>
          <w:szCs w:val="26"/>
        </w:rPr>
        <w:t>§ 1529.1.  Duty of owners of rental property.</w:t>
      </w:r>
    </w:p>
    <w:p w:rsidR="006B22C2" w:rsidRPr="0092195B" w:rsidRDefault="006B22C2" w:rsidP="009F0FBD">
      <w:pPr>
        <w:widowControl/>
        <w:autoSpaceDE w:val="0"/>
        <w:autoSpaceDN w:val="0"/>
        <w:adjustRightInd w:val="0"/>
        <w:ind w:left="1440" w:right="1440"/>
        <w:contextualSpacing/>
        <w:rPr>
          <w:b/>
          <w:bCs/>
          <w:sz w:val="26"/>
          <w:szCs w:val="26"/>
        </w:rPr>
      </w:pPr>
    </w:p>
    <w:p w:rsidR="006B22C2" w:rsidRPr="0092195B" w:rsidRDefault="006B22C2" w:rsidP="009F0FBD">
      <w:pPr>
        <w:widowControl/>
        <w:autoSpaceDE w:val="0"/>
        <w:autoSpaceDN w:val="0"/>
        <w:adjustRightInd w:val="0"/>
        <w:ind w:left="1440" w:right="1440" w:firstLine="720"/>
        <w:contextualSpacing/>
        <w:rPr>
          <w:sz w:val="26"/>
          <w:szCs w:val="26"/>
        </w:rPr>
      </w:pPr>
      <w:r w:rsidRPr="0092195B">
        <w:rPr>
          <w:b/>
          <w:bCs/>
          <w:sz w:val="26"/>
          <w:szCs w:val="26"/>
        </w:rPr>
        <w:t>(a)  Notice to public utility.—</w:t>
      </w:r>
      <w:r w:rsidRPr="0092195B">
        <w:rPr>
          <w:sz w:val="26"/>
          <w:szCs w:val="26"/>
        </w:rPr>
        <w:t>It</w:t>
      </w:r>
      <w:r w:rsidR="00D051BD" w:rsidRPr="0092195B">
        <w:rPr>
          <w:sz w:val="26"/>
          <w:szCs w:val="26"/>
        </w:rPr>
        <w:t xml:space="preserve"> </w:t>
      </w:r>
      <w:r w:rsidRPr="0092195B">
        <w:rPr>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6B22C2" w:rsidRPr="0092195B" w:rsidRDefault="006B22C2" w:rsidP="009F0FBD">
      <w:pPr>
        <w:widowControl/>
        <w:autoSpaceDE w:val="0"/>
        <w:autoSpaceDN w:val="0"/>
        <w:adjustRightInd w:val="0"/>
        <w:ind w:left="1440" w:right="1440"/>
        <w:contextualSpacing/>
        <w:rPr>
          <w:b/>
          <w:bCs/>
          <w:sz w:val="26"/>
          <w:szCs w:val="26"/>
        </w:rPr>
      </w:pPr>
    </w:p>
    <w:p w:rsidR="006B22C2" w:rsidRPr="0092195B" w:rsidRDefault="006B22C2" w:rsidP="009F0FBD">
      <w:pPr>
        <w:widowControl/>
        <w:ind w:left="1440" w:right="1440" w:firstLine="720"/>
        <w:contextualSpacing/>
        <w:rPr>
          <w:sz w:val="26"/>
          <w:szCs w:val="26"/>
        </w:rPr>
      </w:pPr>
      <w:r w:rsidRPr="0092195B">
        <w:rPr>
          <w:b/>
          <w:bCs/>
          <w:sz w:val="26"/>
          <w:szCs w:val="26"/>
        </w:rPr>
        <w:t>(b)  History of account.—</w:t>
      </w:r>
      <w:r w:rsidRPr="0092195B">
        <w:rPr>
          <w:sz w:val="26"/>
          <w:szCs w:val="26"/>
        </w:rPr>
        <w:t xml:space="preserve">Upon receipt of the notice provided in this section, if the mobile home park or residential building contains one or more dwelling </w:t>
      </w:r>
      <w:bookmarkStart w:id="4" w:name="SDU_2"/>
      <w:bookmarkEnd w:id="4"/>
      <w:r w:rsidRPr="0092195B">
        <w:rPr>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w:t>
      </w:r>
      <w:r w:rsidRPr="0092195B">
        <w:rPr>
          <w:sz w:val="26"/>
          <w:szCs w:val="26"/>
        </w:rPr>
        <w:lastRenderedPageBreak/>
        <w:t>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6B22C2" w:rsidRPr="0092195B" w:rsidRDefault="006B22C2" w:rsidP="009F0FBD">
      <w:pPr>
        <w:widowControl/>
        <w:ind w:left="1440" w:right="1440"/>
        <w:contextualSpacing/>
        <w:rPr>
          <w:b/>
          <w:bCs/>
          <w:sz w:val="26"/>
          <w:szCs w:val="26"/>
        </w:rPr>
      </w:pPr>
    </w:p>
    <w:p w:rsidR="007655D8" w:rsidRDefault="006B22C2" w:rsidP="007F4AED">
      <w:pPr>
        <w:widowControl/>
        <w:ind w:left="1440" w:right="1440" w:firstLine="720"/>
        <w:contextualSpacing/>
        <w:rPr>
          <w:sz w:val="26"/>
          <w:szCs w:val="26"/>
        </w:rPr>
      </w:pPr>
      <w:r w:rsidRPr="0092195B">
        <w:rPr>
          <w:b/>
          <w:bCs/>
          <w:sz w:val="26"/>
          <w:szCs w:val="26"/>
        </w:rPr>
        <w:t xml:space="preserve">(c) </w:t>
      </w:r>
      <w:r w:rsidR="002916C2" w:rsidRPr="0092195B">
        <w:rPr>
          <w:b/>
          <w:bCs/>
          <w:sz w:val="26"/>
          <w:szCs w:val="26"/>
        </w:rPr>
        <w:t xml:space="preserve"> </w:t>
      </w:r>
      <w:r w:rsidRPr="0092195B">
        <w:rPr>
          <w:b/>
          <w:bCs/>
          <w:sz w:val="26"/>
          <w:szCs w:val="26"/>
        </w:rPr>
        <w:t>Failure to give notice.</w:t>
      </w:r>
      <w:r w:rsidR="00723FB6" w:rsidRPr="0092195B">
        <w:rPr>
          <w:b/>
          <w:bCs/>
          <w:sz w:val="26"/>
          <w:szCs w:val="26"/>
        </w:rPr>
        <w:t>—</w:t>
      </w:r>
      <w:r w:rsidRPr="0092195B">
        <w:rPr>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7F4AED" w:rsidRDefault="007F4AED" w:rsidP="007F4AED">
      <w:pPr>
        <w:widowControl/>
        <w:ind w:left="1440" w:right="1440" w:firstLine="720"/>
        <w:contextualSpacing/>
        <w:rPr>
          <w:rFonts w:eastAsia="Calibri"/>
          <w:sz w:val="26"/>
          <w:szCs w:val="26"/>
        </w:rPr>
      </w:pPr>
    </w:p>
    <w:p w:rsidR="007F4AED" w:rsidRDefault="007F4AED" w:rsidP="007F4AED">
      <w:pPr>
        <w:widowControl/>
        <w:ind w:left="1440" w:right="1440" w:firstLine="720"/>
        <w:contextualSpacing/>
        <w:rPr>
          <w:rFonts w:eastAsia="Calibri"/>
          <w:sz w:val="26"/>
          <w:szCs w:val="26"/>
        </w:rPr>
      </w:pPr>
    </w:p>
    <w:p w:rsidR="00332DA2" w:rsidRPr="0092195B" w:rsidRDefault="00F42418" w:rsidP="009F0FBD">
      <w:pPr>
        <w:widowControl/>
        <w:spacing w:line="360" w:lineRule="auto"/>
        <w:ind w:firstLine="1440"/>
        <w:contextualSpacing/>
        <w:rPr>
          <w:sz w:val="26"/>
          <w:szCs w:val="26"/>
        </w:rPr>
      </w:pPr>
      <w:r w:rsidRPr="0092195B">
        <w:rPr>
          <w:sz w:val="26"/>
          <w:szCs w:val="26"/>
        </w:rPr>
        <w:t>In interpreting th</w:t>
      </w:r>
      <w:r w:rsidR="00002451">
        <w:rPr>
          <w:sz w:val="26"/>
          <w:szCs w:val="26"/>
        </w:rPr>
        <w:t>e above cited</w:t>
      </w:r>
      <w:r w:rsidRPr="0092195B">
        <w:rPr>
          <w:sz w:val="26"/>
          <w:szCs w:val="26"/>
        </w:rPr>
        <w:t xml:space="preserve"> provision, </w:t>
      </w:r>
      <w:r w:rsidR="007B7FB7">
        <w:rPr>
          <w:sz w:val="26"/>
          <w:szCs w:val="26"/>
        </w:rPr>
        <w:t xml:space="preserve">we have </w:t>
      </w:r>
      <w:r w:rsidRPr="0092195B">
        <w:rPr>
          <w:sz w:val="26"/>
          <w:szCs w:val="26"/>
        </w:rPr>
        <w:t xml:space="preserve">determined that </w:t>
      </w:r>
      <w:r w:rsidR="00CE3EC9" w:rsidRPr="0092195B">
        <w:rPr>
          <w:sz w:val="26"/>
          <w:szCs w:val="26"/>
        </w:rPr>
        <w:t>well-established precedent “hol</w:t>
      </w:r>
      <w:r w:rsidR="00B311F2" w:rsidRPr="0092195B">
        <w:rPr>
          <w:sz w:val="26"/>
          <w:szCs w:val="26"/>
        </w:rPr>
        <w:t xml:space="preserve">ds </w:t>
      </w:r>
      <w:r w:rsidR="00CE3EC9" w:rsidRPr="0092195B">
        <w:rPr>
          <w:sz w:val="26"/>
          <w:szCs w:val="26"/>
        </w:rPr>
        <w:t>the</w:t>
      </w:r>
      <w:r w:rsidR="00B311F2" w:rsidRPr="0092195B">
        <w:rPr>
          <w:sz w:val="26"/>
          <w:szCs w:val="26"/>
        </w:rPr>
        <w:t xml:space="preserve"> property owner financially responsible for a tenant’s entire account, once foreign load is </w:t>
      </w:r>
      <w:r w:rsidR="00CE3EC9" w:rsidRPr="0092195B">
        <w:rPr>
          <w:sz w:val="26"/>
          <w:szCs w:val="26"/>
        </w:rPr>
        <w:t xml:space="preserve">verified on the tenant’s service.”  </w:t>
      </w:r>
      <w:r w:rsidR="00CE3EC9" w:rsidRPr="0092195B">
        <w:rPr>
          <w:i/>
          <w:sz w:val="26"/>
          <w:szCs w:val="26"/>
        </w:rPr>
        <w:t>Ace Check Cashing</w:t>
      </w:r>
      <w:r w:rsidR="0024419F" w:rsidRPr="0092195B">
        <w:rPr>
          <w:i/>
          <w:sz w:val="26"/>
          <w:szCs w:val="26"/>
        </w:rPr>
        <w:t>,</w:t>
      </w:r>
      <w:r w:rsidR="00CE3EC9" w:rsidRPr="0092195B">
        <w:rPr>
          <w:i/>
          <w:sz w:val="26"/>
          <w:szCs w:val="26"/>
        </w:rPr>
        <w:t xml:space="preserve"> </w:t>
      </w:r>
      <w:r w:rsidR="004D5CFF" w:rsidRPr="0092195B">
        <w:rPr>
          <w:i/>
          <w:sz w:val="26"/>
          <w:szCs w:val="26"/>
        </w:rPr>
        <w:t>supra</w:t>
      </w:r>
      <w:r w:rsidR="004D5CFF" w:rsidRPr="0092195B">
        <w:rPr>
          <w:sz w:val="26"/>
          <w:szCs w:val="26"/>
        </w:rPr>
        <w:t>,</w:t>
      </w:r>
      <w:r w:rsidR="004E41CC" w:rsidRPr="0092195B">
        <w:rPr>
          <w:sz w:val="26"/>
          <w:szCs w:val="26"/>
        </w:rPr>
        <w:t xml:space="preserve"> at 6</w:t>
      </w:r>
      <w:r w:rsidR="00B102A9" w:rsidRPr="0092195B">
        <w:rPr>
          <w:sz w:val="26"/>
          <w:szCs w:val="26"/>
        </w:rPr>
        <w:t>; s</w:t>
      </w:r>
      <w:r w:rsidR="006B346F" w:rsidRPr="0092195B">
        <w:rPr>
          <w:i/>
          <w:sz w:val="26"/>
          <w:szCs w:val="26"/>
        </w:rPr>
        <w:t xml:space="preserve">ee also, </w:t>
      </w:r>
      <w:r w:rsidR="006A148D" w:rsidRPr="0092195B">
        <w:rPr>
          <w:i/>
          <w:sz w:val="26"/>
          <w:szCs w:val="26"/>
        </w:rPr>
        <w:t>Santos,</w:t>
      </w:r>
      <w:r w:rsidR="004D5CFF" w:rsidRPr="0092195B">
        <w:rPr>
          <w:sz w:val="26"/>
          <w:szCs w:val="26"/>
        </w:rPr>
        <w:t xml:space="preserve"> </w:t>
      </w:r>
      <w:r w:rsidR="004D5CFF" w:rsidRPr="0092195B">
        <w:rPr>
          <w:i/>
          <w:sz w:val="26"/>
          <w:szCs w:val="26"/>
        </w:rPr>
        <w:t>supra</w:t>
      </w:r>
      <w:r w:rsidR="00B102A9" w:rsidRPr="0092195B">
        <w:rPr>
          <w:sz w:val="26"/>
          <w:szCs w:val="26"/>
        </w:rPr>
        <w:t>.</w:t>
      </w:r>
      <w:r w:rsidR="00B102A9" w:rsidRPr="0092195B">
        <w:rPr>
          <w:sz w:val="26"/>
        </w:rPr>
        <w:t xml:space="preserve"> </w:t>
      </w:r>
      <w:r w:rsidR="007C455B" w:rsidRPr="0092195B">
        <w:rPr>
          <w:sz w:val="26"/>
          <w:szCs w:val="26"/>
        </w:rPr>
        <w:t xml:space="preserve"> </w:t>
      </w:r>
      <w:r w:rsidR="00A74D85">
        <w:rPr>
          <w:sz w:val="26"/>
          <w:szCs w:val="26"/>
        </w:rPr>
        <w:t xml:space="preserve">We explained our </w:t>
      </w:r>
      <w:r w:rsidR="007C455B" w:rsidRPr="0092195B">
        <w:rPr>
          <w:sz w:val="26"/>
          <w:szCs w:val="26"/>
        </w:rPr>
        <w:t xml:space="preserve">foreign load policy in detail in </w:t>
      </w:r>
      <w:r w:rsidR="007C455B" w:rsidRPr="0092195B">
        <w:rPr>
          <w:i/>
          <w:sz w:val="26"/>
          <w:szCs w:val="26"/>
        </w:rPr>
        <w:t>Ace Check Cashing</w:t>
      </w:r>
      <w:r w:rsidR="00240E6F" w:rsidRPr="0092195B">
        <w:rPr>
          <w:sz w:val="26"/>
          <w:szCs w:val="26"/>
        </w:rPr>
        <w:t xml:space="preserve">.  </w:t>
      </w:r>
      <w:r w:rsidR="001C22A5" w:rsidRPr="0092195B">
        <w:rPr>
          <w:sz w:val="26"/>
          <w:szCs w:val="26"/>
        </w:rPr>
        <w:t xml:space="preserve">Specifically, </w:t>
      </w:r>
      <w:r w:rsidR="00A74D85">
        <w:rPr>
          <w:sz w:val="26"/>
          <w:szCs w:val="26"/>
        </w:rPr>
        <w:t xml:space="preserve">we concluded that </w:t>
      </w:r>
      <w:r w:rsidR="00A74D85" w:rsidRPr="0092195B">
        <w:rPr>
          <w:sz w:val="26"/>
          <w:szCs w:val="26"/>
        </w:rPr>
        <w:t xml:space="preserve">upon </w:t>
      </w:r>
      <w:r w:rsidR="00A74D85">
        <w:rPr>
          <w:sz w:val="26"/>
          <w:szCs w:val="26"/>
        </w:rPr>
        <w:t>discoveri</w:t>
      </w:r>
      <w:r w:rsidR="00A74D85" w:rsidRPr="0092195B">
        <w:rPr>
          <w:sz w:val="26"/>
          <w:szCs w:val="26"/>
        </w:rPr>
        <w:t xml:space="preserve">ng foreign load, </w:t>
      </w:r>
      <w:r w:rsidR="00240E6F" w:rsidRPr="0092195B">
        <w:rPr>
          <w:sz w:val="26"/>
          <w:szCs w:val="26"/>
        </w:rPr>
        <w:t>the utility must list the account, including any arrearages, in the landlord’s name</w:t>
      </w:r>
      <w:r w:rsidR="00D456A6" w:rsidRPr="0092195B">
        <w:rPr>
          <w:sz w:val="26"/>
          <w:szCs w:val="26"/>
        </w:rPr>
        <w:t xml:space="preserve"> and the landlord must assume the responsibility of </w:t>
      </w:r>
      <w:r w:rsidR="00240E6F" w:rsidRPr="0092195B">
        <w:rPr>
          <w:sz w:val="26"/>
          <w:szCs w:val="26"/>
        </w:rPr>
        <w:t>paying the utility bills</w:t>
      </w:r>
      <w:r w:rsidR="00D456A6" w:rsidRPr="0092195B">
        <w:rPr>
          <w:sz w:val="26"/>
          <w:szCs w:val="26"/>
        </w:rPr>
        <w:t xml:space="preserve"> at the service address</w:t>
      </w:r>
      <w:r w:rsidR="00240E6F" w:rsidRPr="0092195B">
        <w:rPr>
          <w:sz w:val="26"/>
          <w:szCs w:val="26"/>
        </w:rPr>
        <w:t xml:space="preserve"> until the foreign load is corrected.  After the foreign load is corrected by the landlord and verified by the utility, the utility is to place the account back into the tenant’s name</w:t>
      </w:r>
      <w:r w:rsidR="00701370" w:rsidRPr="0092195B">
        <w:rPr>
          <w:sz w:val="26"/>
          <w:szCs w:val="26"/>
        </w:rPr>
        <w:t xml:space="preserve">.  </w:t>
      </w:r>
      <w:r w:rsidR="00701370" w:rsidRPr="0092195B">
        <w:rPr>
          <w:i/>
          <w:sz w:val="26"/>
          <w:szCs w:val="26"/>
        </w:rPr>
        <w:t>Id</w:t>
      </w:r>
      <w:r w:rsidR="00701370" w:rsidRPr="0092195B">
        <w:rPr>
          <w:sz w:val="26"/>
          <w:szCs w:val="26"/>
        </w:rPr>
        <w:t>.</w:t>
      </w:r>
      <w:r w:rsidR="00A74D85">
        <w:rPr>
          <w:sz w:val="26"/>
          <w:szCs w:val="26"/>
        </w:rPr>
        <w:t> </w:t>
      </w:r>
      <w:r w:rsidR="00701370" w:rsidRPr="0092195B">
        <w:rPr>
          <w:sz w:val="26"/>
          <w:szCs w:val="26"/>
        </w:rPr>
        <w:t>at 7.  H</w:t>
      </w:r>
      <w:r w:rsidR="00240E6F" w:rsidRPr="0092195B">
        <w:rPr>
          <w:sz w:val="26"/>
          <w:szCs w:val="26"/>
        </w:rPr>
        <w:t>owever</w:t>
      </w:r>
      <w:r w:rsidR="002E1460" w:rsidRPr="0092195B">
        <w:rPr>
          <w:sz w:val="26"/>
          <w:szCs w:val="26"/>
        </w:rPr>
        <w:t>,</w:t>
      </w:r>
      <w:r w:rsidR="00240E6F" w:rsidRPr="0092195B">
        <w:rPr>
          <w:sz w:val="26"/>
          <w:szCs w:val="26"/>
        </w:rPr>
        <w:t xml:space="preserve"> </w:t>
      </w:r>
      <w:r w:rsidR="00701370" w:rsidRPr="0092195B">
        <w:rPr>
          <w:sz w:val="26"/>
          <w:szCs w:val="26"/>
        </w:rPr>
        <w:t xml:space="preserve">the landlord remains responsible for </w:t>
      </w:r>
      <w:r w:rsidR="00240E6F" w:rsidRPr="0092195B">
        <w:rPr>
          <w:sz w:val="26"/>
          <w:szCs w:val="26"/>
        </w:rPr>
        <w:t xml:space="preserve">any arrearages on the tenant’s account.  </w:t>
      </w:r>
      <w:r w:rsidR="00701370" w:rsidRPr="0092195B">
        <w:rPr>
          <w:i/>
          <w:sz w:val="26"/>
          <w:szCs w:val="26"/>
        </w:rPr>
        <w:t>Id</w:t>
      </w:r>
      <w:r w:rsidR="00701370" w:rsidRPr="0092195B">
        <w:rPr>
          <w:sz w:val="26"/>
          <w:szCs w:val="26"/>
        </w:rPr>
        <w:t xml:space="preserve">. at 7-8.  This rule applies even if the amount </w:t>
      </w:r>
      <w:r w:rsidR="009356E6" w:rsidRPr="0092195B">
        <w:rPr>
          <w:sz w:val="26"/>
          <w:szCs w:val="26"/>
        </w:rPr>
        <w:t>of usage attributable</w:t>
      </w:r>
      <w:r w:rsidR="00701370" w:rsidRPr="0092195B">
        <w:rPr>
          <w:sz w:val="26"/>
          <w:szCs w:val="26"/>
        </w:rPr>
        <w:t xml:space="preserve"> to foreign load is considered </w:t>
      </w:r>
      <w:r w:rsidR="00701370" w:rsidRPr="0092195B">
        <w:rPr>
          <w:i/>
          <w:sz w:val="26"/>
          <w:szCs w:val="26"/>
        </w:rPr>
        <w:t>de minim</w:t>
      </w:r>
      <w:r w:rsidR="00E304B5" w:rsidRPr="0092195B">
        <w:rPr>
          <w:i/>
          <w:sz w:val="26"/>
          <w:szCs w:val="26"/>
        </w:rPr>
        <w:t>i</w:t>
      </w:r>
      <w:r w:rsidR="00701370" w:rsidRPr="0092195B">
        <w:rPr>
          <w:i/>
          <w:sz w:val="26"/>
          <w:szCs w:val="26"/>
        </w:rPr>
        <w:t>s</w:t>
      </w:r>
      <w:r w:rsidR="00701370" w:rsidRPr="0092195B">
        <w:rPr>
          <w:sz w:val="26"/>
          <w:szCs w:val="26"/>
        </w:rPr>
        <w:t xml:space="preserve">.  </w:t>
      </w:r>
      <w:r w:rsidR="00A74D85">
        <w:rPr>
          <w:sz w:val="26"/>
          <w:szCs w:val="26"/>
        </w:rPr>
        <w:t xml:space="preserve">We also previously determined that we </w:t>
      </w:r>
      <w:r w:rsidR="00240E6F" w:rsidRPr="0092195B">
        <w:rPr>
          <w:sz w:val="26"/>
          <w:szCs w:val="26"/>
        </w:rPr>
        <w:t xml:space="preserve">have </w:t>
      </w:r>
      <w:r w:rsidR="00A74D85">
        <w:rPr>
          <w:sz w:val="26"/>
          <w:szCs w:val="26"/>
        </w:rPr>
        <w:t xml:space="preserve">no </w:t>
      </w:r>
      <w:r w:rsidR="00240E6F" w:rsidRPr="0092195B">
        <w:rPr>
          <w:sz w:val="26"/>
          <w:szCs w:val="26"/>
        </w:rPr>
        <w:t xml:space="preserve">jurisdiction over disputes concerning the financial responsibilities of private parties, </w:t>
      </w:r>
      <w:r w:rsidR="006556A7" w:rsidRPr="0092195B">
        <w:rPr>
          <w:sz w:val="26"/>
          <w:szCs w:val="26"/>
        </w:rPr>
        <w:t xml:space="preserve">such as the landlord and tenant, </w:t>
      </w:r>
      <w:r w:rsidR="00240E6F" w:rsidRPr="0092195B">
        <w:rPr>
          <w:sz w:val="26"/>
          <w:szCs w:val="26"/>
        </w:rPr>
        <w:t>and such matters are to be resolved in the Court</w:t>
      </w:r>
      <w:r w:rsidR="00B102A9" w:rsidRPr="0092195B">
        <w:rPr>
          <w:sz w:val="26"/>
          <w:szCs w:val="26"/>
        </w:rPr>
        <w:t>s</w:t>
      </w:r>
      <w:r w:rsidR="00240E6F" w:rsidRPr="0092195B">
        <w:rPr>
          <w:sz w:val="26"/>
          <w:szCs w:val="26"/>
        </w:rPr>
        <w:t xml:space="preserve"> of Common Pleas.</w:t>
      </w:r>
      <w:r w:rsidR="00701370" w:rsidRPr="0092195B">
        <w:rPr>
          <w:sz w:val="26"/>
          <w:szCs w:val="26"/>
        </w:rPr>
        <w:t xml:space="preserve">  </w:t>
      </w:r>
      <w:r w:rsidR="00701370" w:rsidRPr="0092195B">
        <w:rPr>
          <w:i/>
          <w:sz w:val="26"/>
          <w:szCs w:val="26"/>
        </w:rPr>
        <w:t>Id</w:t>
      </w:r>
      <w:r w:rsidR="00701370" w:rsidRPr="0092195B">
        <w:rPr>
          <w:sz w:val="26"/>
          <w:szCs w:val="26"/>
        </w:rPr>
        <w:t>. at 8.</w:t>
      </w:r>
    </w:p>
    <w:p w:rsidR="000676B7" w:rsidRPr="0092195B" w:rsidRDefault="000676B7" w:rsidP="009F0FBD">
      <w:pPr>
        <w:widowControl/>
        <w:spacing w:line="360" w:lineRule="auto"/>
        <w:contextualSpacing/>
        <w:rPr>
          <w:sz w:val="26"/>
          <w:szCs w:val="26"/>
        </w:rPr>
      </w:pPr>
    </w:p>
    <w:p w:rsidR="000C346C" w:rsidRPr="0092195B" w:rsidRDefault="00D456A6" w:rsidP="009F0FBD">
      <w:pPr>
        <w:widowControl/>
        <w:spacing w:line="360" w:lineRule="auto"/>
        <w:ind w:firstLine="1440"/>
        <w:contextualSpacing/>
        <w:rPr>
          <w:sz w:val="26"/>
        </w:rPr>
      </w:pPr>
      <w:r w:rsidRPr="0092195B">
        <w:rPr>
          <w:sz w:val="26"/>
          <w:szCs w:val="26"/>
        </w:rPr>
        <w:t>The</w:t>
      </w:r>
      <w:r w:rsidR="000676B7" w:rsidRPr="0092195B">
        <w:rPr>
          <w:sz w:val="26"/>
          <w:szCs w:val="26"/>
        </w:rPr>
        <w:t xml:space="preserve"> Commonwealth Court upheld </w:t>
      </w:r>
      <w:r w:rsidR="00C1785A" w:rsidRPr="0092195B">
        <w:rPr>
          <w:sz w:val="26"/>
          <w:szCs w:val="26"/>
        </w:rPr>
        <w:t>a similar Commission</w:t>
      </w:r>
      <w:r w:rsidR="000676B7" w:rsidRPr="0092195B">
        <w:rPr>
          <w:sz w:val="26"/>
          <w:szCs w:val="26"/>
        </w:rPr>
        <w:t xml:space="preserve"> decision involving foreign load.  </w:t>
      </w:r>
      <w:r w:rsidR="000676B7" w:rsidRPr="0092195B">
        <w:rPr>
          <w:i/>
          <w:sz w:val="26"/>
        </w:rPr>
        <w:t xml:space="preserve">1-A Realty v. PPL Electric Utilities Corp, </w:t>
      </w:r>
      <w:r w:rsidR="000676B7" w:rsidRPr="0092195B">
        <w:rPr>
          <w:sz w:val="26"/>
        </w:rPr>
        <w:t>Docket Nos. F-2010-2166554 and F-2010-2166976 (Order entered April 12, 2012)</w:t>
      </w:r>
      <w:r w:rsidR="004D5CFF" w:rsidRPr="0092195B">
        <w:rPr>
          <w:sz w:val="26"/>
        </w:rPr>
        <w:t xml:space="preserve"> (</w:t>
      </w:r>
      <w:r w:rsidR="004D5CFF" w:rsidRPr="0092195B">
        <w:rPr>
          <w:i/>
          <w:sz w:val="26"/>
        </w:rPr>
        <w:t>1-A Realty</w:t>
      </w:r>
      <w:r w:rsidR="004D5CFF" w:rsidRPr="0092195B">
        <w:rPr>
          <w:sz w:val="26"/>
        </w:rPr>
        <w:t>)</w:t>
      </w:r>
      <w:r w:rsidR="000676B7" w:rsidRPr="0092195B">
        <w:rPr>
          <w:sz w:val="26"/>
        </w:rPr>
        <w:t>,</w:t>
      </w:r>
      <w:r w:rsidR="000676B7" w:rsidRPr="0092195B">
        <w:rPr>
          <w:i/>
          <w:sz w:val="26"/>
        </w:rPr>
        <w:t xml:space="preserve"> </w:t>
      </w:r>
      <w:r w:rsidR="00C1785A" w:rsidRPr="0092195B">
        <w:rPr>
          <w:i/>
          <w:sz w:val="26"/>
        </w:rPr>
        <w:t xml:space="preserve">aff’d, </w:t>
      </w:r>
      <w:r w:rsidR="000676B7" w:rsidRPr="0092195B">
        <w:rPr>
          <w:i/>
          <w:sz w:val="26"/>
        </w:rPr>
        <w:t xml:space="preserve">1-A Realty v. Pa. PUC, </w:t>
      </w:r>
      <w:r w:rsidR="004D5CFF" w:rsidRPr="0092195B">
        <w:rPr>
          <w:sz w:val="26"/>
        </w:rPr>
        <w:t>63 A.3d 480</w:t>
      </w:r>
      <w:r w:rsidR="000676B7" w:rsidRPr="0092195B">
        <w:rPr>
          <w:sz w:val="26"/>
        </w:rPr>
        <w:t xml:space="preserve"> (Pa. Cmwlth. 2013)</w:t>
      </w:r>
      <w:r w:rsidR="00C1785A" w:rsidRPr="0092195B">
        <w:rPr>
          <w:sz w:val="26"/>
        </w:rPr>
        <w:t xml:space="preserve">.  In </w:t>
      </w:r>
      <w:r w:rsidR="00C1785A" w:rsidRPr="0092195B">
        <w:rPr>
          <w:i/>
          <w:sz w:val="26"/>
        </w:rPr>
        <w:t xml:space="preserve">1-A Realty, </w:t>
      </w:r>
      <w:r w:rsidR="00975572" w:rsidRPr="0092195B">
        <w:rPr>
          <w:sz w:val="26"/>
        </w:rPr>
        <w:t xml:space="preserve">PPL transferred two tenant </w:t>
      </w:r>
      <w:r w:rsidR="00975572" w:rsidRPr="0092195B">
        <w:rPr>
          <w:sz w:val="26"/>
        </w:rPr>
        <w:lastRenderedPageBreak/>
        <w:t xml:space="preserve">accounts to the owner </w:t>
      </w:r>
      <w:r w:rsidR="00B102A9" w:rsidRPr="0092195B">
        <w:rPr>
          <w:sz w:val="26"/>
        </w:rPr>
        <w:t xml:space="preserve">of a mobile </w:t>
      </w:r>
      <w:r w:rsidR="00700691" w:rsidRPr="0092195B">
        <w:rPr>
          <w:sz w:val="26"/>
        </w:rPr>
        <w:t xml:space="preserve">home </w:t>
      </w:r>
      <w:r w:rsidR="00B102A9" w:rsidRPr="0092195B">
        <w:rPr>
          <w:sz w:val="26"/>
        </w:rPr>
        <w:t xml:space="preserve">park </w:t>
      </w:r>
      <w:r w:rsidR="00975572" w:rsidRPr="0092195B">
        <w:rPr>
          <w:sz w:val="26"/>
        </w:rPr>
        <w:t>af</w:t>
      </w:r>
      <w:r w:rsidR="00B102A9" w:rsidRPr="0092195B">
        <w:rPr>
          <w:sz w:val="26"/>
        </w:rPr>
        <w:t>ter determining that the tenant</w:t>
      </w:r>
      <w:r w:rsidR="00975572" w:rsidRPr="0092195B">
        <w:rPr>
          <w:sz w:val="26"/>
        </w:rPr>
        <w:t>s</w:t>
      </w:r>
      <w:r w:rsidR="00B102A9" w:rsidRPr="0092195B">
        <w:rPr>
          <w:sz w:val="26"/>
        </w:rPr>
        <w:t>’</w:t>
      </w:r>
      <w:r w:rsidR="00975572" w:rsidRPr="0092195B">
        <w:rPr>
          <w:sz w:val="26"/>
        </w:rPr>
        <w:t xml:space="preserve"> electric meters were </w:t>
      </w:r>
      <w:r w:rsidR="00B102A9" w:rsidRPr="0092195B">
        <w:rPr>
          <w:sz w:val="26"/>
        </w:rPr>
        <w:t>registering</w:t>
      </w:r>
      <w:r w:rsidR="00975572" w:rsidRPr="0092195B">
        <w:rPr>
          <w:sz w:val="26"/>
        </w:rPr>
        <w:t xml:space="preserve"> foreign loads from communal street lights</w:t>
      </w:r>
      <w:r w:rsidR="001404B2" w:rsidRPr="0092195B">
        <w:rPr>
          <w:sz w:val="26"/>
        </w:rPr>
        <w:t xml:space="preserve"> under a private agreement between the </w:t>
      </w:r>
      <w:r w:rsidR="0057699D" w:rsidRPr="0092195B">
        <w:rPr>
          <w:sz w:val="26"/>
        </w:rPr>
        <w:t>tenants and the owner</w:t>
      </w:r>
      <w:r w:rsidR="00975572" w:rsidRPr="0092195B">
        <w:rPr>
          <w:sz w:val="26"/>
        </w:rPr>
        <w:t xml:space="preserve">.  The owner challenged the determination and the ALJ issued an initial decision denying the owner’s complaint.  </w:t>
      </w:r>
      <w:r w:rsidR="00476257" w:rsidRPr="0092195B">
        <w:rPr>
          <w:sz w:val="26"/>
        </w:rPr>
        <w:t>We adopted the ALJ’s decision</w:t>
      </w:r>
      <w:r w:rsidR="00B102A9" w:rsidRPr="0092195B">
        <w:rPr>
          <w:sz w:val="26"/>
        </w:rPr>
        <w:t>,</w:t>
      </w:r>
      <w:r w:rsidR="00476257" w:rsidRPr="0092195B">
        <w:rPr>
          <w:sz w:val="26"/>
        </w:rPr>
        <w:t xml:space="preserve"> concluding that Section 1529.1 </w:t>
      </w:r>
      <w:r w:rsidRPr="0092195B">
        <w:rPr>
          <w:sz w:val="26"/>
        </w:rPr>
        <w:t xml:space="preserve">of the Code </w:t>
      </w:r>
      <w:r w:rsidR="00476257" w:rsidRPr="0092195B">
        <w:rPr>
          <w:sz w:val="26"/>
        </w:rPr>
        <w:t>requires a utility to list an account in the name of the owner of the premises upon learning of the existence of foreign load</w:t>
      </w:r>
      <w:r w:rsidR="00B102A9" w:rsidRPr="0092195B">
        <w:rPr>
          <w:sz w:val="26"/>
        </w:rPr>
        <w:t>,</w:t>
      </w:r>
      <w:r w:rsidR="00476257" w:rsidRPr="0092195B">
        <w:rPr>
          <w:sz w:val="26"/>
        </w:rPr>
        <w:t xml:space="preserve"> and </w:t>
      </w:r>
      <w:r w:rsidR="00B102A9" w:rsidRPr="0092195B">
        <w:rPr>
          <w:sz w:val="26"/>
        </w:rPr>
        <w:t xml:space="preserve">that </w:t>
      </w:r>
      <w:r w:rsidR="001C22A5" w:rsidRPr="0092195B">
        <w:rPr>
          <w:sz w:val="26"/>
        </w:rPr>
        <w:t>this</w:t>
      </w:r>
      <w:r w:rsidR="00476257" w:rsidRPr="0092195B">
        <w:rPr>
          <w:sz w:val="26"/>
        </w:rPr>
        <w:t xml:space="preserve"> statutory requirement imposed on utilities is mandatory rather than discretionary.  </w:t>
      </w:r>
      <w:r w:rsidR="00476257" w:rsidRPr="0092195B">
        <w:rPr>
          <w:i/>
          <w:sz w:val="26"/>
        </w:rPr>
        <w:t xml:space="preserve">1-A Realty </w:t>
      </w:r>
      <w:r w:rsidR="001404B2" w:rsidRPr="0092195B">
        <w:rPr>
          <w:sz w:val="26"/>
        </w:rPr>
        <w:t>at 20</w:t>
      </w:r>
      <w:r w:rsidR="001A3E3B">
        <w:rPr>
          <w:sz w:val="26"/>
        </w:rPr>
        <w:t>.</w:t>
      </w:r>
    </w:p>
    <w:p w:rsidR="001C22A5" w:rsidRPr="0092195B" w:rsidRDefault="001C22A5" w:rsidP="009F0FBD">
      <w:pPr>
        <w:widowControl/>
        <w:spacing w:line="360" w:lineRule="auto"/>
        <w:contextualSpacing/>
        <w:rPr>
          <w:sz w:val="26"/>
        </w:rPr>
      </w:pPr>
    </w:p>
    <w:p w:rsidR="009F1F02" w:rsidRPr="0092195B" w:rsidRDefault="0023353B" w:rsidP="009F0FBD">
      <w:pPr>
        <w:widowControl/>
        <w:spacing w:line="360" w:lineRule="auto"/>
        <w:ind w:firstLine="1440"/>
        <w:contextualSpacing/>
        <w:rPr>
          <w:sz w:val="26"/>
        </w:rPr>
      </w:pPr>
      <w:r w:rsidRPr="0092195B">
        <w:rPr>
          <w:sz w:val="26"/>
        </w:rPr>
        <w:t xml:space="preserve">A utility has an affirmative duty to investigate a foreign load complaint.  If, after investigation, the utility </w:t>
      </w:r>
      <w:r w:rsidR="00923DEF" w:rsidRPr="0092195B">
        <w:rPr>
          <w:sz w:val="26"/>
        </w:rPr>
        <w:t>suspects a foreign load situation</w:t>
      </w:r>
      <w:r w:rsidRPr="0092195B">
        <w:rPr>
          <w:sz w:val="26"/>
        </w:rPr>
        <w:t xml:space="preserve">, the utility </w:t>
      </w:r>
      <w:r w:rsidR="00923DEF" w:rsidRPr="0092195B">
        <w:rPr>
          <w:sz w:val="26"/>
        </w:rPr>
        <w:t xml:space="preserve">is required to </w:t>
      </w:r>
      <w:r w:rsidRPr="0092195B">
        <w:rPr>
          <w:sz w:val="26"/>
        </w:rPr>
        <w:t xml:space="preserve">transfer the account to the name of the owner. </w:t>
      </w:r>
      <w:r w:rsidR="00923DEF" w:rsidRPr="0092195B">
        <w:rPr>
          <w:sz w:val="26"/>
        </w:rPr>
        <w:t xml:space="preserve"> </w:t>
      </w:r>
      <w:r w:rsidR="00923DEF" w:rsidRPr="0092195B">
        <w:rPr>
          <w:i/>
          <w:sz w:val="26"/>
        </w:rPr>
        <w:t xml:space="preserve">Franckowiak v. PPL Electric Utilities Corp., </w:t>
      </w:r>
      <w:r w:rsidR="00B102A9" w:rsidRPr="0092195B">
        <w:rPr>
          <w:sz w:val="26"/>
        </w:rPr>
        <w:t xml:space="preserve">101 Pa. P.U.C. 630 </w:t>
      </w:r>
      <w:r w:rsidR="00923DEF" w:rsidRPr="0092195B">
        <w:rPr>
          <w:sz w:val="26"/>
        </w:rPr>
        <w:t>(Order entered July 3, 2006</w:t>
      </w:r>
      <w:r w:rsidR="00B102A9" w:rsidRPr="0092195B">
        <w:rPr>
          <w:sz w:val="26"/>
        </w:rPr>
        <w:t>)</w:t>
      </w:r>
      <w:r w:rsidR="0053186F">
        <w:rPr>
          <w:sz w:val="26"/>
        </w:rPr>
        <w:t xml:space="preserve"> (</w:t>
      </w:r>
      <w:r w:rsidR="0053186F" w:rsidRPr="0053186F">
        <w:rPr>
          <w:i/>
          <w:sz w:val="26"/>
        </w:rPr>
        <w:t>Franckowiak</w:t>
      </w:r>
      <w:r w:rsidR="0053186F">
        <w:rPr>
          <w:sz w:val="26"/>
        </w:rPr>
        <w:t>)</w:t>
      </w:r>
      <w:r w:rsidR="009F1F02" w:rsidRPr="0092195B">
        <w:rPr>
          <w:sz w:val="26"/>
        </w:rPr>
        <w:t xml:space="preserve">.  </w:t>
      </w:r>
      <w:r w:rsidR="005F337A" w:rsidRPr="0092195B">
        <w:rPr>
          <w:sz w:val="26"/>
        </w:rPr>
        <w:t>In</w:t>
      </w:r>
      <w:r w:rsidR="009F1F02" w:rsidRPr="0092195B">
        <w:rPr>
          <w:sz w:val="26"/>
        </w:rPr>
        <w:t xml:space="preserve"> </w:t>
      </w:r>
      <w:r w:rsidR="009F1F02" w:rsidRPr="0092195B">
        <w:rPr>
          <w:i/>
          <w:sz w:val="26"/>
        </w:rPr>
        <w:t xml:space="preserve">Franckowiak, </w:t>
      </w:r>
      <w:r w:rsidR="005F337A" w:rsidRPr="0092195B">
        <w:rPr>
          <w:sz w:val="26"/>
        </w:rPr>
        <w:t xml:space="preserve">we noted that </w:t>
      </w:r>
      <w:r w:rsidR="009F1F02" w:rsidRPr="0092195B">
        <w:rPr>
          <w:sz w:val="26"/>
        </w:rPr>
        <w:t xml:space="preserve">the utility is not required to substantiate the foreign load because such a requirement would encourage dilatory behavior by a landlord and thwart the legislative intent of Section 1529.1 to encourage cooperation with a utility’s foreign wire inspections.  </w:t>
      </w:r>
      <w:r w:rsidR="009F1F02" w:rsidRPr="0092195B">
        <w:rPr>
          <w:i/>
          <w:sz w:val="26"/>
        </w:rPr>
        <w:t xml:space="preserve">Id. </w:t>
      </w:r>
    </w:p>
    <w:p w:rsidR="00686A01" w:rsidRPr="0092195B" w:rsidRDefault="00686A01" w:rsidP="009F0FBD">
      <w:pPr>
        <w:widowControl/>
        <w:spacing w:line="360" w:lineRule="auto"/>
        <w:ind w:firstLine="1440"/>
        <w:contextualSpacing/>
        <w:rPr>
          <w:sz w:val="26"/>
        </w:rPr>
      </w:pPr>
    </w:p>
    <w:p w:rsidR="00A81E8E" w:rsidRDefault="00B12C2E" w:rsidP="009F0FBD">
      <w:pPr>
        <w:widowControl/>
        <w:spacing w:line="360" w:lineRule="auto"/>
        <w:ind w:firstLine="1440"/>
        <w:contextualSpacing/>
        <w:rPr>
          <w:sz w:val="26"/>
        </w:rPr>
      </w:pPr>
      <w:r w:rsidRPr="00D92FAD">
        <w:rPr>
          <w:sz w:val="26"/>
          <w:szCs w:val="26"/>
        </w:rPr>
        <w:t>In the matter before us, the Complainant</w:t>
      </w:r>
      <w:r w:rsidR="00B73639" w:rsidRPr="00D92FAD">
        <w:rPr>
          <w:sz w:val="26"/>
          <w:szCs w:val="26"/>
        </w:rPr>
        <w:t xml:space="preserve"> </w:t>
      </w:r>
      <w:r w:rsidRPr="00D92FAD">
        <w:rPr>
          <w:sz w:val="26"/>
          <w:szCs w:val="26"/>
        </w:rPr>
        <w:t>does not dispute the ALJ’s finding that he is a landlord at the Service Address</w:t>
      </w:r>
      <w:r w:rsidR="001B2D77" w:rsidRPr="00D92FAD">
        <w:rPr>
          <w:sz w:val="26"/>
          <w:szCs w:val="26"/>
        </w:rPr>
        <w:t>;</w:t>
      </w:r>
      <w:r w:rsidRPr="00D92FAD">
        <w:rPr>
          <w:sz w:val="26"/>
          <w:szCs w:val="26"/>
        </w:rPr>
        <w:t xml:space="preserve"> nor does </w:t>
      </w:r>
      <w:r w:rsidR="00B73639" w:rsidRPr="00D92FAD">
        <w:rPr>
          <w:sz w:val="26"/>
          <w:szCs w:val="26"/>
        </w:rPr>
        <w:t>t</w:t>
      </w:r>
      <w:r w:rsidRPr="00D92FAD">
        <w:rPr>
          <w:sz w:val="26"/>
          <w:szCs w:val="26"/>
        </w:rPr>
        <w:t xml:space="preserve">he </w:t>
      </w:r>
      <w:r w:rsidR="00B73639" w:rsidRPr="00D92FAD">
        <w:rPr>
          <w:sz w:val="26"/>
          <w:szCs w:val="26"/>
        </w:rPr>
        <w:t xml:space="preserve">Complainant </w:t>
      </w:r>
      <w:r w:rsidR="001B2D77" w:rsidRPr="00D92FAD">
        <w:rPr>
          <w:sz w:val="26"/>
          <w:szCs w:val="26"/>
        </w:rPr>
        <w:t xml:space="preserve">make any </w:t>
      </w:r>
      <w:r w:rsidRPr="00D92FAD">
        <w:rPr>
          <w:sz w:val="26"/>
          <w:szCs w:val="26"/>
        </w:rPr>
        <w:t xml:space="preserve">claim that the ALJ erred in finding that PECO correctly determined </w:t>
      </w:r>
      <w:r w:rsidR="00B17346" w:rsidRPr="00D92FAD">
        <w:rPr>
          <w:sz w:val="26"/>
          <w:szCs w:val="26"/>
        </w:rPr>
        <w:t>the presence of</w:t>
      </w:r>
      <w:r w:rsidRPr="00D92FAD">
        <w:rPr>
          <w:sz w:val="26"/>
          <w:szCs w:val="26"/>
        </w:rPr>
        <w:t xml:space="preserve"> foreign wiring at the Service Address.  Instead, as PECO </w:t>
      </w:r>
      <w:r w:rsidR="00B73639" w:rsidRPr="00D92FAD">
        <w:rPr>
          <w:sz w:val="26"/>
          <w:szCs w:val="26"/>
        </w:rPr>
        <w:t xml:space="preserve">correctly </w:t>
      </w:r>
      <w:r w:rsidRPr="00D92FAD">
        <w:rPr>
          <w:sz w:val="26"/>
          <w:szCs w:val="26"/>
        </w:rPr>
        <w:t xml:space="preserve">observed, the Complainant merely states </w:t>
      </w:r>
      <w:r w:rsidR="00AE2026" w:rsidRPr="00D92FAD">
        <w:rPr>
          <w:sz w:val="26"/>
          <w:szCs w:val="26"/>
        </w:rPr>
        <w:t>his belief</w:t>
      </w:r>
      <w:r w:rsidRPr="00D92FAD">
        <w:rPr>
          <w:sz w:val="26"/>
          <w:szCs w:val="26"/>
        </w:rPr>
        <w:t xml:space="preserve"> that</w:t>
      </w:r>
      <w:r w:rsidR="00AE2026" w:rsidRPr="00D92FAD">
        <w:rPr>
          <w:sz w:val="26"/>
          <w:szCs w:val="26"/>
        </w:rPr>
        <w:t xml:space="preserve"> he</w:t>
      </w:r>
      <w:r w:rsidRPr="00D92FAD">
        <w:rPr>
          <w:sz w:val="26"/>
          <w:szCs w:val="26"/>
        </w:rPr>
        <w:t xml:space="preserve"> </w:t>
      </w:r>
      <w:r w:rsidR="00565CE4" w:rsidRPr="00D92FAD">
        <w:rPr>
          <w:sz w:val="26"/>
          <w:szCs w:val="26"/>
        </w:rPr>
        <w:t>is not</w:t>
      </w:r>
      <w:r w:rsidRPr="00D92FAD">
        <w:rPr>
          <w:sz w:val="26"/>
          <w:szCs w:val="26"/>
        </w:rPr>
        <w:t xml:space="preserve"> responsible for </w:t>
      </w:r>
      <w:r w:rsidR="00565CE4" w:rsidRPr="00D92FAD">
        <w:rPr>
          <w:sz w:val="26"/>
          <w:szCs w:val="26"/>
        </w:rPr>
        <w:t xml:space="preserve">the outstanding account balance </w:t>
      </w:r>
      <w:r w:rsidRPr="00D92FAD">
        <w:rPr>
          <w:sz w:val="26"/>
          <w:szCs w:val="26"/>
        </w:rPr>
        <w:t>associated with the foreign wiring</w:t>
      </w:r>
      <w:r w:rsidR="00565CE4" w:rsidRPr="00D92FAD">
        <w:rPr>
          <w:sz w:val="26"/>
          <w:szCs w:val="26"/>
        </w:rPr>
        <w:t xml:space="preserve"> at the Service Address</w:t>
      </w:r>
      <w:r w:rsidRPr="00D92FAD">
        <w:rPr>
          <w:sz w:val="26"/>
          <w:szCs w:val="26"/>
        </w:rPr>
        <w:t xml:space="preserve">.  </w:t>
      </w:r>
      <w:r w:rsidR="00B73639" w:rsidRPr="00D92FAD">
        <w:rPr>
          <w:sz w:val="26"/>
          <w:szCs w:val="26"/>
        </w:rPr>
        <w:t xml:space="preserve">We find that the law is clear </w:t>
      </w:r>
      <w:r w:rsidR="00C00037" w:rsidRPr="00D92FAD">
        <w:rPr>
          <w:sz w:val="26"/>
          <w:szCs w:val="26"/>
        </w:rPr>
        <w:t xml:space="preserve">and has been applied </w:t>
      </w:r>
      <w:r w:rsidR="0095716F" w:rsidRPr="00D92FAD">
        <w:rPr>
          <w:sz w:val="26"/>
          <w:szCs w:val="26"/>
        </w:rPr>
        <w:t xml:space="preserve">consistently </w:t>
      </w:r>
      <w:r w:rsidR="00C00037" w:rsidRPr="00D92FAD">
        <w:rPr>
          <w:sz w:val="26"/>
          <w:szCs w:val="26"/>
        </w:rPr>
        <w:t>in similar</w:t>
      </w:r>
      <w:r w:rsidR="0095716F" w:rsidRPr="00D92FAD">
        <w:rPr>
          <w:sz w:val="26"/>
          <w:szCs w:val="26"/>
        </w:rPr>
        <w:t xml:space="preserve">, past </w:t>
      </w:r>
      <w:r w:rsidR="00C00037" w:rsidRPr="00D92FAD">
        <w:rPr>
          <w:sz w:val="26"/>
          <w:szCs w:val="26"/>
        </w:rPr>
        <w:t>proceedings</w:t>
      </w:r>
      <w:r w:rsidR="0003194E" w:rsidRPr="00D92FAD">
        <w:rPr>
          <w:sz w:val="26"/>
          <w:szCs w:val="26"/>
        </w:rPr>
        <w:t xml:space="preserve"> involving foreign load.  </w:t>
      </w:r>
      <w:r w:rsidR="0095716F" w:rsidRPr="00D92FAD">
        <w:rPr>
          <w:sz w:val="26"/>
        </w:rPr>
        <w:t>Act 54 of 1993, as codified in Section 1529.1 of the Code</w:t>
      </w:r>
      <w:r w:rsidR="0095716F" w:rsidRPr="00D92FAD">
        <w:rPr>
          <w:sz w:val="26"/>
          <w:szCs w:val="26"/>
        </w:rPr>
        <w:t>, mandates that the owner of a rental property is responsible for the payment of all utility services provided to the property when the usage of several tenants is recorded on one meter.</w:t>
      </w:r>
      <w:r w:rsidR="00B12EA1" w:rsidRPr="00D92FAD">
        <w:rPr>
          <w:sz w:val="26"/>
          <w:szCs w:val="26"/>
        </w:rPr>
        <w:t xml:space="preserve">  </w:t>
      </w:r>
      <w:r w:rsidRPr="00D92FAD">
        <w:rPr>
          <w:sz w:val="26"/>
          <w:szCs w:val="26"/>
        </w:rPr>
        <w:t xml:space="preserve">Accordingly, we are not persuaded </w:t>
      </w:r>
      <w:r w:rsidR="0003194E" w:rsidRPr="00D92FAD">
        <w:rPr>
          <w:sz w:val="26"/>
          <w:szCs w:val="26"/>
        </w:rPr>
        <w:t xml:space="preserve">by the Complainant’s </w:t>
      </w:r>
      <w:r w:rsidR="00782EDE" w:rsidRPr="00D92FAD">
        <w:rPr>
          <w:sz w:val="26"/>
          <w:szCs w:val="26"/>
        </w:rPr>
        <w:t xml:space="preserve">argument in his </w:t>
      </w:r>
      <w:r w:rsidR="0003194E" w:rsidRPr="00D92FAD">
        <w:rPr>
          <w:sz w:val="26"/>
          <w:szCs w:val="26"/>
        </w:rPr>
        <w:t xml:space="preserve">Exceptions </w:t>
      </w:r>
      <w:r w:rsidRPr="00D92FAD">
        <w:rPr>
          <w:sz w:val="26"/>
          <w:szCs w:val="26"/>
        </w:rPr>
        <w:t xml:space="preserve">that the ALJ erred </w:t>
      </w:r>
      <w:r w:rsidR="00AE2026" w:rsidRPr="00D92FAD">
        <w:rPr>
          <w:sz w:val="26"/>
          <w:szCs w:val="26"/>
        </w:rPr>
        <w:t xml:space="preserve">in </w:t>
      </w:r>
      <w:r w:rsidRPr="00D92FAD">
        <w:rPr>
          <w:sz w:val="26"/>
          <w:szCs w:val="26"/>
        </w:rPr>
        <w:lastRenderedPageBreak/>
        <w:t>granting PECO’s preliminary objections or in finding that PECO complied with the Code and our prior decisions</w:t>
      </w:r>
      <w:r w:rsidR="00565CE4" w:rsidRPr="00D92FAD">
        <w:rPr>
          <w:sz w:val="26"/>
          <w:szCs w:val="26"/>
        </w:rPr>
        <w:t xml:space="preserve"> by placing the account balance in the Complainant’s name after discovering the presence of foreign load.</w:t>
      </w:r>
      <w:r w:rsidRPr="00D92FAD">
        <w:rPr>
          <w:sz w:val="26"/>
        </w:rPr>
        <w:t xml:space="preserve">  </w:t>
      </w:r>
      <w:r w:rsidR="00B12EA1" w:rsidRPr="00D92FAD">
        <w:rPr>
          <w:sz w:val="26"/>
        </w:rPr>
        <w:t xml:space="preserve">Therefore, we shall deny the Complainant’s </w:t>
      </w:r>
      <w:r w:rsidR="001F036B" w:rsidRPr="00D92FAD">
        <w:rPr>
          <w:sz w:val="26"/>
        </w:rPr>
        <w:t xml:space="preserve">contention that he is not responsible for the outstanding </w:t>
      </w:r>
      <w:r w:rsidR="004F21E9" w:rsidRPr="00D92FAD">
        <w:rPr>
          <w:sz w:val="26"/>
        </w:rPr>
        <w:t xml:space="preserve">account </w:t>
      </w:r>
      <w:r w:rsidR="001F036B" w:rsidRPr="00D92FAD">
        <w:rPr>
          <w:sz w:val="26"/>
        </w:rPr>
        <w:t xml:space="preserve">balance </w:t>
      </w:r>
      <w:r w:rsidR="004F21E9" w:rsidRPr="00D92FAD">
        <w:rPr>
          <w:sz w:val="26"/>
        </w:rPr>
        <w:t>associated with the Service Address</w:t>
      </w:r>
      <w:r w:rsidR="00B12EA1" w:rsidRPr="00D92FAD">
        <w:rPr>
          <w:sz w:val="26"/>
        </w:rPr>
        <w:t>.</w:t>
      </w:r>
      <w:r w:rsidR="00D92FAD" w:rsidRPr="00D92FAD">
        <w:rPr>
          <w:sz w:val="26"/>
        </w:rPr>
        <w:t xml:space="preserve">  Additionally we shall deny the Complainant’s request for a hearing </w:t>
      </w:r>
      <w:r w:rsidR="00D92FAD" w:rsidRPr="00A81E8E">
        <w:rPr>
          <w:i/>
          <w:sz w:val="26"/>
        </w:rPr>
        <w:t>nunc pro tunc</w:t>
      </w:r>
      <w:r w:rsidR="00D92FAD" w:rsidRPr="00D92FAD">
        <w:rPr>
          <w:sz w:val="26"/>
        </w:rPr>
        <w:t xml:space="preserve">.  </w:t>
      </w:r>
      <w:r w:rsidR="002C1CB9">
        <w:rPr>
          <w:sz w:val="26"/>
        </w:rPr>
        <w:t xml:space="preserve">The record indicates that the Complainant had an opportunity to file an answer to PECO’s Preliminary Objections but did not do so.  I.D. at 4.  </w:t>
      </w:r>
    </w:p>
    <w:p w:rsidR="00A81E8E" w:rsidRDefault="00A81E8E" w:rsidP="009F0FBD">
      <w:pPr>
        <w:widowControl/>
        <w:spacing w:line="360" w:lineRule="auto"/>
        <w:ind w:firstLine="1440"/>
        <w:contextualSpacing/>
        <w:rPr>
          <w:sz w:val="26"/>
        </w:rPr>
      </w:pPr>
    </w:p>
    <w:p w:rsidR="0092195B" w:rsidRPr="00D92FAD" w:rsidRDefault="00D92FAD" w:rsidP="009F0FBD">
      <w:pPr>
        <w:widowControl/>
        <w:spacing w:line="360" w:lineRule="auto"/>
        <w:ind w:firstLine="1440"/>
        <w:contextualSpacing/>
        <w:rPr>
          <w:sz w:val="26"/>
          <w:szCs w:val="26"/>
        </w:rPr>
      </w:pPr>
      <w:r w:rsidRPr="00D92FAD">
        <w:rPr>
          <w:sz w:val="26"/>
        </w:rPr>
        <w:t xml:space="preserve">Finally, we note that </w:t>
      </w:r>
      <w:r w:rsidR="0092195B" w:rsidRPr="00D92FAD">
        <w:rPr>
          <w:sz w:val="26"/>
          <w:szCs w:val="26"/>
        </w:rPr>
        <w:t xml:space="preserve">the ALJ </w:t>
      </w:r>
      <w:r w:rsidR="00B12EA1" w:rsidRPr="00D92FAD">
        <w:rPr>
          <w:sz w:val="26"/>
          <w:szCs w:val="26"/>
        </w:rPr>
        <w:t>correctly found</w:t>
      </w:r>
      <w:r w:rsidR="00480E78">
        <w:rPr>
          <w:sz w:val="26"/>
          <w:szCs w:val="26"/>
        </w:rPr>
        <w:t xml:space="preserve"> that</w:t>
      </w:r>
      <w:r w:rsidR="00B12EA1" w:rsidRPr="00D92FAD">
        <w:rPr>
          <w:sz w:val="26"/>
          <w:szCs w:val="26"/>
        </w:rPr>
        <w:t xml:space="preserve"> </w:t>
      </w:r>
      <w:r w:rsidR="007C7D9A">
        <w:rPr>
          <w:sz w:val="26"/>
          <w:szCs w:val="26"/>
        </w:rPr>
        <w:t xml:space="preserve">this Commission </w:t>
      </w:r>
      <w:r w:rsidR="00480E78">
        <w:rPr>
          <w:sz w:val="26"/>
          <w:szCs w:val="26"/>
        </w:rPr>
        <w:t xml:space="preserve">does not have the </w:t>
      </w:r>
      <w:r w:rsidR="0092195B" w:rsidRPr="00D92FAD">
        <w:rPr>
          <w:sz w:val="26"/>
          <w:szCs w:val="26"/>
        </w:rPr>
        <w:t xml:space="preserve">jurisdiction to </w:t>
      </w:r>
      <w:r w:rsidR="007C7D9A">
        <w:rPr>
          <w:sz w:val="26"/>
          <w:szCs w:val="26"/>
        </w:rPr>
        <w:t xml:space="preserve">direct the tenant to pay </w:t>
      </w:r>
      <w:r w:rsidR="00480E78">
        <w:rPr>
          <w:sz w:val="26"/>
          <w:szCs w:val="26"/>
        </w:rPr>
        <w:t xml:space="preserve">any </w:t>
      </w:r>
      <w:r w:rsidR="007C7D9A">
        <w:rPr>
          <w:sz w:val="26"/>
          <w:szCs w:val="26"/>
        </w:rPr>
        <w:t>outstanding account balance</w:t>
      </w:r>
      <w:r w:rsidR="00480E78">
        <w:rPr>
          <w:sz w:val="26"/>
          <w:szCs w:val="26"/>
        </w:rPr>
        <w:t>s.</w:t>
      </w:r>
      <w:r w:rsidR="0092195B" w:rsidRPr="00D92FAD">
        <w:rPr>
          <w:sz w:val="26"/>
          <w:szCs w:val="26"/>
        </w:rPr>
        <w:t xml:space="preserve">  </w:t>
      </w:r>
      <w:r w:rsidR="00B12EA1" w:rsidRPr="00D92FAD">
        <w:rPr>
          <w:sz w:val="26"/>
          <w:szCs w:val="26"/>
        </w:rPr>
        <w:t>A</w:t>
      </w:r>
      <w:r w:rsidR="00FD0759" w:rsidRPr="00D92FAD">
        <w:rPr>
          <w:sz w:val="26"/>
          <w:szCs w:val="26"/>
        </w:rPr>
        <w:t xml:space="preserve">s </w:t>
      </w:r>
      <w:r w:rsidR="00F738D6">
        <w:rPr>
          <w:sz w:val="26"/>
          <w:szCs w:val="26"/>
        </w:rPr>
        <w:t>the ALJ pointed out,</w:t>
      </w:r>
      <w:r w:rsidR="00FD0759" w:rsidRPr="00D92FAD">
        <w:rPr>
          <w:sz w:val="26"/>
          <w:szCs w:val="26"/>
        </w:rPr>
        <w:t xml:space="preserve"> </w:t>
      </w:r>
      <w:r w:rsidR="0092195B" w:rsidRPr="00D92FAD">
        <w:rPr>
          <w:sz w:val="26"/>
          <w:szCs w:val="26"/>
        </w:rPr>
        <w:t>the Complainant must raise any such arguments before a Court of Common Pleas.</w:t>
      </w:r>
    </w:p>
    <w:p w:rsidR="00E84F77" w:rsidRPr="00D92FAD" w:rsidRDefault="00E84F77" w:rsidP="009F0FBD">
      <w:pPr>
        <w:widowControl/>
        <w:spacing w:line="360" w:lineRule="auto"/>
        <w:ind w:firstLine="1440"/>
        <w:contextualSpacing/>
        <w:rPr>
          <w:sz w:val="26"/>
          <w:szCs w:val="26"/>
        </w:rPr>
      </w:pPr>
    </w:p>
    <w:p w:rsidR="0092195B" w:rsidRDefault="00B12EA1" w:rsidP="009F0FBD">
      <w:pPr>
        <w:widowControl/>
        <w:spacing w:line="360" w:lineRule="auto"/>
        <w:ind w:firstLine="1440"/>
        <w:contextualSpacing/>
        <w:rPr>
          <w:sz w:val="26"/>
        </w:rPr>
      </w:pPr>
      <w:r>
        <w:rPr>
          <w:sz w:val="26"/>
          <w:szCs w:val="26"/>
        </w:rPr>
        <w:t xml:space="preserve">In light of the above discussion, </w:t>
      </w:r>
      <w:r w:rsidR="0092195B">
        <w:rPr>
          <w:sz w:val="26"/>
          <w:szCs w:val="26"/>
        </w:rPr>
        <w:t xml:space="preserve">we concur with the ALJ’s finding that </w:t>
      </w:r>
      <w:r w:rsidR="0092195B">
        <w:rPr>
          <w:sz w:val="26"/>
        </w:rPr>
        <w:t xml:space="preserve">the Complainant failed to </w:t>
      </w:r>
      <w:r w:rsidR="0092195B">
        <w:rPr>
          <w:sz w:val="26"/>
          <w:szCs w:val="26"/>
        </w:rPr>
        <w:t xml:space="preserve">state a claim upon which relief can be granted as well as his decision to dismiss the Complaint.  </w:t>
      </w:r>
      <w:r w:rsidR="0092195B">
        <w:rPr>
          <w:sz w:val="26"/>
        </w:rPr>
        <w:t>Accordingly, the Complainant’s Exceptions are denied.</w:t>
      </w:r>
    </w:p>
    <w:p w:rsidR="00AE2026" w:rsidRPr="008F78A8" w:rsidRDefault="00AE2026" w:rsidP="009F0FBD">
      <w:pPr>
        <w:widowControl/>
        <w:spacing w:line="360" w:lineRule="auto"/>
        <w:contextualSpacing/>
        <w:rPr>
          <w:sz w:val="26"/>
          <w:szCs w:val="26"/>
        </w:rPr>
      </w:pPr>
    </w:p>
    <w:p w:rsidR="00CA43A5" w:rsidRPr="008F78A8" w:rsidRDefault="00CA43A5" w:rsidP="009F0FBD">
      <w:pPr>
        <w:widowControl/>
        <w:spacing w:line="360" w:lineRule="auto"/>
        <w:contextualSpacing/>
        <w:jc w:val="center"/>
        <w:rPr>
          <w:b/>
          <w:sz w:val="26"/>
          <w:szCs w:val="26"/>
        </w:rPr>
      </w:pPr>
      <w:r w:rsidRPr="008F78A8">
        <w:rPr>
          <w:b/>
          <w:sz w:val="26"/>
          <w:szCs w:val="26"/>
        </w:rPr>
        <w:t>Conclusion</w:t>
      </w:r>
    </w:p>
    <w:p w:rsidR="00CA43A5" w:rsidRPr="008F78A8" w:rsidRDefault="00CA43A5" w:rsidP="009F0FBD">
      <w:pPr>
        <w:widowControl/>
        <w:spacing w:line="360" w:lineRule="auto"/>
        <w:ind w:firstLine="1440"/>
        <w:contextualSpacing/>
        <w:rPr>
          <w:sz w:val="26"/>
          <w:szCs w:val="26"/>
        </w:rPr>
      </w:pPr>
    </w:p>
    <w:p w:rsidR="00CA43A5" w:rsidRPr="008F78A8" w:rsidRDefault="00CA43A5" w:rsidP="009F0FBD">
      <w:pPr>
        <w:widowControl/>
        <w:spacing w:line="360" w:lineRule="auto"/>
        <w:ind w:firstLine="1440"/>
        <w:contextualSpacing/>
        <w:rPr>
          <w:sz w:val="26"/>
          <w:szCs w:val="26"/>
        </w:rPr>
      </w:pPr>
      <w:r w:rsidRPr="008F78A8">
        <w:rPr>
          <w:sz w:val="26"/>
          <w:szCs w:val="26"/>
        </w:rPr>
        <w:t xml:space="preserve">Based </w:t>
      </w:r>
      <w:r w:rsidR="00234374">
        <w:rPr>
          <w:sz w:val="26"/>
          <w:szCs w:val="26"/>
        </w:rPr>
        <w:t xml:space="preserve">on the foregoing reasons, </w:t>
      </w:r>
      <w:r w:rsidRPr="008F78A8">
        <w:rPr>
          <w:sz w:val="26"/>
          <w:szCs w:val="26"/>
        </w:rPr>
        <w:t xml:space="preserve">we shall </w:t>
      </w:r>
      <w:r w:rsidR="006E4254" w:rsidRPr="008F78A8">
        <w:rPr>
          <w:sz w:val="26"/>
          <w:szCs w:val="26"/>
        </w:rPr>
        <w:t>deny the Complainant’s Exceptions</w:t>
      </w:r>
      <w:r w:rsidR="009D4C89" w:rsidRPr="008F78A8">
        <w:rPr>
          <w:sz w:val="26"/>
          <w:szCs w:val="26"/>
        </w:rPr>
        <w:t xml:space="preserve"> and adopt the Initial Decision</w:t>
      </w:r>
      <w:r w:rsidR="008F78A8" w:rsidRPr="008F78A8">
        <w:rPr>
          <w:sz w:val="26"/>
          <w:szCs w:val="26"/>
        </w:rPr>
        <w:t xml:space="preserve"> that </w:t>
      </w:r>
      <w:r w:rsidR="007A3B16">
        <w:rPr>
          <w:sz w:val="26"/>
          <w:szCs w:val="26"/>
        </w:rPr>
        <w:t xml:space="preserve">grants PECO’s Preliminary Objections and </w:t>
      </w:r>
      <w:r w:rsidR="008F78A8" w:rsidRPr="008F78A8">
        <w:rPr>
          <w:sz w:val="26"/>
          <w:szCs w:val="26"/>
        </w:rPr>
        <w:t xml:space="preserve">dismisses the Complaint </w:t>
      </w:r>
      <w:r w:rsidRPr="008F78A8">
        <w:rPr>
          <w:sz w:val="26"/>
          <w:szCs w:val="26"/>
        </w:rPr>
        <w:t>consistent with th</w:t>
      </w:r>
      <w:r w:rsidR="0008598C" w:rsidRPr="008F78A8">
        <w:rPr>
          <w:sz w:val="26"/>
          <w:szCs w:val="26"/>
        </w:rPr>
        <w:t>is Opinion and Order</w:t>
      </w:r>
      <w:r w:rsidRPr="008F78A8">
        <w:rPr>
          <w:sz w:val="26"/>
          <w:szCs w:val="26"/>
        </w:rPr>
        <w:t xml:space="preserve">; </w:t>
      </w:r>
      <w:r w:rsidRPr="008F78A8">
        <w:rPr>
          <w:b/>
          <w:sz w:val="26"/>
          <w:szCs w:val="26"/>
        </w:rPr>
        <w:t>THEREFORE,</w:t>
      </w:r>
    </w:p>
    <w:p w:rsidR="00AE2026" w:rsidRPr="008F78A8" w:rsidRDefault="00AE2026" w:rsidP="009F0FBD">
      <w:pPr>
        <w:widowControl/>
        <w:spacing w:line="360" w:lineRule="auto"/>
        <w:ind w:firstLine="1440"/>
        <w:contextualSpacing/>
        <w:rPr>
          <w:sz w:val="26"/>
          <w:szCs w:val="26"/>
        </w:rPr>
      </w:pPr>
    </w:p>
    <w:p w:rsidR="00CA43A5" w:rsidRPr="008F78A8" w:rsidRDefault="00CA43A5" w:rsidP="009F0FBD">
      <w:pPr>
        <w:keepNext/>
        <w:widowControl/>
        <w:ind w:firstLine="1440"/>
        <w:contextualSpacing/>
        <w:rPr>
          <w:b/>
          <w:sz w:val="26"/>
          <w:szCs w:val="26"/>
        </w:rPr>
      </w:pPr>
      <w:r w:rsidRPr="008F78A8">
        <w:rPr>
          <w:b/>
          <w:sz w:val="26"/>
          <w:szCs w:val="26"/>
        </w:rPr>
        <w:t>IT IS ORDERED:</w:t>
      </w:r>
    </w:p>
    <w:p w:rsidR="00A61618" w:rsidRPr="008F78A8" w:rsidRDefault="00A61618" w:rsidP="009F0FBD">
      <w:pPr>
        <w:keepNext/>
        <w:widowControl/>
        <w:ind w:firstLine="1440"/>
        <w:contextualSpacing/>
        <w:rPr>
          <w:b/>
          <w:sz w:val="26"/>
          <w:szCs w:val="26"/>
        </w:rPr>
      </w:pPr>
    </w:p>
    <w:p w:rsidR="00CA43A5" w:rsidRPr="008F78A8" w:rsidRDefault="00CA43A5" w:rsidP="009F0FBD">
      <w:pPr>
        <w:keepNext/>
        <w:widowControl/>
        <w:contextualSpacing/>
        <w:rPr>
          <w:sz w:val="26"/>
          <w:szCs w:val="26"/>
        </w:rPr>
      </w:pPr>
    </w:p>
    <w:p w:rsidR="009155F7" w:rsidRPr="008F78A8" w:rsidRDefault="009155F7" w:rsidP="009F0FBD">
      <w:pPr>
        <w:widowControl/>
        <w:numPr>
          <w:ilvl w:val="0"/>
          <w:numId w:val="1"/>
        </w:numPr>
        <w:tabs>
          <w:tab w:val="clear" w:pos="2160"/>
          <w:tab w:val="num" w:pos="0"/>
        </w:tabs>
        <w:spacing w:line="360" w:lineRule="auto"/>
        <w:ind w:left="0" w:firstLine="1440"/>
        <w:contextualSpacing/>
        <w:rPr>
          <w:sz w:val="26"/>
          <w:szCs w:val="26"/>
        </w:rPr>
      </w:pPr>
      <w:r w:rsidRPr="008F78A8">
        <w:rPr>
          <w:sz w:val="26"/>
          <w:szCs w:val="26"/>
        </w:rPr>
        <w:t>That the Exceptions of</w:t>
      </w:r>
      <w:r w:rsidR="009D4C89" w:rsidRPr="008F78A8">
        <w:rPr>
          <w:sz w:val="26"/>
          <w:szCs w:val="26"/>
        </w:rPr>
        <w:t xml:space="preserve"> </w:t>
      </w:r>
      <w:r w:rsidR="008431FD">
        <w:rPr>
          <w:sz w:val="26"/>
          <w:szCs w:val="26"/>
        </w:rPr>
        <w:t>Vito Satiro</w:t>
      </w:r>
      <w:r w:rsidR="00234374">
        <w:rPr>
          <w:sz w:val="26"/>
          <w:szCs w:val="26"/>
        </w:rPr>
        <w:t xml:space="preserve"> that were </w:t>
      </w:r>
      <w:r w:rsidR="009D4C89" w:rsidRPr="008F78A8">
        <w:rPr>
          <w:sz w:val="26"/>
          <w:szCs w:val="26"/>
        </w:rPr>
        <w:t xml:space="preserve">filed on </w:t>
      </w:r>
      <w:r w:rsidR="008431FD">
        <w:rPr>
          <w:sz w:val="26"/>
          <w:szCs w:val="26"/>
        </w:rPr>
        <w:t>January 15, 2016</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rsidR="0008598C" w:rsidRPr="008F78A8" w:rsidRDefault="0008598C" w:rsidP="009F0FBD">
      <w:pPr>
        <w:widowControl/>
        <w:spacing w:line="360" w:lineRule="auto"/>
        <w:ind w:left="1440"/>
        <w:contextualSpacing/>
        <w:rPr>
          <w:sz w:val="26"/>
          <w:szCs w:val="26"/>
        </w:rPr>
      </w:pPr>
    </w:p>
    <w:p w:rsidR="003F51F4" w:rsidRPr="008F78A8" w:rsidRDefault="009D4C89" w:rsidP="009F0FBD">
      <w:pPr>
        <w:widowControl/>
        <w:spacing w:line="360" w:lineRule="auto"/>
        <w:ind w:firstLine="1440"/>
        <w:contextualSpacing/>
        <w:rPr>
          <w:sz w:val="26"/>
          <w:szCs w:val="26"/>
        </w:rPr>
      </w:pPr>
      <w:r w:rsidRPr="008F78A8">
        <w:rPr>
          <w:sz w:val="26"/>
          <w:szCs w:val="26"/>
        </w:rPr>
        <w:lastRenderedPageBreak/>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8431FD">
        <w:rPr>
          <w:sz w:val="26"/>
        </w:rPr>
        <w:t>Joel</w:t>
      </w:r>
      <w:r w:rsidR="00B21710">
        <w:rPr>
          <w:sz w:val="26"/>
        </w:rPr>
        <w:t> </w:t>
      </w:r>
      <w:r w:rsidR="008431FD">
        <w:rPr>
          <w:sz w:val="26"/>
        </w:rPr>
        <w:t>H.</w:t>
      </w:r>
      <w:r w:rsidR="00B21710">
        <w:rPr>
          <w:sz w:val="26"/>
        </w:rPr>
        <w:t> </w:t>
      </w:r>
      <w:r w:rsidR="008431FD">
        <w:rPr>
          <w:sz w:val="26"/>
        </w:rPr>
        <w:t>Cheskis</w:t>
      </w:r>
      <w:r w:rsidR="00B56D48" w:rsidRPr="008F78A8">
        <w:rPr>
          <w:sz w:val="26"/>
        </w:rPr>
        <w:t xml:space="preserve">, </w:t>
      </w:r>
      <w:r w:rsidRPr="008F78A8">
        <w:rPr>
          <w:sz w:val="26"/>
        </w:rPr>
        <w:t xml:space="preserve">issued on </w:t>
      </w:r>
      <w:r w:rsidR="008431FD">
        <w:rPr>
          <w:sz w:val="26"/>
        </w:rPr>
        <w:t>December 29</w:t>
      </w:r>
      <w:r w:rsidR="007A3B16">
        <w:rPr>
          <w:sz w:val="26"/>
        </w:rPr>
        <w:t>, 2015</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rsidR="00CA43A5" w:rsidRPr="008F78A8" w:rsidRDefault="00CA43A5" w:rsidP="009F0FBD">
      <w:pPr>
        <w:widowControl/>
        <w:spacing w:line="360" w:lineRule="auto"/>
        <w:ind w:firstLine="1440"/>
        <w:contextualSpacing/>
        <w:rPr>
          <w:sz w:val="26"/>
          <w:szCs w:val="26"/>
        </w:rPr>
      </w:pPr>
    </w:p>
    <w:p w:rsidR="009D4C89" w:rsidRPr="008F78A8" w:rsidRDefault="009D4C89" w:rsidP="009F0FBD">
      <w:pPr>
        <w:widowControl/>
        <w:spacing w:line="360" w:lineRule="auto"/>
        <w:ind w:firstLine="1440"/>
        <w:contextualSpacing/>
        <w:rPr>
          <w:sz w:val="26"/>
          <w:szCs w:val="26"/>
        </w:rPr>
      </w:pPr>
      <w:r w:rsidRPr="008F78A8">
        <w:rPr>
          <w:sz w:val="26"/>
          <w:szCs w:val="26"/>
        </w:rPr>
        <w:t>3.</w:t>
      </w:r>
      <w:r w:rsidRPr="008F78A8">
        <w:rPr>
          <w:sz w:val="26"/>
          <w:szCs w:val="26"/>
        </w:rPr>
        <w:tab/>
        <w:t xml:space="preserve">That the Complaint of </w:t>
      </w:r>
      <w:r w:rsidR="008431FD">
        <w:rPr>
          <w:sz w:val="26"/>
          <w:szCs w:val="26"/>
        </w:rPr>
        <w:t>Vito</w:t>
      </w:r>
      <w:r w:rsidR="00B21710">
        <w:rPr>
          <w:sz w:val="26"/>
          <w:szCs w:val="26"/>
        </w:rPr>
        <w:t> </w:t>
      </w:r>
      <w:r w:rsidR="008431FD">
        <w:rPr>
          <w:sz w:val="26"/>
          <w:szCs w:val="26"/>
        </w:rPr>
        <w:t>Satiro</w:t>
      </w:r>
      <w:r w:rsidR="00B56D48" w:rsidRPr="008F78A8">
        <w:rPr>
          <w:sz w:val="26"/>
          <w:szCs w:val="26"/>
        </w:rPr>
        <w:t xml:space="preserve"> </w:t>
      </w:r>
      <w:r w:rsidRPr="008F78A8">
        <w:rPr>
          <w:sz w:val="26"/>
          <w:szCs w:val="26"/>
        </w:rPr>
        <w:t xml:space="preserve">against </w:t>
      </w:r>
      <w:r w:rsidR="007A3B16">
        <w:rPr>
          <w:sz w:val="26"/>
          <w:szCs w:val="26"/>
        </w:rPr>
        <w:t>PECO Energy Company</w:t>
      </w:r>
      <w:r w:rsidR="0008598C" w:rsidRPr="008F78A8">
        <w:rPr>
          <w:sz w:val="26"/>
          <w:szCs w:val="26"/>
        </w:rPr>
        <w:t>,</w:t>
      </w:r>
      <w:r w:rsidRPr="008F78A8">
        <w:rPr>
          <w:sz w:val="26"/>
          <w:szCs w:val="26"/>
        </w:rPr>
        <w:t xml:space="preserve"> at Docket No. </w:t>
      </w:r>
      <w:r w:rsidR="007A3B16">
        <w:rPr>
          <w:sz w:val="26"/>
          <w:szCs w:val="26"/>
        </w:rPr>
        <w:t>F-2015-</w:t>
      </w:r>
      <w:r w:rsidR="008431FD">
        <w:rPr>
          <w:sz w:val="26"/>
          <w:szCs w:val="26"/>
        </w:rPr>
        <w:t>2510660</w:t>
      </w:r>
      <w:r w:rsidR="0008598C" w:rsidRPr="008F78A8">
        <w:rPr>
          <w:sz w:val="26"/>
          <w:szCs w:val="26"/>
        </w:rPr>
        <w:t>,</w:t>
      </w:r>
      <w:r w:rsidRPr="008F78A8">
        <w:rPr>
          <w:sz w:val="26"/>
          <w:szCs w:val="26"/>
        </w:rPr>
        <w:t xml:space="preserve"> is </w:t>
      </w:r>
      <w:r w:rsidR="000E33AF" w:rsidRPr="008F78A8">
        <w:rPr>
          <w:sz w:val="26"/>
          <w:szCs w:val="26"/>
        </w:rPr>
        <w:t>dismissed</w:t>
      </w:r>
      <w:r w:rsidRPr="008F78A8">
        <w:rPr>
          <w:sz w:val="26"/>
          <w:szCs w:val="26"/>
        </w:rPr>
        <w:t xml:space="preserve">. </w:t>
      </w:r>
    </w:p>
    <w:p w:rsidR="00AE2026" w:rsidRDefault="00AE2026" w:rsidP="008431FD">
      <w:pPr>
        <w:widowControl/>
        <w:spacing w:line="360" w:lineRule="auto"/>
        <w:ind w:firstLine="1440"/>
        <w:contextualSpacing/>
        <w:rPr>
          <w:sz w:val="26"/>
          <w:szCs w:val="26"/>
        </w:rPr>
      </w:pPr>
    </w:p>
    <w:p w:rsidR="00372487" w:rsidRPr="008F78A8" w:rsidRDefault="00372487" w:rsidP="008431FD">
      <w:pPr>
        <w:widowControl/>
        <w:spacing w:line="360" w:lineRule="auto"/>
        <w:ind w:firstLine="1440"/>
        <w:contextualSpacing/>
        <w:rPr>
          <w:sz w:val="26"/>
          <w:szCs w:val="26"/>
        </w:rPr>
      </w:pPr>
      <w:r w:rsidRPr="008F78A8">
        <w:rPr>
          <w:sz w:val="26"/>
          <w:szCs w:val="26"/>
        </w:rPr>
        <w:t>4.</w:t>
      </w:r>
      <w:r w:rsidRPr="008F78A8">
        <w:rPr>
          <w:sz w:val="26"/>
          <w:szCs w:val="26"/>
        </w:rPr>
        <w:tab/>
      </w:r>
      <w:r w:rsidR="008855BB" w:rsidRPr="008F78A8">
        <w:rPr>
          <w:sz w:val="26"/>
          <w:szCs w:val="26"/>
        </w:rPr>
        <w:t>That this proceeding be marked closed.</w:t>
      </w:r>
    </w:p>
    <w:p w:rsidR="00002451" w:rsidRDefault="00002451" w:rsidP="00234374">
      <w:pPr>
        <w:keepNext/>
        <w:keepLines/>
        <w:widowControl/>
        <w:contextualSpacing/>
        <w:rPr>
          <w:sz w:val="26"/>
          <w:szCs w:val="26"/>
        </w:rPr>
      </w:pPr>
    </w:p>
    <w:p w:rsidR="00AE2026" w:rsidRPr="008F78A8" w:rsidRDefault="00AE2026" w:rsidP="00234374">
      <w:pPr>
        <w:keepNext/>
        <w:keepLines/>
        <w:widowControl/>
        <w:contextualSpacing/>
        <w:rPr>
          <w:sz w:val="26"/>
          <w:szCs w:val="26"/>
        </w:rPr>
      </w:pPr>
    </w:p>
    <w:p w:rsidR="00CA43A5" w:rsidRPr="008F78A8" w:rsidRDefault="006C7201" w:rsidP="00234374">
      <w:pPr>
        <w:keepNext/>
        <w:keepLines/>
        <w:widowControl/>
        <w:tabs>
          <w:tab w:val="left" w:pos="-720"/>
        </w:tabs>
        <w:ind w:firstLine="5040"/>
        <w:contextualSpacing/>
        <w:rPr>
          <w:sz w:val="26"/>
          <w:szCs w:val="26"/>
        </w:rPr>
      </w:pPr>
      <w:bookmarkStart w:id="7" w:name="_GoBack"/>
      <w:r w:rsidRPr="00F45E06">
        <w:rPr>
          <w:b/>
          <w:noProof/>
        </w:rPr>
        <w:drawing>
          <wp:anchor distT="0" distB="0" distL="114300" distR="114300" simplePos="0" relativeHeight="251659264" behindDoc="1" locked="0" layoutInCell="1" allowOverlap="1" wp14:anchorId="6B5B7700" wp14:editId="2EF139B5">
            <wp:simplePos x="0" y="0"/>
            <wp:positionH relativeFrom="column">
              <wp:posOffset>3005455</wp:posOffset>
            </wp:positionH>
            <wp:positionV relativeFrom="paragraph">
              <wp:posOffset>32385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CA43A5" w:rsidRPr="008F78A8">
        <w:rPr>
          <w:b/>
          <w:sz w:val="26"/>
          <w:szCs w:val="26"/>
        </w:rPr>
        <w:t>BY THE COMMISSION,</w:t>
      </w:r>
    </w:p>
    <w:p w:rsidR="00CA43A5" w:rsidRDefault="00CA43A5"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C9299B" w:rsidRDefault="00C9299B" w:rsidP="00234374">
      <w:pPr>
        <w:keepNext/>
        <w:keepLines/>
        <w:widowControl/>
        <w:tabs>
          <w:tab w:val="left" w:pos="-720"/>
        </w:tabs>
        <w:contextualSpacing/>
        <w:rPr>
          <w:sz w:val="26"/>
          <w:szCs w:val="26"/>
        </w:rPr>
      </w:pPr>
    </w:p>
    <w:p w:rsidR="00C9299B" w:rsidRPr="008F78A8" w:rsidRDefault="00C9299B" w:rsidP="00234374">
      <w:pPr>
        <w:keepNext/>
        <w:keepLines/>
        <w:widowControl/>
        <w:tabs>
          <w:tab w:val="left" w:pos="-720"/>
        </w:tabs>
        <w:contextualSpacing/>
        <w:rPr>
          <w:sz w:val="26"/>
          <w:szCs w:val="26"/>
        </w:rPr>
      </w:pPr>
    </w:p>
    <w:p w:rsidR="00CA43A5" w:rsidRPr="008F78A8" w:rsidRDefault="00564565" w:rsidP="00234374">
      <w:pPr>
        <w:keepNext/>
        <w:keepLines/>
        <w:widowControl/>
        <w:tabs>
          <w:tab w:val="left" w:pos="-720"/>
        </w:tabs>
        <w:ind w:firstLine="5040"/>
        <w:contextualSpacing/>
        <w:rPr>
          <w:b/>
          <w:sz w:val="26"/>
          <w:szCs w:val="26"/>
        </w:rPr>
      </w:pPr>
      <w:r w:rsidRPr="008F78A8">
        <w:rPr>
          <w:sz w:val="26"/>
          <w:szCs w:val="26"/>
        </w:rPr>
        <w:t>Rosemary Chiavetta</w:t>
      </w:r>
    </w:p>
    <w:p w:rsidR="00CA43A5" w:rsidRPr="008F78A8" w:rsidRDefault="00CA43A5" w:rsidP="00234374">
      <w:pPr>
        <w:keepNext/>
        <w:keepLines/>
        <w:widowControl/>
        <w:tabs>
          <w:tab w:val="left" w:pos="-720"/>
        </w:tabs>
        <w:ind w:firstLine="5040"/>
        <w:contextualSpacing/>
        <w:rPr>
          <w:sz w:val="26"/>
          <w:szCs w:val="26"/>
        </w:rPr>
      </w:pPr>
      <w:r w:rsidRPr="008F78A8">
        <w:rPr>
          <w:sz w:val="26"/>
          <w:szCs w:val="26"/>
        </w:rPr>
        <w:t>Secretary</w:t>
      </w:r>
    </w:p>
    <w:p w:rsidR="008F78A8" w:rsidRDefault="008F78A8"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AE2026" w:rsidRDefault="00AE2026" w:rsidP="00234374">
      <w:pPr>
        <w:keepNext/>
        <w:keepLines/>
        <w:widowControl/>
        <w:tabs>
          <w:tab w:val="left" w:pos="-720"/>
        </w:tabs>
        <w:contextualSpacing/>
        <w:rPr>
          <w:sz w:val="26"/>
          <w:szCs w:val="26"/>
        </w:rPr>
      </w:pPr>
    </w:p>
    <w:p w:rsidR="00AE2026" w:rsidRPr="008F78A8" w:rsidRDefault="00AE2026"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(SEAL)</w:t>
      </w:r>
    </w:p>
    <w:p w:rsidR="00CA43A5" w:rsidRPr="008F78A8" w:rsidRDefault="00CA43A5"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ORDER ADOPTED:</w:t>
      </w:r>
      <w:r w:rsidR="009D4C89" w:rsidRPr="008F78A8">
        <w:rPr>
          <w:sz w:val="26"/>
          <w:szCs w:val="26"/>
        </w:rPr>
        <w:t xml:space="preserve">  </w:t>
      </w:r>
      <w:r w:rsidR="008431FD">
        <w:rPr>
          <w:sz w:val="26"/>
          <w:szCs w:val="26"/>
        </w:rPr>
        <w:t>June 9</w:t>
      </w:r>
      <w:r w:rsidR="00C9299B">
        <w:rPr>
          <w:sz w:val="26"/>
          <w:szCs w:val="26"/>
        </w:rPr>
        <w:t>, 201</w:t>
      </w:r>
      <w:r w:rsidR="00FF0735">
        <w:rPr>
          <w:sz w:val="26"/>
          <w:szCs w:val="26"/>
        </w:rPr>
        <w:t>6</w:t>
      </w:r>
      <w:r w:rsidRPr="008F78A8">
        <w:rPr>
          <w:sz w:val="26"/>
          <w:szCs w:val="26"/>
        </w:rPr>
        <w:t xml:space="preserve"> </w:t>
      </w:r>
    </w:p>
    <w:p w:rsidR="00857172" w:rsidRPr="008F78A8" w:rsidRDefault="00857172" w:rsidP="00234374">
      <w:pPr>
        <w:keepNext/>
        <w:keepLines/>
        <w:widowControl/>
        <w:tabs>
          <w:tab w:val="left" w:pos="-720"/>
        </w:tabs>
        <w:contextualSpacing/>
        <w:rPr>
          <w:sz w:val="26"/>
          <w:szCs w:val="26"/>
        </w:rPr>
      </w:pPr>
    </w:p>
    <w:p w:rsidR="00CA43A5" w:rsidRPr="008F78A8" w:rsidRDefault="00CA43A5" w:rsidP="00234374">
      <w:pPr>
        <w:keepNext/>
        <w:keepLines/>
        <w:widowControl/>
        <w:tabs>
          <w:tab w:val="left" w:pos="-720"/>
        </w:tabs>
        <w:contextualSpacing/>
        <w:rPr>
          <w:sz w:val="26"/>
          <w:szCs w:val="26"/>
        </w:rPr>
      </w:pPr>
      <w:r w:rsidRPr="008F78A8">
        <w:rPr>
          <w:sz w:val="26"/>
          <w:szCs w:val="26"/>
        </w:rPr>
        <w:t xml:space="preserve">ORDER ENTERED:  </w:t>
      </w:r>
      <w:r w:rsidR="006C7201">
        <w:rPr>
          <w:sz w:val="26"/>
          <w:szCs w:val="26"/>
        </w:rPr>
        <w:t>June 9, 2016</w:t>
      </w:r>
    </w:p>
    <w:sectPr w:rsidR="00CA43A5" w:rsidRPr="008F78A8" w:rsidSect="009279B1">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9E" w:rsidRDefault="00A5159E" w:rsidP="001B7DA2">
      <w:r>
        <w:separator/>
      </w:r>
    </w:p>
  </w:endnote>
  <w:endnote w:type="continuationSeparator" w:id="0">
    <w:p w:rsidR="00A5159E" w:rsidRDefault="00A5159E"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8C68E3" w:rsidRPr="004D0C36" w:rsidRDefault="008C68E3">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6C7201">
          <w:rPr>
            <w:noProof/>
            <w:sz w:val="26"/>
            <w:szCs w:val="26"/>
          </w:rPr>
          <w:t>11</w:t>
        </w:r>
        <w:r w:rsidRPr="004D0C36">
          <w:rPr>
            <w:noProof/>
            <w:sz w:val="26"/>
            <w:szCs w:val="26"/>
          </w:rPr>
          <w:fldChar w:fldCharType="end"/>
        </w:r>
      </w:p>
    </w:sdtContent>
  </w:sdt>
  <w:p w:rsidR="008C68E3" w:rsidRDefault="008C68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E3" w:rsidRPr="004D0C36" w:rsidRDefault="008C68E3" w:rsidP="005F0FA9">
    <w:pPr>
      <w:pStyle w:val="Footer"/>
      <w:jc w:val="center"/>
      <w:rPr>
        <w:sz w:val="26"/>
        <w:szCs w:val="26"/>
      </w:rPr>
    </w:pPr>
  </w:p>
  <w:p w:rsidR="008C68E3" w:rsidRDefault="008C6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9E" w:rsidRDefault="00A5159E" w:rsidP="001B7DA2">
      <w:r>
        <w:separator/>
      </w:r>
    </w:p>
  </w:footnote>
  <w:footnote w:type="continuationSeparator" w:id="0">
    <w:p w:rsidR="00A5159E" w:rsidRDefault="00A5159E" w:rsidP="001B7DA2">
      <w:r>
        <w:continuationSeparator/>
      </w:r>
    </w:p>
  </w:footnote>
  <w:footnote w:id="1">
    <w:p w:rsidR="008C68E3" w:rsidRPr="00134D42" w:rsidRDefault="008C68E3" w:rsidP="001F162B">
      <w:pPr>
        <w:pStyle w:val="FootnoteText"/>
        <w:keepLines/>
        <w:widowControl/>
        <w:ind w:firstLine="720"/>
        <w:contextualSpacing/>
        <w:rPr>
          <w:sz w:val="26"/>
          <w:szCs w:val="26"/>
        </w:rPr>
      </w:pPr>
      <w:r w:rsidRPr="00134D42">
        <w:rPr>
          <w:rStyle w:val="FootnoteReference"/>
          <w:sz w:val="26"/>
          <w:szCs w:val="26"/>
        </w:rPr>
        <w:footnoteRef/>
      </w:r>
      <w:r w:rsidRPr="00134D42">
        <w:rPr>
          <w:sz w:val="26"/>
          <w:szCs w:val="26"/>
        </w:rPr>
        <w:t xml:space="preserve"> </w:t>
      </w:r>
      <w:r>
        <w:rPr>
          <w:sz w:val="26"/>
          <w:szCs w:val="26"/>
        </w:rPr>
        <w:tab/>
      </w:r>
      <w:r w:rsidRPr="005B05E3">
        <w:rPr>
          <w:sz w:val="26"/>
          <w:szCs w:val="26"/>
        </w:rPr>
        <w:t>This Complaint is a timely appeal of an informal Bureau of Consumer Services (BC</w:t>
      </w:r>
      <w:r>
        <w:rPr>
          <w:sz w:val="26"/>
          <w:szCs w:val="26"/>
        </w:rPr>
        <w:t xml:space="preserve">S) decision (Informal Decision), issued on September 21, 2015, </w:t>
      </w:r>
      <w:r w:rsidRPr="005B05E3">
        <w:rPr>
          <w:sz w:val="26"/>
          <w:szCs w:val="26"/>
        </w:rPr>
        <w:t>at BCS Case No.</w:t>
      </w:r>
      <w:r>
        <w:rPr>
          <w:sz w:val="26"/>
          <w:szCs w:val="26"/>
        </w:rPr>
        <w:t> 3327270</w:t>
      </w:r>
      <w:r w:rsidRPr="005B05E3">
        <w:rPr>
          <w:sz w:val="26"/>
          <w:szCs w:val="26"/>
        </w:rPr>
        <w:t>.</w:t>
      </w:r>
    </w:p>
  </w:footnote>
  <w:footnote w:id="2">
    <w:p w:rsidR="00560083" w:rsidRPr="00F6485E" w:rsidRDefault="00560083" w:rsidP="00560083">
      <w:pPr>
        <w:pStyle w:val="FootnoteText"/>
        <w:keepLines/>
        <w:widowControl/>
        <w:ind w:firstLine="720"/>
        <w:contextualSpacing/>
        <w:rPr>
          <w:sz w:val="26"/>
          <w:szCs w:val="26"/>
        </w:rPr>
      </w:pPr>
      <w:r w:rsidRPr="00F6485E">
        <w:rPr>
          <w:rStyle w:val="FootnoteReference"/>
          <w:sz w:val="26"/>
          <w:szCs w:val="26"/>
        </w:rPr>
        <w:footnoteRef/>
      </w:r>
      <w:r w:rsidRPr="00F6485E">
        <w:rPr>
          <w:sz w:val="26"/>
          <w:szCs w:val="26"/>
        </w:rPr>
        <w:tab/>
        <w:t xml:space="preserve">The term “foreign load” refers to any consumption of utility service that is not directly related to a customer’s usage.  </w:t>
      </w:r>
      <w:r w:rsidRPr="00F6485E">
        <w:rPr>
          <w:i/>
          <w:sz w:val="26"/>
          <w:szCs w:val="26"/>
        </w:rPr>
        <w:t>Discontinuance of Proposed Rulemaking Regarding Residential Accounts Containing Charges for Foreign Load, 52 Pa. Code</w:t>
      </w:r>
      <w:r>
        <w:rPr>
          <w:i/>
          <w:sz w:val="26"/>
          <w:szCs w:val="26"/>
        </w:rPr>
        <w:t xml:space="preserve"> </w:t>
      </w:r>
      <w:r w:rsidRPr="00F6485E">
        <w:rPr>
          <w:i/>
          <w:sz w:val="26"/>
          <w:szCs w:val="26"/>
        </w:rPr>
        <w:t>§§</w:t>
      </w:r>
      <w:r>
        <w:rPr>
          <w:i/>
          <w:sz w:val="26"/>
          <w:szCs w:val="26"/>
        </w:rPr>
        <w:t> </w:t>
      </w:r>
      <w:r w:rsidRPr="00F6485E">
        <w:rPr>
          <w:i/>
          <w:sz w:val="26"/>
          <w:szCs w:val="26"/>
        </w:rPr>
        <w:t>55.201</w:t>
      </w:r>
      <w:r w:rsidRPr="00F6485E">
        <w:rPr>
          <w:sz w:val="26"/>
          <w:szCs w:val="26"/>
        </w:rPr>
        <w:t>-</w:t>
      </w:r>
      <w:r w:rsidRPr="00F6485E">
        <w:rPr>
          <w:i/>
          <w:sz w:val="26"/>
          <w:szCs w:val="26"/>
        </w:rPr>
        <w:t>55.207</w:t>
      </w:r>
      <w:r w:rsidRPr="00F6485E">
        <w:rPr>
          <w:sz w:val="26"/>
          <w:szCs w:val="26"/>
        </w:rPr>
        <w:t>, Docket No. L-00990142 (Order entered October 7, 2005).</w:t>
      </w:r>
    </w:p>
  </w:footnote>
  <w:footnote w:id="3">
    <w:p w:rsidR="008C68E3" w:rsidRDefault="008C68E3" w:rsidP="00E01B86">
      <w:pPr>
        <w:keepLines/>
        <w:widowControl/>
        <w:contextualSpacing/>
      </w:pPr>
      <w:r>
        <w:rPr>
          <w:sz w:val="26"/>
          <w:szCs w:val="26"/>
        </w:rPr>
        <w:tab/>
      </w:r>
      <w:r w:rsidRPr="004D0C36">
        <w:rPr>
          <w:rStyle w:val="FootnoteReference"/>
          <w:sz w:val="26"/>
          <w:szCs w:val="26"/>
        </w:rPr>
        <w:footnoteRef/>
      </w:r>
      <w:r>
        <w:tab/>
      </w:r>
      <w:r>
        <w:rPr>
          <w:sz w:val="26"/>
        </w:rPr>
        <w:t>In reaching his determination, t</w:t>
      </w:r>
      <w:r w:rsidRPr="004B07B9">
        <w:rPr>
          <w:sz w:val="26"/>
        </w:rPr>
        <w:t xml:space="preserve">he ALJ relied </w:t>
      </w:r>
      <w:r>
        <w:rPr>
          <w:sz w:val="26"/>
        </w:rPr>
        <w:t>on the following decisions:  </w:t>
      </w:r>
      <w:r w:rsidR="00C57248">
        <w:rPr>
          <w:i/>
          <w:sz w:val="26"/>
        </w:rPr>
        <w:t>David P. Boyce v Duquesne Light Company</w:t>
      </w:r>
      <w:r>
        <w:rPr>
          <w:i/>
          <w:sz w:val="26"/>
        </w:rPr>
        <w:t xml:space="preserve">, </w:t>
      </w:r>
      <w:r w:rsidR="00C57248">
        <w:rPr>
          <w:sz w:val="26"/>
        </w:rPr>
        <w:t>Docket No. Z-00223698</w:t>
      </w:r>
      <w:r>
        <w:rPr>
          <w:sz w:val="26"/>
        </w:rPr>
        <w:t xml:space="preserve"> (</w:t>
      </w:r>
      <w:r w:rsidR="00C57248">
        <w:rPr>
          <w:sz w:val="26"/>
        </w:rPr>
        <w:t>Order entered September 1, 1994</w:t>
      </w:r>
      <w:r>
        <w:rPr>
          <w:sz w:val="26"/>
        </w:rPr>
        <w:t>) (</w:t>
      </w:r>
      <w:r w:rsidR="00C57248">
        <w:rPr>
          <w:i/>
          <w:sz w:val="26"/>
        </w:rPr>
        <w:t>Boyce</w:t>
      </w:r>
      <w:r>
        <w:rPr>
          <w:sz w:val="26"/>
        </w:rPr>
        <w:t xml:space="preserve">), </w:t>
      </w:r>
      <w:r w:rsidRPr="004B07B9">
        <w:rPr>
          <w:i/>
          <w:sz w:val="26"/>
        </w:rPr>
        <w:t>Ace Check Cashing, Inc. v. Philadelphia Gas Works</w:t>
      </w:r>
      <w:r w:rsidRPr="004B07B9">
        <w:rPr>
          <w:sz w:val="26"/>
        </w:rPr>
        <w:t>, Docket No.</w:t>
      </w:r>
      <w:r>
        <w:rPr>
          <w:sz w:val="26"/>
        </w:rPr>
        <w:t xml:space="preserve"> </w:t>
      </w:r>
      <w:r w:rsidRPr="004B07B9">
        <w:rPr>
          <w:sz w:val="26"/>
        </w:rPr>
        <w:t>C-2008-2056428 (Order entered May 21, 2010)</w:t>
      </w:r>
      <w:r>
        <w:rPr>
          <w:sz w:val="26"/>
        </w:rPr>
        <w:t xml:space="preserve"> (</w:t>
      </w:r>
      <w:r>
        <w:rPr>
          <w:i/>
          <w:sz w:val="26"/>
        </w:rPr>
        <w:t>Ace Check Cashing</w:t>
      </w:r>
      <w:r w:rsidRPr="006F5D5F">
        <w:rPr>
          <w:sz w:val="26"/>
        </w:rPr>
        <w:t xml:space="preserve">), and </w:t>
      </w:r>
      <w:r w:rsidRPr="006F5D5F">
        <w:rPr>
          <w:i/>
          <w:sz w:val="26"/>
        </w:rPr>
        <w:t>Santos v. Metropolitan Edison Co.</w:t>
      </w:r>
      <w:r w:rsidRPr="006F5D5F">
        <w:rPr>
          <w:sz w:val="26"/>
        </w:rPr>
        <w:t xml:space="preserve">, </w:t>
      </w:r>
      <w:r w:rsidRPr="006F5D5F">
        <w:rPr>
          <w:sz w:val="26"/>
          <w:szCs w:val="26"/>
        </w:rPr>
        <w:t>Docket No. C-00967757 (Order entered August 7, 1997) (</w:t>
      </w:r>
      <w:r w:rsidRPr="006F5D5F">
        <w:rPr>
          <w:i/>
          <w:sz w:val="26"/>
          <w:szCs w:val="26"/>
        </w:rPr>
        <w:t>Santos</w:t>
      </w:r>
      <w:r w:rsidRPr="006F5D5F">
        <w:rPr>
          <w:sz w:val="26"/>
          <w:szCs w:val="26"/>
        </w:rPr>
        <w:t>).</w:t>
      </w:r>
      <w:r w:rsidRPr="004B07B9">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451"/>
    <w:rsid w:val="00006685"/>
    <w:rsid w:val="00006F35"/>
    <w:rsid w:val="00006FA2"/>
    <w:rsid w:val="00016D57"/>
    <w:rsid w:val="00017852"/>
    <w:rsid w:val="00021E46"/>
    <w:rsid w:val="00022B74"/>
    <w:rsid w:val="00024D5A"/>
    <w:rsid w:val="0002524C"/>
    <w:rsid w:val="00025F3F"/>
    <w:rsid w:val="00026CD2"/>
    <w:rsid w:val="00027BAA"/>
    <w:rsid w:val="0003194E"/>
    <w:rsid w:val="00033309"/>
    <w:rsid w:val="00040A8E"/>
    <w:rsid w:val="00040AEA"/>
    <w:rsid w:val="00047874"/>
    <w:rsid w:val="00047F4A"/>
    <w:rsid w:val="000523D1"/>
    <w:rsid w:val="00052B8F"/>
    <w:rsid w:val="00054612"/>
    <w:rsid w:val="0005572E"/>
    <w:rsid w:val="00056286"/>
    <w:rsid w:val="000612FD"/>
    <w:rsid w:val="0006340D"/>
    <w:rsid w:val="000642AA"/>
    <w:rsid w:val="000649EC"/>
    <w:rsid w:val="00066A91"/>
    <w:rsid w:val="00066EE5"/>
    <w:rsid w:val="00067260"/>
    <w:rsid w:val="000676B7"/>
    <w:rsid w:val="00072808"/>
    <w:rsid w:val="00076F35"/>
    <w:rsid w:val="00081322"/>
    <w:rsid w:val="00084573"/>
    <w:rsid w:val="00084AF9"/>
    <w:rsid w:val="0008598C"/>
    <w:rsid w:val="00086293"/>
    <w:rsid w:val="00087CC1"/>
    <w:rsid w:val="000918D4"/>
    <w:rsid w:val="00093164"/>
    <w:rsid w:val="00094D3B"/>
    <w:rsid w:val="0009612D"/>
    <w:rsid w:val="00097504"/>
    <w:rsid w:val="000A365D"/>
    <w:rsid w:val="000A3C18"/>
    <w:rsid w:val="000A490A"/>
    <w:rsid w:val="000B1A58"/>
    <w:rsid w:val="000B216D"/>
    <w:rsid w:val="000B2755"/>
    <w:rsid w:val="000B4EAE"/>
    <w:rsid w:val="000B5238"/>
    <w:rsid w:val="000B607A"/>
    <w:rsid w:val="000B6B15"/>
    <w:rsid w:val="000C2AE3"/>
    <w:rsid w:val="000C346C"/>
    <w:rsid w:val="000C709A"/>
    <w:rsid w:val="000D0D64"/>
    <w:rsid w:val="000D5232"/>
    <w:rsid w:val="000D7F4F"/>
    <w:rsid w:val="000E189C"/>
    <w:rsid w:val="000E2C45"/>
    <w:rsid w:val="000E33AF"/>
    <w:rsid w:val="000F0AD9"/>
    <w:rsid w:val="000F179E"/>
    <w:rsid w:val="000F1985"/>
    <w:rsid w:val="000F4307"/>
    <w:rsid w:val="000F7020"/>
    <w:rsid w:val="0010158F"/>
    <w:rsid w:val="00101F51"/>
    <w:rsid w:val="001026CA"/>
    <w:rsid w:val="00104D9B"/>
    <w:rsid w:val="001117FF"/>
    <w:rsid w:val="00117CB2"/>
    <w:rsid w:val="00120B39"/>
    <w:rsid w:val="00122E44"/>
    <w:rsid w:val="001238E5"/>
    <w:rsid w:val="00123A2E"/>
    <w:rsid w:val="00124071"/>
    <w:rsid w:val="00124128"/>
    <w:rsid w:val="001267D4"/>
    <w:rsid w:val="00134D42"/>
    <w:rsid w:val="00135972"/>
    <w:rsid w:val="001360FC"/>
    <w:rsid w:val="00136AF0"/>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2CC7"/>
    <w:rsid w:val="00174D3D"/>
    <w:rsid w:val="00180331"/>
    <w:rsid w:val="00181F6E"/>
    <w:rsid w:val="00182478"/>
    <w:rsid w:val="00184E57"/>
    <w:rsid w:val="00186A97"/>
    <w:rsid w:val="0019339D"/>
    <w:rsid w:val="0019530E"/>
    <w:rsid w:val="00195390"/>
    <w:rsid w:val="00195407"/>
    <w:rsid w:val="00195585"/>
    <w:rsid w:val="00195F2E"/>
    <w:rsid w:val="001A3E3B"/>
    <w:rsid w:val="001B1525"/>
    <w:rsid w:val="001B1DB4"/>
    <w:rsid w:val="001B2D77"/>
    <w:rsid w:val="001B7DA2"/>
    <w:rsid w:val="001B7F81"/>
    <w:rsid w:val="001C22A5"/>
    <w:rsid w:val="001C4978"/>
    <w:rsid w:val="001D0ED2"/>
    <w:rsid w:val="001D79F3"/>
    <w:rsid w:val="001E0B61"/>
    <w:rsid w:val="001E0C58"/>
    <w:rsid w:val="001E1276"/>
    <w:rsid w:val="001E2C66"/>
    <w:rsid w:val="001F036B"/>
    <w:rsid w:val="001F162B"/>
    <w:rsid w:val="001F285E"/>
    <w:rsid w:val="001F5292"/>
    <w:rsid w:val="001F70B5"/>
    <w:rsid w:val="00200784"/>
    <w:rsid w:val="00202524"/>
    <w:rsid w:val="002063E1"/>
    <w:rsid w:val="00210736"/>
    <w:rsid w:val="00210F81"/>
    <w:rsid w:val="00211622"/>
    <w:rsid w:val="00214B3E"/>
    <w:rsid w:val="00214F8F"/>
    <w:rsid w:val="00224218"/>
    <w:rsid w:val="0022698E"/>
    <w:rsid w:val="00227906"/>
    <w:rsid w:val="00227912"/>
    <w:rsid w:val="002311EE"/>
    <w:rsid w:val="0023353B"/>
    <w:rsid w:val="00234374"/>
    <w:rsid w:val="002370F5"/>
    <w:rsid w:val="00240ACA"/>
    <w:rsid w:val="00240D7B"/>
    <w:rsid w:val="00240DEB"/>
    <w:rsid w:val="00240E6F"/>
    <w:rsid w:val="00241299"/>
    <w:rsid w:val="00242FE6"/>
    <w:rsid w:val="0024419F"/>
    <w:rsid w:val="00246002"/>
    <w:rsid w:val="00252CDB"/>
    <w:rsid w:val="00255462"/>
    <w:rsid w:val="00260957"/>
    <w:rsid w:val="00264646"/>
    <w:rsid w:val="00266175"/>
    <w:rsid w:val="002709CD"/>
    <w:rsid w:val="00271EEF"/>
    <w:rsid w:val="0027232D"/>
    <w:rsid w:val="002732AB"/>
    <w:rsid w:val="0027400F"/>
    <w:rsid w:val="00274D0F"/>
    <w:rsid w:val="00277500"/>
    <w:rsid w:val="00277906"/>
    <w:rsid w:val="00281A5F"/>
    <w:rsid w:val="00284971"/>
    <w:rsid w:val="00290D9F"/>
    <w:rsid w:val="0029101F"/>
    <w:rsid w:val="002916C2"/>
    <w:rsid w:val="00291F68"/>
    <w:rsid w:val="002963DD"/>
    <w:rsid w:val="002A060A"/>
    <w:rsid w:val="002A4450"/>
    <w:rsid w:val="002A60F5"/>
    <w:rsid w:val="002A6750"/>
    <w:rsid w:val="002A6B69"/>
    <w:rsid w:val="002A7BED"/>
    <w:rsid w:val="002B2296"/>
    <w:rsid w:val="002B34B6"/>
    <w:rsid w:val="002B3612"/>
    <w:rsid w:val="002B4407"/>
    <w:rsid w:val="002B57C1"/>
    <w:rsid w:val="002B67B7"/>
    <w:rsid w:val="002C0429"/>
    <w:rsid w:val="002C19E4"/>
    <w:rsid w:val="002C1CB9"/>
    <w:rsid w:val="002C6CC4"/>
    <w:rsid w:val="002C7E81"/>
    <w:rsid w:val="002D0E0C"/>
    <w:rsid w:val="002D13C4"/>
    <w:rsid w:val="002D275E"/>
    <w:rsid w:val="002D6357"/>
    <w:rsid w:val="002D7584"/>
    <w:rsid w:val="002E1460"/>
    <w:rsid w:val="002E23A4"/>
    <w:rsid w:val="002E3026"/>
    <w:rsid w:val="002E3F06"/>
    <w:rsid w:val="002E5807"/>
    <w:rsid w:val="002E6FFA"/>
    <w:rsid w:val="002E79DE"/>
    <w:rsid w:val="002E7F8F"/>
    <w:rsid w:val="002F3F04"/>
    <w:rsid w:val="002F41BA"/>
    <w:rsid w:val="003018AA"/>
    <w:rsid w:val="00303B99"/>
    <w:rsid w:val="00304757"/>
    <w:rsid w:val="0030533A"/>
    <w:rsid w:val="00305D99"/>
    <w:rsid w:val="0030714F"/>
    <w:rsid w:val="003073E2"/>
    <w:rsid w:val="00307DDF"/>
    <w:rsid w:val="0031014A"/>
    <w:rsid w:val="0031350F"/>
    <w:rsid w:val="00314A43"/>
    <w:rsid w:val="00322040"/>
    <w:rsid w:val="00323203"/>
    <w:rsid w:val="00323669"/>
    <w:rsid w:val="003240B8"/>
    <w:rsid w:val="00325422"/>
    <w:rsid w:val="00325D89"/>
    <w:rsid w:val="00332DA2"/>
    <w:rsid w:val="00333FDA"/>
    <w:rsid w:val="003340DE"/>
    <w:rsid w:val="00336ACB"/>
    <w:rsid w:val="00340D19"/>
    <w:rsid w:val="00344804"/>
    <w:rsid w:val="00344A19"/>
    <w:rsid w:val="003518C8"/>
    <w:rsid w:val="003533B5"/>
    <w:rsid w:val="00357A7D"/>
    <w:rsid w:val="003622CA"/>
    <w:rsid w:val="00363030"/>
    <w:rsid w:val="0036462C"/>
    <w:rsid w:val="00364A42"/>
    <w:rsid w:val="00366281"/>
    <w:rsid w:val="003663E7"/>
    <w:rsid w:val="003710F8"/>
    <w:rsid w:val="003723B0"/>
    <w:rsid w:val="00372487"/>
    <w:rsid w:val="003755FB"/>
    <w:rsid w:val="0037577C"/>
    <w:rsid w:val="00377F25"/>
    <w:rsid w:val="00385502"/>
    <w:rsid w:val="003901D9"/>
    <w:rsid w:val="00391A43"/>
    <w:rsid w:val="003A110B"/>
    <w:rsid w:val="003A7416"/>
    <w:rsid w:val="003B0611"/>
    <w:rsid w:val="003B42D9"/>
    <w:rsid w:val="003C3140"/>
    <w:rsid w:val="003C3E02"/>
    <w:rsid w:val="003C3FE8"/>
    <w:rsid w:val="003C6FC8"/>
    <w:rsid w:val="003C73F9"/>
    <w:rsid w:val="003C7EBB"/>
    <w:rsid w:val="003D1F5A"/>
    <w:rsid w:val="003D45D9"/>
    <w:rsid w:val="003D5F07"/>
    <w:rsid w:val="003D6AB5"/>
    <w:rsid w:val="003E3FF5"/>
    <w:rsid w:val="003E4F24"/>
    <w:rsid w:val="003E5354"/>
    <w:rsid w:val="003F0AAF"/>
    <w:rsid w:val="003F0BA5"/>
    <w:rsid w:val="003F51F4"/>
    <w:rsid w:val="003F52C6"/>
    <w:rsid w:val="003F558E"/>
    <w:rsid w:val="00401660"/>
    <w:rsid w:val="00403D6E"/>
    <w:rsid w:val="00407AC0"/>
    <w:rsid w:val="00412E30"/>
    <w:rsid w:val="00417002"/>
    <w:rsid w:val="004170AF"/>
    <w:rsid w:val="004202C3"/>
    <w:rsid w:val="00432BB7"/>
    <w:rsid w:val="004331E9"/>
    <w:rsid w:val="00433E8D"/>
    <w:rsid w:val="00434136"/>
    <w:rsid w:val="0043592C"/>
    <w:rsid w:val="00441207"/>
    <w:rsid w:val="004422CA"/>
    <w:rsid w:val="00443807"/>
    <w:rsid w:val="004462F7"/>
    <w:rsid w:val="00454114"/>
    <w:rsid w:val="0046019D"/>
    <w:rsid w:val="0046055D"/>
    <w:rsid w:val="00464536"/>
    <w:rsid w:val="0046514E"/>
    <w:rsid w:val="0046623C"/>
    <w:rsid w:val="00467739"/>
    <w:rsid w:val="00470D0C"/>
    <w:rsid w:val="00474E22"/>
    <w:rsid w:val="0047608F"/>
    <w:rsid w:val="00476257"/>
    <w:rsid w:val="00476554"/>
    <w:rsid w:val="00480E78"/>
    <w:rsid w:val="004813D4"/>
    <w:rsid w:val="00486AC9"/>
    <w:rsid w:val="00491D91"/>
    <w:rsid w:val="004931C7"/>
    <w:rsid w:val="00494037"/>
    <w:rsid w:val="0049580C"/>
    <w:rsid w:val="0049768F"/>
    <w:rsid w:val="004A04E5"/>
    <w:rsid w:val="004A1495"/>
    <w:rsid w:val="004A2165"/>
    <w:rsid w:val="004A468E"/>
    <w:rsid w:val="004A5F74"/>
    <w:rsid w:val="004B07B9"/>
    <w:rsid w:val="004B1052"/>
    <w:rsid w:val="004B6B14"/>
    <w:rsid w:val="004C39BC"/>
    <w:rsid w:val="004C7594"/>
    <w:rsid w:val="004C7B3D"/>
    <w:rsid w:val="004D0C36"/>
    <w:rsid w:val="004D5CFF"/>
    <w:rsid w:val="004E384C"/>
    <w:rsid w:val="004E41CC"/>
    <w:rsid w:val="004E47EC"/>
    <w:rsid w:val="004E514F"/>
    <w:rsid w:val="004E737F"/>
    <w:rsid w:val="004F03DE"/>
    <w:rsid w:val="004F21E9"/>
    <w:rsid w:val="004F22DA"/>
    <w:rsid w:val="00502165"/>
    <w:rsid w:val="00502DCF"/>
    <w:rsid w:val="00504834"/>
    <w:rsid w:val="00504C7A"/>
    <w:rsid w:val="00505AEE"/>
    <w:rsid w:val="0050632E"/>
    <w:rsid w:val="0050752D"/>
    <w:rsid w:val="00511EF3"/>
    <w:rsid w:val="0051386E"/>
    <w:rsid w:val="00514507"/>
    <w:rsid w:val="0051475B"/>
    <w:rsid w:val="00515B78"/>
    <w:rsid w:val="00521350"/>
    <w:rsid w:val="0052690E"/>
    <w:rsid w:val="00530E8D"/>
    <w:rsid w:val="0053186F"/>
    <w:rsid w:val="005351B9"/>
    <w:rsid w:val="00536011"/>
    <w:rsid w:val="00540506"/>
    <w:rsid w:val="00547BEA"/>
    <w:rsid w:val="00550B79"/>
    <w:rsid w:val="0055150B"/>
    <w:rsid w:val="005532F9"/>
    <w:rsid w:val="0055440B"/>
    <w:rsid w:val="0055708D"/>
    <w:rsid w:val="00560083"/>
    <w:rsid w:val="005606BE"/>
    <w:rsid w:val="00561CA6"/>
    <w:rsid w:val="00564565"/>
    <w:rsid w:val="005647BE"/>
    <w:rsid w:val="00565CE4"/>
    <w:rsid w:val="00565EC2"/>
    <w:rsid w:val="00566093"/>
    <w:rsid w:val="00566299"/>
    <w:rsid w:val="00566CA8"/>
    <w:rsid w:val="00570813"/>
    <w:rsid w:val="005719A3"/>
    <w:rsid w:val="005725F6"/>
    <w:rsid w:val="00572BAA"/>
    <w:rsid w:val="00573F90"/>
    <w:rsid w:val="0057643F"/>
    <w:rsid w:val="0057699D"/>
    <w:rsid w:val="00580F43"/>
    <w:rsid w:val="00581BCD"/>
    <w:rsid w:val="00586817"/>
    <w:rsid w:val="00586D92"/>
    <w:rsid w:val="00587507"/>
    <w:rsid w:val="005964C0"/>
    <w:rsid w:val="00596A0B"/>
    <w:rsid w:val="00596E05"/>
    <w:rsid w:val="00596F85"/>
    <w:rsid w:val="005970FA"/>
    <w:rsid w:val="005A0176"/>
    <w:rsid w:val="005A088E"/>
    <w:rsid w:val="005A2298"/>
    <w:rsid w:val="005A28C1"/>
    <w:rsid w:val="005A72FC"/>
    <w:rsid w:val="005B0388"/>
    <w:rsid w:val="005B109A"/>
    <w:rsid w:val="005B44C8"/>
    <w:rsid w:val="005B5DE5"/>
    <w:rsid w:val="005C2FD5"/>
    <w:rsid w:val="005C5378"/>
    <w:rsid w:val="005D2AB9"/>
    <w:rsid w:val="005D34E2"/>
    <w:rsid w:val="005D496E"/>
    <w:rsid w:val="005D6C0B"/>
    <w:rsid w:val="005D7C20"/>
    <w:rsid w:val="005E6960"/>
    <w:rsid w:val="005E7EB8"/>
    <w:rsid w:val="005F0FA9"/>
    <w:rsid w:val="005F18D6"/>
    <w:rsid w:val="005F337A"/>
    <w:rsid w:val="0060024E"/>
    <w:rsid w:val="00602089"/>
    <w:rsid w:val="00602E55"/>
    <w:rsid w:val="00603024"/>
    <w:rsid w:val="006116E3"/>
    <w:rsid w:val="00612064"/>
    <w:rsid w:val="00613994"/>
    <w:rsid w:val="00624400"/>
    <w:rsid w:val="00624E51"/>
    <w:rsid w:val="00626162"/>
    <w:rsid w:val="00634719"/>
    <w:rsid w:val="00636A5D"/>
    <w:rsid w:val="006373F9"/>
    <w:rsid w:val="00637AA3"/>
    <w:rsid w:val="006503E8"/>
    <w:rsid w:val="006547E9"/>
    <w:rsid w:val="00654A4A"/>
    <w:rsid w:val="0065545A"/>
    <w:rsid w:val="00655657"/>
    <w:rsid w:val="006556A7"/>
    <w:rsid w:val="00657A21"/>
    <w:rsid w:val="0066142E"/>
    <w:rsid w:val="006626F6"/>
    <w:rsid w:val="006661CF"/>
    <w:rsid w:val="00670BFD"/>
    <w:rsid w:val="00671E4C"/>
    <w:rsid w:val="00672B22"/>
    <w:rsid w:val="00674295"/>
    <w:rsid w:val="00676343"/>
    <w:rsid w:val="0067681E"/>
    <w:rsid w:val="006818A8"/>
    <w:rsid w:val="00681A51"/>
    <w:rsid w:val="00682469"/>
    <w:rsid w:val="00683266"/>
    <w:rsid w:val="00683D97"/>
    <w:rsid w:val="00684FCA"/>
    <w:rsid w:val="00685105"/>
    <w:rsid w:val="00686A01"/>
    <w:rsid w:val="00686B5C"/>
    <w:rsid w:val="006879DE"/>
    <w:rsid w:val="006959BD"/>
    <w:rsid w:val="006962FB"/>
    <w:rsid w:val="00696997"/>
    <w:rsid w:val="006A148D"/>
    <w:rsid w:val="006A224F"/>
    <w:rsid w:val="006A6460"/>
    <w:rsid w:val="006A758C"/>
    <w:rsid w:val="006B22C2"/>
    <w:rsid w:val="006B346F"/>
    <w:rsid w:val="006C1EEC"/>
    <w:rsid w:val="006C256E"/>
    <w:rsid w:val="006C3CB9"/>
    <w:rsid w:val="006C3F75"/>
    <w:rsid w:val="006C3FEA"/>
    <w:rsid w:val="006C4A20"/>
    <w:rsid w:val="006C69E7"/>
    <w:rsid w:val="006C7201"/>
    <w:rsid w:val="006D10AE"/>
    <w:rsid w:val="006D29F2"/>
    <w:rsid w:val="006D7CA2"/>
    <w:rsid w:val="006E018F"/>
    <w:rsid w:val="006E065B"/>
    <w:rsid w:val="006E09D3"/>
    <w:rsid w:val="006E1E68"/>
    <w:rsid w:val="006E1E6C"/>
    <w:rsid w:val="006E1FDD"/>
    <w:rsid w:val="006E4254"/>
    <w:rsid w:val="006E5505"/>
    <w:rsid w:val="006F240A"/>
    <w:rsid w:val="006F2FB3"/>
    <w:rsid w:val="006F531B"/>
    <w:rsid w:val="006F5D5F"/>
    <w:rsid w:val="006F62BC"/>
    <w:rsid w:val="007003F1"/>
    <w:rsid w:val="00700691"/>
    <w:rsid w:val="00701370"/>
    <w:rsid w:val="0070142E"/>
    <w:rsid w:val="00702493"/>
    <w:rsid w:val="007040DD"/>
    <w:rsid w:val="00706F91"/>
    <w:rsid w:val="00710851"/>
    <w:rsid w:val="00713192"/>
    <w:rsid w:val="00714F3B"/>
    <w:rsid w:val="00715FA6"/>
    <w:rsid w:val="007166F7"/>
    <w:rsid w:val="00716AEF"/>
    <w:rsid w:val="00717076"/>
    <w:rsid w:val="00717296"/>
    <w:rsid w:val="00723FB6"/>
    <w:rsid w:val="00727370"/>
    <w:rsid w:val="00732CCF"/>
    <w:rsid w:val="00735D9E"/>
    <w:rsid w:val="00736611"/>
    <w:rsid w:val="0074109C"/>
    <w:rsid w:val="00742335"/>
    <w:rsid w:val="00742842"/>
    <w:rsid w:val="00743EE5"/>
    <w:rsid w:val="00753376"/>
    <w:rsid w:val="007543B0"/>
    <w:rsid w:val="007568A9"/>
    <w:rsid w:val="00761514"/>
    <w:rsid w:val="00763CE7"/>
    <w:rsid w:val="007655D8"/>
    <w:rsid w:val="00770A31"/>
    <w:rsid w:val="0077128B"/>
    <w:rsid w:val="00772177"/>
    <w:rsid w:val="0077556F"/>
    <w:rsid w:val="007756C7"/>
    <w:rsid w:val="00775C65"/>
    <w:rsid w:val="0077639A"/>
    <w:rsid w:val="0078100C"/>
    <w:rsid w:val="00781571"/>
    <w:rsid w:val="0078157F"/>
    <w:rsid w:val="00782EDE"/>
    <w:rsid w:val="00786F48"/>
    <w:rsid w:val="0078772C"/>
    <w:rsid w:val="007878E4"/>
    <w:rsid w:val="007941A7"/>
    <w:rsid w:val="007963BD"/>
    <w:rsid w:val="007A3B16"/>
    <w:rsid w:val="007A4783"/>
    <w:rsid w:val="007A5191"/>
    <w:rsid w:val="007B0500"/>
    <w:rsid w:val="007B0E81"/>
    <w:rsid w:val="007B111B"/>
    <w:rsid w:val="007B2448"/>
    <w:rsid w:val="007B3AE8"/>
    <w:rsid w:val="007B4418"/>
    <w:rsid w:val="007B5F19"/>
    <w:rsid w:val="007B5F62"/>
    <w:rsid w:val="007B66B3"/>
    <w:rsid w:val="007B7077"/>
    <w:rsid w:val="007B7FB7"/>
    <w:rsid w:val="007C03CE"/>
    <w:rsid w:val="007C3003"/>
    <w:rsid w:val="007C455B"/>
    <w:rsid w:val="007C6B60"/>
    <w:rsid w:val="007C6F85"/>
    <w:rsid w:val="007C7D9A"/>
    <w:rsid w:val="007D1348"/>
    <w:rsid w:val="007D3AA0"/>
    <w:rsid w:val="007D3FE2"/>
    <w:rsid w:val="007D5690"/>
    <w:rsid w:val="007D69FA"/>
    <w:rsid w:val="007E1600"/>
    <w:rsid w:val="007E6311"/>
    <w:rsid w:val="007F4AED"/>
    <w:rsid w:val="008009F2"/>
    <w:rsid w:val="008024D4"/>
    <w:rsid w:val="00806A36"/>
    <w:rsid w:val="00810603"/>
    <w:rsid w:val="008130DB"/>
    <w:rsid w:val="00814283"/>
    <w:rsid w:val="00820209"/>
    <w:rsid w:val="00820F35"/>
    <w:rsid w:val="00820FEC"/>
    <w:rsid w:val="0082393D"/>
    <w:rsid w:val="00827CE5"/>
    <w:rsid w:val="0083324D"/>
    <w:rsid w:val="00837061"/>
    <w:rsid w:val="00841733"/>
    <w:rsid w:val="0084270A"/>
    <w:rsid w:val="008431FD"/>
    <w:rsid w:val="00844D38"/>
    <w:rsid w:val="00844D85"/>
    <w:rsid w:val="00846E83"/>
    <w:rsid w:val="00847AB0"/>
    <w:rsid w:val="008524BE"/>
    <w:rsid w:val="00853BC2"/>
    <w:rsid w:val="0085402A"/>
    <w:rsid w:val="00854278"/>
    <w:rsid w:val="00856063"/>
    <w:rsid w:val="00857172"/>
    <w:rsid w:val="0086236A"/>
    <w:rsid w:val="0087035A"/>
    <w:rsid w:val="0087282C"/>
    <w:rsid w:val="0087347D"/>
    <w:rsid w:val="0087708E"/>
    <w:rsid w:val="00881673"/>
    <w:rsid w:val="00882DAD"/>
    <w:rsid w:val="00885263"/>
    <w:rsid w:val="008855BB"/>
    <w:rsid w:val="00886CC3"/>
    <w:rsid w:val="00890B02"/>
    <w:rsid w:val="00891EF0"/>
    <w:rsid w:val="00892DA5"/>
    <w:rsid w:val="008949B1"/>
    <w:rsid w:val="0089713E"/>
    <w:rsid w:val="008A10F3"/>
    <w:rsid w:val="008A4DF6"/>
    <w:rsid w:val="008A5C0F"/>
    <w:rsid w:val="008B1596"/>
    <w:rsid w:val="008B75E0"/>
    <w:rsid w:val="008B7993"/>
    <w:rsid w:val="008C09C4"/>
    <w:rsid w:val="008C1F44"/>
    <w:rsid w:val="008C3EA6"/>
    <w:rsid w:val="008C6018"/>
    <w:rsid w:val="008C646F"/>
    <w:rsid w:val="008C68E3"/>
    <w:rsid w:val="008D3B80"/>
    <w:rsid w:val="008D7F20"/>
    <w:rsid w:val="008E3E4B"/>
    <w:rsid w:val="008E4EF9"/>
    <w:rsid w:val="008E6DFC"/>
    <w:rsid w:val="008E7710"/>
    <w:rsid w:val="008F2510"/>
    <w:rsid w:val="008F78A8"/>
    <w:rsid w:val="00900D4D"/>
    <w:rsid w:val="00903F34"/>
    <w:rsid w:val="00905C0A"/>
    <w:rsid w:val="00911BC6"/>
    <w:rsid w:val="009122F8"/>
    <w:rsid w:val="0091371B"/>
    <w:rsid w:val="00915520"/>
    <w:rsid w:val="009155F7"/>
    <w:rsid w:val="00916FA1"/>
    <w:rsid w:val="00921131"/>
    <w:rsid w:val="0092195B"/>
    <w:rsid w:val="00923DEF"/>
    <w:rsid w:val="009247F5"/>
    <w:rsid w:val="00926AB2"/>
    <w:rsid w:val="009279B1"/>
    <w:rsid w:val="009356E6"/>
    <w:rsid w:val="009407FE"/>
    <w:rsid w:val="00940BD4"/>
    <w:rsid w:val="009419FA"/>
    <w:rsid w:val="00942436"/>
    <w:rsid w:val="009550CD"/>
    <w:rsid w:val="0095716F"/>
    <w:rsid w:val="00957603"/>
    <w:rsid w:val="00957A1D"/>
    <w:rsid w:val="0096487B"/>
    <w:rsid w:val="0097038B"/>
    <w:rsid w:val="00974423"/>
    <w:rsid w:val="00975572"/>
    <w:rsid w:val="009757D1"/>
    <w:rsid w:val="0097674C"/>
    <w:rsid w:val="00980205"/>
    <w:rsid w:val="00980754"/>
    <w:rsid w:val="00981535"/>
    <w:rsid w:val="0098222F"/>
    <w:rsid w:val="009825C8"/>
    <w:rsid w:val="0098409F"/>
    <w:rsid w:val="00985537"/>
    <w:rsid w:val="009903EE"/>
    <w:rsid w:val="00991698"/>
    <w:rsid w:val="00991C17"/>
    <w:rsid w:val="00992D1E"/>
    <w:rsid w:val="00997EB2"/>
    <w:rsid w:val="009A06F5"/>
    <w:rsid w:val="009A0788"/>
    <w:rsid w:val="009A0E92"/>
    <w:rsid w:val="009A17EC"/>
    <w:rsid w:val="009A4C0F"/>
    <w:rsid w:val="009A7AA4"/>
    <w:rsid w:val="009B03DF"/>
    <w:rsid w:val="009B2262"/>
    <w:rsid w:val="009B6AF0"/>
    <w:rsid w:val="009C292D"/>
    <w:rsid w:val="009C2CED"/>
    <w:rsid w:val="009C41C8"/>
    <w:rsid w:val="009C5F0C"/>
    <w:rsid w:val="009C67C0"/>
    <w:rsid w:val="009D1035"/>
    <w:rsid w:val="009D13D0"/>
    <w:rsid w:val="009D2068"/>
    <w:rsid w:val="009D46F3"/>
    <w:rsid w:val="009D4C89"/>
    <w:rsid w:val="009D7D33"/>
    <w:rsid w:val="009E4DD4"/>
    <w:rsid w:val="009E4E3F"/>
    <w:rsid w:val="009E5E7D"/>
    <w:rsid w:val="009E698B"/>
    <w:rsid w:val="009F0FBD"/>
    <w:rsid w:val="009F1547"/>
    <w:rsid w:val="009F1F02"/>
    <w:rsid w:val="009F494B"/>
    <w:rsid w:val="009F4ABA"/>
    <w:rsid w:val="00A030DD"/>
    <w:rsid w:val="00A04550"/>
    <w:rsid w:val="00A066AE"/>
    <w:rsid w:val="00A07C8C"/>
    <w:rsid w:val="00A10DD9"/>
    <w:rsid w:val="00A11194"/>
    <w:rsid w:val="00A12C6B"/>
    <w:rsid w:val="00A14117"/>
    <w:rsid w:val="00A149FA"/>
    <w:rsid w:val="00A17DF0"/>
    <w:rsid w:val="00A20F78"/>
    <w:rsid w:val="00A218F1"/>
    <w:rsid w:val="00A22121"/>
    <w:rsid w:val="00A27DEE"/>
    <w:rsid w:val="00A31758"/>
    <w:rsid w:val="00A31B93"/>
    <w:rsid w:val="00A375EF"/>
    <w:rsid w:val="00A37AD7"/>
    <w:rsid w:val="00A47557"/>
    <w:rsid w:val="00A50D8A"/>
    <w:rsid w:val="00A5159E"/>
    <w:rsid w:val="00A528C2"/>
    <w:rsid w:val="00A54AFD"/>
    <w:rsid w:val="00A54E69"/>
    <w:rsid w:val="00A6006E"/>
    <w:rsid w:val="00A61618"/>
    <w:rsid w:val="00A61B06"/>
    <w:rsid w:val="00A62113"/>
    <w:rsid w:val="00A634F6"/>
    <w:rsid w:val="00A6401F"/>
    <w:rsid w:val="00A66D9E"/>
    <w:rsid w:val="00A6759C"/>
    <w:rsid w:val="00A67923"/>
    <w:rsid w:val="00A71386"/>
    <w:rsid w:val="00A713ED"/>
    <w:rsid w:val="00A714B8"/>
    <w:rsid w:val="00A71EF0"/>
    <w:rsid w:val="00A7353B"/>
    <w:rsid w:val="00A74901"/>
    <w:rsid w:val="00A74D85"/>
    <w:rsid w:val="00A75733"/>
    <w:rsid w:val="00A75753"/>
    <w:rsid w:val="00A76308"/>
    <w:rsid w:val="00A77C08"/>
    <w:rsid w:val="00A81527"/>
    <w:rsid w:val="00A81C53"/>
    <w:rsid w:val="00A81E8E"/>
    <w:rsid w:val="00A82058"/>
    <w:rsid w:val="00A82431"/>
    <w:rsid w:val="00A825E1"/>
    <w:rsid w:val="00A82CA8"/>
    <w:rsid w:val="00A84AE7"/>
    <w:rsid w:val="00A867DC"/>
    <w:rsid w:val="00A869B0"/>
    <w:rsid w:val="00A9289F"/>
    <w:rsid w:val="00A92C1D"/>
    <w:rsid w:val="00A96905"/>
    <w:rsid w:val="00AA0C77"/>
    <w:rsid w:val="00AA1D27"/>
    <w:rsid w:val="00AA204C"/>
    <w:rsid w:val="00AA27C1"/>
    <w:rsid w:val="00AA2D57"/>
    <w:rsid w:val="00AA3941"/>
    <w:rsid w:val="00AA56D0"/>
    <w:rsid w:val="00AB0C9F"/>
    <w:rsid w:val="00AB143A"/>
    <w:rsid w:val="00AC003C"/>
    <w:rsid w:val="00AC0103"/>
    <w:rsid w:val="00AC1404"/>
    <w:rsid w:val="00AC5518"/>
    <w:rsid w:val="00AC65D2"/>
    <w:rsid w:val="00AD039F"/>
    <w:rsid w:val="00AD2726"/>
    <w:rsid w:val="00AD3902"/>
    <w:rsid w:val="00AD6010"/>
    <w:rsid w:val="00AE2026"/>
    <w:rsid w:val="00AE33FF"/>
    <w:rsid w:val="00AE47DB"/>
    <w:rsid w:val="00AE4C7A"/>
    <w:rsid w:val="00AF06D5"/>
    <w:rsid w:val="00AF09DD"/>
    <w:rsid w:val="00B02494"/>
    <w:rsid w:val="00B02655"/>
    <w:rsid w:val="00B05102"/>
    <w:rsid w:val="00B102A9"/>
    <w:rsid w:val="00B1097E"/>
    <w:rsid w:val="00B12C2E"/>
    <w:rsid w:val="00B12EA1"/>
    <w:rsid w:val="00B16A34"/>
    <w:rsid w:val="00B17346"/>
    <w:rsid w:val="00B21710"/>
    <w:rsid w:val="00B25453"/>
    <w:rsid w:val="00B2549D"/>
    <w:rsid w:val="00B311F2"/>
    <w:rsid w:val="00B31B9C"/>
    <w:rsid w:val="00B34D6C"/>
    <w:rsid w:val="00B378C2"/>
    <w:rsid w:val="00B5544F"/>
    <w:rsid w:val="00B55E5D"/>
    <w:rsid w:val="00B56D48"/>
    <w:rsid w:val="00B5772F"/>
    <w:rsid w:val="00B57849"/>
    <w:rsid w:val="00B60A36"/>
    <w:rsid w:val="00B629D3"/>
    <w:rsid w:val="00B66867"/>
    <w:rsid w:val="00B66994"/>
    <w:rsid w:val="00B6706C"/>
    <w:rsid w:val="00B71AFB"/>
    <w:rsid w:val="00B71F3A"/>
    <w:rsid w:val="00B73639"/>
    <w:rsid w:val="00B73C97"/>
    <w:rsid w:val="00B76340"/>
    <w:rsid w:val="00B77B1D"/>
    <w:rsid w:val="00B80C43"/>
    <w:rsid w:val="00B86E2C"/>
    <w:rsid w:val="00B94786"/>
    <w:rsid w:val="00BA5308"/>
    <w:rsid w:val="00BA78B6"/>
    <w:rsid w:val="00BB26AD"/>
    <w:rsid w:val="00BB4FF1"/>
    <w:rsid w:val="00BB5CE8"/>
    <w:rsid w:val="00BB79BD"/>
    <w:rsid w:val="00BC5C9F"/>
    <w:rsid w:val="00BC7208"/>
    <w:rsid w:val="00BD0B48"/>
    <w:rsid w:val="00BD2A0A"/>
    <w:rsid w:val="00BD5D0F"/>
    <w:rsid w:val="00BD7C68"/>
    <w:rsid w:val="00BE1CBC"/>
    <w:rsid w:val="00BE29DC"/>
    <w:rsid w:val="00BE7B14"/>
    <w:rsid w:val="00BF43DA"/>
    <w:rsid w:val="00BF697A"/>
    <w:rsid w:val="00BF6ADB"/>
    <w:rsid w:val="00C00037"/>
    <w:rsid w:val="00C03776"/>
    <w:rsid w:val="00C07DB4"/>
    <w:rsid w:val="00C13821"/>
    <w:rsid w:val="00C14051"/>
    <w:rsid w:val="00C15F73"/>
    <w:rsid w:val="00C16E76"/>
    <w:rsid w:val="00C1785A"/>
    <w:rsid w:val="00C20324"/>
    <w:rsid w:val="00C2037B"/>
    <w:rsid w:val="00C22F2D"/>
    <w:rsid w:val="00C22FF7"/>
    <w:rsid w:val="00C25B32"/>
    <w:rsid w:val="00C27F76"/>
    <w:rsid w:val="00C30DA4"/>
    <w:rsid w:val="00C32F43"/>
    <w:rsid w:val="00C33414"/>
    <w:rsid w:val="00C40C35"/>
    <w:rsid w:val="00C41ECA"/>
    <w:rsid w:val="00C44719"/>
    <w:rsid w:val="00C50108"/>
    <w:rsid w:val="00C51056"/>
    <w:rsid w:val="00C55076"/>
    <w:rsid w:val="00C57248"/>
    <w:rsid w:val="00C62D1C"/>
    <w:rsid w:val="00C6572C"/>
    <w:rsid w:val="00C70CFF"/>
    <w:rsid w:val="00C75655"/>
    <w:rsid w:val="00C8070A"/>
    <w:rsid w:val="00C81CC8"/>
    <w:rsid w:val="00C837C3"/>
    <w:rsid w:val="00C84497"/>
    <w:rsid w:val="00C84840"/>
    <w:rsid w:val="00C868F6"/>
    <w:rsid w:val="00C9041D"/>
    <w:rsid w:val="00C9137C"/>
    <w:rsid w:val="00C91644"/>
    <w:rsid w:val="00C9299B"/>
    <w:rsid w:val="00C94D30"/>
    <w:rsid w:val="00C9663B"/>
    <w:rsid w:val="00CA32E1"/>
    <w:rsid w:val="00CA3C9B"/>
    <w:rsid w:val="00CA43A5"/>
    <w:rsid w:val="00CA7C0B"/>
    <w:rsid w:val="00CB44B1"/>
    <w:rsid w:val="00CB4762"/>
    <w:rsid w:val="00CB6E2B"/>
    <w:rsid w:val="00CB6FF7"/>
    <w:rsid w:val="00CB7302"/>
    <w:rsid w:val="00CC0B94"/>
    <w:rsid w:val="00CC1E9F"/>
    <w:rsid w:val="00CC3680"/>
    <w:rsid w:val="00CC5896"/>
    <w:rsid w:val="00CC76BB"/>
    <w:rsid w:val="00CD77FB"/>
    <w:rsid w:val="00CE0C35"/>
    <w:rsid w:val="00CE3810"/>
    <w:rsid w:val="00CE3EC9"/>
    <w:rsid w:val="00CE431C"/>
    <w:rsid w:val="00CE52B4"/>
    <w:rsid w:val="00CE5DCD"/>
    <w:rsid w:val="00CE701C"/>
    <w:rsid w:val="00CE7599"/>
    <w:rsid w:val="00CE7C2C"/>
    <w:rsid w:val="00CF414A"/>
    <w:rsid w:val="00CF4FF0"/>
    <w:rsid w:val="00CF5B47"/>
    <w:rsid w:val="00D051BD"/>
    <w:rsid w:val="00D104F9"/>
    <w:rsid w:val="00D14323"/>
    <w:rsid w:val="00D16008"/>
    <w:rsid w:val="00D166D4"/>
    <w:rsid w:val="00D21327"/>
    <w:rsid w:val="00D229C9"/>
    <w:rsid w:val="00D234E0"/>
    <w:rsid w:val="00D30254"/>
    <w:rsid w:val="00D30FF5"/>
    <w:rsid w:val="00D32DF4"/>
    <w:rsid w:val="00D33768"/>
    <w:rsid w:val="00D33D87"/>
    <w:rsid w:val="00D33DCA"/>
    <w:rsid w:val="00D35077"/>
    <w:rsid w:val="00D35A6E"/>
    <w:rsid w:val="00D408A8"/>
    <w:rsid w:val="00D438CE"/>
    <w:rsid w:val="00D4561D"/>
    <w:rsid w:val="00D456A6"/>
    <w:rsid w:val="00D45FFE"/>
    <w:rsid w:val="00D46BB4"/>
    <w:rsid w:val="00D46DAE"/>
    <w:rsid w:val="00D51C8F"/>
    <w:rsid w:val="00D5204B"/>
    <w:rsid w:val="00D53716"/>
    <w:rsid w:val="00D54C10"/>
    <w:rsid w:val="00D55191"/>
    <w:rsid w:val="00D55CD0"/>
    <w:rsid w:val="00D57544"/>
    <w:rsid w:val="00D57973"/>
    <w:rsid w:val="00D60CE2"/>
    <w:rsid w:val="00D612EC"/>
    <w:rsid w:val="00D6153E"/>
    <w:rsid w:val="00D623C4"/>
    <w:rsid w:val="00D722DF"/>
    <w:rsid w:val="00D83E60"/>
    <w:rsid w:val="00D84675"/>
    <w:rsid w:val="00D8491F"/>
    <w:rsid w:val="00D8526A"/>
    <w:rsid w:val="00D86252"/>
    <w:rsid w:val="00D917F3"/>
    <w:rsid w:val="00D92FAD"/>
    <w:rsid w:val="00D97BAA"/>
    <w:rsid w:val="00DA3AF3"/>
    <w:rsid w:val="00DA5455"/>
    <w:rsid w:val="00DA559F"/>
    <w:rsid w:val="00DA5C2B"/>
    <w:rsid w:val="00DB080F"/>
    <w:rsid w:val="00DB3295"/>
    <w:rsid w:val="00DB5EFB"/>
    <w:rsid w:val="00DB6EF1"/>
    <w:rsid w:val="00DC19BB"/>
    <w:rsid w:val="00DC3789"/>
    <w:rsid w:val="00DC6404"/>
    <w:rsid w:val="00DC739B"/>
    <w:rsid w:val="00DC78AD"/>
    <w:rsid w:val="00DD35FA"/>
    <w:rsid w:val="00DD7139"/>
    <w:rsid w:val="00DD7FDF"/>
    <w:rsid w:val="00DE1703"/>
    <w:rsid w:val="00DE25AC"/>
    <w:rsid w:val="00DE2A11"/>
    <w:rsid w:val="00DF568D"/>
    <w:rsid w:val="00DF588C"/>
    <w:rsid w:val="00E008C5"/>
    <w:rsid w:val="00E00CCB"/>
    <w:rsid w:val="00E0157A"/>
    <w:rsid w:val="00E01B86"/>
    <w:rsid w:val="00E042C7"/>
    <w:rsid w:val="00E0781A"/>
    <w:rsid w:val="00E11475"/>
    <w:rsid w:val="00E1187A"/>
    <w:rsid w:val="00E175A7"/>
    <w:rsid w:val="00E20168"/>
    <w:rsid w:val="00E20740"/>
    <w:rsid w:val="00E20E92"/>
    <w:rsid w:val="00E245DA"/>
    <w:rsid w:val="00E24645"/>
    <w:rsid w:val="00E304B5"/>
    <w:rsid w:val="00E31BCB"/>
    <w:rsid w:val="00E32963"/>
    <w:rsid w:val="00E337BC"/>
    <w:rsid w:val="00E350CD"/>
    <w:rsid w:val="00E372A9"/>
    <w:rsid w:val="00E4001B"/>
    <w:rsid w:val="00E42C2E"/>
    <w:rsid w:val="00E44856"/>
    <w:rsid w:val="00E45CBE"/>
    <w:rsid w:val="00E479BF"/>
    <w:rsid w:val="00E51FDE"/>
    <w:rsid w:val="00E52162"/>
    <w:rsid w:val="00E534B2"/>
    <w:rsid w:val="00E55462"/>
    <w:rsid w:val="00E56B66"/>
    <w:rsid w:val="00E579AF"/>
    <w:rsid w:val="00E6720F"/>
    <w:rsid w:val="00E705B7"/>
    <w:rsid w:val="00E7086E"/>
    <w:rsid w:val="00E70ECC"/>
    <w:rsid w:val="00E7152F"/>
    <w:rsid w:val="00E71A89"/>
    <w:rsid w:val="00E77197"/>
    <w:rsid w:val="00E81B1A"/>
    <w:rsid w:val="00E84F77"/>
    <w:rsid w:val="00E84FB3"/>
    <w:rsid w:val="00E87037"/>
    <w:rsid w:val="00E96794"/>
    <w:rsid w:val="00E971BA"/>
    <w:rsid w:val="00EA0F03"/>
    <w:rsid w:val="00EA1EF9"/>
    <w:rsid w:val="00EA2CA0"/>
    <w:rsid w:val="00EA70AD"/>
    <w:rsid w:val="00EA7237"/>
    <w:rsid w:val="00EB055B"/>
    <w:rsid w:val="00EB0C40"/>
    <w:rsid w:val="00EB112A"/>
    <w:rsid w:val="00EB1383"/>
    <w:rsid w:val="00EB2A04"/>
    <w:rsid w:val="00EC1212"/>
    <w:rsid w:val="00EC1D3D"/>
    <w:rsid w:val="00EC3331"/>
    <w:rsid w:val="00EC677E"/>
    <w:rsid w:val="00EC76A0"/>
    <w:rsid w:val="00EC7E67"/>
    <w:rsid w:val="00ED293E"/>
    <w:rsid w:val="00ED5B5C"/>
    <w:rsid w:val="00ED70BD"/>
    <w:rsid w:val="00ED7819"/>
    <w:rsid w:val="00EE0B3E"/>
    <w:rsid w:val="00EE1F81"/>
    <w:rsid w:val="00EE378B"/>
    <w:rsid w:val="00EE37BB"/>
    <w:rsid w:val="00EE53BF"/>
    <w:rsid w:val="00EE5659"/>
    <w:rsid w:val="00EE5F9F"/>
    <w:rsid w:val="00EE6EBC"/>
    <w:rsid w:val="00EF4099"/>
    <w:rsid w:val="00EF6BDC"/>
    <w:rsid w:val="00F01C4C"/>
    <w:rsid w:val="00F0277D"/>
    <w:rsid w:val="00F02786"/>
    <w:rsid w:val="00F0434F"/>
    <w:rsid w:val="00F04F14"/>
    <w:rsid w:val="00F0670F"/>
    <w:rsid w:val="00F07FA6"/>
    <w:rsid w:val="00F11BB3"/>
    <w:rsid w:val="00F11F6E"/>
    <w:rsid w:val="00F13036"/>
    <w:rsid w:val="00F17CF1"/>
    <w:rsid w:val="00F21D1A"/>
    <w:rsid w:val="00F22865"/>
    <w:rsid w:val="00F2321B"/>
    <w:rsid w:val="00F23DF6"/>
    <w:rsid w:val="00F24D75"/>
    <w:rsid w:val="00F24F83"/>
    <w:rsid w:val="00F261E3"/>
    <w:rsid w:val="00F2797C"/>
    <w:rsid w:val="00F314A7"/>
    <w:rsid w:val="00F34B2F"/>
    <w:rsid w:val="00F34F33"/>
    <w:rsid w:val="00F35C58"/>
    <w:rsid w:val="00F36D1F"/>
    <w:rsid w:val="00F3769E"/>
    <w:rsid w:val="00F40F06"/>
    <w:rsid w:val="00F42418"/>
    <w:rsid w:val="00F42669"/>
    <w:rsid w:val="00F438D0"/>
    <w:rsid w:val="00F4749B"/>
    <w:rsid w:val="00F514FB"/>
    <w:rsid w:val="00F5312C"/>
    <w:rsid w:val="00F56CE9"/>
    <w:rsid w:val="00F61151"/>
    <w:rsid w:val="00F64ECE"/>
    <w:rsid w:val="00F67B6E"/>
    <w:rsid w:val="00F738D6"/>
    <w:rsid w:val="00F77765"/>
    <w:rsid w:val="00F77EC3"/>
    <w:rsid w:val="00F81DFB"/>
    <w:rsid w:val="00F85E98"/>
    <w:rsid w:val="00F86C22"/>
    <w:rsid w:val="00F93FC0"/>
    <w:rsid w:val="00F959A7"/>
    <w:rsid w:val="00F9641D"/>
    <w:rsid w:val="00FA13DA"/>
    <w:rsid w:val="00FA3A0B"/>
    <w:rsid w:val="00FA4DF4"/>
    <w:rsid w:val="00FA7C8B"/>
    <w:rsid w:val="00FB0249"/>
    <w:rsid w:val="00FB4E2E"/>
    <w:rsid w:val="00FB793A"/>
    <w:rsid w:val="00FC0920"/>
    <w:rsid w:val="00FC448F"/>
    <w:rsid w:val="00FC5D6D"/>
    <w:rsid w:val="00FC5E92"/>
    <w:rsid w:val="00FD0759"/>
    <w:rsid w:val="00FD1FD6"/>
    <w:rsid w:val="00FD6657"/>
    <w:rsid w:val="00FD7C75"/>
    <w:rsid w:val="00FE1443"/>
    <w:rsid w:val="00FE17D3"/>
    <w:rsid w:val="00FE6C25"/>
    <w:rsid w:val="00FE7D4B"/>
    <w:rsid w:val="00FF0735"/>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4F83"/>
  </w:style>
  <w:style w:type="character" w:customStyle="1" w:styleId="EndnoteTextChar">
    <w:name w:val="Endnote Text Char"/>
    <w:basedOn w:val="DefaultParagraphFont"/>
    <w:link w:val="EndnoteText"/>
    <w:uiPriority w:val="99"/>
    <w:semiHidden/>
    <w:rsid w:val="00F24F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436">
      <w:bodyDiv w:val="1"/>
      <w:marLeft w:val="0"/>
      <w:marRight w:val="0"/>
      <w:marTop w:val="0"/>
      <w:marBottom w:val="0"/>
      <w:divBdr>
        <w:top w:val="none" w:sz="0" w:space="0" w:color="auto"/>
        <w:left w:val="none" w:sz="0" w:space="0" w:color="auto"/>
        <w:bottom w:val="none" w:sz="0" w:space="0" w:color="auto"/>
        <w:right w:val="none" w:sz="0" w:space="0" w:color="auto"/>
      </w:divBdr>
    </w:div>
    <w:div w:id="876044386">
      <w:bodyDiv w:val="1"/>
      <w:marLeft w:val="0"/>
      <w:marRight w:val="0"/>
      <w:marTop w:val="0"/>
      <w:marBottom w:val="0"/>
      <w:divBdr>
        <w:top w:val="none" w:sz="0" w:space="0" w:color="auto"/>
        <w:left w:val="none" w:sz="0" w:space="0" w:color="auto"/>
        <w:bottom w:val="none" w:sz="0" w:space="0" w:color="auto"/>
        <w:right w:val="none" w:sz="0" w:space="0" w:color="auto"/>
      </w:divBdr>
    </w:div>
    <w:div w:id="931856397">
      <w:bodyDiv w:val="1"/>
      <w:marLeft w:val="0"/>
      <w:marRight w:val="0"/>
      <w:marTop w:val="0"/>
      <w:marBottom w:val="0"/>
      <w:divBdr>
        <w:top w:val="none" w:sz="0" w:space="0" w:color="auto"/>
        <w:left w:val="none" w:sz="0" w:space="0" w:color="auto"/>
        <w:bottom w:val="none" w:sz="0" w:space="0" w:color="auto"/>
        <w:right w:val="none" w:sz="0" w:space="0" w:color="auto"/>
      </w:divBdr>
    </w:div>
    <w:div w:id="983124619">
      <w:bodyDiv w:val="1"/>
      <w:marLeft w:val="0"/>
      <w:marRight w:val="0"/>
      <w:marTop w:val="0"/>
      <w:marBottom w:val="0"/>
      <w:divBdr>
        <w:top w:val="none" w:sz="0" w:space="0" w:color="auto"/>
        <w:left w:val="none" w:sz="0" w:space="0" w:color="auto"/>
        <w:bottom w:val="none" w:sz="0" w:space="0" w:color="auto"/>
        <w:right w:val="none" w:sz="0" w:space="0" w:color="auto"/>
      </w:divBdr>
    </w:div>
    <w:div w:id="1018317202">
      <w:bodyDiv w:val="1"/>
      <w:marLeft w:val="0"/>
      <w:marRight w:val="0"/>
      <w:marTop w:val="0"/>
      <w:marBottom w:val="0"/>
      <w:divBdr>
        <w:top w:val="none" w:sz="0" w:space="0" w:color="auto"/>
        <w:left w:val="none" w:sz="0" w:space="0" w:color="auto"/>
        <w:bottom w:val="none" w:sz="0" w:space="0" w:color="auto"/>
        <w:right w:val="none" w:sz="0" w:space="0" w:color="auto"/>
      </w:divBdr>
    </w:div>
    <w:div w:id="1309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A48B8-35CE-4265-9907-3F8D7890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2016-06-09T11:40:00Z</cp:lastPrinted>
  <dcterms:created xsi:type="dcterms:W3CDTF">2016-05-23T18:12:00Z</dcterms:created>
  <dcterms:modified xsi:type="dcterms:W3CDTF">2016-06-09T11:40:00Z</dcterms:modified>
</cp:coreProperties>
</file>