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065" w:rsidRPr="00F4675E" w:rsidRDefault="002D4065" w:rsidP="00B52543">
      <w:pPr>
        <w:tabs>
          <w:tab w:val="clear" w:pos="1440"/>
          <w:tab w:val="left" w:pos="360"/>
        </w:tabs>
        <w:spacing w:before="0" w:after="0" w:line="240" w:lineRule="auto"/>
        <w:ind w:left="420"/>
        <w:jc w:val="center"/>
        <w:rPr>
          <w:rFonts w:eastAsia="SimSun"/>
          <w:b/>
        </w:rPr>
      </w:pPr>
      <w:r w:rsidRPr="00F4675E">
        <w:rPr>
          <w:rFonts w:eastAsia="SimSun"/>
          <w:b/>
        </w:rPr>
        <w:t>BEFORE THE</w:t>
      </w:r>
    </w:p>
    <w:p w:rsidR="002D4065" w:rsidRPr="00F4675E" w:rsidRDefault="002D4065" w:rsidP="00B52543">
      <w:pPr>
        <w:tabs>
          <w:tab w:val="clear" w:pos="1440"/>
          <w:tab w:val="left" w:pos="360"/>
        </w:tabs>
        <w:spacing w:before="0" w:after="0" w:line="240" w:lineRule="auto"/>
        <w:jc w:val="center"/>
        <w:rPr>
          <w:rFonts w:eastAsia="SimSun"/>
          <w:b/>
        </w:rPr>
      </w:pPr>
      <w:r w:rsidRPr="00F4675E">
        <w:rPr>
          <w:rFonts w:eastAsia="SimSun"/>
          <w:b/>
        </w:rPr>
        <w:t>PENNSYLVANIA PUBLIC UTILITY COMMISSION</w:t>
      </w:r>
    </w:p>
    <w:p w:rsidR="002D4065" w:rsidRPr="00F4675E" w:rsidRDefault="002D4065" w:rsidP="00B52543">
      <w:pPr>
        <w:tabs>
          <w:tab w:val="clear" w:pos="1440"/>
          <w:tab w:val="left" w:pos="360"/>
        </w:tabs>
        <w:spacing w:before="0" w:after="0" w:line="240" w:lineRule="auto"/>
        <w:jc w:val="both"/>
        <w:rPr>
          <w:rFonts w:eastAsia="SimSun"/>
          <w:b/>
        </w:rPr>
      </w:pPr>
    </w:p>
    <w:p w:rsidR="002D4065" w:rsidRPr="00F4675E" w:rsidRDefault="002D4065" w:rsidP="00B52543">
      <w:pPr>
        <w:tabs>
          <w:tab w:val="clear" w:pos="1440"/>
          <w:tab w:val="left" w:pos="360"/>
        </w:tabs>
        <w:spacing w:before="0" w:after="0" w:line="240" w:lineRule="auto"/>
        <w:jc w:val="both"/>
        <w:rPr>
          <w:rFonts w:eastAsia="SimSun"/>
          <w:b/>
        </w:rPr>
      </w:pPr>
    </w:p>
    <w:p w:rsidR="002D4065" w:rsidRDefault="002D4065" w:rsidP="00B52543">
      <w:pPr>
        <w:tabs>
          <w:tab w:val="clear" w:pos="1440"/>
          <w:tab w:val="left" w:pos="360"/>
        </w:tabs>
        <w:spacing w:before="0" w:after="0" w:line="240" w:lineRule="auto"/>
        <w:jc w:val="both"/>
        <w:rPr>
          <w:rFonts w:eastAsia="SimSun"/>
          <w:b/>
        </w:rPr>
      </w:pPr>
    </w:p>
    <w:p w:rsidR="002D4065" w:rsidRDefault="002D4065" w:rsidP="00B52543">
      <w:pPr>
        <w:tabs>
          <w:tab w:val="left" w:pos="0"/>
          <w:tab w:val="left" w:pos="5040"/>
        </w:tabs>
        <w:spacing w:before="0" w:after="0" w:line="240" w:lineRule="auto"/>
        <w:jc w:val="both"/>
        <w:rPr>
          <w:b/>
        </w:rPr>
      </w:pPr>
      <w:r>
        <w:t xml:space="preserve">Perry Sherman  </w:t>
      </w:r>
      <w:r>
        <w:tab/>
        <w:t>:</w:t>
      </w:r>
    </w:p>
    <w:p w:rsidR="002D4065" w:rsidRPr="00560DC5" w:rsidRDefault="002D4065" w:rsidP="00B52543">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2D4065" w:rsidRPr="003B279A" w:rsidRDefault="002D4065" w:rsidP="00B52543">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C-2015-2499616</w:t>
      </w:r>
    </w:p>
    <w:p w:rsidR="002D4065" w:rsidRPr="00560DC5" w:rsidRDefault="002D4065" w:rsidP="00B52543">
      <w:pPr>
        <w:tabs>
          <w:tab w:val="left" w:pos="0"/>
        </w:tabs>
        <w:spacing w:before="0" w:after="0" w:line="240" w:lineRule="auto"/>
        <w:jc w:val="both"/>
      </w:pPr>
      <w:r>
        <w:tab/>
      </w:r>
      <w:r>
        <w:tab/>
      </w:r>
      <w:r>
        <w:tab/>
      </w:r>
      <w:r>
        <w:tab/>
      </w:r>
      <w:r>
        <w:tab/>
      </w:r>
      <w:r>
        <w:tab/>
      </w:r>
      <w:r w:rsidRPr="00560DC5">
        <w:t>:</w:t>
      </w:r>
    </w:p>
    <w:p w:rsidR="002D4065" w:rsidRDefault="002D4065" w:rsidP="00B52543">
      <w:pPr>
        <w:tabs>
          <w:tab w:val="left" w:pos="0"/>
        </w:tabs>
        <w:spacing w:before="0" w:after="0" w:line="240" w:lineRule="auto"/>
        <w:jc w:val="both"/>
      </w:pPr>
      <w:r>
        <w:t>PPL Electric Utilities Corporation</w:t>
      </w:r>
      <w:r>
        <w:tab/>
      </w:r>
      <w:r>
        <w:tab/>
      </w:r>
      <w:r>
        <w:tab/>
      </w:r>
      <w:r w:rsidRPr="00560DC5">
        <w:t>:</w:t>
      </w:r>
    </w:p>
    <w:p w:rsidR="002D4065" w:rsidRDefault="002D4065" w:rsidP="00B52543">
      <w:pPr>
        <w:tabs>
          <w:tab w:val="left" w:pos="0"/>
        </w:tabs>
        <w:spacing w:before="0" w:after="0" w:line="240" w:lineRule="auto"/>
        <w:jc w:val="both"/>
      </w:pPr>
      <w:r>
        <w:tab/>
      </w:r>
      <w:r>
        <w:tab/>
      </w:r>
    </w:p>
    <w:p w:rsidR="002D4065" w:rsidRDefault="002D4065" w:rsidP="00B52543">
      <w:pPr>
        <w:tabs>
          <w:tab w:val="left" w:pos="0"/>
        </w:tabs>
        <w:spacing w:before="0" w:after="0" w:line="240" w:lineRule="auto"/>
        <w:jc w:val="both"/>
        <w:rPr>
          <w:b/>
        </w:rPr>
      </w:pPr>
    </w:p>
    <w:p w:rsidR="002D4065" w:rsidRDefault="002D4065" w:rsidP="00B52543">
      <w:pPr>
        <w:tabs>
          <w:tab w:val="left" w:pos="0"/>
        </w:tabs>
        <w:spacing w:before="0" w:after="0" w:line="233" w:lineRule="auto"/>
        <w:jc w:val="both"/>
        <w:rPr>
          <w:b/>
        </w:rPr>
      </w:pPr>
    </w:p>
    <w:p w:rsidR="00C16DD0" w:rsidRPr="002D4065" w:rsidRDefault="00C16DD0" w:rsidP="00B52543">
      <w:pPr>
        <w:spacing w:before="0" w:after="0" w:line="240" w:lineRule="auto"/>
        <w:jc w:val="center"/>
        <w:rPr>
          <w:b/>
          <w:u w:val="single"/>
        </w:rPr>
      </w:pPr>
      <w:r w:rsidRPr="002D4065">
        <w:rPr>
          <w:b/>
          <w:u w:val="single"/>
        </w:rPr>
        <w:t>INITIAL DECISION</w:t>
      </w:r>
    </w:p>
    <w:p w:rsidR="002D4065" w:rsidRDefault="002D4065" w:rsidP="00B52543">
      <w:pPr>
        <w:spacing w:before="0" w:after="0" w:line="240" w:lineRule="auto"/>
        <w:jc w:val="center"/>
      </w:pPr>
    </w:p>
    <w:p w:rsidR="000C5583" w:rsidRDefault="000C5583" w:rsidP="00B52543">
      <w:pPr>
        <w:spacing w:before="0" w:after="0" w:line="240" w:lineRule="auto"/>
        <w:jc w:val="center"/>
      </w:pPr>
    </w:p>
    <w:p w:rsidR="00C16DD0" w:rsidRDefault="00C16DD0" w:rsidP="00B52543">
      <w:pPr>
        <w:spacing w:before="0" w:after="0" w:line="240" w:lineRule="auto"/>
        <w:jc w:val="center"/>
      </w:pPr>
      <w:r>
        <w:t>Before</w:t>
      </w:r>
    </w:p>
    <w:p w:rsidR="00C16DD0" w:rsidRDefault="00C16DD0" w:rsidP="00B52543">
      <w:pPr>
        <w:spacing w:before="0" w:after="0" w:line="240" w:lineRule="auto"/>
        <w:jc w:val="center"/>
      </w:pPr>
      <w:r>
        <w:t>Mary D. Long</w:t>
      </w:r>
    </w:p>
    <w:p w:rsidR="00C16DD0" w:rsidRDefault="00C16DD0" w:rsidP="00B52543">
      <w:pPr>
        <w:spacing w:before="0" w:after="0" w:line="240" w:lineRule="auto"/>
        <w:jc w:val="center"/>
      </w:pPr>
      <w:r>
        <w:t>Administrative Law Judge</w:t>
      </w:r>
    </w:p>
    <w:p w:rsidR="00C16DD0" w:rsidRDefault="00C16DD0" w:rsidP="00B52543">
      <w:pPr>
        <w:spacing w:before="0" w:after="0" w:line="240" w:lineRule="auto"/>
      </w:pPr>
    </w:p>
    <w:p w:rsidR="000C5583" w:rsidRDefault="000C5583" w:rsidP="00B52543">
      <w:pPr>
        <w:spacing w:before="0" w:after="0" w:line="240" w:lineRule="auto"/>
      </w:pPr>
    </w:p>
    <w:p w:rsidR="00C16DD0" w:rsidRDefault="00C16DD0" w:rsidP="00B52543">
      <w:pPr>
        <w:spacing w:before="0" w:after="0"/>
        <w:jc w:val="center"/>
        <w:rPr>
          <w:u w:val="single"/>
        </w:rPr>
      </w:pPr>
      <w:r w:rsidRPr="002D4065">
        <w:rPr>
          <w:u w:val="single"/>
        </w:rPr>
        <w:t>INTRODUCTION</w:t>
      </w:r>
    </w:p>
    <w:p w:rsidR="000C5583" w:rsidRPr="002D4065" w:rsidRDefault="000C5583" w:rsidP="00B52543">
      <w:pPr>
        <w:spacing w:before="0" w:after="0"/>
        <w:jc w:val="center"/>
        <w:rPr>
          <w:u w:val="single"/>
        </w:rPr>
      </w:pPr>
    </w:p>
    <w:p w:rsidR="00C16DD0" w:rsidRDefault="00C531C5" w:rsidP="00B52543">
      <w:pPr>
        <w:spacing w:before="0" w:after="0"/>
      </w:pPr>
      <w:r>
        <w:tab/>
        <w:t>A formal complaint which alleges that a transmission line emanates unreasonable noise is dismissed because the complainant failed</w:t>
      </w:r>
      <w:r w:rsidR="00190169">
        <w:t xml:space="preserve"> to sustain his burden of proving that the utility violated the Public Utility Code, Commission regulation or a Commission order.</w:t>
      </w:r>
    </w:p>
    <w:p w:rsidR="000C5583" w:rsidRDefault="000C5583" w:rsidP="00B52543">
      <w:pPr>
        <w:spacing w:before="0" w:after="0"/>
      </w:pPr>
    </w:p>
    <w:p w:rsidR="00C16DD0" w:rsidRDefault="00C16DD0" w:rsidP="00B52543">
      <w:pPr>
        <w:spacing w:before="0" w:after="0"/>
        <w:jc w:val="center"/>
        <w:rPr>
          <w:u w:val="single"/>
        </w:rPr>
      </w:pPr>
      <w:r w:rsidRPr="0051511C">
        <w:rPr>
          <w:u w:val="single"/>
        </w:rPr>
        <w:t>PROCEDURAL HISTORY</w:t>
      </w:r>
    </w:p>
    <w:p w:rsidR="000C5583" w:rsidRPr="0051511C" w:rsidRDefault="000C5583" w:rsidP="00B52543">
      <w:pPr>
        <w:spacing w:before="0" w:after="0"/>
        <w:jc w:val="center"/>
        <w:rPr>
          <w:u w:val="single"/>
        </w:rPr>
      </w:pPr>
    </w:p>
    <w:p w:rsidR="00C16DD0" w:rsidRDefault="00C16DD0" w:rsidP="00B52543">
      <w:pPr>
        <w:spacing w:before="0" w:after="0"/>
      </w:pPr>
      <w:r>
        <w:tab/>
        <w:t>On August 13, 2015, Perry Sherman (Complainant) filed a formal compla</w:t>
      </w:r>
      <w:r w:rsidR="00502665">
        <w:t>int against PPL Electric Utilit</w:t>
      </w:r>
      <w:r>
        <w:t>ies Corporation (PPL).  In his complaint the Complainant alleged that high levels of n</w:t>
      </w:r>
      <w:r w:rsidR="00502665">
        <w:t>oise were emanating from a 500 kV</w:t>
      </w:r>
      <w:r>
        <w:t xml:space="preserve"> power line which was adjacent to his home.  He states that he can sometimes hear the noise inside his house, which has rendered </w:t>
      </w:r>
      <w:r w:rsidR="00C20900">
        <w:t>his home</w:t>
      </w:r>
      <w:r>
        <w:t xml:space="preserve"> uninhabitable.  As relief he requests the noise be eliminated or that PPL purchase his home.</w:t>
      </w:r>
    </w:p>
    <w:p w:rsidR="0015499D" w:rsidRDefault="0015499D" w:rsidP="00B52543">
      <w:pPr>
        <w:spacing w:before="0" w:after="0"/>
      </w:pPr>
    </w:p>
    <w:p w:rsidR="00C16DD0" w:rsidRDefault="00C16DD0" w:rsidP="00B52543">
      <w:pPr>
        <w:spacing w:before="0" w:after="0"/>
      </w:pPr>
      <w:r>
        <w:tab/>
        <w:t>PPL filed an answer on September 10, 2015.  PPL admitted that the Susquehanna-Roseland 500 kV transmission line</w:t>
      </w:r>
      <w:r w:rsidR="00730DA7">
        <w:t xml:space="preserve"> was energized and that it runs perpendicular to the property owned by the Complainant.  PPL also states that the siting of the line was reviewed and approved </w:t>
      </w:r>
      <w:r w:rsidR="00730DA7">
        <w:lastRenderedPageBreak/>
        <w:t>by the Commission.  PPL denied that the noise emitted by the line constitutes the unreasonable provision of service.</w:t>
      </w:r>
    </w:p>
    <w:p w:rsidR="000C5583" w:rsidRDefault="000C5583" w:rsidP="00B52543">
      <w:pPr>
        <w:spacing w:before="0" w:after="0"/>
      </w:pPr>
    </w:p>
    <w:p w:rsidR="00E6422F" w:rsidRDefault="00E6422F" w:rsidP="00B52543">
      <w:pPr>
        <w:spacing w:before="0" w:after="0"/>
      </w:pPr>
      <w:r>
        <w:tab/>
        <w:t xml:space="preserve">By hearing notice dated September 17, 2015, the case was assigned to me and scheduled for an initial telephonic hearing on November 6, 2015.  A prehearing order was issued on September 28, 2015, which set forth the relevant procedures for conduct of the hearing.  </w:t>
      </w:r>
    </w:p>
    <w:p w:rsidR="000C5583" w:rsidRDefault="000C5583" w:rsidP="00B52543">
      <w:pPr>
        <w:spacing w:before="0" w:after="0"/>
      </w:pPr>
    </w:p>
    <w:p w:rsidR="00E6422F" w:rsidRDefault="00E6422F" w:rsidP="00B52543">
      <w:pPr>
        <w:spacing w:before="0" w:after="0"/>
      </w:pPr>
      <w:r>
        <w:tab/>
        <w:t xml:space="preserve">The hearing convened as scheduled.  The Complainant appeared and was self-represented.  Attorney Kimberly </w:t>
      </w:r>
      <w:r w:rsidR="00FD6228">
        <w:t xml:space="preserve">G. </w:t>
      </w:r>
      <w:proofErr w:type="spellStart"/>
      <w:r>
        <w:t>Krupka</w:t>
      </w:r>
      <w:proofErr w:type="spellEnd"/>
      <w:r>
        <w:t xml:space="preserve"> represented PPL.  Following a discussion with the parties, the hearing was converted to a prehearing conference.  The parties requested additional time in order to more fully investigate the claims made by the Complainant.  Therefore, a further proceeding was scheduled for February 25, 2016.</w:t>
      </w:r>
    </w:p>
    <w:p w:rsidR="000C5583" w:rsidRDefault="000C5583" w:rsidP="00B52543">
      <w:pPr>
        <w:spacing w:before="0" w:after="0"/>
      </w:pPr>
    </w:p>
    <w:p w:rsidR="00D83A32" w:rsidRDefault="00D83A32" w:rsidP="00B52543">
      <w:pPr>
        <w:spacing w:before="0" w:after="0"/>
      </w:pPr>
      <w:r>
        <w:tab/>
      </w:r>
      <w:r w:rsidR="004A3C88">
        <w:t>On</w:t>
      </w:r>
      <w:r>
        <w:t xml:space="preserve"> February 25, 2016</w:t>
      </w:r>
      <w:r w:rsidR="004A3C88">
        <w:t>, the evidentiary hearing was held</w:t>
      </w:r>
      <w:r>
        <w:t xml:space="preserve">.  The Complainant appeared and was self-represented.  Attorney Krupka appeared on behalf of PPL.  The Complainant offered his own testimony and two exhibits which were admitted into the record.  PPL offered the testimony of four witnesses and four exhibits which were admitted into the record.  The hearing generated a transcript of </w:t>
      </w:r>
      <w:r w:rsidR="00A75250">
        <w:t>80 pages.  Following the receipt of the transcript, the record was closed by order dated March 29, 2016.</w:t>
      </w:r>
    </w:p>
    <w:p w:rsidR="000C5583" w:rsidRDefault="000C5583" w:rsidP="00B52543">
      <w:pPr>
        <w:spacing w:before="0" w:after="0"/>
      </w:pPr>
    </w:p>
    <w:p w:rsidR="00C14E90" w:rsidRDefault="00C14E90" w:rsidP="00B52543">
      <w:pPr>
        <w:spacing w:before="0" w:after="0"/>
        <w:jc w:val="center"/>
        <w:rPr>
          <w:u w:val="single"/>
        </w:rPr>
      </w:pPr>
      <w:r w:rsidRPr="00331CB6">
        <w:rPr>
          <w:u w:val="single"/>
        </w:rPr>
        <w:t>FINDINGS OF FACT</w:t>
      </w:r>
    </w:p>
    <w:p w:rsidR="000C5583" w:rsidRPr="00331CB6" w:rsidRDefault="000C5583" w:rsidP="00B52543">
      <w:pPr>
        <w:spacing w:before="0" w:after="0"/>
        <w:jc w:val="center"/>
        <w:rPr>
          <w:u w:val="single"/>
        </w:rPr>
      </w:pPr>
    </w:p>
    <w:p w:rsidR="00C14E90" w:rsidRDefault="00C30729" w:rsidP="00B52543">
      <w:pPr>
        <w:pStyle w:val="ListParagraph"/>
      </w:pPr>
      <w:r>
        <w:t>The Complainant, Perry Sherman, receives electric distribution service from PPL at his home on 228 Edinburgh Road, Bushkill, Pennsylvania.  (N.T. 22)</w:t>
      </w:r>
    </w:p>
    <w:p w:rsidR="000C5583" w:rsidRDefault="000C5583" w:rsidP="00B52543">
      <w:pPr>
        <w:spacing w:before="0" w:after="0"/>
        <w:ind w:left="720"/>
      </w:pPr>
    </w:p>
    <w:p w:rsidR="00083B05" w:rsidRDefault="00C30729" w:rsidP="00B52543">
      <w:pPr>
        <w:pStyle w:val="ListParagraph"/>
      </w:pPr>
      <w:r>
        <w:t>PPL is a jurisdictional public utility.</w:t>
      </w:r>
    </w:p>
    <w:p w:rsidR="000C5583" w:rsidRDefault="000C5583" w:rsidP="00B52543">
      <w:pPr>
        <w:spacing w:before="0" w:after="0"/>
        <w:ind w:left="720"/>
      </w:pPr>
    </w:p>
    <w:p w:rsidR="006874F6" w:rsidRDefault="006874F6" w:rsidP="00B52543">
      <w:pPr>
        <w:pStyle w:val="ListParagraph"/>
      </w:pPr>
      <w:r>
        <w:t xml:space="preserve">The </w:t>
      </w:r>
      <w:r w:rsidR="00083B05">
        <w:t>transmission line near the Complainant’s house</w:t>
      </w:r>
      <w:r w:rsidR="004A3C88">
        <w:t xml:space="preserve">, </w:t>
      </w:r>
      <w:r w:rsidR="00083B05">
        <w:t>known as the Susquehanna-Roseland</w:t>
      </w:r>
      <w:r w:rsidR="004A3C88">
        <w:t xml:space="preserve">, </w:t>
      </w:r>
      <w:r>
        <w:t>is also referred to as Lackawanna-Hopatcong 5063.  (N.T. 53)</w:t>
      </w:r>
    </w:p>
    <w:p w:rsidR="007A4069" w:rsidRDefault="007A4069" w:rsidP="00B52543">
      <w:pPr>
        <w:pStyle w:val="ListParagraph"/>
      </w:pPr>
      <w:r>
        <w:lastRenderedPageBreak/>
        <w:t xml:space="preserve">The line generally runs from the Berwick area to the north and </w:t>
      </w:r>
      <w:proofErr w:type="gramStart"/>
      <w:r>
        <w:t>east,</w:t>
      </w:r>
      <w:proofErr w:type="gramEnd"/>
      <w:r>
        <w:t xml:space="preserve"> and through the Complainant’s property to the south where it enters New Jersey near the Bushkill National Park.  (N.T. 49)</w:t>
      </w:r>
    </w:p>
    <w:p w:rsidR="000C5583" w:rsidRDefault="000C5583" w:rsidP="00B52543">
      <w:pPr>
        <w:spacing w:before="0" w:after="0"/>
        <w:ind w:left="720"/>
      </w:pPr>
    </w:p>
    <w:p w:rsidR="008451B7" w:rsidRDefault="008451B7" w:rsidP="00B52543">
      <w:pPr>
        <w:pStyle w:val="ListParagraph"/>
      </w:pPr>
      <w:r>
        <w:t xml:space="preserve">The Commission approved the siting and construction of the line on February 12, 2010.  </w:t>
      </w:r>
      <w:r>
        <w:rPr>
          <w:i/>
        </w:rPr>
        <w:t>Application of PPL Electric Utilities Corporation</w:t>
      </w:r>
      <w:r>
        <w:t>, Docket A-2009-2082652 (Opinion and Order entered February 12, 2010).</w:t>
      </w:r>
    </w:p>
    <w:p w:rsidR="000C5583" w:rsidRDefault="000C5583" w:rsidP="00B52543">
      <w:pPr>
        <w:spacing w:before="0" w:after="0"/>
      </w:pPr>
    </w:p>
    <w:p w:rsidR="00E76A7D" w:rsidRDefault="00E76A7D" w:rsidP="00B52543">
      <w:pPr>
        <w:pStyle w:val="ListParagraph"/>
      </w:pPr>
      <w:r>
        <w:t>Some of the towers for the transmission line are roughly 200 yards from the Complainant’s house.  (N.T. 28)</w:t>
      </w:r>
    </w:p>
    <w:p w:rsidR="000C5583" w:rsidRDefault="000C5583" w:rsidP="00B52543">
      <w:pPr>
        <w:spacing w:before="0" w:after="0"/>
      </w:pPr>
    </w:p>
    <w:p w:rsidR="00C30729" w:rsidRDefault="00C30729" w:rsidP="00B52543">
      <w:pPr>
        <w:pStyle w:val="ListParagraph"/>
      </w:pPr>
      <w:r>
        <w:t>The Complainant first noticed</w:t>
      </w:r>
      <w:r w:rsidR="004A3C88">
        <w:t xml:space="preserve"> noise, which he described as</w:t>
      </w:r>
      <w:r>
        <w:t xml:space="preserve"> a very loud buzzing, generating type sound</w:t>
      </w:r>
      <w:r w:rsidR="000C5583">
        <w:t>, in</w:t>
      </w:r>
      <w:r>
        <w:t xml:space="preserve"> the spring and summer of 2015.  (N.T. 23)</w:t>
      </w:r>
    </w:p>
    <w:p w:rsidR="000C5583" w:rsidRDefault="000C5583" w:rsidP="00B52543">
      <w:pPr>
        <w:spacing w:before="0" w:after="0"/>
      </w:pPr>
    </w:p>
    <w:p w:rsidR="00C30729" w:rsidRDefault="00C30729" w:rsidP="00B52543">
      <w:pPr>
        <w:pStyle w:val="ListParagraph"/>
      </w:pPr>
      <w:r>
        <w:t>When he walked under the lines he could hear the noise coming from overhead.  (N.T. 23)</w:t>
      </w:r>
    </w:p>
    <w:p w:rsidR="000C5583" w:rsidRDefault="000C5583" w:rsidP="00B52543">
      <w:pPr>
        <w:spacing w:before="0" w:after="0"/>
      </w:pPr>
    </w:p>
    <w:p w:rsidR="00C30729" w:rsidRDefault="00C30729" w:rsidP="00B52543">
      <w:pPr>
        <w:pStyle w:val="ListParagraph"/>
      </w:pPr>
      <w:r>
        <w:t>In the warmer months he could not sleep with the windows open because the noise disturbed him.  (N.T. 23)</w:t>
      </w:r>
    </w:p>
    <w:p w:rsidR="000C5583" w:rsidRDefault="000C5583" w:rsidP="00B52543">
      <w:pPr>
        <w:spacing w:before="0" w:after="0"/>
      </w:pPr>
    </w:p>
    <w:p w:rsidR="00C30729" w:rsidRDefault="00C30729" w:rsidP="00B52543">
      <w:pPr>
        <w:pStyle w:val="ListParagraph"/>
      </w:pPr>
      <w:r>
        <w:t xml:space="preserve">In the cooler months he could hear a </w:t>
      </w:r>
      <w:r w:rsidR="004A3C88">
        <w:t>“</w:t>
      </w:r>
      <w:r>
        <w:t>vibrating thumping noise</w:t>
      </w:r>
      <w:r w:rsidR="004A3C88">
        <w:t>”</w:t>
      </w:r>
      <w:r>
        <w:t xml:space="preserve"> which travels from the south and heads north.  (N.T. 23-24)</w:t>
      </w:r>
    </w:p>
    <w:p w:rsidR="000C5583" w:rsidRDefault="000C5583" w:rsidP="00B52543">
      <w:pPr>
        <w:spacing w:before="0" w:after="0"/>
      </w:pPr>
    </w:p>
    <w:p w:rsidR="006662FC" w:rsidRDefault="006662FC" w:rsidP="00B52543">
      <w:pPr>
        <w:pStyle w:val="ListParagraph"/>
      </w:pPr>
      <w:r>
        <w:t>As recently as two days before the hearing, the Complainant heard a “motorized” sound coming from the line.  (N.T. 24)</w:t>
      </w:r>
    </w:p>
    <w:p w:rsidR="000C5583" w:rsidRDefault="000C5583" w:rsidP="00B52543">
      <w:pPr>
        <w:spacing w:before="0" w:after="0"/>
      </w:pPr>
    </w:p>
    <w:p w:rsidR="00AD6CBA" w:rsidRDefault="00AD6CBA" w:rsidP="00B52543">
      <w:pPr>
        <w:pStyle w:val="ListParagraph"/>
      </w:pPr>
      <w:r>
        <w:t>A low humming sound is consistent with the operation of a 500 kV line.  (N.T. 55)</w:t>
      </w:r>
    </w:p>
    <w:p w:rsidR="000C5583" w:rsidRDefault="000C5583" w:rsidP="00B52543">
      <w:pPr>
        <w:spacing w:before="0" w:after="0"/>
      </w:pPr>
    </w:p>
    <w:p w:rsidR="00E76A7D" w:rsidRDefault="00E76A7D" w:rsidP="00B52543">
      <w:pPr>
        <w:pStyle w:val="ListParagraph"/>
      </w:pPr>
      <w:r>
        <w:t>On June 1, 2015, a PPL engineer</w:t>
      </w:r>
      <w:r w:rsidR="00C917D1">
        <w:t>, Russell Dehau</w:t>
      </w:r>
      <w:r w:rsidR="00B2733D">
        <w:t>t</w:t>
      </w:r>
      <w:r w:rsidR="004A3C88">
        <w:t xml:space="preserve">, </w:t>
      </w:r>
      <w:r>
        <w:t>visited the Complainant’s property.  (N.T. 26</w:t>
      </w:r>
      <w:r w:rsidR="00307360">
        <w:t>, 33</w:t>
      </w:r>
      <w:r>
        <w:t>; Complainant Ex. 8)</w:t>
      </w:r>
    </w:p>
    <w:p w:rsidR="00C917D1" w:rsidRDefault="00C917D1" w:rsidP="00B52543">
      <w:pPr>
        <w:pStyle w:val="ListParagraph"/>
      </w:pPr>
      <w:r>
        <w:lastRenderedPageBreak/>
        <w:t>Mr. Dehaut did not hear any audible noise when he visited the property on June 1, 2015.  (N.T. 66)</w:t>
      </w:r>
    </w:p>
    <w:p w:rsidR="000C5583" w:rsidRDefault="000C5583" w:rsidP="00B52543">
      <w:pPr>
        <w:spacing w:before="0" w:after="0"/>
        <w:ind w:left="720"/>
      </w:pPr>
    </w:p>
    <w:p w:rsidR="00AE21F1" w:rsidRDefault="00AE21F1" w:rsidP="00B52543">
      <w:pPr>
        <w:pStyle w:val="ListParagraph"/>
      </w:pPr>
      <w:r>
        <w:t>On December 28, 2015, a PPL transmission and distribution foreman, Rodney Morin, parked under the transmission line</w:t>
      </w:r>
      <w:r w:rsidR="006D711E">
        <w:t xml:space="preserve"> and he could not hear any noise emanating from the line.</w:t>
      </w:r>
      <w:r>
        <w:t xml:space="preserve">  </w:t>
      </w:r>
      <w:r w:rsidR="006D711E">
        <w:t>(</w:t>
      </w:r>
      <w:r>
        <w:t>N.T. 44</w:t>
      </w:r>
      <w:r w:rsidR="006D711E">
        <w:t>, 45)</w:t>
      </w:r>
    </w:p>
    <w:p w:rsidR="000C5583" w:rsidRDefault="000C5583" w:rsidP="00B52543">
      <w:pPr>
        <w:spacing w:before="0" w:after="0"/>
        <w:ind w:left="720"/>
      </w:pPr>
    </w:p>
    <w:p w:rsidR="00F54197" w:rsidRDefault="00F54197" w:rsidP="00B52543">
      <w:pPr>
        <w:pStyle w:val="ListParagraph"/>
      </w:pPr>
      <w:r>
        <w:t>On February 23, 2016, the Complainant heard noise emanating from the line all day long.  (N.T. 34, 37)</w:t>
      </w:r>
    </w:p>
    <w:p w:rsidR="000C5583" w:rsidRDefault="000C5583" w:rsidP="00B52543">
      <w:pPr>
        <w:spacing w:before="0" w:after="0"/>
      </w:pPr>
    </w:p>
    <w:p w:rsidR="00E23EB7" w:rsidRDefault="00392DCD" w:rsidP="00B52543">
      <w:pPr>
        <w:pStyle w:val="ListParagraph"/>
      </w:pPr>
      <w:r>
        <w:t xml:space="preserve">On February 23, 2016, </w:t>
      </w:r>
      <w:r w:rsidR="00AE21F1">
        <w:t xml:space="preserve">Mr. Morin </w:t>
      </w:r>
      <w:r>
        <w:t>parked under the line and could hear a “slight humming sound.”  (N.T. 43)</w:t>
      </w:r>
    </w:p>
    <w:p w:rsidR="000C5583" w:rsidRDefault="000C5583" w:rsidP="00B52543">
      <w:pPr>
        <w:pStyle w:val="ListParagraph"/>
        <w:numPr>
          <w:ilvl w:val="0"/>
          <w:numId w:val="0"/>
        </w:numPr>
        <w:ind w:left="1350"/>
      </w:pPr>
    </w:p>
    <w:p w:rsidR="00EF5B86" w:rsidRDefault="00EF5B86" w:rsidP="00B52543">
      <w:pPr>
        <w:pStyle w:val="ListParagraph"/>
      </w:pPr>
      <w:r>
        <w:t>Mr. Morin could hear the hum over the sound of heavy rain hitting his truck.  (N.T. 46)</w:t>
      </w:r>
    </w:p>
    <w:p w:rsidR="000C5583" w:rsidRDefault="000C5583" w:rsidP="00B52543">
      <w:pPr>
        <w:pStyle w:val="ListParagraph"/>
        <w:numPr>
          <w:ilvl w:val="0"/>
          <w:numId w:val="0"/>
        </w:numPr>
        <w:ind w:left="1350"/>
      </w:pPr>
    </w:p>
    <w:p w:rsidR="00E23EB7" w:rsidRDefault="00E23EB7" w:rsidP="00B52543">
      <w:pPr>
        <w:pStyle w:val="ListParagraph"/>
      </w:pPr>
      <w:r>
        <w:t>The Complainant also notified PPL that there was noise emanating from the line on May 19, 2015; June 2, 2015; October 5, 2015; October 29, 2015; November 4, 2015; December 4, 2015; January 4, 2016; Januar</w:t>
      </w:r>
      <w:r w:rsidR="0064619F">
        <w:t>y 15, 2016; January 28, 2016; Fe</w:t>
      </w:r>
      <w:r>
        <w:t>bruary 12, 20</w:t>
      </w:r>
      <w:r w:rsidR="00222A62">
        <w:t>1</w:t>
      </w:r>
      <w:r>
        <w:t>6; February 21, 2016 and February 24, 2016.  (N.T. 52)</w:t>
      </w:r>
    </w:p>
    <w:p w:rsidR="000C5583" w:rsidRDefault="000C5583" w:rsidP="00B52543">
      <w:pPr>
        <w:pStyle w:val="ListParagraph"/>
        <w:numPr>
          <w:ilvl w:val="0"/>
          <w:numId w:val="0"/>
        </w:numPr>
        <w:ind w:left="1350"/>
      </w:pPr>
    </w:p>
    <w:p w:rsidR="00E23EB7" w:rsidRDefault="0064619F" w:rsidP="00B52543">
      <w:pPr>
        <w:pStyle w:val="ListParagraph"/>
      </w:pPr>
      <w:r>
        <w:t>The line was out of service from October 9, 2015 through January 11, 2016.  (N.T. 53</w:t>
      </w:r>
      <w:r w:rsidR="003F26F0">
        <w:t>; 75; PPL Ex. 7</w:t>
      </w:r>
      <w:r>
        <w:t>)</w:t>
      </w:r>
    </w:p>
    <w:p w:rsidR="000C5583" w:rsidRDefault="000C5583" w:rsidP="00B52543">
      <w:pPr>
        <w:pStyle w:val="ListParagraph"/>
        <w:numPr>
          <w:ilvl w:val="0"/>
          <w:numId w:val="0"/>
        </w:numPr>
        <w:ind w:left="1350"/>
      </w:pPr>
    </w:p>
    <w:p w:rsidR="00AF197C" w:rsidRDefault="00AF197C" w:rsidP="00B52543">
      <w:pPr>
        <w:pStyle w:val="ListParagraph"/>
      </w:pPr>
      <w:r>
        <w:t xml:space="preserve">The conductors and facilities were inspected by helicopter </w:t>
      </w:r>
      <w:r w:rsidR="00C1085D">
        <w:t xml:space="preserve">on </w:t>
      </w:r>
      <w:r>
        <w:t>January 7, 2016, and no abnormalities were found.  (N.T. 54</w:t>
      </w:r>
      <w:r w:rsidR="00004E5D">
        <w:t>, 59</w:t>
      </w:r>
      <w:r>
        <w:t>)</w:t>
      </w:r>
    </w:p>
    <w:p w:rsidR="000C5583" w:rsidRDefault="000C5583" w:rsidP="00B52543">
      <w:pPr>
        <w:pStyle w:val="ListParagraph"/>
        <w:numPr>
          <w:ilvl w:val="0"/>
          <w:numId w:val="0"/>
        </w:numPr>
        <w:ind w:left="1350"/>
      </w:pPr>
    </w:p>
    <w:p w:rsidR="00AF197C" w:rsidRDefault="00AF197C" w:rsidP="00B52543">
      <w:pPr>
        <w:pStyle w:val="ListParagraph"/>
      </w:pPr>
      <w:r>
        <w:t xml:space="preserve">Corona rings are designed to </w:t>
      </w:r>
      <w:r w:rsidR="007E7562">
        <w:t xml:space="preserve">prevent </w:t>
      </w:r>
      <w:r>
        <w:t>the assemblies which attach the conductors to the structures from creating corona and other noise.  (N.T. 54)</w:t>
      </w:r>
    </w:p>
    <w:p w:rsidR="00C6032F" w:rsidRDefault="00C6032F" w:rsidP="00C6032F">
      <w:pPr>
        <w:pStyle w:val="ListParagraph"/>
        <w:numPr>
          <w:ilvl w:val="0"/>
          <w:numId w:val="0"/>
        </w:numPr>
        <w:ind w:left="1350"/>
      </w:pPr>
    </w:p>
    <w:p w:rsidR="009431A0" w:rsidRDefault="00AF197C" w:rsidP="00B52543">
      <w:pPr>
        <w:pStyle w:val="ListParagraph"/>
      </w:pPr>
      <w:r>
        <w:lastRenderedPageBreak/>
        <w:t>There are corona rings installed on the line</w:t>
      </w:r>
      <w:r w:rsidR="00AD6CBA">
        <w:t>, but not on the towers adjacent to the Complainant’s property</w:t>
      </w:r>
      <w:r>
        <w:t>.  (N.T. 54</w:t>
      </w:r>
      <w:r w:rsidR="00AD6CBA">
        <w:t>, 56</w:t>
      </w:r>
      <w:r>
        <w:t>)</w:t>
      </w:r>
    </w:p>
    <w:p w:rsidR="00C6032F" w:rsidRDefault="00C6032F" w:rsidP="00C6032F">
      <w:pPr>
        <w:pStyle w:val="ListParagraph"/>
        <w:numPr>
          <w:ilvl w:val="0"/>
          <w:numId w:val="0"/>
        </w:numPr>
        <w:ind w:left="1350"/>
      </w:pPr>
    </w:p>
    <w:p w:rsidR="009431A0" w:rsidRDefault="009431A0" w:rsidP="00B52543">
      <w:pPr>
        <w:pStyle w:val="ListParagraph"/>
      </w:pPr>
      <w:r>
        <w:t xml:space="preserve">The closest corona rings are installed on a tower that is approximately </w:t>
      </w:r>
      <w:r w:rsidR="007F29AB">
        <w:t xml:space="preserve">one-half </w:t>
      </w:r>
      <w:r>
        <w:t>mile to the north of the Complainant’s property.  (N.T. 56)</w:t>
      </w:r>
    </w:p>
    <w:p w:rsidR="000C5583" w:rsidRDefault="000C5583" w:rsidP="00B52543">
      <w:pPr>
        <w:pStyle w:val="ListParagraph"/>
        <w:numPr>
          <w:ilvl w:val="0"/>
          <w:numId w:val="0"/>
        </w:numPr>
        <w:ind w:left="1350"/>
      </w:pPr>
    </w:p>
    <w:p w:rsidR="00004E5D" w:rsidRDefault="000B5D47" w:rsidP="00B52543">
      <w:pPr>
        <w:spacing w:before="0" w:after="0"/>
        <w:jc w:val="center"/>
        <w:rPr>
          <w:u w:val="single"/>
        </w:rPr>
      </w:pPr>
      <w:r w:rsidRPr="000B5D47">
        <w:rPr>
          <w:u w:val="single"/>
        </w:rPr>
        <w:t>DISCUSSION</w:t>
      </w:r>
    </w:p>
    <w:p w:rsidR="000C5583" w:rsidRPr="000B5D47" w:rsidRDefault="000C5583" w:rsidP="00B52543">
      <w:pPr>
        <w:spacing w:before="0" w:after="0"/>
        <w:jc w:val="center"/>
        <w:rPr>
          <w:u w:val="single"/>
        </w:rPr>
      </w:pPr>
    </w:p>
    <w:p w:rsidR="000B5D47" w:rsidRDefault="000B5D47" w:rsidP="00B52543">
      <w:pPr>
        <w:spacing w:before="0" w:after="0"/>
        <w:ind w:firstLine="1440"/>
        <w:rPr>
          <w:szCs w:val="24"/>
        </w:rPr>
      </w:pPr>
      <w:r w:rsidRPr="00035CC2">
        <w:rPr>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035CC2">
        <w:rPr>
          <w:rStyle w:val="FootnoteReference"/>
          <w:szCs w:val="24"/>
        </w:rPr>
        <w:footnoteReference w:id="1"/>
      </w:r>
      <w:r w:rsidRPr="00035CC2">
        <w:rPr>
          <w:szCs w:val="24"/>
        </w:rPr>
        <w:t xml:space="preserve">  A person seeking affirmative relief from the Commission has the burden of proof.</w:t>
      </w:r>
      <w:r w:rsidRPr="00035CC2">
        <w:rPr>
          <w:rStyle w:val="FootnoteReference"/>
          <w:szCs w:val="24"/>
        </w:rPr>
        <w:footnoteReference w:id="2"/>
      </w:r>
    </w:p>
    <w:p w:rsidR="000C5583" w:rsidRPr="00035CC2" w:rsidRDefault="000C5583" w:rsidP="00B52543">
      <w:pPr>
        <w:spacing w:before="0" w:after="0"/>
        <w:ind w:firstLine="1440"/>
        <w:rPr>
          <w:szCs w:val="24"/>
        </w:rPr>
      </w:pPr>
    </w:p>
    <w:p w:rsidR="000B5D47" w:rsidRDefault="000B5D47" w:rsidP="00B52543">
      <w:pPr>
        <w:spacing w:before="0" w:after="0"/>
        <w:ind w:firstLine="1440"/>
        <w:rPr>
          <w:szCs w:val="24"/>
        </w:rPr>
      </w:pPr>
      <w:r w:rsidRPr="00035CC2">
        <w:rPr>
          <w:szCs w:val="24"/>
        </w:rPr>
        <w:t xml:space="preserve">In this matter, the Complainant is the party seeking affirmative relief from the Commission; therefore, he has the burden of proof.  This means that he has the duty to establish a fact by a preponderance of the evidence, and must show that </w:t>
      </w:r>
      <w:r>
        <w:rPr>
          <w:szCs w:val="24"/>
        </w:rPr>
        <w:t xml:space="preserve">the Company </w:t>
      </w:r>
      <w:r w:rsidRPr="00035CC2">
        <w:rPr>
          <w:szCs w:val="24"/>
        </w:rPr>
        <w:t>has violated the Public Utility Code or Commission regulations.</w:t>
      </w:r>
      <w:r w:rsidRPr="00035CC2">
        <w:rPr>
          <w:rStyle w:val="FootnoteReference"/>
          <w:szCs w:val="24"/>
        </w:rPr>
        <w:footnoteReference w:id="3"/>
      </w:r>
      <w:r w:rsidRPr="00035CC2">
        <w:rPr>
          <w:szCs w:val="24"/>
        </w:rPr>
        <w:t xml:space="preserve"> </w:t>
      </w:r>
    </w:p>
    <w:p w:rsidR="000C5583" w:rsidRDefault="000C5583" w:rsidP="00B52543">
      <w:pPr>
        <w:spacing w:before="0" w:after="0"/>
        <w:ind w:firstLine="1440"/>
        <w:rPr>
          <w:szCs w:val="24"/>
        </w:rPr>
      </w:pPr>
    </w:p>
    <w:p w:rsidR="006E2E8B" w:rsidRDefault="0065000C" w:rsidP="00B52543">
      <w:pPr>
        <w:spacing w:before="0" w:after="0"/>
        <w:ind w:firstLine="1440"/>
        <w:rPr>
          <w:szCs w:val="24"/>
        </w:rPr>
      </w:pPr>
      <w:r>
        <w:rPr>
          <w:szCs w:val="24"/>
        </w:rPr>
        <w:t>The Complainant contends that noise being emitted from the Susquehanna-Roseland transmission line is unreasonable.  He concedes that it is intermittent.  Sometimes it sounds like a mechanical hum.  At other times there is a vibrating sound that travels along the lines.</w:t>
      </w:r>
    </w:p>
    <w:p w:rsidR="000C5583" w:rsidRDefault="000C5583" w:rsidP="00B52543">
      <w:pPr>
        <w:spacing w:before="0" w:after="0"/>
        <w:ind w:firstLine="1440"/>
        <w:rPr>
          <w:szCs w:val="24"/>
        </w:rPr>
      </w:pPr>
    </w:p>
    <w:p w:rsidR="00B52731" w:rsidRDefault="00B52731" w:rsidP="00B52543">
      <w:pPr>
        <w:spacing w:before="0" w:after="0"/>
        <w:ind w:firstLine="1440"/>
        <w:rPr>
          <w:szCs w:val="24"/>
        </w:rPr>
      </w:pPr>
      <w:r>
        <w:rPr>
          <w:szCs w:val="24"/>
        </w:rPr>
        <w:t xml:space="preserve">Section 1501 of the Public Utility Code requires public </w:t>
      </w:r>
      <w:r w:rsidR="007745B7">
        <w:rPr>
          <w:szCs w:val="24"/>
        </w:rPr>
        <w:t>utilities</w:t>
      </w:r>
      <w:r>
        <w:rPr>
          <w:szCs w:val="24"/>
        </w:rPr>
        <w:t xml:space="preserve"> to provide reasonable service to their customers:</w:t>
      </w:r>
    </w:p>
    <w:p w:rsidR="000C5583" w:rsidRDefault="000C5583" w:rsidP="00B52543">
      <w:pPr>
        <w:spacing w:before="0" w:after="0" w:line="240" w:lineRule="auto"/>
        <w:ind w:firstLine="1440"/>
        <w:rPr>
          <w:szCs w:val="24"/>
        </w:rPr>
      </w:pPr>
    </w:p>
    <w:p w:rsidR="00B52731" w:rsidRDefault="00B52731" w:rsidP="00B52543">
      <w:pPr>
        <w:spacing w:before="0" w:after="0" w:line="240" w:lineRule="auto"/>
        <w:ind w:left="1440" w:right="1440"/>
        <w:rPr>
          <w:szCs w:val="24"/>
        </w:rPr>
      </w:pPr>
      <w:r w:rsidRPr="0062657B">
        <w:rPr>
          <w:szCs w:val="24"/>
        </w:rPr>
        <w:lastRenderedPageBreak/>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r w:rsidRPr="0062657B">
        <w:rPr>
          <w:rStyle w:val="FootnoteReference"/>
          <w:szCs w:val="24"/>
        </w:rPr>
        <w:footnoteReference w:id="4"/>
      </w:r>
    </w:p>
    <w:p w:rsidR="00B52731" w:rsidRPr="0062657B" w:rsidRDefault="00B52731" w:rsidP="00B52543">
      <w:pPr>
        <w:spacing w:before="0" w:after="0"/>
        <w:ind w:left="1440" w:right="1440"/>
        <w:rPr>
          <w:szCs w:val="24"/>
        </w:rPr>
      </w:pPr>
    </w:p>
    <w:p w:rsidR="00B52731" w:rsidRDefault="00B52731" w:rsidP="00B52543">
      <w:pPr>
        <w:spacing w:before="0" w:after="0"/>
        <w:rPr>
          <w:szCs w:val="24"/>
        </w:rPr>
      </w:pPr>
      <w:r w:rsidRPr="0062657B">
        <w:rPr>
          <w:szCs w:val="24"/>
        </w:rPr>
        <w:t>The Commonwealth Court has cautioned that the Commission may not sustain a complaint pursuant to Section 1501 unless it finds that a utility has violated a duty to render reasonable and reliable service.</w:t>
      </w:r>
      <w:r w:rsidRPr="0062657B">
        <w:rPr>
          <w:rStyle w:val="FootnoteReference"/>
          <w:szCs w:val="24"/>
        </w:rPr>
        <w:footnoteReference w:id="5"/>
      </w:r>
      <w:r w:rsidRPr="0062657B">
        <w:rPr>
          <w:szCs w:val="24"/>
        </w:rPr>
        <w:t xml:space="preserve">  The Commission has stated that a utility is not mandated to furnish perfect service:</w:t>
      </w:r>
    </w:p>
    <w:p w:rsidR="000C5583" w:rsidRPr="0062657B" w:rsidRDefault="000C5583" w:rsidP="00B52543">
      <w:pPr>
        <w:spacing w:before="0" w:after="0" w:line="240" w:lineRule="auto"/>
        <w:rPr>
          <w:szCs w:val="24"/>
        </w:rPr>
      </w:pPr>
    </w:p>
    <w:p w:rsidR="00B52731" w:rsidRDefault="00B52731" w:rsidP="00B52543">
      <w:pPr>
        <w:spacing w:before="0" w:after="0" w:line="240" w:lineRule="auto"/>
        <w:ind w:left="1440" w:right="1440"/>
        <w:rPr>
          <w:szCs w:val="24"/>
        </w:rPr>
      </w:pPr>
      <w:r w:rsidRPr="0062657B">
        <w:rPr>
          <w:szCs w:val="24"/>
        </w:rPr>
        <w:t>[Section 1501] does not mandate perfect service nor must a public utility provide the best possible service.  Most certainly, a public utility is not a guarantor of either perfect service or the best possible service.</w:t>
      </w:r>
      <w:r w:rsidRPr="0062657B">
        <w:rPr>
          <w:rStyle w:val="FootnoteReference"/>
          <w:szCs w:val="24"/>
        </w:rPr>
        <w:footnoteReference w:id="6"/>
      </w:r>
    </w:p>
    <w:p w:rsidR="00B52731" w:rsidRPr="0062657B" w:rsidRDefault="00B52731" w:rsidP="007C392E">
      <w:pPr>
        <w:spacing w:before="0" w:after="0"/>
        <w:ind w:left="1440" w:right="1440"/>
        <w:rPr>
          <w:szCs w:val="24"/>
        </w:rPr>
      </w:pPr>
    </w:p>
    <w:p w:rsidR="00B52731" w:rsidRDefault="00B52731" w:rsidP="00B52543">
      <w:pPr>
        <w:spacing w:before="0" w:after="0"/>
        <w:rPr>
          <w:szCs w:val="24"/>
        </w:rPr>
      </w:pPr>
      <w:r w:rsidRPr="0062657B">
        <w:rPr>
          <w:szCs w:val="24"/>
        </w:rPr>
        <w:t>Thus the test to determine the adequacy of a utility’s service and facilities is that of reasonableness.</w:t>
      </w:r>
      <w:r w:rsidRPr="0062657B">
        <w:rPr>
          <w:rStyle w:val="FootnoteReference"/>
          <w:szCs w:val="24"/>
        </w:rPr>
        <w:footnoteReference w:id="7"/>
      </w:r>
      <w:r w:rsidRPr="0062657B">
        <w:rPr>
          <w:szCs w:val="24"/>
        </w:rPr>
        <w:t xml:space="preserve">  This is also the test to determine the adequacy of a utility’s response to customer service complaints, as well as repairs made to its facilities.</w:t>
      </w:r>
      <w:r w:rsidRPr="0062657B">
        <w:rPr>
          <w:rStyle w:val="FootnoteReference"/>
          <w:szCs w:val="24"/>
        </w:rPr>
        <w:footnoteReference w:id="8"/>
      </w:r>
    </w:p>
    <w:p w:rsidR="000C5583" w:rsidRDefault="000C5583" w:rsidP="00B52543">
      <w:pPr>
        <w:spacing w:before="0" w:after="0"/>
        <w:rPr>
          <w:szCs w:val="24"/>
        </w:rPr>
      </w:pPr>
    </w:p>
    <w:p w:rsidR="00B52731" w:rsidRDefault="00932C87" w:rsidP="00B52543">
      <w:pPr>
        <w:spacing w:before="0" w:after="0"/>
        <w:ind w:firstLine="1440"/>
        <w:rPr>
          <w:szCs w:val="24"/>
        </w:rPr>
      </w:pPr>
      <w:r>
        <w:rPr>
          <w:szCs w:val="24"/>
        </w:rPr>
        <w:t>I am mindful that the Complainant bears the burden of proving that PPL is in violation of the Public Utility Code.  While I do not doubt the Complainant’s sincerity in describing the noise that he has heard in the vicinity of his home, I am constrained to conclude that he did not sustain his burden</w:t>
      </w:r>
      <w:r w:rsidR="00236D4C">
        <w:rPr>
          <w:szCs w:val="24"/>
        </w:rPr>
        <w:t xml:space="preserve"> of proving that PPL violated the Public Utility Code or Commission regulations</w:t>
      </w:r>
      <w:r>
        <w:rPr>
          <w:szCs w:val="24"/>
        </w:rPr>
        <w:t>.</w:t>
      </w:r>
    </w:p>
    <w:p w:rsidR="000C5583" w:rsidRDefault="000C5583" w:rsidP="00B52543">
      <w:pPr>
        <w:spacing w:before="0" w:after="0"/>
        <w:ind w:firstLine="1440"/>
        <w:rPr>
          <w:szCs w:val="24"/>
        </w:rPr>
      </w:pPr>
    </w:p>
    <w:p w:rsidR="00B52731" w:rsidRDefault="00B52731" w:rsidP="00B52543">
      <w:pPr>
        <w:spacing w:before="0" w:after="0"/>
        <w:ind w:firstLine="1440"/>
        <w:rPr>
          <w:szCs w:val="24"/>
        </w:rPr>
      </w:pPr>
      <w:r>
        <w:rPr>
          <w:szCs w:val="24"/>
        </w:rPr>
        <w:lastRenderedPageBreak/>
        <w:t>The siting and construction of the Susquehanna-Roseland transmission line was reviewed and approved by the Commission.</w:t>
      </w:r>
      <w:r w:rsidR="00932C87">
        <w:rPr>
          <w:szCs w:val="24"/>
        </w:rPr>
        <w:t xml:space="preserve">  </w:t>
      </w:r>
      <w:r w:rsidR="00C96145">
        <w:rPr>
          <w:szCs w:val="24"/>
        </w:rPr>
        <w:t>The Commission considered evidence which was submitted by PPL regarding the predicted noise levels which could emanate from the transmission line.  PPL also submitted evidence that the proposed line met both</w:t>
      </w:r>
      <w:r w:rsidR="0052121F">
        <w:rPr>
          <w:szCs w:val="24"/>
        </w:rPr>
        <w:t xml:space="preserve"> the</w:t>
      </w:r>
      <w:r w:rsidR="00C96145">
        <w:rPr>
          <w:szCs w:val="24"/>
        </w:rPr>
        <w:t xml:space="preserve"> radio noise design guide of the Institute of Electrical and Electronics Engineers as well as PJM requirements for 500 kV transmission lines.</w:t>
      </w:r>
      <w:r w:rsidR="00C96145">
        <w:rPr>
          <w:rStyle w:val="FootnoteReference"/>
          <w:szCs w:val="24"/>
        </w:rPr>
        <w:footnoteReference w:id="9"/>
      </w:r>
    </w:p>
    <w:p w:rsidR="000C5583" w:rsidRDefault="000C5583" w:rsidP="00B52543">
      <w:pPr>
        <w:spacing w:before="0" w:after="0"/>
        <w:ind w:firstLine="1440"/>
        <w:rPr>
          <w:szCs w:val="24"/>
        </w:rPr>
      </w:pPr>
    </w:p>
    <w:p w:rsidR="00187402" w:rsidRDefault="00187402" w:rsidP="00B52543">
      <w:pPr>
        <w:spacing w:before="0" w:after="0"/>
        <w:ind w:firstLine="1440"/>
        <w:rPr>
          <w:szCs w:val="24"/>
        </w:rPr>
      </w:pPr>
      <w:r>
        <w:rPr>
          <w:szCs w:val="24"/>
        </w:rPr>
        <w:t>At the hearing</w:t>
      </w:r>
      <w:r w:rsidR="00236D4C">
        <w:rPr>
          <w:szCs w:val="24"/>
        </w:rPr>
        <w:t xml:space="preserve"> on this complaint, </w:t>
      </w:r>
      <w:r>
        <w:rPr>
          <w:szCs w:val="24"/>
        </w:rPr>
        <w:t xml:space="preserve">PPL’s witnesses testified that they investigated the </w:t>
      </w:r>
      <w:r w:rsidR="00236D4C">
        <w:rPr>
          <w:szCs w:val="24"/>
        </w:rPr>
        <w:t xml:space="preserve">noise reported </w:t>
      </w:r>
      <w:r>
        <w:rPr>
          <w:szCs w:val="24"/>
        </w:rPr>
        <w:t>by the Complainant by visiting his location.  PPL also performed an inspection of the line with a helicopter to ensure that there were no abnormalities with the facil</w:t>
      </w:r>
      <w:r w:rsidR="008C38B4">
        <w:rPr>
          <w:szCs w:val="24"/>
        </w:rPr>
        <w:t>i</w:t>
      </w:r>
      <w:r>
        <w:rPr>
          <w:szCs w:val="24"/>
        </w:rPr>
        <w:t>ties.</w:t>
      </w:r>
    </w:p>
    <w:p w:rsidR="000C5583" w:rsidRDefault="000C5583" w:rsidP="00B52543">
      <w:pPr>
        <w:spacing w:before="0" w:after="0"/>
        <w:ind w:firstLine="1440"/>
        <w:rPr>
          <w:szCs w:val="24"/>
        </w:rPr>
      </w:pPr>
    </w:p>
    <w:p w:rsidR="000B5D47" w:rsidRDefault="00854679" w:rsidP="00B52543">
      <w:pPr>
        <w:spacing w:before="0" w:after="0"/>
        <w:ind w:firstLine="1440"/>
        <w:rPr>
          <w:szCs w:val="24"/>
        </w:rPr>
      </w:pPr>
      <w:r>
        <w:rPr>
          <w:szCs w:val="24"/>
        </w:rPr>
        <w:t>The Complainant did not offer any evidence that the construction of the line did not conform with the Commission’s approval.  Although he speculated that the unique position of his home may cause a sound effect which may not have been anticipated with the testing which supported the application, he offered no evidence to support his theory.</w:t>
      </w:r>
      <w:r w:rsidR="00885BD5">
        <w:rPr>
          <w:szCs w:val="24"/>
        </w:rPr>
        <w:t xml:space="preserve">  </w:t>
      </w:r>
    </w:p>
    <w:p w:rsidR="000C5583" w:rsidRDefault="000C5583" w:rsidP="00B52543">
      <w:pPr>
        <w:spacing w:before="0" w:after="0"/>
        <w:ind w:firstLine="1440"/>
        <w:rPr>
          <w:szCs w:val="24"/>
        </w:rPr>
      </w:pPr>
    </w:p>
    <w:p w:rsidR="00885BD5" w:rsidRDefault="00885BD5" w:rsidP="00B52543">
      <w:pPr>
        <w:spacing w:before="0" w:after="0"/>
        <w:ind w:firstLine="1440"/>
        <w:rPr>
          <w:szCs w:val="24"/>
        </w:rPr>
      </w:pPr>
      <w:r>
        <w:rPr>
          <w:szCs w:val="24"/>
        </w:rPr>
        <w:t xml:space="preserve">Nor can I conclude that PPL failed to render reasonable service in the investigation of the complaint.  PPL engineers visited the site on more than one occasion </w:t>
      </w:r>
      <w:r w:rsidR="00741DF9">
        <w:rPr>
          <w:szCs w:val="24"/>
        </w:rPr>
        <w:t>and inspected the line by helicopter to ensure that there were no structural problems.  Neither the site visits nor the aerial inspection revealed anything out of the ordinary.</w:t>
      </w:r>
      <w:r w:rsidR="00741DF9">
        <w:rPr>
          <w:rStyle w:val="FootnoteReference"/>
          <w:szCs w:val="24"/>
        </w:rPr>
        <w:footnoteReference w:id="10"/>
      </w:r>
    </w:p>
    <w:p w:rsidR="00F401D3" w:rsidRDefault="00F401D3" w:rsidP="00B52543">
      <w:pPr>
        <w:spacing w:before="0" w:after="0"/>
        <w:ind w:firstLine="1440"/>
        <w:rPr>
          <w:szCs w:val="24"/>
        </w:rPr>
      </w:pPr>
    </w:p>
    <w:p w:rsidR="003A66CC" w:rsidRDefault="003A66CC" w:rsidP="00B52543">
      <w:pPr>
        <w:spacing w:before="0" w:after="0"/>
        <w:ind w:firstLine="1440"/>
        <w:rPr>
          <w:szCs w:val="24"/>
        </w:rPr>
      </w:pPr>
      <w:r>
        <w:rPr>
          <w:szCs w:val="24"/>
        </w:rPr>
        <w:t>In sum, there is no evidence which supports a conclusion that the construction or maintenance of the Susquehanna-Roseland line by PPL violates the Public Utility Code.  Nor did PPL render unreasonable customer service in the response and investigation of the Complainant’s noise complaint.</w:t>
      </w:r>
      <w:r w:rsidR="00236D4C">
        <w:rPr>
          <w:szCs w:val="24"/>
        </w:rPr>
        <w:t xml:space="preserve">  Therefore, the complaint must be </w:t>
      </w:r>
      <w:r w:rsidR="00F401D3">
        <w:rPr>
          <w:szCs w:val="24"/>
        </w:rPr>
        <w:t>dismissed</w:t>
      </w:r>
      <w:r w:rsidR="00236D4C">
        <w:rPr>
          <w:szCs w:val="24"/>
        </w:rPr>
        <w:t>.</w:t>
      </w:r>
    </w:p>
    <w:p w:rsidR="00EF15B6" w:rsidRDefault="00EF15B6" w:rsidP="00B52543">
      <w:pPr>
        <w:spacing w:before="0" w:after="0"/>
        <w:ind w:firstLine="1440"/>
        <w:rPr>
          <w:szCs w:val="24"/>
        </w:rPr>
      </w:pPr>
      <w:r>
        <w:rPr>
          <w:szCs w:val="24"/>
        </w:rPr>
        <w:br w:type="page"/>
      </w:r>
    </w:p>
    <w:p w:rsidR="007B09D0" w:rsidRDefault="007B09D0" w:rsidP="00B52543">
      <w:pPr>
        <w:spacing w:before="0" w:after="0"/>
        <w:jc w:val="center"/>
        <w:rPr>
          <w:szCs w:val="24"/>
          <w:u w:val="single"/>
        </w:rPr>
      </w:pPr>
      <w:r w:rsidRPr="007B09D0">
        <w:rPr>
          <w:szCs w:val="24"/>
          <w:u w:val="single"/>
        </w:rPr>
        <w:lastRenderedPageBreak/>
        <w:t>CONCLUSION</w:t>
      </w:r>
      <w:r w:rsidR="008E43BE">
        <w:rPr>
          <w:szCs w:val="24"/>
          <w:u w:val="single"/>
        </w:rPr>
        <w:t>S</w:t>
      </w:r>
      <w:bookmarkStart w:id="0" w:name="_GoBack"/>
      <w:bookmarkEnd w:id="0"/>
      <w:r w:rsidRPr="007B09D0">
        <w:rPr>
          <w:szCs w:val="24"/>
          <w:u w:val="single"/>
        </w:rPr>
        <w:t xml:space="preserve"> OF LAW</w:t>
      </w:r>
    </w:p>
    <w:p w:rsidR="00F401D3" w:rsidRDefault="00F401D3" w:rsidP="00B52543">
      <w:pPr>
        <w:spacing w:before="0" w:after="0"/>
        <w:jc w:val="center"/>
        <w:rPr>
          <w:szCs w:val="24"/>
        </w:rPr>
      </w:pPr>
    </w:p>
    <w:p w:rsidR="007B09D0" w:rsidRDefault="007B09D0" w:rsidP="00B52543">
      <w:pPr>
        <w:spacing w:before="0" w:after="0"/>
        <w:rPr>
          <w:szCs w:val="24"/>
        </w:rPr>
      </w:pPr>
      <w:r>
        <w:rPr>
          <w:szCs w:val="24"/>
        </w:rPr>
        <w:tab/>
        <w:t>1.</w:t>
      </w:r>
      <w:r>
        <w:rPr>
          <w:szCs w:val="24"/>
        </w:rPr>
        <w:tab/>
        <w:t>The Commission has jurisdiction over the parties and subject matter of this complaint.  66 Pa.C.S. § 701.</w:t>
      </w:r>
    </w:p>
    <w:p w:rsidR="00F401D3" w:rsidRDefault="00F401D3" w:rsidP="00B52543">
      <w:pPr>
        <w:spacing w:before="0" w:after="0"/>
        <w:rPr>
          <w:szCs w:val="24"/>
        </w:rPr>
      </w:pPr>
    </w:p>
    <w:p w:rsidR="007B09D0" w:rsidRDefault="007B09D0" w:rsidP="00B52543">
      <w:pPr>
        <w:spacing w:before="0" w:after="0"/>
        <w:rPr>
          <w:szCs w:val="24"/>
        </w:rPr>
      </w:pPr>
      <w:r>
        <w:rPr>
          <w:szCs w:val="24"/>
        </w:rPr>
        <w:tab/>
        <w:t>2.</w:t>
      </w:r>
      <w:r>
        <w:rPr>
          <w:szCs w:val="24"/>
        </w:rPr>
        <w:tab/>
        <w:t xml:space="preserve">The Complainant bears the burden of proof.  </w:t>
      </w:r>
      <w:proofErr w:type="gramStart"/>
      <w:r>
        <w:rPr>
          <w:szCs w:val="24"/>
        </w:rPr>
        <w:t>66 Pa.C.S.</w:t>
      </w:r>
      <w:proofErr w:type="gramEnd"/>
      <w:r>
        <w:rPr>
          <w:szCs w:val="24"/>
        </w:rPr>
        <w:t xml:space="preserve"> § 332.</w:t>
      </w:r>
    </w:p>
    <w:p w:rsidR="00F401D3" w:rsidRDefault="00F401D3" w:rsidP="00B52543">
      <w:pPr>
        <w:spacing w:before="0" w:after="0"/>
        <w:rPr>
          <w:szCs w:val="24"/>
        </w:rPr>
      </w:pPr>
    </w:p>
    <w:p w:rsidR="007B09D0" w:rsidRDefault="007B09D0" w:rsidP="00B52543">
      <w:pPr>
        <w:spacing w:before="0" w:after="0"/>
        <w:rPr>
          <w:szCs w:val="24"/>
        </w:rPr>
      </w:pPr>
      <w:r>
        <w:rPr>
          <w:szCs w:val="24"/>
        </w:rPr>
        <w:tab/>
        <w:t>3.</w:t>
      </w:r>
      <w:r>
        <w:rPr>
          <w:szCs w:val="24"/>
        </w:rPr>
        <w:tab/>
        <w:t>The Complainant failed to meet his burden of proof by establishing that PPL violated the Public Utility Code, the regulations or any order of the Commission.</w:t>
      </w:r>
    </w:p>
    <w:p w:rsidR="00F401D3" w:rsidRDefault="00F401D3" w:rsidP="00B52543">
      <w:pPr>
        <w:spacing w:before="0" w:after="0"/>
        <w:rPr>
          <w:szCs w:val="24"/>
        </w:rPr>
      </w:pPr>
    </w:p>
    <w:p w:rsidR="007B09D0" w:rsidRDefault="007B09D0" w:rsidP="00683B67">
      <w:pPr>
        <w:spacing w:before="0" w:after="0"/>
        <w:jc w:val="center"/>
        <w:rPr>
          <w:szCs w:val="24"/>
        </w:rPr>
      </w:pPr>
      <w:r>
        <w:rPr>
          <w:szCs w:val="24"/>
        </w:rPr>
        <w:t>ORDER</w:t>
      </w:r>
    </w:p>
    <w:p w:rsidR="00F401D3" w:rsidRDefault="00F401D3" w:rsidP="00B52543">
      <w:pPr>
        <w:spacing w:before="0" w:after="0"/>
        <w:rPr>
          <w:szCs w:val="24"/>
        </w:rPr>
      </w:pPr>
    </w:p>
    <w:p w:rsidR="00F401D3" w:rsidRDefault="00F401D3" w:rsidP="00B52543">
      <w:pPr>
        <w:spacing w:before="0" w:after="0"/>
        <w:rPr>
          <w:szCs w:val="24"/>
        </w:rPr>
      </w:pPr>
    </w:p>
    <w:p w:rsidR="007B09D0" w:rsidRDefault="00F401D3" w:rsidP="00B52543">
      <w:pPr>
        <w:spacing w:before="0" w:after="0"/>
        <w:rPr>
          <w:szCs w:val="24"/>
        </w:rPr>
      </w:pPr>
      <w:r>
        <w:rPr>
          <w:szCs w:val="24"/>
        </w:rPr>
        <w:tab/>
      </w:r>
      <w:r w:rsidR="007B09D0">
        <w:rPr>
          <w:szCs w:val="24"/>
        </w:rPr>
        <w:t>THEREFORE,</w:t>
      </w:r>
    </w:p>
    <w:p w:rsidR="00F401D3" w:rsidRDefault="00F401D3" w:rsidP="00B52543">
      <w:pPr>
        <w:spacing w:before="0" w:after="0"/>
        <w:rPr>
          <w:szCs w:val="24"/>
        </w:rPr>
      </w:pPr>
    </w:p>
    <w:p w:rsidR="007B09D0" w:rsidRDefault="00F401D3" w:rsidP="00B52543">
      <w:pPr>
        <w:spacing w:before="0" w:after="0"/>
        <w:rPr>
          <w:szCs w:val="24"/>
        </w:rPr>
      </w:pPr>
      <w:r>
        <w:rPr>
          <w:szCs w:val="24"/>
        </w:rPr>
        <w:tab/>
      </w:r>
      <w:r w:rsidR="007B09D0">
        <w:rPr>
          <w:szCs w:val="24"/>
        </w:rPr>
        <w:t>IT IS ORDERED:</w:t>
      </w:r>
    </w:p>
    <w:p w:rsidR="00F401D3" w:rsidRDefault="00F401D3" w:rsidP="00B52543">
      <w:pPr>
        <w:spacing w:before="0" w:after="0"/>
        <w:rPr>
          <w:szCs w:val="24"/>
        </w:rPr>
      </w:pPr>
    </w:p>
    <w:p w:rsidR="007B09D0" w:rsidRDefault="007B09D0" w:rsidP="00B52543">
      <w:pPr>
        <w:spacing w:before="0" w:after="0"/>
        <w:rPr>
          <w:szCs w:val="24"/>
        </w:rPr>
      </w:pPr>
      <w:r>
        <w:rPr>
          <w:szCs w:val="24"/>
        </w:rPr>
        <w:tab/>
        <w:t>1.</w:t>
      </w:r>
      <w:r>
        <w:rPr>
          <w:szCs w:val="24"/>
        </w:rPr>
        <w:tab/>
        <w:t xml:space="preserve">That the formal complaint of Perry Sherman at Docket No. </w:t>
      </w:r>
      <w:r w:rsidR="002D3D07">
        <w:rPr>
          <w:szCs w:val="24"/>
        </w:rPr>
        <w:t>C-2015-2499616 is dismissed.</w:t>
      </w:r>
    </w:p>
    <w:p w:rsidR="00F401D3" w:rsidRDefault="00F401D3" w:rsidP="00B52543">
      <w:pPr>
        <w:spacing w:before="0" w:after="0"/>
        <w:rPr>
          <w:szCs w:val="24"/>
        </w:rPr>
      </w:pPr>
    </w:p>
    <w:p w:rsidR="002D3D07" w:rsidRDefault="002D3D07" w:rsidP="00B52543">
      <w:pPr>
        <w:spacing w:before="0" w:after="0"/>
        <w:rPr>
          <w:szCs w:val="24"/>
        </w:rPr>
      </w:pPr>
      <w:r>
        <w:rPr>
          <w:szCs w:val="24"/>
        </w:rPr>
        <w:tab/>
        <w:t>2.</w:t>
      </w:r>
      <w:r>
        <w:rPr>
          <w:szCs w:val="24"/>
        </w:rPr>
        <w:tab/>
        <w:t>That the Secretary shall mark the docket closed.</w:t>
      </w:r>
    </w:p>
    <w:p w:rsidR="00F401D3" w:rsidRDefault="00F401D3" w:rsidP="00B52543">
      <w:pPr>
        <w:spacing w:before="0" w:after="0"/>
        <w:rPr>
          <w:szCs w:val="24"/>
        </w:rPr>
      </w:pPr>
    </w:p>
    <w:p w:rsidR="00F401D3" w:rsidRDefault="00F401D3" w:rsidP="00B52543">
      <w:pPr>
        <w:spacing w:before="0" w:after="0"/>
        <w:rPr>
          <w:szCs w:val="24"/>
        </w:rPr>
      </w:pPr>
    </w:p>
    <w:p w:rsidR="00F401D3" w:rsidRPr="00F401D3" w:rsidRDefault="00F401D3" w:rsidP="00B52543">
      <w:pPr>
        <w:tabs>
          <w:tab w:val="left" w:pos="0"/>
        </w:tabs>
        <w:spacing w:before="0" w:after="0" w:line="240" w:lineRule="auto"/>
        <w:jc w:val="both"/>
        <w:rPr>
          <w:szCs w:val="24"/>
          <w:u w:val="single"/>
        </w:rPr>
      </w:pPr>
      <w:r w:rsidRPr="00F401D3">
        <w:rPr>
          <w:szCs w:val="24"/>
        </w:rPr>
        <w:t xml:space="preserve">Date:  </w:t>
      </w:r>
      <w:r>
        <w:rPr>
          <w:szCs w:val="24"/>
          <w:u w:val="single"/>
        </w:rPr>
        <w:t>June 2</w:t>
      </w:r>
      <w:r w:rsidRPr="00F401D3">
        <w:rPr>
          <w:szCs w:val="24"/>
          <w:u w:val="single"/>
        </w:rPr>
        <w:t>, 2016</w:t>
      </w:r>
      <w:r w:rsidRPr="00F401D3">
        <w:rPr>
          <w:szCs w:val="24"/>
        </w:rPr>
        <w:tab/>
      </w:r>
      <w:r w:rsidRPr="00F401D3">
        <w:rPr>
          <w:szCs w:val="24"/>
        </w:rPr>
        <w:tab/>
      </w:r>
      <w:r w:rsidRPr="00F401D3">
        <w:rPr>
          <w:szCs w:val="24"/>
        </w:rPr>
        <w:tab/>
      </w:r>
      <w:r w:rsidRPr="00F401D3">
        <w:rPr>
          <w:szCs w:val="24"/>
        </w:rPr>
        <w:tab/>
      </w:r>
      <w:r>
        <w:rPr>
          <w:szCs w:val="24"/>
        </w:rPr>
        <w:tab/>
      </w:r>
      <w:r w:rsidRPr="00F401D3">
        <w:rPr>
          <w:szCs w:val="24"/>
          <w:u w:val="single"/>
        </w:rPr>
        <w:tab/>
      </w:r>
      <w:r w:rsidRPr="00F401D3">
        <w:rPr>
          <w:szCs w:val="24"/>
          <w:u w:val="single"/>
        </w:rPr>
        <w:tab/>
        <w:t>/s/</w:t>
      </w:r>
      <w:r w:rsidRPr="00F401D3">
        <w:rPr>
          <w:szCs w:val="24"/>
          <w:u w:val="single"/>
        </w:rPr>
        <w:tab/>
      </w:r>
      <w:r w:rsidRPr="00F401D3">
        <w:rPr>
          <w:szCs w:val="24"/>
          <w:u w:val="single"/>
        </w:rPr>
        <w:tab/>
      </w:r>
      <w:r w:rsidRPr="00F401D3">
        <w:rPr>
          <w:szCs w:val="24"/>
          <w:u w:val="single"/>
        </w:rPr>
        <w:tab/>
      </w:r>
      <w:r w:rsidRPr="00F401D3">
        <w:rPr>
          <w:szCs w:val="24"/>
          <w:u w:val="single"/>
        </w:rPr>
        <w:tab/>
      </w:r>
    </w:p>
    <w:p w:rsidR="00F401D3" w:rsidRPr="00F401D3" w:rsidRDefault="00F401D3" w:rsidP="00B52543">
      <w:pPr>
        <w:tabs>
          <w:tab w:val="left" w:pos="0"/>
        </w:tabs>
        <w:spacing w:before="0" w:after="0" w:line="240" w:lineRule="auto"/>
        <w:jc w:val="both"/>
        <w:rPr>
          <w:szCs w:val="24"/>
        </w:rPr>
      </w:pPr>
      <w:r w:rsidRPr="00F401D3">
        <w:rPr>
          <w:szCs w:val="24"/>
        </w:rPr>
        <w:tab/>
      </w:r>
      <w:r w:rsidRPr="00F401D3">
        <w:rPr>
          <w:szCs w:val="24"/>
        </w:rPr>
        <w:tab/>
      </w:r>
      <w:r w:rsidRPr="00F401D3">
        <w:rPr>
          <w:szCs w:val="24"/>
        </w:rPr>
        <w:tab/>
      </w:r>
      <w:r w:rsidRPr="00F401D3">
        <w:rPr>
          <w:szCs w:val="24"/>
        </w:rPr>
        <w:tab/>
      </w:r>
      <w:r w:rsidRPr="00F401D3">
        <w:rPr>
          <w:szCs w:val="24"/>
        </w:rPr>
        <w:tab/>
      </w:r>
      <w:r w:rsidRPr="00F401D3">
        <w:rPr>
          <w:szCs w:val="24"/>
        </w:rPr>
        <w:tab/>
        <w:t>Mary D. Long</w:t>
      </w:r>
    </w:p>
    <w:p w:rsidR="00F401D3" w:rsidRPr="00F401D3" w:rsidRDefault="00F401D3" w:rsidP="00B52543">
      <w:pPr>
        <w:tabs>
          <w:tab w:val="left" w:pos="0"/>
        </w:tabs>
        <w:spacing w:before="0" w:after="0" w:line="240" w:lineRule="auto"/>
        <w:jc w:val="both"/>
        <w:rPr>
          <w:szCs w:val="24"/>
        </w:rPr>
      </w:pPr>
      <w:r w:rsidRPr="00F401D3">
        <w:rPr>
          <w:szCs w:val="24"/>
        </w:rPr>
        <w:tab/>
      </w:r>
      <w:r w:rsidRPr="00F401D3">
        <w:rPr>
          <w:szCs w:val="24"/>
        </w:rPr>
        <w:tab/>
      </w:r>
      <w:r w:rsidRPr="00F401D3">
        <w:rPr>
          <w:szCs w:val="24"/>
        </w:rPr>
        <w:tab/>
      </w:r>
      <w:r w:rsidRPr="00F401D3">
        <w:rPr>
          <w:szCs w:val="24"/>
        </w:rPr>
        <w:tab/>
      </w:r>
      <w:r w:rsidRPr="00F401D3">
        <w:rPr>
          <w:szCs w:val="24"/>
        </w:rPr>
        <w:tab/>
      </w:r>
      <w:r w:rsidRPr="00F401D3">
        <w:rPr>
          <w:szCs w:val="24"/>
        </w:rPr>
        <w:tab/>
        <w:t>Administrative Law Judge</w:t>
      </w:r>
    </w:p>
    <w:p w:rsidR="00F401D3" w:rsidRPr="007B09D0" w:rsidRDefault="00F401D3" w:rsidP="00B52543">
      <w:pPr>
        <w:spacing w:before="0" w:after="0"/>
        <w:rPr>
          <w:szCs w:val="24"/>
        </w:rPr>
      </w:pPr>
    </w:p>
    <w:sectPr w:rsidR="00F401D3" w:rsidRPr="007B09D0" w:rsidSect="00F0199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687" w:rsidRDefault="00B60687" w:rsidP="00F0199C">
      <w:pPr>
        <w:spacing w:before="0" w:after="0" w:line="240" w:lineRule="auto"/>
      </w:pPr>
      <w:r>
        <w:separator/>
      </w:r>
    </w:p>
  </w:endnote>
  <w:endnote w:type="continuationSeparator" w:id="0">
    <w:p w:rsidR="00B60687" w:rsidRDefault="00B60687" w:rsidP="00F019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424079"/>
      <w:docPartObj>
        <w:docPartGallery w:val="Page Numbers (Bottom of Page)"/>
        <w:docPartUnique/>
      </w:docPartObj>
    </w:sdtPr>
    <w:sdtEndPr>
      <w:rPr>
        <w:noProof/>
        <w:sz w:val="20"/>
      </w:rPr>
    </w:sdtEndPr>
    <w:sdtContent>
      <w:p w:rsidR="00F0199C" w:rsidRPr="000C5583" w:rsidRDefault="00F0199C">
        <w:pPr>
          <w:pStyle w:val="Footer"/>
          <w:jc w:val="center"/>
          <w:rPr>
            <w:sz w:val="20"/>
          </w:rPr>
        </w:pPr>
        <w:r w:rsidRPr="000C5583">
          <w:rPr>
            <w:sz w:val="20"/>
          </w:rPr>
          <w:fldChar w:fldCharType="begin"/>
        </w:r>
        <w:r w:rsidRPr="000C5583">
          <w:rPr>
            <w:sz w:val="20"/>
          </w:rPr>
          <w:instrText xml:space="preserve"> PAGE   \* MERGEFORMAT </w:instrText>
        </w:r>
        <w:r w:rsidRPr="000C5583">
          <w:rPr>
            <w:sz w:val="20"/>
          </w:rPr>
          <w:fldChar w:fldCharType="separate"/>
        </w:r>
        <w:r w:rsidR="008E43BE">
          <w:rPr>
            <w:noProof/>
            <w:sz w:val="20"/>
          </w:rPr>
          <w:t>8</w:t>
        </w:r>
        <w:r w:rsidRPr="000C5583">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687" w:rsidRDefault="00B60687" w:rsidP="00F0199C">
      <w:pPr>
        <w:spacing w:before="0" w:after="0" w:line="240" w:lineRule="auto"/>
      </w:pPr>
      <w:r>
        <w:separator/>
      </w:r>
    </w:p>
  </w:footnote>
  <w:footnote w:type="continuationSeparator" w:id="0">
    <w:p w:rsidR="00B60687" w:rsidRDefault="00B60687" w:rsidP="00F0199C">
      <w:pPr>
        <w:spacing w:before="0" w:after="0" w:line="240" w:lineRule="auto"/>
      </w:pPr>
      <w:r>
        <w:continuationSeparator/>
      </w:r>
    </w:p>
  </w:footnote>
  <w:footnote w:id="1">
    <w:p w:rsidR="000B5D47" w:rsidRDefault="000B5D47" w:rsidP="000B5D47">
      <w:pPr>
        <w:pStyle w:val="FootnoteText"/>
        <w:spacing w:after="0"/>
      </w:pPr>
      <w:r w:rsidRPr="00C81B96">
        <w:rPr>
          <w:rStyle w:val="FootnoteReference"/>
        </w:rPr>
        <w:footnoteRef/>
      </w:r>
      <w:r w:rsidRPr="00C81B96">
        <w:t xml:space="preserve"> </w:t>
      </w:r>
      <w:r>
        <w:tab/>
      </w:r>
      <w:proofErr w:type="gramStart"/>
      <w:r>
        <w:t>66 Pa.</w:t>
      </w:r>
      <w:r w:rsidRPr="00C81B96">
        <w:t>C.S.</w:t>
      </w:r>
      <w:proofErr w:type="gramEnd"/>
      <w:r w:rsidRPr="00C81B96">
        <w:t xml:space="preserve"> §</w:t>
      </w:r>
      <w:r>
        <w:t xml:space="preserve"> </w:t>
      </w:r>
      <w:r w:rsidRPr="00C81B96">
        <w:t>701.</w:t>
      </w:r>
    </w:p>
    <w:p w:rsidR="000B5D47" w:rsidRPr="00C81B96" w:rsidRDefault="000B5D47" w:rsidP="000B5D47">
      <w:pPr>
        <w:pStyle w:val="FootnoteText"/>
        <w:spacing w:after="0"/>
      </w:pPr>
    </w:p>
  </w:footnote>
  <w:footnote w:id="2">
    <w:p w:rsidR="000B5D47" w:rsidRDefault="000B5D47" w:rsidP="000B5D47">
      <w:pPr>
        <w:pStyle w:val="FootnoteText"/>
        <w:spacing w:after="0"/>
      </w:pPr>
      <w:r w:rsidRPr="00C81B96">
        <w:rPr>
          <w:rStyle w:val="FootnoteReference"/>
        </w:rPr>
        <w:footnoteRef/>
      </w:r>
      <w:r w:rsidRPr="00C81B96">
        <w:t xml:space="preserve"> </w:t>
      </w:r>
      <w:r>
        <w:tab/>
      </w:r>
      <w:proofErr w:type="gramStart"/>
      <w:r>
        <w:t>66 Pa.</w:t>
      </w:r>
      <w:r w:rsidRPr="00C81B96">
        <w:t>C.S.</w:t>
      </w:r>
      <w:proofErr w:type="gramEnd"/>
      <w:r w:rsidRPr="00C81B96">
        <w:t xml:space="preserve"> §</w:t>
      </w:r>
      <w:r>
        <w:t xml:space="preserve"> </w:t>
      </w:r>
      <w:r w:rsidRPr="00C81B96">
        <w:t>332(a).</w:t>
      </w:r>
    </w:p>
    <w:p w:rsidR="000B5D47" w:rsidRPr="00C81B96" w:rsidRDefault="000B5D47" w:rsidP="000B5D47">
      <w:pPr>
        <w:pStyle w:val="FootnoteText"/>
        <w:spacing w:after="0"/>
      </w:pPr>
    </w:p>
  </w:footnote>
  <w:footnote w:id="3">
    <w:p w:rsidR="000B5D47" w:rsidRDefault="000B5D47" w:rsidP="000B5D47">
      <w:pPr>
        <w:pStyle w:val="FootnoteText"/>
        <w:spacing w:after="0"/>
      </w:pPr>
      <w:r w:rsidRPr="00C81B96">
        <w:rPr>
          <w:rStyle w:val="FootnoteReference"/>
        </w:rPr>
        <w:footnoteRef/>
      </w:r>
      <w:r w:rsidRPr="00C81B96">
        <w:t xml:space="preserve"> </w:t>
      </w:r>
      <w:r>
        <w:tab/>
      </w:r>
      <w:r w:rsidRPr="000637F9">
        <w:rPr>
          <w:i/>
        </w:rPr>
        <w:t>Se-Ling Hosiery, Inc. v. Margulies</w:t>
      </w:r>
      <w:r w:rsidRPr="00C81B96">
        <w:t xml:space="preserve">, 364 Pa. 45, 70 A.2d 854 (1950); </w:t>
      </w:r>
      <w:r w:rsidRPr="000637F9">
        <w:rPr>
          <w:i/>
        </w:rPr>
        <w:t>Feinstein v. Philadelphia Suburban Water Company</w:t>
      </w:r>
      <w:r w:rsidRPr="000213A4">
        <w:t>,</w:t>
      </w:r>
      <w:r>
        <w:t xml:space="preserve"> 50 Pa.</w:t>
      </w:r>
      <w:r w:rsidRPr="00C81B96">
        <w:t xml:space="preserve"> PUC 300 (1976).</w:t>
      </w:r>
    </w:p>
    <w:p w:rsidR="000B5D47" w:rsidRPr="00C81B96" w:rsidRDefault="000B5D47" w:rsidP="000B5D47">
      <w:pPr>
        <w:pStyle w:val="FootnoteText"/>
        <w:spacing w:after="0"/>
      </w:pPr>
    </w:p>
  </w:footnote>
  <w:footnote w:id="4">
    <w:p w:rsidR="00B52731" w:rsidRDefault="00B52731" w:rsidP="000C5583">
      <w:pPr>
        <w:pStyle w:val="FootnoteText"/>
        <w:spacing w:after="0"/>
      </w:pPr>
      <w:r w:rsidRPr="00A64B1F">
        <w:rPr>
          <w:rStyle w:val="FootnoteReference"/>
        </w:rPr>
        <w:footnoteRef/>
      </w:r>
      <w:r w:rsidRPr="00A64B1F">
        <w:t xml:space="preserve">  </w:t>
      </w:r>
      <w:r w:rsidRPr="00A64B1F">
        <w:tab/>
      </w:r>
      <w:proofErr w:type="gramStart"/>
      <w:r w:rsidRPr="00A64B1F">
        <w:t>66 Pa.C.S.</w:t>
      </w:r>
      <w:proofErr w:type="gramEnd"/>
      <w:r w:rsidRPr="00A64B1F">
        <w:t xml:space="preserve"> § 1501.</w:t>
      </w:r>
    </w:p>
    <w:p w:rsidR="000C5583" w:rsidRPr="00A64B1F" w:rsidRDefault="000C5583" w:rsidP="000C5583">
      <w:pPr>
        <w:pStyle w:val="FootnoteText"/>
        <w:spacing w:after="0"/>
      </w:pPr>
    </w:p>
  </w:footnote>
  <w:footnote w:id="5">
    <w:p w:rsidR="00B52731" w:rsidRDefault="00B52731" w:rsidP="000C5583">
      <w:pPr>
        <w:pStyle w:val="FootnoteText"/>
        <w:spacing w:after="0"/>
      </w:pPr>
      <w:r w:rsidRPr="00A64B1F">
        <w:rPr>
          <w:rStyle w:val="FootnoteReference"/>
        </w:rPr>
        <w:footnoteRef/>
      </w:r>
      <w:r w:rsidRPr="00A64B1F">
        <w:t xml:space="preserve">  </w:t>
      </w:r>
      <w:r w:rsidRPr="00A64B1F">
        <w:tab/>
      </w:r>
      <w:proofErr w:type="gramStart"/>
      <w:r w:rsidRPr="00931E61">
        <w:rPr>
          <w:i/>
        </w:rPr>
        <w:t>West Penn Power Co. v. Pa. Pub</w:t>
      </w:r>
      <w:r>
        <w:rPr>
          <w:i/>
        </w:rPr>
        <w:t>.</w:t>
      </w:r>
      <w:proofErr w:type="gramEnd"/>
      <w:r w:rsidRPr="00931E61">
        <w:rPr>
          <w:i/>
        </w:rPr>
        <w:t xml:space="preserve"> </w:t>
      </w:r>
      <w:proofErr w:type="gramStart"/>
      <w:r w:rsidRPr="00931E61">
        <w:rPr>
          <w:i/>
        </w:rPr>
        <w:t>Util. Comm’n</w:t>
      </w:r>
      <w:r w:rsidRPr="00A64B1F">
        <w:t>, 478 A.2d 947, 949 (Pa.Cmwlth. 1984).</w:t>
      </w:r>
      <w:proofErr w:type="gramEnd"/>
    </w:p>
    <w:p w:rsidR="00B52731" w:rsidRPr="00A64B1F" w:rsidRDefault="00B52731" w:rsidP="000C5583">
      <w:pPr>
        <w:pStyle w:val="FootnoteText"/>
        <w:spacing w:after="0"/>
        <w:ind w:left="720"/>
      </w:pPr>
    </w:p>
  </w:footnote>
  <w:footnote w:id="6">
    <w:p w:rsidR="00B52731" w:rsidRDefault="00B52731" w:rsidP="000C5583">
      <w:pPr>
        <w:pStyle w:val="FootnoteText"/>
        <w:spacing w:after="0"/>
      </w:pPr>
      <w:r w:rsidRPr="00A64B1F">
        <w:rPr>
          <w:rStyle w:val="FootnoteReference"/>
        </w:rPr>
        <w:footnoteRef/>
      </w:r>
      <w:r w:rsidRPr="00A64B1F">
        <w:t xml:space="preserve">  </w:t>
      </w:r>
      <w:r w:rsidRPr="00A64B1F">
        <w:tab/>
      </w:r>
      <w:proofErr w:type="gramStart"/>
      <w:r w:rsidRPr="00A64B1F">
        <w:rPr>
          <w:i/>
        </w:rPr>
        <w:t>Re Metropolitan Edison Company</w:t>
      </w:r>
      <w:r w:rsidRPr="00A64B1F">
        <w:t>, 80 Pa. PUC 663, 672 (1993).</w:t>
      </w:r>
      <w:proofErr w:type="gramEnd"/>
    </w:p>
    <w:p w:rsidR="000C5583" w:rsidRPr="00A64B1F" w:rsidRDefault="000C5583" w:rsidP="000C5583">
      <w:pPr>
        <w:pStyle w:val="FootnoteText"/>
        <w:spacing w:after="0"/>
      </w:pPr>
    </w:p>
  </w:footnote>
  <w:footnote w:id="7">
    <w:p w:rsidR="00B52731" w:rsidRDefault="00B52731" w:rsidP="000C5583">
      <w:pPr>
        <w:pStyle w:val="FootnoteText"/>
        <w:spacing w:after="0"/>
      </w:pPr>
      <w:r w:rsidRPr="00A64B1F">
        <w:rPr>
          <w:rStyle w:val="FootnoteReference"/>
        </w:rPr>
        <w:footnoteRef/>
      </w:r>
      <w:r w:rsidRPr="00A64B1F">
        <w:t xml:space="preserve"> </w:t>
      </w:r>
      <w:r w:rsidRPr="00A64B1F">
        <w:tab/>
      </w:r>
      <w:proofErr w:type="gramStart"/>
      <w:r w:rsidRPr="00A64B1F">
        <w:rPr>
          <w:i/>
        </w:rPr>
        <w:t>Scherich v. Verizon Pennsylvania Inc.</w:t>
      </w:r>
      <w:r w:rsidRPr="00A64B1F">
        <w:t>, PUC Docket Nos.</w:t>
      </w:r>
      <w:proofErr w:type="gramEnd"/>
      <w:r w:rsidRPr="00A64B1F">
        <w:t xml:space="preserve"> C-2008-2061244, C-2008</w:t>
      </w:r>
      <w:r>
        <w:t>-</w:t>
      </w:r>
      <w:r w:rsidRPr="00A64B1F">
        <w:t>2068818 (Final Order January 28, 2010).</w:t>
      </w:r>
    </w:p>
    <w:p w:rsidR="000C5583" w:rsidRPr="00A64B1F" w:rsidRDefault="000C5583" w:rsidP="000C5583">
      <w:pPr>
        <w:pStyle w:val="FootnoteText"/>
        <w:spacing w:after="0"/>
      </w:pPr>
    </w:p>
  </w:footnote>
  <w:footnote w:id="8">
    <w:p w:rsidR="00B52731" w:rsidRPr="00A64B1F" w:rsidRDefault="00B52731" w:rsidP="000C5583">
      <w:pPr>
        <w:pStyle w:val="FootnoteText"/>
        <w:spacing w:after="0"/>
      </w:pPr>
      <w:r w:rsidRPr="00A64B1F">
        <w:rPr>
          <w:rStyle w:val="FootnoteReference"/>
        </w:rPr>
        <w:footnoteRef/>
      </w:r>
      <w:r w:rsidRPr="00A64B1F">
        <w:t xml:space="preserve">  </w:t>
      </w:r>
      <w:r w:rsidRPr="00A64B1F">
        <w:tab/>
      </w:r>
      <w:r w:rsidRPr="004A1C94">
        <w:rPr>
          <w:i/>
        </w:rPr>
        <w:t>Id</w:t>
      </w:r>
      <w:r w:rsidRPr="00A64B1F">
        <w:t>.</w:t>
      </w:r>
    </w:p>
  </w:footnote>
  <w:footnote w:id="9">
    <w:p w:rsidR="00C96145" w:rsidRDefault="00C96145" w:rsidP="00F401D3">
      <w:pPr>
        <w:pStyle w:val="FootnoteText"/>
        <w:spacing w:after="0"/>
      </w:pPr>
      <w:r>
        <w:rPr>
          <w:rStyle w:val="FootnoteReference"/>
        </w:rPr>
        <w:footnoteRef/>
      </w:r>
      <w:r>
        <w:t xml:space="preserve">  </w:t>
      </w:r>
      <w:r>
        <w:tab/>
      </w:r>
      <w:r w:rsidRPr="008B0DB0">
        <w:rPr>
          <w:i/>
        </w:rPr>
        <w:t>See</w:t>
      </w:r>
      <w:r>
        <w:t xml:space="preserve"> </w:t>
      </w:r>
      <w:r>
        <w:rPr>
          <w:i/>
        </w:rPr>
        <w:t>Application of PPL Electric Utilities Corporation,</w:t>
      </w:r>
      <w:r>
        <w:t xml:space="preserve"> Docket A-2009-2082652 (Recommended Decision at p. 217, </w:t>
      </w:r>
      <w:r>
        <w:rPr>
          <w:i/>
        </w:rPr>
        <w:t>adopted as modified</w:t>
      </w:r>
      <w:r>
        <w:t>, Opinion and Order entered February 12, 2010).</w:t>
      </w:r>
    </w:p>
    <w:p w:rsidR="00F401D3" w:rsidRPr="00C96145" w:rsidRDefault="00F401D3" w:rsidP="00F401D3">
      <w:pPr>
        <w:pStyle w:val="FootnoteText"/>
        <w:spacing w:after="0"/>
      </w:pPr>
    </w:p>
  </w:footnote>
  <w:footnote w:id="10">
    <w:p w:rsidR="00741DF9" w:rsidRPr="00741DF9" w:rsidRDefault="00741DF9" w:rsidP="00F401D3">
      <w:pPr>
        <w:pStyle w:val="FootnoteText"/>
        <w:spacing w:after="0"/>
      </w:pPr>
      <w:r>
        <w:rPr>
          <w:rStyle w:val="FootnoteReference"/>
        </w:rPr>
        <w:footnoteRef/>
      </w:r>
      <w:r>
        <w:t xml:space="preserve">  </w:t>
      </w:r>
      <w:r>
        <w:tab/>
      </w:r>
      <w:r>
        <w:rPr>
          <w:i/>
        </w:rPr>
        <w:t>See Nixon v. West Penn Power Company</w:t>
      </w:r>
      <w:r>
        <w:t>, Docket No. C-2011-2228810 (Final Order entered September 30,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2F608D0"/>
    <w:lvl w:ilvl="0">
      <w:start w:val="1"/>
      <w:numFmt w:val="decimal"/>
      <w:lvlText w:val="%1."/>
      <w:lvlJc w:val="left"/>
      <w:pPr>
        <w:tabs>
          <w:tab w:val="num" w:pos="1800"/>
        </w:tabs>
        <w:ind w:left="1800" w:hanging="360"/>
      </w:pPr>
    </w:lvl>
  </w:abstractNum>
  <w:abstractNum w:abstractNumId="1">
    <w:nsid w:val="FFFFFF7D"/>
    <w:multiLevelType w:val="singleLevel"/>
    <w:tmpl w:val="58A65E74"/>
    <w:lvl w:ilvl="0">
      <w:start w:val="1"/>
      <w:numFmt w:val="decimal"/>
      <w:lvlText w:val="%1."/>
      <w:lvlJc w:val="left"/>
      <w:pPr>
        <w:tabs>
          <w:tab w:val="num" w:pos="1440"/>
        </w:tabs>
        <w:ind w:left="1440" w:hanging="360"/>
      </w:pPr>
    </w:lvl>
  </w:abstractNum>
  <w:abstractNum w:abstractNumId="2">
    <w:nsid w:val="FFFFFF7E"/>
    <w:multiLevelType w:val="singleLevel"/>
    <w:tmpl w:val="37F2C4D4"/>
    <w:lvl w:ilvl="0">
      <w:start w:val="1"/>
      <w:numFmt w:val="decimal"/>
      <w:lvlText w:val="%1."/>
      <w:lvlJc w:val="left"/>
      <w:pPr>
        <w:tabs>
          <w:tab w:val="num" w:pos="1080"/>
        </w:tabs>
        <w:ind w:left="1080" w:hanging="360"/>
      </w:pPr>
    </w:lvl>
  </w:abstractNum>
  <w:abstractNum w:abstractNumId="3">
    <w:nsid w:val="FFFFFF7F"/>
    <w:multiLevelType w:val="singleLevel"/>
    <w:tmpl w:val="AD6A6D60"/>
    <w:lvl w:ilvl="0">
      <w:start w:val="1"/>
      <w:numFmt w:val="decimal"/>
      <w:lvlText w:val="%1."/>
      <w:lvlJc w:val="left"/>
      <w:pPr>
        <w:tabs>
          <w:tab w:val="num" w:pos="720"/>
        </w:tabs>
        <w:ind w:left="720" w:hanging="360"/>
      </w:pPr>
    </w:lvl>
  </w:abstractNum>
  <w:abstractNum w:abstractNumId="4">
    <w:nsid w:val="FFFFFF80"/>
    <w:multiLevelType w:val="singleLevel"/>
    <w:tmpl w:val="E7D20AD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5508CE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4E0E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328094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1ADD76"/>
    <w:lvl w:ilvl="0">
      <w:start w:val="1"/>
      <w:numFmt w:val="decimal"/>
      <w:lvlText w:val="%1."/>
      <w:lvlJc w:val="left"/>
      <w:pPr>
        <w:tabs>
          <w:tab w:val="num" w:pos="360"/>
        </w:tabs>
        <w:ind w:left="360" w:hanging="360"/>
      </w:pPr>
    </w:lvl>
  </w:abstractNum>
  <w:abstractNum w:abstractNumId="9">
    <w:nsid w:val="FFFFFF89"/>
    <w:multiLevelType w:val="singleLevel"/>
    <w:tmpl w:val="AA527C3E"/>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9AC1649"/>
    <w:multiLevelType w:val="hybridMultilevel"/>
    <w:tmpl w:val="D18206E8"/>
    <w:lvl w:ilvl="0" w:tplc="61F8BB6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1"/>
  </w:num>
  <w:num w:numId="3">
    <w:abstractNumId w:val="26"/>
  </w:num>
  <w:num w:numId="4">
    <w:abstractNumId w:val="30"/>
  </w:num>
  <w:num w:numId="5">
    <w:abstractNumId w:val="16"/>
  </w:num>
  <w:num w:numId="6">
    <w:abstractNumId w:val="14"/>
  </w:num>
  <w:num w:numId="7">
    <w:abstractNumId w:val="13"/>
  </w:num>
  <w:num w:numId="8">
    <w:abstractNumId w:val="29"/>
  </w:num>
  <w:num w:numId="9">
    <w:abstractNumId w:val="11"/>
  </w:num>
  <w:num w:numId="10">
    <w:abstractNumId w:val="23"/>
  </w:num>
  <w:num w:numId="11">
    <w:abstractNumId w:val="25"/>
  </w:num>
  <w:num w:numId="12">
    <w:abstractNumId w:val="19"/>
  </w:num>
  <w:num w:numId="13">
    <w:abstractNumId w:val="24"/>
  </w:num>
  <w:num w:numId="14">
    <w:abstractNumId w:val="27"/>
  </w:num>
  <w:num w:numId="15">
    <w:abstractNumId w:val="10"/>
  </w:num>
  <w:num w:numId="16">
    <w:abstractNumId w:val="22"/>
  </w:num>
  <w:num w:numId="17">
    <w:abstractNumId w:val="22"/>
  </w:num>
  <w:num w:numId="18">
    <w:abstractNumId w:val="15"/>
  </w:num>
  <w:num w:numId="19">
    <w:abstractNumId w:val="20"/>
  </w:num>
  <w:num w:numId="20">
    <w:abstractNumId w:val="32"/>
  </w:num>
  <w:num w:numId="21">
    <w:abstractNumId w:val="17"/>
  </w:num>
  <w:num w:numId="22">
    <w:abstractNumId w:val="12"/>
  </w:num>
  <w:num w:numId="23">
    <w:abstractNumId w:val="18"/>
  </w:num>
  <w:num w:numId="24">
    <w:abstractNumId w:val="31"/>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54B"/>
    <w:rsid w:val="00004C37"/>
    <w:rsid w:val="00004E5D"/>
    <w:rsid w:val="00052436"/>
    <w:rsid w:val="00083B05"/>
    <w:rsid w:val="00092872"/>
    <w:rsid w:val="000B5D47"/>
    <w:rsid w:val="000C5583"/>
    <w:rsid w:val="000E3EDE"/>
    <w:rsid w:val="0015499D"/>
    <w:rsid w:val="00187402"/>
    <w:rsid w:val="00190169"/>
    <w:rsid w:val="001A21B6"/>
    <w:rsid w:val="001B1CBA"/>
    <w:rsid w:val="001D2AF7"/>
    <w:rsid w:val="00213167"/>
    <w:rsid w:val="00222A62"/>
    <w:rsid w:val="00236D4C"/>
    <w:rsid w:val="002512F9"/>
    <w:rsid w:val="00252A5F"/>
    <w:rsid w:val="00262902"/>
    <w:rsid w:val="002B4133"/>
    <w:rsid w:val="002D3D07"/>
    <w:rsid w:val="002D4065"/>
    <w:rsid w:val="00307360"/>
    <w:rsid w:val="0031003E"/>
    <w:rsid w:val="003145FA"/>
    <w:rsid w:val="00331CB6"/>
    <w:rsid w:val="00367A41"/>
    <w:rsid w:val="00392DCD"/>
    <w:rsid w:val="00393C92"/>
    <w:rsid w:val="003A66CC"/>
    <w:rsid w:val="003F26F0"/>
    <w:rsid w:val="004038B6"/>
    <w:rsid w:val="00411744"/>
    <w:rsid w:val="00413CE7"/>
    <w:rsid w:val="004731A6"/>
    <w:rsid w:val="004A3C88"/>
    <w:rsid w:val="004D523C"/>
    <w:rsid w:val="00502665"/>
    <w:rsid w:val="0051511C"/>
    <w:rsid w:val="0052121F"/>
    <w:rsid w:val="005A1C17"/>
    <w:rsid w:val="005A2ABA"/>
    <w:rsid w:val="005B319C"/>
    <w:rsid w:val="005E7B69"/>
    <w:rsid w:val="0061371D"/>
    <w:rsid w:val="0061775F"/>
    <w:rsid w:val="0064619F"/>
    <w:rsid w:val="0065000C"/>
    <w:rsid w:val="006631BD"/>
    <w:rsid w:val="006662FC"/>
    <w:rsid w:val="00683B67"/>
    <w:rsid w:val="006874F6"/>
    <w:rsid w:val="00696C0D"/>
    <w:rsid w:val="006D711E"/>
    <w:rsid w:val="006E2E8B"/>
    <w:rsid w:val="006F0329"/>
    <w:rsid w:val="00700807"/>
    <w:rsid w:val="00712E58"/>
    <w:rsid w:val="0072077B"/>
    <w:rsid w:val="00730DA7"/>
    <w:rsid w:val="00741DF9"/>
    <w:rsid w:val="007745B7"/>
    <w:rsid w:val="00792796"/>
    <w:rsid w:val="007961C9"/>
    <w:rsid w:val="007A4069"/>
    <w:rsid w:val="007B09D0"/>
    <w:rsid w:val="007C392E"/>
    <w:rsid w:val="007E6779"/>
    <w:rsid w:val="007E7562"/>
    <w:rsid w:val="007F29AB"/>
    <w:rsid w:val="008117B3"/>
    <w:rsid w:val="00820B4C"/>
    <w:rsid w:val="008451B7"/>
    <w:rsid w:val="008529D2"/>
    <w:rsid w:val="00854679"/>
    <w:rsid w:val="00885BD5"/>
    <w:rsid w:val="00886523"/>
    <w:rsid w:val="008B0DB0"/>
    <w:rsid w:val="008C38B4"/>
    <w:rsid w:val="008E43BE"/>
    <w:rsid w:val="00932C87"/>
    <w:rsid w:val="009431A0"/>
    <w:rsid w:val="009F61C5"/>
    <w:rsid w:val="00A32958"/>
    <w:rsid w:val="00A47096"/>
    <w:rsid w:val="00A55E61"/>
    <w:rsid w:val="00A61443"/>
    <w:rsid w:val="00A75250"/>
    <w:rsid w:val="00A95DE3"/>
    <w:rsid w:val="00A9631A"/>
    <w:rsid w:val="00AA2EC5"/>
    <w:rsid w:val="00AB4C73"/>
    <w:rsid w:val="00AC754B"/>
    <w:rsid w:val="00AD6CBA"/>
    <w:rsid w:val="00AE21F1"/>
    <w:rsid w:val="00AE6F47"/>
    <w:rsid w:val="00AF197C"/>
    <w:rsid w:val="00B04266"/>
    <w:rsid w:val="00B2733D"/>
    <w:rsid w:val="00B52543"/>
    <w:rsid w:val="00B52731"/>
    <w:rsid w:val="00B60687"/>
    <w:rsid w:val="00B91E47"/>
    <w:rsid w:val="00BB5CD1"/>
    <w:rsid w:val="00BC6B21"/>
    <w:rsid w:val="00BC7B0C"/>
    <w:rsid w:val="00C1085D"/>
    <w:rsid w:val="00C14E90"/>
    <w:rsid w:val="00C16DD0"/>
    <w:rsid w:val="00C20900"/>
    <w:rsid w:val="00C30729"/>
    <w:rsid w:val="00C531C5"/>
    <w:rsid w:val="00C551F1"/>
    <w:rsid w:val="00C6032F"/>
    <w:rsid w:val="00C87E57"/>
    <w:rsid w:val="00C917D1"/>
    <w:rsid w:val="00C96145"/>
    <w:rsid w:val="00D8093F"/>
    <w:rsid w:val="00D83A32"/>
    <w:rsid w:val="00DD5C37"/>
    <w:rsid w:val="00E23EB7"/>
    <w:rsid w:val="00E4239A"/>
    <w:rsid w:val="00E579A5"/>
    <w:rsid w:val="00E6422F"/>
    <w:rsid w:val="00E76A7D"/>
    <w:rsid w:val="00E8603B"/>
    <w:rsid w:val="00EC1CBA"/>
    <w:rsid w:val="00EE7801"/>
    <w:rsid w:val="00EF15B6"/>
    <w:rsid w:val="00EF5B86"/>
    <w:rsid w:val="00F0199C"/>
    <w:rsid w:val="00F16554"/>
    <w:rsid w:val="00F401D3"/>
    <w:rsid w:val="00F54197"/>
    <w:rsid w:val="00F544E1"/>
    <w:rsid w:val="00FD5C10"/>
    <w:rsid w:val="00FD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C5583"/>
    <w:pPr>
      <w:numPr>
        <w:numId w:val="24"/>
      </w:numPr>
      <w:spacing w:before="0" w:after="0"/>
      <w:ind w:left="0" w:firstLine="1350"/>
    </w:pPr>
  </w:style>
  <w:style w:type="paragraph" w:styleId="FootnoteText">
    <w:name w:val="footnote text"/>
    <w:aliases w:val="Car"/>
    <w:link w:val="FootnoteTextChar"/>
    <w:autoRedefine/>
    <w:uiPriority w:val="99"/>
    <w:unhideWhenUsed/>
    <w:qFormat/>
    <w:rsid w:val="00885BD5"/>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885BD5"/>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F0199C"/>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F0199C"/>
    <w:rPr>
      <w:rFonts w:ascii="Times New Roman" w:hAnsi="Times New Roman" w:cs="Times New Roman"/>
      <w:sz w:val="24"/>
      <w:szCs w:val="20"/>
    </w:rPr>
  </w:style>
  <w:style w:type="paragraph" w:styleId="Footer">
    <w:name w:val="footer"/>
    <w:basedOn w:val="Normal"/>
    <w:link w:val="FooterChar"/>
    <w:uiPriority w:val="99"/>
    <w:unhideWhenUsed/>
    <w:rsid w:val="00F0199C"/>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F0199C"/>
    <w:rPr>
      <w:rFonts w:ascii="Times New Roman" w:hAnsi="Times New Roman" w:cs="Times New Roman"/>
      <w:sz w:val="24"/>
      <w:szCs w:val="20"/>
    </w:rPr>
  </w:style>
  <w:style w:type="character" w:styleId="FootnoteReference">
    <w:name w:val="footnote reference"/>
    <w:basedOn w:val="DefaultParagraphFont"/>
    <w:uiPriority w:val="99"/>
    <w:unhideWhenUsed/>
    <w:rsid w:val="000B5D47"/>
    <w:rPr>
      <w:rFonts w:ascii="Times New Roman" w:hAnsi="Times New Roman"/>
      <w:vertAlign w:val="superscript"/>
    </w:rPr>
  </w:style>
  <w:style w:type="paragraph" w:styleId="BalloonText">
    <w:name w:val="Balloon Text"/>
    <w:basedOn w:val="Normal"/>
    <w:link w:val="BalloonTextChar"/>
    <w:uiPriority w:val="99"/>
    <w:semiHidden/>
    <w:unhideWhenUsed/>
    <w:rsid w:val="004731A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1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C5583"/>
    <w:pPr>
      <w:numPr>
        <w:numId w:val="24"/>
      </w:numPr>
      <w:spacing w:before="0" w:after="0"/>
      <w:ind w:left="0" w:firstLine="1350"/>
    </w:pPr>
  </w:style>
  <w:style w:type="paragraph" w:styleId="FootnoteText">
    <w:name w:val="footnote text"/>
    <w:aliases w:val="Car"/>
    <w:link w:val="FootnoteTextChar"/>
    <w:autoRedefine/>
    <w:uiPriority w:val="99"/>
    <w:unhideWhenUsed/>
    <w:qFormat/>
    <w:rsid w:val="00885BD5"/>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885BD5"/>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F0199C"/>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F0199C"/>
    <w:rPr>
      <w:rFonts w:ascii="Times New Roman" w:hAnsi="Times New Roman" w:cs="Times New Roman"/>
      <w:sz w:val="24"/>
      <w:szCs w:val="20"/>
    </w:rPr>
  </w:style>
  <w:style w:type="paragraph" w:styleId="Footer">
    <w:name w:val="footer"/>
    <w:basedOn w:val="Normal"/>
    <w:link w:val="FooterChar"/>
    <w:uiPriority w:val="99"/>
    <w:unhideWhenUsed/>
    <w:rsid w:val="00F0199C"/>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F0199C"/>
    <w:rPr>
      <w:rFonts w:ascii="Times New Roman" w:hAnsi="Times New Roman" w:cs="Times New Roman"/>
      <w:sz w:val="24"/>
      <w:szCs w:val="20"/>
    </w:rPr>
  </w:style>
  <w:style w:type="character" w:styleId="FootnoteReference">
    <w:name w:val="footnote reference"/>
    <w:basedOn w:val="DefaultParagraphFont"/>
    <w:uiPriority w:val="99"/>
    <w:unhideWhenUsed/>
    <w:rsid w:val="000B5D47"/>
    <w:rPr>
      <w:rFonts w:ascii="Times New Roman" w:hAnsi="Times New Roman"/>
      <w:vertAlign w:val="superscript"/>
    </w:rPr>
  </w:style>
  <w:style w:type="paragraph" w:styleId="BalloonText">
    <w:name w:val="Balloon Text"/>
    <w:basedOn w:val="Normal"/>
    <w:link w:val="BalloonTextChar"/>
    <w:uiPriority w:val="99"/>
    <w:semiHidden/>
    <w:unhideWhenUsed/>
    <w:rsid w:val="004731A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1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CA6B3-86B9-480F-B392-48EA3389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8</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20</cp:revision>
  <cp:lastPrinted>2016-06-02T19:05:00Z</cp:lastPrinted>
  <dcterms:created xsi:type="dcterms:W3CDTF">2016-06-01T21:10:00Z</dcterms:created>
  <dcterms:modified xsi:type="dcterms:W3CDTF">2016-06-02T19:10:00Z</dcterms:modified>
</cp:coreProperties>
</file>