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CA340A" w:rsidP="004D1313">
            <w:pPr>
              <w:widowControl/>
              <w:jc w:val="right"/>
              <w:rPr>
                <w:sz w:val="26"/>
                <w:szCs w:val="26"/>
              </w:rPr>
            </w:pPr>
            <w:r>
              <w:rPr>
                <w:sz w:val="26"/>
                <w:szCs w:val="26"/>
              </w:rPr>
              <w:t xml:space="preserve">  </w:t>
            </w:r>
            <w:r w:rsidR="00786D62">
              <w:rPr>
                <w:sz w:val="26"/>
                <w:szCs w:val="26"/>
              </w:rPr>
              <w:t xml:space="preserve">  </w:t>
            </w:r>
            <w:r w:rsidR="00ED49F6">
              <w:rPr>
                <w:sz w:val="26"/>
                <w:szCs w:val="26"/>
              </w:rPr>
              <w:t xml:space="preserve"> </w:t>
            </w:r>
            <w:r w:rsidR="00DD5D3F" w:rsidRPr="00F1625F">
              <w:rPr>
                <w:sz w:val="26"/>
                <w:szCs w:val="26"/>
              </w:rPr>
              <w:t xml:space="preserve">Public Meeting held </w:t>
            </w:r>
            <w:r w:rsidR="00ED49F6">
              <w:rPr>
                <w:sz w:val="26"/>
                <w:szCs w:val="26"/>
              </w:rPr>
              <w:t>June 30</w:t>
            </w:r>
            <w:r w:rsidR="00746683">
              <w:rPr>
                <w:sz w:val="26"/>
                <w:szCs w:val="26"/>
              </w:rPr>
              <w:t>, 2016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0E7DE5" w:rsidRDefault="000E7DE5" w:rsidP="004D1313">
            <w:pPr>
              <w:widowControl/>
              <w:tabs>
                <w:tab w:val="left" w:pos="705"/>
              </w:tabs>
              <w:ind w:firstLine="720"/>
              <w:rPr>
                <w:sz w:val="26"/>
                <w:szCs w:val="26"/>
              </w:rPr>
            </w:pPr>
            <w:r>
              <w:rPr>
                <w:sz w:val="26"/>
                <w:szCs w:val="26"/>
              </w:rPr>
              <w:t>Andrew G. Place, Vice Chairman</w:t>
            </w:r>
          </w:p>
          <w:p w:rsidR="00F514FB" w:rsidRDefault="00F514FB" w:rsidP="004D1313">
            <w:pPr>
              <w:widowControl/>
              <w:tabs>
                <w:tab w:val="left" w:pos="705"/>
              </w:tabs>
              <w:ind w:firstLine="720"/>
              <w:rPr>
                <w:sz w:val="26"/>
                <w:szCs w:val="26"/>
              </w:rPr>
            </w:pPr>
            <w:r w:rsidRPr="00F1625F">
              <w:rPr>
                <w:sz w:val="26"/>
                <w:szCs w:val="26"/>
              </w:rPr>
              <w:t>John F. Coleman, Jr.</w:t>
            </w:r>
          </w:p>
          <w:p w:rsidR="00390584" w:rsidRPr="00390584" w:rsidRDefault="00390584" w:rsidP="00390584">
            <w:pPr>
              <w:widowControl/>
              <w:tabs>
                <w:tab w:val="left" w:pos="705"/>
              </w:tabs>
              <w:ind w:firstLine="720"/>
              <w:rPr>
                <w:sz w:val="26"/>
                <w:szCs w:val="26"/>
              </w:rPr>
            </w:pPr>
            <w:r w:rsidRPr="00390584">
              <w:rPr>
                <w:sz w:val="26"/>
                <w:szCs w:val="26"/>
              </w:rPr>
              <w:t>Robert F. Powelson</w:t>
            </w:r>
          </w:p>
          <w:p w:rsidR="00F514FB" w:rsidRDefault="00CA340A" w:rsidP="000E7DE5">
            <w:pPr>
              <w:widowControl/>
              <w:rPr>
                <w:sz w:val="26"/>
                <w:szCs w:val="26"/>
              </w:rPr>
            </w:pPr>
            <w:r>
              <w:rPr>
                <w:sz w:val="26"/>
                <w:szCs w:val="26"/>
              </w:rPr>
              <w:t xml:space="preserve">           </w:t>
            </w:r>
            <w:r w:rsidR="009354AB">
              <w:rPr>
                <w:sz w:val="26"/>
                <w:szCs w:val="26"/>
              </w:rPr>
              <w:t>David W. Sweet</w:t>
            </w:r>
          </w:p>
          <w:p w:rsidR="000E7DE5" w:rsidRPr="00F1625F" w:rsidRDefault="000E7DE5" w:rsidP="000E7DE5">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ED49F6" w:rsidP="004D1313">
            <w:pPr>
              <w:widowControl/>
              <w:rPr>
                <w:sz w:val="26"/>
                <w:szCs w:val="26"/>
              </w:rPr>
            </w:pPr>
            <w:r>
              <w:rPr>
                <w:sz w:val="26"/>
                <w:szCs w:val="26"/>
              </w:rPr>
              <w:t>Nancy and Jim Colbert</w:t>
            </w:r>
          </w:p>
          <w:p w:rsidR="00F514FB" w:rsidRPr="00F1625F" w:rsidRDefault="00F514FB" w:rsidP="004D1313">
            <w:pPr>
              <w:widowControl/>
              <w:rPr>
                <w:sz w:val="26"/>
                <w:szCs w:val="26"/>
              </w:rPr>
            </w:pPr>
          </w:p>
        </w:tc>
        <w:tc>
          <w:tcPr>
            <w:tcW w:w="4608" w:type="dxa"/>
          </w:tcPr>
          <w:p w:rsidR="00F514FB" w:rsidRPr="00F1625F" w:rsidRDefault="00CA340A" w:rsidP="00ED49F6">
            <w:pPr>
              <w:widowControl/>
              <w:jc w:val="right"/>
              <w:rPr>
                <w:sz w:val="26"/>
                <w:szCs w:val="26"/>
              </w:rPr>
            </w:pPr>
            <w:r>
              <w:rPr>
                <w:sz w:val="26"/>
                <w:szCs w:val="26"/>
              </w:rPr>
              <w:t xml:space="preserve">  </w:t>
            </w:r>
            <w:r w:rsidR="00CB01C1">
              <w:rPr>
                <w:sz w:val="26"/>
                <w:szCs w:val="26"/>
              </w:rPr>
              <w:t xml:space="preserve"> </w:t>
            </w:r>
            <w:r w:rsidR="000D6299">
              <w:rPr>
                <w:sz w:val="26"/>
                <w:szCs w:val="26"/>
              </w:rPr>
              <w:t xml:space="preserve"> </w:t>
            </w:r>
            <w:r w:rsidR="00786D62">
              <w:rPr>
                <w:sz w:val="26"/>
                <w:szCs w:val="26"/>
              </w:rPr>
              <w:t xml:space="preserve">  </w:t>
            </w:r>
            <w:r w:rsidR="00ED49F6">
              <w:rPr>
                <w:sz w:val="26"/>
                <w:szCs w:val="26"/>
              </w:rPr>
              <w:t xml:space="preserve"> C</w:t>
            </w:r>
            <w:r w:rsidR="00F1625F" w:rsidRPr="00F1625F">
              <w:rPr>
                <w:sz w:val="26"/>
                <w:szCs w:val="26"/>
              </w:rPr>
              <w:t>-201</w:t>
            </w:r>
            <w:r>
              <w:rPr>
                <w:sz w:val="26"/>
                <w:szCs w:val="26"/>
              </w:rPr>
              <w:t>5</w:t>
            </w:r>
            <w:r w:rsidR="00F1625F" w:rsidRPr="00F1625F">
              <w:rPr>
                <w:sz w:val="26"/>
                <w:szCs w:val="26"/>
              </w:rPr>
              <w:t>-</w:t>
            </w:r>
            <w:r w:rsidR="00ED49F6">
              <w:rPr>
                <w:sz w:val="26"/>
                <w:szCs w:val="26"/>
              </w:rPr>
              <w:t>2515607</w:t>
            </w:r>
          </w:p>
        </w:tc>
      </w:tr>
      <w:tr w:rsidR="00F514FB" w:rsidRPr="00F1625F" w:rsidTr="00D353B7">
        <w:tc>
          <w:tcPr>
            <w:tcW w:w="487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F1625F" w:rsidP="004D1313">
            <w:pPr>
              <w:widowControl/>
              <w:rPr>
                <w:sz w:val="26"/>
                <w:szCs w:val="26"/>
              </w:rPr>
            </w:pPr>
            <w:r w:rsidRPr="00F1625F">
              <w:rPr>
                <w:sz w:val="26"/>
                <w:szCs w:val="26"/>
              </w:rPr>
              <w:t>PECO Energy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256DA" w:rsidRDefault="00DB44D9" w:rsidP="00D256DA">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98057F">
        <w:rPr>
          <w:sz w:val="26"/>
        </w:rPr>
        <w:t>Nancy and Jim Colbert</w:t>
      </w:r>
      <w:r w:rsidRPr="00DB44D9">
        <w:rPr>
          <w:sz w:val="26"/>
        </w:rPr>
        <w:t xml:space="preserve"> (Complainant</w:t>
      </w:r>
      <w:r w:rsidR="0098057F">
        <w:rPr>
          <w:sz w:val="26"/>
        </w:rPr>
        <w:t>s</w:t>
      </w:r>
      <w:r w:rsidRPr="00DB44D9">
        <w:rPr>
          <w:sz w:val="26"/>
        </w:rPr>
        <w:t xml:space="preserve">) on </w:t>
      </w:r>
      <w:r w:rsidR="0098057F">
        <w:rPr>
          <w:sz w:val="26"/>
        </w:rPr>
        <w:t>January 15</w:t>
      </w:r>
      <w:r w:rsidRPr="00DB44D9">
        <w:rPr>
          <w:sz w:val="26"/>
        </w:rPr>
        <w:t>,</w:t>
      </w:r>
      <w:r w:rsidR="0098057F">
        <w:rPr>
          <w:sz w:val="26"/>
        </w:rPr>
        <w:t xml:space="preserve"> 2016,</w:t>
      </w:r>
      <w:r w:rsidRPr="00DB44D9">
        <w:rPr>
          <w:sz w:val="26"/>
        </w:rPr>
        <w:t xml:space="preserve"> in response to the Initial Decision </w:t>
      </w:r>
      <w:r w:rsidR="000C466C">
        <w:rPr>
          <w:sz w:val="26"/>
        </w:rPr>
        <w:t xml:space="preserve">Sustaining Preliminary Objection and Dismissing Complaint </w:t>
      </w:r>
      <w:r w:rsidRPr="00DB44D9">
        <w:rPr>
          <w:sz w:val="26"/>
        </w:rPr>
        <w:t>(</w:t>
      </w:r>
      <w:r w:rsidR="00AD4E9C">
        <w:rPr>
          <w:sz w:val="26"/>
        </w:rPr>
        <w:t xml:space="preserve">Initial Decision or </w:t>
      </w:r>
      <w:r w:rsidRPr="00DB44D9">
        <w:rPr>
          <w:sz w:val="26"/>
        </w:rPr>
        <w:t>I.D.) of Adminis</w:t>
      </w:r>
      <w:r w:rsidR="0069670F" w:rsidRPr="0069670F">
        <w:rPr>
          <w:sz w:val="26"/>
        </w:rPr>
        <w:t xml:space="preserve">trative Law Judge (ALJ) </w:t>
      </w:r>
      <w:r w:rsidR="00786D62">
        <w:rPr>
          <w:sz w:val="26"/>
        </w:rPr>
        <w:t>David A. Salapa,</w:t>
      </w:r>
      <w:r w:rsidRPr="00DB44D9">
        <w:rPr>
          <w:sz w:val="26"/>
        </w:rPr>
        <w:t xml:space="preserve"> issued on </w:t>
      </w:r>
      <w:r w:rsidR="0098057F">
        <w:rPr>
          <w:sz w:val="26"/>
        </w:rPr>
        <w:t>January 14, 2016</w:t>
      </w:r>
      <w:r w:rsidRPr="00DB44D9">
        <w:rPr>
          <w:sz w:val="26"/>
        </w:rPr>
        <w:t xml:space="preserve">.  </w:t>
      </w:r>
      <w:r w:rsidR="00415961">
        <w:rPr>
          <w:sz w:val="26"/>
        </w:rPr>
        <w:t>PECO Energy Company (PECO</w:t>
      </w:r>
      <w:r w:rsidR="00EE58F7">
        <w:rPr>
          <w:sz w:val="26"/>
        </w:rPr>
        <w:t>, Respondent,</w:t>
      </w:r>
      <w:r w:rsidR="00415961">
        <w:rPr>
          <w:sz w:val="26"/>
        </w:rPr>
        <w:t xml:space="preserve"> or Company) filed </w:t>
      </w:r>
      <w:r w:rsidR="0069670F" w:rsidRPr="0069670F">
        <w:rPr>
          <w:sz w:val="26"/>
        </w:rPr>
        <w:t>Replies to</w:t>
      </w:r>
      <w:r w:rsidRPr="00DB44D9">
        <w:rPr>
          <w:sz w:val="26"/>
        </w:rPr>
        <w:t xml:space="preserve"> Exceptions</w:t>
      </w:r>
      <w:r w:rsidR="0069670F" w:rsidRPr="0069670F">
        <w:rPr>
          <w:sz w:val="26"/>
        </w:rPr>
        <w:t xml:space="preserve"> on </w:t>
      </w:r>
      <w:r w:rsidR="0098057F">
        <w:rPr>
          <w:sz w:val="26"/>
        </w:rPr>
        <w:t>February 19, 2016</w:t>
      </w:r>
      <w:r w:rsidR="0069670F" w:rsidRPr="0069670F">
        <w:rPr>
          <w:sz w:val="26"/>
        </w:rPr>
        <w:t>.  For the reasons stated below</w:t>
      </w:r>
      <w:r w:rsidRPr="00DB44D9">
        <w:rPr>
          <w:sz w:val="26"/>
        </w:rPr>
        <w:t xml:space="preserve">, we will </w:t>
      </w:r>
      <w:r w:rsidR="00D256DA">
        <w:rPr>
          <w:sz w:val="26"/>
        </w:rPr>
        <w:t>grant</w:t>
      </w:r>
      <w:r w:rsidR="0069670F" w:rsidRPr="0069670F">
        <w:rPr>
          <w:sz w:val="26"/>
        </w:rPr>
        <w:t xml:space="preserve"> the Complainants</w:t>
      </w:r>
      <w:r w:rsidR="00D256DA">
        <w:rPr>
          <w:sz w:val="26"/>
        </w:rPr>
        <w:t>’</w:t>
      </w:r>
      <w:r w:rsidR="0069670F" w:rsidRPr="0069670F">
        <w:rPr>
          <w:sz w:val="26"/>
        </w:rPr>
        <w:t xml:space="preserve"> Exceptions</w:t>
      </w:r>
      <w:r w:rsidR="00D256DA">
        <w:rPr>
          <w:sz w:val="26"/>
        </w:rPr>
        <w:t>, in part, and modify the ALJ’s Initial Decision, consistent with this Opinion and Order.</w:t>
      </w:r>
    </w:p>
    <w:p w:rsidR="00ED30CD" w:rsidRDefault="00ED30CD" w:rsidP="00D256DA">
      <w:pPr>
        <w:widowControl/>
        <w:tabs>
          <w:tab w:val="left" w:pos="-720"/>
        </w:tabs>
        <w:suppressAutoHyphens/>
        <w:spacing w:line="360" w:lineRule="auto"/>
        <w:rPr>
          <w:sz w:val="26"/>
        </w:rPr>
      </w:pPr>
    </w:p>
    <w:p w:rsidR="00D256DA" w:rsidRDefault="00D256DA" w:rsidP="00D256DA">
      <w:pPr>
        <w:widowControl/>
        <w:tabs>
          <w:tab w:val="left" w:pos="-720"/>
        </w:tabs>
        <w:suppressAutoHyphens/>
        <w:spacing w:line="360" w:lineRule="auto"/>
        <w:rPr>
          <w:sz w:val="26"/>
        </w:rPr>
      </w:pPr>
    </w:p>
    <w:p w:rsidR="00DB44D9" w:rsidRPr="00B144AB" w:rsidRDefault="00DB44D9" w:rsidP="00AE3283">
      <w:pPr>
        <w:widowControl/>
        <w:tabs>
          <w:tab w:val="left" w:pos="-720"/>
        </w:tabs>
        <w:suppressAutoHyphens/>
        <w:spacing w:line="360" w:lineRule="auto"/>
        <w:jc w:val="center"/>
        <w:rPr>
          <w:b/>
          <w:sz w:val="26"/>
        </w:rPr>
      </w:pPr>
      <w:r w:rsidRPr="00B144AB">
        <w:rPr>
          <w:b/>
          <w:sz w:val="26"/>
        </w:rPr>
        <w:t>History of the Proceeding</w:t>
      </w:r>
    </w:p>
    <w:p w:rsidR="00DB44D9" w:rsidRPr="00B144AB" w:rsidRDefault="00DB44D9" w:rsidP="00DB44D9">
      <w:pPr>
        <w:keepNext/>
        <w:widowControl/>
        <w:tabs>
          <w:tab w:val="left" w:pos="-720"/>
        </w:tabs>
        <w:suppressAutoHyphens/>
        <w:spacing w:line="360" w:lineRule="auto"/>
        <w:jc w:val="center"/>
        <w:rPr>
          <w:b/>
          <w:sz w:val="26"/>
        </w:rPr>
      </w:pPr>
    </w:p>
    <w:p w:rsidR="0098057F" w:rsidRPr="0098057F" w:rsidRDefault="0098057F" w:rsidP="0098057F">
      <w:pPr>
        <w:pStyle w:val="ParaTab1"/>
        <w:spacing w:line="360" w:lineRule="auto"/>
        <w:rPr>
          <w:rFonts w:ascii="Times New Roman" w:hAnsi="Times New Roman" w:cs="Times New Roman"/>
          <w:sz w:val="26"/>
        </w:rPr>
      </w:pPr>
      <w:r w:rsidRPr="0098057F">
        <w:rPr>
          <w:rFonts w:ascii="Times New Roman" w:hAnsi="Times New Roman" w:cs="Times New Roman"/>
          <w:sz w:val="26"/>
        </w:rPr>
        <w:t xml:space="preserve">On November 23, 2015, </w:t>
      </w:r>
      <w:r w:rsidR="00EE58F7">
        <w:rPr>
          <w:rFonts w:ascii="Times New Roman" w:hAnsi="Times New Roman" w:cs="Times New Roman"/>
          <w:sz w:val="26"/>
        </w:rPr>
        <w:t xml:space="preserve">the </w:t>
      </w:r>
      <w:r w:rsidRPr="0098057F">
        <w:rPr>
          <w:rFonts w:ascii="Times New Roman" w:hAnsi="Times New Roman" w:cs="Times New Roman"/>
          <w:sz w:val="26"/>
        </w:rPr>
        <w:t xml:space="preserve">Complainants filed a </w:t>
      </w:r>
      <w:r w:rsidR="00EE58F7">
        <w:rPr>
          <w:rFonts w:ascii="Times New Roman" w:hAnsi="Times New Roman" w:cs="Times New Roman"/>
          <w:sz w:val="26"/>
        </w:rPr>
        <w:t>Formal C</w:t>
      </w:r>
      <w:r w:rsidRPr="0098057F">
        <w:rPr>
          <w:rFonts w:ascii="Times New Roman" w:hAnsi="Times New Roman" w:cs="Times New Roman"/>
          <w:sz w:val="26"/>
        </w:rPr>
        <w:t>omplaint against PECO</w:t>
      </w:r>
      <w:r w:rsidR="00EE58F7">
        <w:rPr>
          <w:rFonts w:ascii="Times New Roman" w:hAnsi="Times New Roman" w:cs="Times New Roman"/>
          <w:sz w:val="26"/>
        </w:rPr>
        <w:t xml:space="preserve">, alleging that the Company </w:t>
      </w:r>
      <w:r w:rsidR="007B1478">
        <w:rPr>
          <w:rFonts w:ascii="Times New Roman" w:hAnsi="Times New Roman" w:cs="Times New Roman"/>
          <w:sz w:val="26"/>
        </w:rPr>
        <w:t>wa</w:t>
      </w:r>
      <w:r w:rsidRPr="0098057F">
        <w:rPr>
          <w:rFonts w:ascii="Times New Roman" w:hAnsi="Times New Roman" w:cs="Times New Roman"/>
          <w:sz w:val="26"/>
        </w:rPr>
        <w:t>s attempting to install a smart meter at the Complainants’ residence that the Complainants d</w:t>
      </w:r>
      <w:r w:rsidR="007B1478">
        <w:rPr>
          <w:rFonts w:ascii="Times New Roman" w:hAnsi="Times New Roman" w:cs="Times New Roman"/>
          <w:sz w:val="26"/>
        </w:rPr>
        <w:t>id</w:t>
      </w:r>
      <w:r w:rsidRPr="0098057F">
        <w:rPr>
          <w:rFonts w:ascii="Times New Roman" w:hAnsi="Times New Roman" w:cs="Times New Roman"/>
          <w:sz w:val="26"/>
        </w:rPr>
        <w:t xml:space="preserve"> not want</w:t>
      </w:r>
      <w:r w:rsidR="00EE58F7">
        <w:rPr>
          <w:rFonts w:ascii="Times New Roman" w:hAnsi="Times New Roman" w:cs="Times New Roman"/>
          <w:sz w:val="26"/>
        </w:rPr>
        <w:t xml:space="preserve"> and that the Company</w:t>
      </w:r>
      <w:r w:rsidR="00EE58F7" w:rsidRPr="0098057F">
        <w:rPr>
          <w:rFonts w:ascii="Times New Roman" w:hAnsi="Times New Roman" w:cs="Times New Roman"/>
          <w:sz w:val="26"/>
        </w:rPr>
        <w:t xml:space="preserve"> </w:t>
      </w:r>
      <w:r w:rsidR="007B1478">
        <w:rPr>
          <w:rFonts w:ascii="Times New Roman" w:hAnsi="Times New Roman" w:cs="Times New Roman"/>
          <w:sz w:val="26"/>
        </w:rPr>
        <w:t>wa</w:t>
      </w:r>
      <w:r w:rsidR="00EE58F7" w:rsidRPr="0098057F">
        <w:rPr>
          <w:rFonts w:ascii="Times New Roman" w:hAnsi="Times New Roman" w:cs="Times New Roman"/>
          <w:sz w:val="26"/>
        </w:rPr>
        <w:t>s threatening to shut off the</w:t>
      </w:r>
      <w:r w:rsidR="00EE58F7">
        <w:rPr>
          <w:rFonts w:ascii="Times New Roman" w:hAnsi="Times New Roman" w:cs="Times New Roman"/>
          <w:sz w:val="26"/>
        </w:rPr>
        <w:t>ir</w:t>
      </w:r>
      <w:r w:rsidR="00EE58F7" w:rsidRPr="0098057F">
        <w:rPr>
          <w:rFonts w:ascii="Times New Roman" w:hAnsi="Times New Roman" w:cs="Times New Roman"/>
          <w:sz w:val="26"/>
        </w:rPr>
        <w:t xml:space="preserve"> </w:t>
      </w:r>
      <w:r w:rsidR="00EE58F7">
        <w:rPr>
          <w:rFonts w:ascii="Times New Roman" w:hAnsi="Times New Roman" w:cs="Times New Roman"/>
          <w:sz w:val="26"/>
        </w:rPr>
        <w:t xml:space="preserve">electric </w:t>
      </w:r>
      <w:r w:rsidR="00EE58F7" w:rsidRPr="0098057F">
        <w:rPr>
          <w:rFonts w:ascii="Times New Roman" w:hAnsi="Times New Roman" w:cs="Times New Roman"/>
          <w:sz w:val="26"/>
        </w:rPr>
        <w:t>service</w:t>
      </w:r>
      <w:r w:rsidR="00EE58F7">
        <w:rPr>
          <w:rFonts w:ascii="Times New Roman" w:hAnsi="Times New Roman" w:cs="Times New Roman"/>
          <w:sz w:val="26"/>
        </w:rPr>
        <w:t xml:space="preserve"> because they w</w:t>
      </w:r>
      <w:r w:rsidR="007B1478">
        <w:rPr>
          <w:rFonts w:ascii="Times New Roman" w:hAnsi="Times New Roman" w:cs="Times New Roman"/>
          <w:sz w:val="26"/>
        </w:rPr>
        <w:t>ould</w:t>
      </w:r>
      <w:r w:rsidR="00EE58F7">
        <w:rPr>
          <w:rFonts w:ascii="Times New Roman" w:hAnsi="Times New Roman" w:cs="Times New Roman"/>
          <w:sz w:val="26"/>
        </w:rPr>
        <w:t xml:space="preserve"> not provide the Company with access to their property to install a smart meter.  In </w:t>
      </w:r>
      <w:r w:rsidR="007B1478">
        <w:rPr>
          <w:rFonts w:ascii="Times New Roman" w:hAnsi="Times New Roman" w:cs="Times New Roman"/>
          <w:sz w:val="26"/>
        </w:rPr>
        <w:t>letters</w:t>
      </w:r>
      <w:r w:rsidR="00EE58F7">
        <w:rPr>
          <w:rFonts w:ascii="Times New Roman" w:hAnsi="Times New Roman" w:cs="Times New Roman"/>
          <w:sz w:val="26"/>
        </w:rPr>
        <w:t xml:space="preserve"> attached to the Complaint, the Complainants aver</w:t>
      </w:r>
      <w:r w:rsidR="007B1478">
        <w:rPr>
          <w:rFonts w:ascii="Times New Roman" w:hAnsi="Times New Roman" w:cs="Times New Roman"/>
          <w:sz w:val="26"/>
        </w:rPr>
        <w:t>red</w:t>
      </w:r>
      <w:r w:rsidR="00EE58F7">
        <w:rPr>
          <w:rFonts w:ascii="Times New Roman" w:hAnsi="Times New Roman" w:cs="Times New Roman"/>
          <w:sz w:val="26"/>
        </w:rPr>
        <w:t xml:space="preserve"> that </w:t>
      </w:r>
      <w:r w:rsidRPr="0098057F">
        <w:rPr>
          <w:rFonts w:ascii="Times New Roman" w:hAnsi="Times New Roman" w:cs="Times New Roman"/>
          <w:sz w:val="26"/>
        </w:rPr>
        <w:t xml:space="preserve">the Respondent’s attempts to install a smart meter at the Complainants’ residence </w:t>
      </w:r>
      <w:r w:rsidR="007B1478">
        <w:rPr>
          <w:rFonts w:ascii="Times New Roman" w:hAnsi="Times New Roman" w:cs="Times New Roman"/>
          <w:sz w:val="26"/>
        </w:rPr>
        <w:t>were</w:t>
      </w:r>
      <w:r w:rsidRPr="0098057F">
        <w:rPr>
          <w:rFonts w:ascii="Times New Roman" w:hAnsi="Times New Roman" w:cs="Times New Roman"/>
          <w:sz w:val="26"/>
        </w:rPr>
        <w:t xml:space="preserve"> unlawful</w:t>
      </w:r>
      <w:r w:rsidR="00EE58F7">
        <w:rPr>
          <w:rFonts w:ascii="Times New Roman" w:hAnsi="Times New Roman" w:cs="Times New Roman"/>
          <w:sz w:val="26"/>
        </w:rPr>
        <w:t xml:space="preserve">, </w:t>
      </w:r>
      <w:r w:rsidR="000F1FB3">
        <w:rPr>
          <w:rFonts w:ascii="Times New Roman" w:hAnsi="Times New Roman" w:cs="Times New Roman"/>
          <w:sz w:val="26"/>
        </w:rPr>
        <w:t xml:space="preserve">and that the Respondent </w:t>
      </w:r>
      <w:r w:rsidR="007B1478">
        <w:rPr>
          <w:rFonts w:ascii="Times New Roman" w:hAnsi="Times New Roman" w:cs="Times New Roman"/>
          <w:sz w:val="26"/>
        </w:rPr>
        <w:t>wa</w:t>
      </w:r>
      <w:r w:rsidR="000F1FB3">
        <w:rPr>
          <w:rFonts w:ascii="Times New Roman" w:hAnsi="Times New Roman" w:cs="Times New Roman"/>
          <w:sz w:val="26"/>
        </w:rPr>
        <w:t xml:space="preserve">s obligated to </w:t>
      </w:r>
      <w:r w:rsidRPr="0098057F">
        <w:rPr>
          <w:rFonts w:ascii="Times New Roman" w:hAnsi="Times New Roman" w:cs="Times New Roman"/>
          <w:sz w:val="26"/>
        </w:rPr>
        <w:t>inform its customers of the risk of damages from smart meters</w:t>
      </w:r>
      <w:r w:rsidR="000F1FB3">
        <w:rPr>
          <w:rFonts w:ascii="Times New Roman" w:hAnsi="Times New Roman" w:cs="Times New Roman"/>
          <w:sz w:val="26"/>
        </w:rPr>
        <w:t xml:space="preserve">, including the </w:t>
      </w:r>
      <w:r w:rsidRPr="0098057F">
        <w:rPr>
          <w:rFonts w:ascii="Times New Roman" w:hAnsi="Times New Roman" w:cs="Times New Roman"/>
          <w:sz w:val="26"/>
        </w:rPr>
        <w:t>loss of privacy, radiation poisoning, identity theft, and fire.</w:t>
      </w:r>
      <w:r w:rsidR="007B1478">
        <w:rPr>
          <w:rFonts w:ascii="Times New Roman" w:hAnsi="Times New Roman" w:cs="Times New Roman"/>
          <w:sz w:val="26"/>
        </w:rPr>
        <w:t xml:space="preserve">  The Complainants also cited to various websites and publications in support of their position that</w:t>
      </w:r>
      <w:r w:rsidR="00D92154">
        <w:rPr>
          <w:rFonts w:ascii="Times New Roman" w:hAnsi="Times New Roman" w:cs="Times New Roman"/>
          <w:sz w:val="26"/>
        </w:rPr>
        <w:t xml:space="preserve">, among other things, </w:t>
      </w:r>
      <w:r w:rsidR="007B1478">
        <w:rPr>
          <w:rFonts w:ascii="Times New Roman" w:hAnsi="Times New Roman" w:cs="Times New Roman"/>
          <w:sz w:val="26"/>
        </w:rPr>
        <w:t xml:space="preserve">smart meters are not cost effective, are an invasion of privacy, and cause adverse health </w:t>
      </w:r>
      <w:r w:rsidR="00D92154">
        <w:rPr>
          <w:rFonts w:ascii="Times New Roman" w:hAnsi="Times New Roman" w:cs="Times New Roman"/>
          <w:sz w:val="26"/>
        </w:rPr>
        <w:t>e</w:t>
      </w:r>
      <w:r w:rsidR="007B1478">
        <w:rPr>
          <w:rFonts w:ascii="Times New Roman" w:hAnsi="Times New Roman" w:cs="Times New Roman"/>
          <w:sz w:val="26"/>
        </w:rPr>
        <w:t>ffects</w:t>
      </w:r>
      <w:r w:rsidR="00D92154">
        <w:rPr>
          <w:rFonts w:ascii="Times New Roman" w:hAnsi="Times New Roman" w:cs="Times New Roman"/>
          <w:sz w:val="26"/>
        </w:rPr>
        <w:t xml:space="preserve">.  </w:t>
      </w:r>
      <w:r w:rsidR="000F1FB3">
        <w:rPr>
          <w:rFonts w:ascii="Times New Roman" w:hAnsi="Times New Roman" w:cs="Times New Roman"/>
          <w:sz w:val="26"/>
        </w:rPr>
        <w:t xml:space="preserve">  </w:t>
      </w:r>
    </w:p>
    <w:p w:rsidR="0098057F" w:rsidRPr="0098057F" w:rsidRDefault="0098057F" w:rsidP="0098057F">
      <w:pPr>
        <w:pStyle w:val="ParaTab1"/>
        <w:spacing w:line="360" w:lineRule="auto"/>
        <w:rPr>
          <w:rFonts w:ascii="Times New Roman" w:hAnsi="Times New Roman" w:cs="Times New Roman"/>
          <w:sz w:val="26"/>
        </w:rPr>
      </w:pPr>
    </w:p>
    <w:p w:rsidR="00BF0ED0" w:rsidRDefault="001351BB" w:rsidP="00BF0ED0">
      <w:pPr>
        <w:widowControl/>
        <w:tabs>
          <w:tab w:val="left" w:pos="-720"/>
          <w:tab w:val="left" w:pos="1440"/>
        </w:tabs>
        <w:suppressAutoHyphens/>
        <w:autoSpaceDE w:val="0"/>
        <w:autoSpaceDN w:val="0"/>
        <w:spacing w:line="360" w:lineRule="auto"/>
        <w:rPr>
          <w:sz w:val="26"/>
        </w:rPr>
      </w:pPr>
      <w:r>
        <w:rPr>
          <w:sz w:val="26"/>
        </w:rPr>
        <w:tab/>
      </w:r>
      <w:r w:rsidR="0098057F" w:rsidRPr="0098057F">
        <w:rPr>
          <w:sz w:val="26"/>
        </w:rPr>
        <w:t xml:space="preserve">On December 14, 2015, the Respondent filed an </w:t>
      </w:r>
      <w:r>
        <w:rPr>
          <w:sz w:val="26"/>
        </w:rPr>
        <w:t>A</w:t>
      </w:r>
      <w:r w:rsidR="0098057F" w:rsidRPr="0098057F">
        <w:rPr>
          <w:sz w:val="26"/>
        </w:rPr>
        <w:t xml:space="preserve">nswer with </w:t>
      </w:r>
      <w:r>
        <w:rPr>
          <w:sz w:val="26"/>
        </w:rPr>
        <w:t>N</w:t>
      </w:r>
      <w:r w:rsidR="0098057F" w:rsidRPr="0098057F">
        <w:rPr>
          <w:sz w:val="26"/>
        </w:rPr>
        <w:t xml:space="preserve">ew </w:t>
      </w:r>
      <w:r>
        <w:rPr>
          <w:sz w:val="26"/>
        </w:rPr>
        <w:t>M</w:t>
      </w:r>
      <w:r w:rsidR="0098057F" w:rsidRPr="0098057F">
        <w:rPr>
          <w:sz w:val="26"/>
        </w:rPr>
        <w:t xml:space="preserve">atter.  </w:t>
      </w:r>
      <w:r>
        <w:rPr>
          <w:sz w:val="26"/>
        </w:rPr>
        <w:t>In the</w:t>
      </w:r>
      <w:r w:rsidRPr="009859F1">
        <w:rPr>
          <w:sz w:val="26"/>
        </w:rPr>
        <w:t xml:space="preserve"> </w:t>
      </w:r>
      <w:r>
        <w:rPr>
          <w:sz w:val="26"/>
        </w:rPr>
        <w:t>A</w:t>
      </w:r>
      <w:r w:rsidRPr="009859F1">
        <w:rPr>
          <w:sz w:val="26"/>
        </w:rPr>
        <w:t>nswer</w:t>
      </w:r>
      <w:r>
        <w:rPr>
          <w:sz w:val="26"/>
        </w:rPr>
        <w:t>, PECO</w:t>
      </w:r>
      <w:r w:rsidRPr="009859F1">
        <w:rPr>
          <w:sz w:val="26"/>
        </w:rPr>
        <w:t xml:space="preserve"> den</w:t>
      </w:r>
      <w:r>
        <w:rPr>
          <w:sz w:val="26"/>
        </w:rPr>
        <w:t>ied</w:t>
      </w:r>
      <w:r w:rsidRPr="009859F1">
        <w:rPr>
          <w:sz w:val="26"/>
        </w:rPr>
        <w:t xml:space="preserve"> all material allegations of fact and conclusions of law in the </w:t>
      </w:r>
      <w:r>
        <w:rPr>
          <w:sz w:val="26"/>
        </w:rPr>
        <w:t>C</w:t>
      </w:r>
      <w:r w:rsidRPr="009859F1">
        <w:rPr>
          <w:sz w:val="26"/>
        </w:rPr>
        <w:t xml:space="preserve">omplaint.  </w:t>
      </w:r>
      <w:r>
        <w:rPr>
          <w:sz w:val="26"/>
        </w:rPr>
        <w:t>PECO</w:t>
      </w:r>
      <w:r w:rsidRPr="009859F1">
        <w:rPr>
          <w:sz w:val="26"/>
        </w:rPr>
        <w:t xml:space="preserve"> state</w:t>
      </w:r>
      <w:r>
        <w:rPr>
          <w:sz w:val="26"/>
        </w:rPr>
        <w:t>d</w:t>
      </w:r>
      <w:r w:rsidRPr="009859F1">
        <w:rPr>
          <w:sz w:val="26"/>
        </w:rPr>
        <w:t xml:space="preserve"> that it </w:t>
      </w:r>
      <w:r>
        <w:rPr>
          <w:sz w:val="26"/>
        </w:rPr>
        <w:t>sent a ten-day termination notice to the Complainants, because they</w:t>
      </w:r>
      <w:r w:rsidRPr="009859F1">
        <w:rPr>
          <w:sz w:val="26"/>
        </w:rPr>
        <w:t xml:space="preserve"> faile</w:t>
      </w:r>
      <w:r>
        <w:rPr>
          <w:sz w:val="26"/>
        </w:rPr>
        <w:t>d</w:t>
      </w:r>
      <w:r w:rsidRPr="009859F1">
        <w:rPr>
          <w:sz w:val="26"/>
        </w:rPr>
        <w:t xml:space="preserve"> to grant </w:t>
      </w:r>
      <w:r>
        <w:rPr>
          <w:sz w:val="26"/>
        </w:rPr>
        <w:t xml:space="preserve">PECO </w:t>
      </w:r>
      <w:r w:rsidRPr="009859F1">
        <w:rPr>
          <w:sz w:val="26"/>
        </w:rPr>
        <w:t xml:space="preserve">access to </w:t>
      </w:r>
      <w:r>
        <w:rPr>
          <w:sz w:val="26"/>
        </w:rPr>
        <w:t>install</w:t>
      </w:r>
      <w:r w:rsidRPr="009859F1">
        <w:rPr>
          <w:sz w:val="26"/>
        </w:rPr>
        <w:t xml:space="preserve"> the </w:t>
      </w:r>
      <w:r>
        <w:rPr>
          <w:sz w:val="26"/>
        </w:rPr>
        <w:t xml:space="preserve">smart </w:t>
      </w:r>
      <w:r w:rsidRPr="009859F1">
        <w:rPr>
          <w:sz w:val="26"/>
        </w:rPr>
        <w:t xml:space="preserve">meter.  </w:t>
      </w:r>
      <w:r>
        <w:rPr>
          <w:sz w:val="26"/>
        </w:rPr>
        <w:t xml:space="preserve">Answer at 2.  </w:t>
      </w:r>
      <w:r w:rsidRPr="00772E1F">
        <w:rPr>
          <w:sz w:val="26"/>
          <w:szCs w:val="26"/>
        </w:rPr>
        <w:t>PECO averred that</w:t>
      </w:r>
      <w:r>
        <w:rPr>
          <w:sz w:val="26"/>
          <w:szCs w:val="26"/>
        </w:rPr>
        <w:t>,</w:t>
      </w:r>
      <w:r w:rsidRPr="00772E1F">
        <w:rPr>
          <w:sz w:val="26"/>
          <w:szCs w:val="26"/>
        </w:rPr>
        <w:t xml:space="preserve"> in accordance with Act 129</w:t>
      </w:r>
      <w:r>
        <w:rPr>
          <w:sz w:val="26"/>
          <w:szCs w:val="26"/>
        </w:rPr>
        <w:t xml:space="preserve"> of 2008 (Act 129)</w:t>
      </w:r>
      <w:r w:rsidRPr="00772E1F">
        <w:rPr>
          <w:sz w:val="26"/>
          <w:szCs w:val="26"/>
        </w:rPr>
        <w:t xml:space="preserve">, it was required to install Advanced Metering Infrastructure (AMI) meters for all of its current Automated Meter Reading (AMR) customers by the end of 2014.  </w:t>
      </w:r>
      <w:r>
        <w:rPr>
          <w:sz w:val="26"/>
          <w:szCs w:val="26"/>
        </w:rPr>
        <w:t>Answer at 3.</w:t>
      </w:r>
      <w:r w:rsidR="0098057F" w:rsidRPr="0098057F">
        <w:rPr>
          <w:sz w:val="26"/>
        </w:rPr>
        <w:t xml:space="preserve">  </w:t>
      </w:r>
    </w:p>
    <w:p w:rsidR="00BF0ED0" w:rsidRDefault="00BF0ED0" w:rsidP="00BF0ED0">
      <w:pPr>
        <w:widowControl/>
        <w:tabs>
          <w:tab w:val="left" w:pos="-720"/>
          <w:tab w:val="left" w:pos="1440"/>
        </w:tabs>
        <w:suppressAutoHyphens/>
        <w:autoSpaceDE w:val="0"/>
        <w:autoSpaceDN w:val="0"/>
        <w:spacing w:line="360" w:lineRule="auto"/>
        <w:rPr>
          <w:sz w:val="26"/>
        </w:rPr>
      </w:pPr>
    </w:p>
    <w:p w:rsidR="00BF0ED0" w:rsidRDefault="00BF0ED0" w:rsidP="00BF0ED0">
      <w:pPr>
        <w:widowControl/>
        <w:tabs>
          <w:tab w:val="left" w:pos="-720"/>
          <w:tab w:val="left" w:pos="1440"/>
        </w:tabs>
        <w:suppressAutoHyphens/>
        <w:autoSpaceDE w:val="0"/>
        <w:autoSpaceDN w:val="0"/>
        <w:spacing w:line="360" w:lineRule="auto"/>
        <w:rPr>
          <w:sz w:val="26"/>
          <w:szCs w:val="26"/>
        </w:rPr>
      </w:pPr>
      <w:r>
        <w:rPr>
          <w:sz w:val="26"/>
        </w:rPr>
        <w:tab/>
      </w:r>
      <w:r>
        <w:rPr>
          <w:sz w:val="26"/>
          <w:szCs w:val="26"/>
        </w:rPr>
        <w:t>In its New Matter, PECO averred that the Complainant</w:t>
      </w:r>
      <w:r w:rsidR="008F1B81">
        <w:rPr>
          <w:sz w:val="26"/>
          <w:szCs w:val="26"/>
        </w:rPr>
        <w:t>s</w:t>
      </w:r>
      <w:r>
        <w:rPr>
          <w:sz w:val="26"/>
          <w:szCs w:val="26"/>
        </w:rPr>
        <w:t xml:space="preserve"> requested to opt out of smart meter installation, but that an opt out is not an option under any controlling authority.  An opt out is not provided for under PECO’s smart meter installation plan</w:t>
      </w:r>
      <w:r>
        <w:rPr>
          <w:rStyle w:val="FootnoteReference"/>
          <w:sz w:val="26"/>
          <w:szCs w:val="26"/>
        </w:rPr>
        <w:footnoteReference w:id="1"/>
      </w:r>
      <w:r>
        <w:rPr>
          <w:sz w:val="26"/>
          <w:szCs w:val="26"/>
        </w:rPr>
        <w:t xml:space="preserve"> </w:t>
      </w:r>
      <w:r>
        <w:rPr>
          <w:sz w:val="26"/>
          <w:szCs w:val="26"/>
        </w:rPr>
        <w:lastRenderedPageBreak/>
        <w:t>that was approved by the Commission,</w:t>
      </w:r>
      <w:r>
        <w:rPr>
          <w:rStyle w:val="FootnoteReference"/>
          <w:sz w:val="26"/>
          <w:szCs w:val="26"/>
        </w:rPr>
        <w:footnoteReference w:id="2"/>
      </w:r>
      <w:r>
        <w:rPr>
          <w:sz w:val="26"/>
          <w:szCs w:val="26"/>
        </w:rPr>
        <w:t xml:space="preserve"> under Act 129 under which PECO’s smart meter plan was compelled, or under the Commission’s June 18, 2009 Order establishing standards for which each electric distribution company (EDC) with more than 100,000 customers must file smart meter technology procurement and installation plans.</w:t>
      </w:r>
      <w:r>
        <w:rPr>
          <w:rStyle w:val="FootnoteReference"/>
          <w:sz w:val="26"/>
          <w:szCs w:val="26"/>
        </w:rPr>
        <w:footnoteReference w:id="3"/>
      </w:r>
      <w:r>
        <w:rPr>
          <w:sz w:val="26"/>
          <w:szCs w:val="26"/>
        </w:rPr>
        <w:t xml:space="preserve">  Answer at 4.  PECO argued that the absence of an opt out was further underscored by legislation introduced in the Pennsylvania General Assembly that sought to amend Act 129 to provide for an opt out provision but which had not yet been acted on.  Therefore, PECO contended that, because the Company was operating in accordance with state law and Commission Order, no legal basis existed for the Complaint and dismissal as a matter of law was appropriate.  Answer at 5-6.  </w:t>
      </w:r>
    </w:p>
    <w:p w:rsidR="00BF0ED0" w:rsidRDefault="00BF0ED0" w:rsidP="00BF0ED0">
      <w:pPr>
        <w:widowControl/>
        <w:tabs>
          <w:tab w:val="left" w:pos="-720"/>
          <w:tab w:val="left" w:pos="1440"/>
        </w:tabs>
        <w:suppressAutoHyphens/>
        <w:autoSpaceDE w:val="0"/>
        <w:autoSpaceDN w:val="0"/>
        <w:spacing w:line="360" w:lineRule="auto"/>
        <w:rPr>
          <w:sz w:val="26"/>
          <w:szCs w:val="26"/>
        </w:rPr>
      </w:pPr>
    </w:p>
    <w:p w:rsidR="00D1735E" w:rsidRDefault="00D1735E" w:rsidP="00D1735E">
      <w:pPr>
        <w:widowControl/>
        <w:tabs>
          <w:tab w:val="left" w:pos="-720"/>
          <w:tab w:val="left" w:pos="1440"/>
        </w:tabs>
        <w:suppressAutoHyphens/>
        <w:autoSpaceDE w:val="0"/>
        <w:autoSpaceDN w:val="0"/>
        <w:spacing w:line="360" w:lineRule="auto"/>
        <w:rPr>
          <w:sz w:val="26"/>
        </w:rPr>
      </w:pPr>
      <w:r>
        <w:rPr>
          <w:sz w:val="26"/>
        </w:rPr>
        <w:tab/>
      </w:r>
      <w:r w:rsidR="00BF0ED0">
        <w:rPr>
          <w:sz w:val="26"/>
        </w:rPr>
        <w:t xml:space="preserve">Also </w:t>
      </w:r>
      <w:r w:rsidR="0098057F" w:rsidRPr="0098057F">
        <w:rPr>
          <w:sz w:val="26"/>
        </w:rPr>
        <w:t xml:space="preserve">on December 14, 2015, the Respondent filed </w:t>
      </w:r>
      <w:r>
        <w:rPr>
          <w:sz w:val="26"/>
        </w:rPr>
        <w:t>P</w:t>
      </w:r>
      <w:r w:rsidR="0098057F" w:rsidRPr="0098057F">
        <w:rPr>
          <w:sz w:val="26"/>
        </w:rPr>
        <w:t xml:space="preserve">reliminary </w:t>
      </w:r>
      <w:r>
        <w:rPr>
          <w:sz w:val="26"/>
        </w:rPr>
        <w:t>O</w:t>
      </w:r>
      <w:r w:rsidR="0098057F" w:rsidRPr="0098057F">
        <w:rPr>
          <w:sz w:val="26"/>
        </w:rPr>
        <w:t>bjections</w:t>
      </w:r>
      <w:r>
        <w:rPr>
          <w:sz w:val="26"/>
        </w:rPr>
        <w:t>,</w:t>
      </w:r>
      <w:r w:rsidRPr="00D1735E">
        <w:rPr>
          <w:sz w:val="26"/>
        </w:rPr>
        <w:t xml:space="preserve"> </w:t>
      </w:r>
      <w:r>
        <w:rPr>
          <w:sz w:val="26"/>
        </w:rPr>
        <w:t>averring that t</w:t>
      </w:r>
      <w:r w:rsidRPr="009859F1">
        <w:rPr>
          <w:sz w:val="26"/>
        </w:rPr>
        <w:t xml:space="preserve">he </w:t>
      </w:r>
      <w:r>
        <w:rPr>
          <w:sz w:val="26"/>
        </w:rPr>
        <w:t>C</w:t>
      </w:r>
      <w:r w:rsidRPr="009859F1">
        <w:rPr>
          <w:sz w:val="26"/>
        </w:rPr>
        <w:t xml:space="preserve">omplaint </w:t>
      </w:r>
      <w:r>
        <w:rPr>
          <w:sz w:val="26"/>
        </w:rPr>
        <w:t>wa</w:t>
      </w:r>
      <w:r w:rsidRPr="009859F1">
        <w:rPr>
          <w:sz w:val="26"/>
        </w:rPr>
        <w:t>s legally insufficient pursuant to 52 Pa.</w:t>
      </w:r>
      <w:r>
        <w:rPr>
          <w:sz w:val="26"/>
        </w:rPr>
        <w:t xml:space="preserve"> </w:t>
      </w:r>
      <w:r w:rsidRPr="009859F1">
        <w:rPr>
          <w:sz w:val="26"/>
        </w:rPr>
        <w:t xml:space="preserve">Code </w:t>
      </w:r>
    </w:p>
    <w:p w:rsidR="00685B33" w:rsidRDefault="00D1735E" w:rsidP="008F1B81">
      <w:pPr>
        <w:widowControl/>
        <w:tabs>
          <w:tab w:val="left" w:pos="-720"/>
          <w:tab w:val="left" w:pos="1440"/>
        </w:tabs>
        <w:suppressAutoHyphens/>
        <w:autoSpaceDE w:val="0"/>
        <w:autoSpaceDN w:val="0"/>
        <w:spacing w:line="360" w:lineRule="auto"/>
        <w:rPr>
          <w:sz w:val="26"/>
          <w:szCs w:val="26"/>
        </w:rPr>
      </w:pPr>
      <w:r w:rsidRPr="009859F1">
        <w:rPr>
          <w:sz w:val="26"/>
        </w:rPr>
        <w:t xml:space="preserve">§ </w:t>
      </w:r>
      <w:r>
        <w:rPr>
          <w:sz w:val="26"/>
        </w:rPr>
        <w:t>5</w:t>
      </w:r>
      <w:r w:rsidRPr="009859F1">
        <w:rPr>
          <w:sz w:val="26"/>
        </w:rPr>
        <w:t xml:space="preserve">.101(a)(4). </w:t>
      </w:r>
      <w:r>
        <w:rPr>
          <w:sz w:val="26"/>
        </w:rPr>
        <w:t xml:space="preserve"> </w:t>
      </w:r>
      <w:r w:rsidR="008F1B81">
        <w:rPr>
          <w:sz w:val="26"/>
          <w:szCs w:val="26"/>
        </w:rPr>
        <w:t xml:space="preserve">In its Preliminary Objections, PECO reiterated its position that its installation of smart meters was compelled by its Smart Meter Plan, the </w:t>
      </w:r>
      <w:r w:rsidR="008F1B81" w:rsidRPr="007E3D73">
        <w:rPr>
          <w:i/>
          <w:sz w:val="26"/>
          <w:szCs w:val="26"/>
        </w:rPr>
        <w:t>PECO Smart Meter Plan Order</w:t>
      </w:r>
      <w:r w:rsidR="008F1B81">
        <w:rPr>
          <w:sz w:val="26"/>
          <w:szCs w:val="26"/>
        </w:rPr>
        <w:t>,</w:t>
      </w:r>
      <w:r w:rsidR="008F1B81" w:rsidRPr="007E3D73">
        <w:rPr>
          <w:sz w:val="26"/>
          <w:szCs w:val="26"/>
        </w:rPr>
        <w:t xml:space="preserve"> </w:t>
      </w:r>
      <w:r w:rsidR="008F1B81">
        <w:rPr>
          <w:sz w:val="26"/>
          <w:szCs w:val="26"/>
        </w:rPr>
        <w:t xml:space="preserve">the Commission’s </w:t>
      </w:r>
      <w:r w:rsidR="008F1B81" w:rsidRPr="007E3D73">
        <w:rPr>
          <w:i/>
          <w:sz w:val="26"/>
          <w:szCs w:val="26"/>
        </w:rPr>
        <w:t>Smart Meter Procurement and Installation Order</w:t>
      </w:r>
      <w:r w:rsidR="008F1B81">
        <w:rPr>
          <w:sz w:val="26"/>
          <w:szCs w:val="26"/>
        </w:rPr>
        <w:t xml:space="preserve">, and Act 129, none of which allowed for a customer to opt out of smart meter installation.  PECO also further addressed the fact that lack of action by the General Assembly on draft legislation to provide for an opt out underscored its position.  Preliminary Objections at 5-8.  </w:t>
      </w:r>
      <w:r w:rsidR="008F1B81" w:rsidRPr="00A402F5">
        <w:rPr>
          <w:sz w:val="26"/>
          <w:szCs w:val="26"/>
        </w:rPr>
        <w:t xml:space="preserve">PECO also cited numerous Commission </w:t>
      </w:r>
      <w:r w:rsidR="008F1B81">
        <w:rPr>
          <w:sz w:val="26"/>
          <w:szCs w:val="26"/>
        </w:rPr>
        <w:t xml:space="preserve">orders in which complaints </w:t>
      </w:r>
    </w:p>
    <w:p w:rsidR="00685B33" w:rsidRDefault="00685B33">
      <w:pPr>
        <w:widowControl/>
        <w:spacing w:after="200" w:line="276" w:lineRule="auto"/>
        <w:rPr>
          <w:sz w:val="26"/>
          <w:szCs w:val="26"/>
        </w:rPr>
      </w:pPr>
      <w:r>
        <w:rPr>
          <w:sz w:val="26"/>
          <w:szCs w:val="26"/>
        </w:rPr>
        <w:br w:type="page"/>
      </w:r>
    </w:p>
    <w:p w:rsidR="0098057F" w:rsidRPr="0098057F" w:rsidRDefault="008F1B81" w:rsidP="008F1B81">
      <w:pPr>
        <w:widowControl/>
        <w:tabs>
          <w:tab w:val="left" w:pos="-720"/>
          <w:tab w:val="left" w:pos="1440"/>
        </w:tabs>
        <w:suppressAutoHyphens/>
        <w:autoSpaceDE w:val="0"/>
        <w:autoSpaceDN w:val="0"/>
        <w:spacing w:line="360" w:lineRule="auto"/>
        <w:rPr>
          <w:sz w:val="26"/>
        </w:rPr>
      </w:pPr>
      <w:r>
        <w:rPr>
          <w:sz w:val="26"/>
          <w:szCs w:val="26"/>
        </w:rPr>
        <w:lastRenderedPageBreak/>
        <w:t xml:space="preserve">against smart meter installation were </w:t>
      </w:r>
      <w:r w:rsidRPr="00A402F5">
        <w:rPr>
          <w:sz w:val="26"/>
          <w:szCs w:val="26"/>
        </w:rPr>
        <w:t xml:space="preserve">dismissed </w:t>
      </w:r>
      <w:r>
        <w:rPr>
          <w:sz w:val="26"/>
          <w:szCs w:val="26"/>
        </w:rPr>
        <w:t>up</w:t>
      </w:r>
      <w:r w:rsidRPr="00A402F5">
        <w:rPr>
          <w:sz w:val="26"/>
          <w:szCs w:val="26"/>
        </w:rPr>
        <w:t>on preliminary objection.</w:t>
      </w:r>
      <w:r>
        <w:rPr>
          <w:rStyle w:val="FootnoteReference"/>
          <w:sz w:val="26"/>
          <w:szCs w:val="26"/>
        </w:rPr>
        <w:footnoteReference w:id="4"/>
      </w:r>
      <w:r w:rsidRPr="00A402F5">
        <w:rPr>
          <w:sz w:val="26"/>
          <w:szCs w:val="26"/>
        </w:rPr>
        <w:t xml:space="preserve">  </w:t>
      </w:r>
      <w:r w:rsidRPr="00A402F5">
        <w:rPr>
          <w:i/>
          <w:sz w:val="26"/>
          <w:szCs w:val="26"/>
        </w:rPr>
        <w:t>Id</w:t>
      </w:r>
      <w:r w:rsidRPr="00A402F5">
        <w:rPr>
          <w:sz w:val="26"/>
          <w:szCs w:val="26"/>
        </w:rPr>
        <w:t>. at 9</w:t>
      </w:r>
      <w:r>
        <w:rPr>
          <w:sz w:val="26"/>
          <w:szCs w:val="26"/>
        </w:rPr>
        <w:t>-10</w:t>
      </w:r>
      <w:r w:rsidRPr="00A402F5">
        <w:rPr>
          <w:sz w:val="26"/>
          <w:szCs w:val="26"/>
        </w:rPr>
        <w:t>.</w:t>
      </w:r>
      <w:r>
        <w:rPr>
          <w:sz w:val="26"/>
          <w:szCs w:val="26"/>
        </w:rPr>
        <w:t xml:space="preserve">  For these reasons, PECO argue</w:t>
      </w:r>
      <w:r w:rsidR="001D6DC3">
        <w:rPr>
          <w:sz w:val="26"/>
          <w:szCs w:val="26"/>
        </w:rPr>
        <w:t>d</w:t>
      </w:r>
      <w:r>
        <w:rPr>
          <w:sz w:val="26"/>
          <w:szCs w:val="26"/>
        </w:rPr>
        <w:t xml:space="preserve"> that </w:t>
      </w:r>
      <w:r w:rsidR="001D6DC3">
        <w:rPr>
          <w:sz w:val="26"/>
          <w:szCs w:val="26"/>
        </w:rPr>
        <w:t>t</w:t>
      </w:r>
      <w:r>
        <w:rPr>
          <w:sz w:val="26"/>
          <w:szCs w:val="26"/>
        </w:rPr>
        <w:t>he</w:t>
      </w:r>
      <w:r w:rsidR="0098057F" w:rsidRPr="0098057F">
        <w:rPr>
          <w:sz w:val="26"/>
        </w:rPr>
        <w:t xml:space="preserve"> </w:t>
      </w:r>
      <w:r w:rsidR="001D6DC3">
        <w:rPr>
          <w:sz w:val="26"/>
        </w:rPr>
        <w:t>C</w:t>
      </w:r>
      <w:r w:rsidR="0098057F" w:rsidRPr="0098057F">
        <w:rPr>
          <w:sz w:val="26"/>
        </w:rPr>
        <w:t>omplain</w:t>
      </w:r>
      <w:r w:rsidR="001D6DC3">
        <w:rPr>
          <w:sz w:val="26"/>
        </w:rPr>
        <w:t>an</w:t>
      </w:r>
      <w:r w:rsidR="0098057F" w:rsidRPr="0098057F">
        <w:rPr>
          <w:sz w:val="26"/>
        </w:rPr>
        <w:t>t</w:t>
      </w:r>
      <w:r w:rsidR="001D6DC3">
        <w:rPr>
          <w:sz w:val="26"/>
        </w:rPr>
        <w:t>s</w:t>
      </w:r>
      <w:r w:rsidR="0098057F" w:rsidRPr="0098057F">
        <w:rPr>
          <w:sz w:val="26"/>
        </w:rPr>
        <w:t xml:space="preserve"> failed to state a claim upon which relief c</w:t>
      </w:r>
      <w:r w:rsidR="001D6DC3">
        <w:rPr>
          <w:sz w:val="26"/>
        </w:rPr>
        <w:t>ould</w:t>
      </w:r>
      <w:r w:rsidR="0098057F" w:rsidRPr="0098057F">
        <w:rPr>
          <w:sz w:val="26"/>
        </w:rPr>
        <w:t xml:space="preserve"> be granted</w:t>
      </w:r>
      <w:r w:rsidR="001D6DC3">
        <w:rPr>
          <w:sz w:val="26"/>
        </w:rPr>
        <w:t xml:space="preserve"> and that the Complaint should be</w:t>
      </w:r>
      <w:r w:rsidR="0098057F" w:rsidRPr="0098057F">
        <w:rPr>
          <w:sz w:val="26"/>
        </w:rPr>
        <w:t xml:space="preserve"> dismiss</w:t>
      </w:r>
      <w:r w:rsidR="001D6DC3">
        <w:rPr>
          <w:sz w:val="26"/>
        </w:rPr>
        <w:t>ed</w:t>
      </w:r>
      <w:r w:rsidR="0098057F" w:rsidRPr="0098057F">
        <w:rPr>
          <w:sz w:val="26"/>
        </w:rPr>
        <w:t xml:space="preserve"> </w:t>
      </w:r>
      <w:r w:rsidR="001D6DC3">
        <w:rPr>
          <w:sz w:val="26"/>
        </w:rPr>
        <w:t>as a matter of law</w:t>
      </w:r>
      <w:r w:rsidR="0098057F" w:rsidRPr="0098057F">
        <w:rPr>
          <w:sz w:val="26"/>
        </w:rPr>
        <w:t>.</w:t>
      </w:r>
      <w:r w:rsidR="001D6DC3">
        <w:rPr>
          <w:sz w:val="26"/>
        </w:rPr>
        <w:t xml:space="preserve">  </w:t>
      </w:r>
      <w:r w:rsidR="001D6DC3" w:rsidRPr="001D6DC3">
        <w:rPr>
          <w:i/>
          <w:sz w:val="26"/>
        </w:rPr>
        <w:t>Id</w:t>
      </w:r>
      <w:r w:rsidR="001D6DC3">
        <w:rPr>
          <w:sz w:val="26"/>
        </w:rPr>
        <w:t>. at 10-11.</w:t>
      </w:r>
    </w:p>
    <w:p w:rsidR="0098057F" w:rsidRDefault="0098057F" w:rsidP="0098057F">
      <w:pPr>
        <w:pStyle w:val="ParaTab1"/>
        <w:spacing w:line="360" w:lineRule="auto"/>
        <w:rPr>
          <w:rFonts w:ascii="Times New Roman" w:hAnsi="Times New Roman" w:cs="Times New Roman"/>
          <w:sz w:val="26"/>
        </w:rPr>
      </w:pPr>
    </w:p>
    <w:p w:rsidR="00DC7CA9" w:rsidRPr="0098057F" w:rsidRDefault="00DC7CA9" w:rsidP="0098057F">
      <w:pPr>
        <w:pStyle w:val="ParaTab1"/>
        <w:spacing w:line="360" w:lineRule="auto"/>
        <w:rPr>
          <w:rFonts w:ascii="Times New Roman" w:hAnsi="Times New Roman" w:cs="Times New Roman"/>
          <w:sz w:val="26"/>
        </w:rPr>
      </w:pPr>
      <w:r>
        <w:rPr>
          <w:rFonts w:ascii="Times New Roman" w:hAnsi="Times New Roman" w:cs="Times New Roman"/>
          <w:sz w:val="26"/>
        </w:rPr>
        <w:t>On December 21, 2015, the Complainants filed an Answer to the New Matter and Preliminary Objections</w:t>
      </w:r>
      <w:r w:rsidR="00C01FD6">
        <w:rPr>
          <w:rFonts w:ascii="Times New Roman" w:hAnsi="Times New Roman" w:cs="Times New Roman"/>
          <w:sz w:val="26"/>
        </w:rPr>
        <w:t xml:space="preserve"> (Answer to Preliminary Objections)</w:t>
      </w:r>
      <w:r>
        <w:rPr>
          <w:rFonts w:ascii="Times New Roman" w:hAnsi="Times New Roman" w:cs="Times New Roman"/>
          <w:sz w:val="26"/>
        </w:rPr>
        <w:t xml:space="preserve">.  </w:t>
      </w:r>
      <w:r w:rsidR="00C01FD6">
        <w:rPr>
          <w:rFonts w:ascii="Times New Roman" w:hAnsi="Times New Roman" w:cs="Times New Roman"/>
          <w:sz w:val="26"/>
        </w:rPr>
        <w:t>By Secretarial Letter issued December 28, 2015, the Commission’s Secretary returned the Answer to Preliminary Objections to the Complainants because it did not contain an original signature.  The Secretarial Letter provided the Complainants with ten days from the date of its issuance to return the filing with an original signature in order for the filing to be processed.  The Complainant</w:t>
      </w:r>
      <w:r w:rsidR="00685B33">
        <w:rPr>
          <w:rFonts w:ascii="Times New Roman" w:hAnsi="Times New Roman" w:cs="Times New Roman"/>
          <w:sz w:val="26"/>
        </w:rPr>
        <w:t>s</w:t>
      </w:r>
      <w:r w:rsidR="00C01FD6">
        <w:rPr>
          <w:rFonts w:ascii="Times New Roman" w:hAnsi="Times New Roman" w:cs="Times New Roman"/>
          <w:sz w:val="26"/>
        </w:rPr>
        <w:t xml:space="preserve"> returned the Answer to Preliminary Objections, </w:t>
      </w:r>
      <w:r w:rsidR="00C01FD6" w:rsidRPr="00E3406E">
        <w:rPr>
          <w:rFonts w:ascii="Times New Roman" w:hAnsi="Times New Roman" w:cs="Times New Roman"/>
          <w:sz w:val="26"/>
        </w:rPr>
        <w:t>with the required signature</w:t>
      </w:r>
      <w:r w:rsidR="00C01FD6">
        <w:rPr>
          <w:rFonts w:ascii="Times New Roman" w:hAnsi="Times New Roman" w:cs="Times New Roman"/>
          <w:sz w:val="26"/>
        </w:rPr>
        <w:t>, on January 4, 2016.</w:t>
      </w:r>
      <w:r w:rsidR="00660A79">
        <w:rPr>
          <w:rFonts w:ascii="Times New Roman" w:hAnsi="Times New Roman" w:cs="Times New Roman"/>
          <w:sz w:val="26"/>
        </w:rPr>
        <w:t xml:space="preserve">  In the Answer</w:t>
      </w:r>
      <w:r w:rsidR="00685B33">
        <w:rPr>
          <w:rFonts w:ascii="Times New Roman" w:hAnsi="Times New Roman" w:cs="Times New Roman"/>
          <w:sz w:val="26"/>
        </w:rPr>
        <w:t xml:space="preserve"> to Preliminary Objections</w:t>
      </w:r>
      <w:r w:rsidR="00660A79">
        <w:rPr>
          <w:rFonts w:ascii="Times New Roman" w:hAnsi="Times New Roman" w:cs="Times New Roman"/>
          <w:sz w:val="26"/>
        </w:rPr>
        <w:t>, the Complainants reiterated many of the arguments in their Complaint, including that the</w:t>
      </w:r>
      <w:r w:rsidR="003E1E14">
        <w:rPr>
          <w:rFonts w:ascii="Times New Roman" w:hAnsi="Times New Roman" w:cs="Times New Roman"/>
          <w:sz w:val="26"/>
        </w:rPr>
        <w:t xml:space="preserve"> </w:t>
      </w:r>
      <w:r w:rsidR="00660A79" w:rsidRPr="0098057F">
        <w:rPr>
          <w:rFonts w:ascii="Times New Roman" w:hAnsi="Times New Roman" w:cs="Times New Roman"/>
          <w:sz w:val="26"/>
        </w:rPr>
        <w:t>Respondent’s attempts to install a smart meter at the</w:t>
      </w:r>
      <w:r w:rsidR="00660A79">
        <w:rPr>
          <w:rFonts w:ascii="Times New Roman" w:hAnsi="Times New Roman" w:cs="Times New Roman"/>
          <w:sz w:val="26"/>
        </w:rPr>
        <w:t>ir</w:t>
      </w:r>
      <w:r w:rsidR="00660A79" w:rsidRPr="0098057F">
        <w:rPr>
          <w:rFonts w:ascii="Times New Roman" w:hAnsi="Times New Roman" w:cs="Times New Roman"/>
          <w:sz w:val="26"/>
        </w:rPr>
        <w:t xml:space="preserve"> residence </w:t>
      </w:r>
      <w:r w:rsidR="00660A79">
        <w:rPr>
          <w:rFonts w:ascii="Times New Roman" w:hAnsi="Times New Roman" w:cs="Times New Roman"/>
          <w:sz w:val="26"/>
        </w:rPr>
        <w:t>were</w:t>
      </w:r>
      <w:r w:rsidR="00660A79" w:rsidRPr="0098057F">
        <w:rPr>
          <w:rFonts w:ascii="Times New Roman" w:hAnsi="Times New Roman" w:cs="Times New Roman"/>
          <w:sz w:val="26"/>
        </w:rPr>
        <w:t xml:space="preserve"> unlawful</w:t>
      </w:r>
      <w:r w:rsidR="00660A79">
        <w:rPr>
          <w:rFonts w:ascii="Times New Roman" w:hAnsi="Times New Roman" w:cs="Times New Roman"/>
          <w:sz w:val="26"/>
        </w:rPr>
        <w:t>.</w:t>
      </w:r>
      <w:r w:rsidR="003E1E14">
        <w:rPr>
          <w:rFonts w:ascii="Times New Roman" w:hAnsi="Times New Roman" w:cs="Times New Roman"/>
          <w:sz w:val="26"/>
        </w:rPr>
        <w:t xml:space="preserve"> </w:t>
      </w:r>
      <w:r w:rsidR="00C01FD6">
        <w:rPr>
          <w:rFonts w:ascii="Times New Roman" w:hAnsi="Times New Roman" w:cs="Times New Roman"/>
          <w:sz w:val="26"/>
        </w:rPr>
        <w:t xml:space="preserve">       </w:t>
      </w:r>
      <w:r>
        <w:rPr>
          <w:rFonts w:ascii="Times New Roman" w:hAnsi="Times New Roman" w:cs="Times New Roman"/>
          <w:sz w:val="26"/>
        </w:rPr>
        <w:t xml:space="preserve">  </w:t>
      </w:r>
    </w:p>
    <w:p w:rsidR="0098057F" w:rsidRPr="0098057F" w:rsidRDefault="0098057F" w:rsidP="009859F1">
      <w:pPr>
        <w:pStyle w:val="ParaTab1"/>
        <w:spacing w:line="360" w:lineRule="auto"/>
        <w:rPr>
          <w:rFonts w:ascii="Times New Roman" w:hAnsi="Times New Roman" w:cs="Times New Roman"/>
          <w:sz w:val="26"/>
        </w:rPr>
      </w:pPr>
    </w:p>
    <w:p w:rsidR="003E1E14" w:rsidRDefault="008332FC" w:rsidP="00ED2D21">
      <w:pPr>
        <w:spacing w:line="360" w:lineRule="auto"/>
        <w:rPr>
          <w:spacing w:val="-3"/>
          <w:sz w:val="26"/>
          <w:szCs w:val="24"/>
        </w:rPr>
      </w:pPr>
      <w:r w:rsidRPr="0098057F">
        <w:rPr>
          <w:spacing w:val="-3"/>
          <w:sz w:val="26"/>
          <w:szCs w:val="24"/>
        </w:rPr>
        <w:tab/>
      </w:r>
      <w:r w:rsidRPr="0098057F">
        <w:rPr>
          <w:spacing w:val="-3"/>
          <w:sz w:val="26"/>
          <w:szCs w:val="24"/>
        </w:rPr>
        <w:tab/>
      </w:r>
      <w:r w:rsidR="000C466C" w:rsidRPr="0098057F">
        <w:rPr>
          <w:spacing w:val="-3"/>
          <w:sz w:val="26"/>
          <w:szCs w:val="24"/>
        </w:rPr>
        <w:t xml:space="preserve">In the Initial Decision issued </w:t>
      </w:r>
      <w:r w:rsidR="003E1E14">
        <w:rPr>
          <w:spacing w:val="-3"/>
          <w:sz w:val="26"/>
          <w:szCs w:val="24"/>
        </w:rPr>
        <w:t>January 14</w:t>
      </w:r>
      <w:r w:rsidR="000C466C" w:rsidRPr="0098057F">
        <w:rPr>
          <w:spacing w:val="-3"/>
          <w:sz w:val="26"/>
          <w:szCs w:val="24"/>
        </w:rPr>
        <w:t>, 201</w:t>
      </w:r>
      <w:r w:rsidR="003E1E14">
        <w:rPr>
          <w:spacing w:val="-3"/>
          <w:sz w:val="26"/>
          <w:szCs w:val="24"/>
        </w:rPr>
        <w:t>6</w:t>
      </w:r>
      <w:r w:rsidR="000C466C" w:rsidRPr="0098057F">
        <w:rPr>
          <w:spacing w:val="-3"/>
          <w:sz w:val="26"/>
          <w:szCs w:val="24"/>
        </w:rPr>
        <w:t>, ALJ Salapa sustained the Preliminary Objections</w:t>
      </w:r>
      <w:r w:rsidR="003E1E14">
        <w:rPr>
          <w:spacing w:val="-3"/>
          <w:sz w:val="26"/>
          <w:szCs w:val="24"/>
        </w:rPr>
        <w:t>,</w:t>
      </w:r>
      <w:r w:rsidR="000C466C" w:rsidRPr="0098057F">
        <w:rPr>
          <w:spacing w:val="-3"/>
          <w:sz w:val="26"/>
          <w:szCs w:val="24"/>
        </w:rPr>
        <w:t xml:space="preserve"> dismissed the Complaint</w:t>
      </w:r>
      <w:r w:rsidR="003E1E14">
        <w:rPr>
          <w:spacing w:val="-3"/>
          <w:sz w:val="26"/>
          <w:szCs w:val="24"/>
        </w:rPr>
        <w:t xml:space="preserve"> with prejudice, and referred the public safety concerns raised in the Complaint to the Commission’s Bureau of Investigation and Enforcement (I&amp;E) for whatever action it deemed necessary</w:t>
      </w:r>
      <w:r w:rsidR="000C466C" w:rsidRPr="0098057F">
        <w:rPr>
          <w:spacing w:val="-3"/>
          <w:sz w:val="26"/>
          <w:szCs w:val="24"/>
        </w:rPr>
        <w:t xml:space="preserve">.  </w:t>
      </w:r>
    </w:p>
    <w:p w:rsidR="003E1E14" w:rsidRDefault="003E1E14" w:rsidP="00ED2D21">
      <w:pPr>
        <w:spacing w:line="360" w:lineRule="auto"/>
        <w:rPr>
          <w:spacing w:val="-3"/>
          <w:sz w:val="26"/>
          <w:szCs w:val="24"/>
        </w:rPr>
      </w:pPr>
    </w:p>
    <w:p w:rsidR="000D6250" w:rsidRDefault="003E1E14" w:rsidP="00796CE8">
      <w:pPr>
        <w:pStyle w:val="FootnoteText"/>
        <w:spacing w:line="360" w:lineRule="auto"/>
        <w:rPr>
          <w:spacing w:val="-3"/>
          <w:sz w:val="26"/>
          <w:szCs w:val="24"/>
        </w:rPr>
      </w:pPr>
      <w:r>
        <w:rPr>
          <w:spacing w:val="-3"/>
          <w:sz w:val="26"/>
          <w:szCs w:val="24"/>
        </w:rPr>
        <w:lastRenderedPageBreak/>
        <w:tab/>
      </w:r>
      <w:r>
        <w:rPr>
          <w:spacing w:val="-3"/>
          <w:sz w:val="26"/>
          <w:szCs w:val="24"/>
        </w:rPr>
        <w:tab/>
      </w:r>
      <w:r w:rsidR="000C466C" w:rsidRPr="0098057F">
        <w:rPr>
          <w:spacing w:val="-3"/>
          <w:sz w:val="26"/>
          <w:szCs w:val="24"/>
        </w:rPr>
        <w:t>As previously noted, the Complainant</w:t>
      </w:r>
      <w:r w:rsidR="00796CE8">
        <w:rPr>
          <w:spacing w:val="-3"/>
          <w:sz w:val="26"/>
          <w:szCs w:val="24"/>
        </w:rPr>
        <w:t>s</w:t>
      </w:r>
      <w:r w:rsidR="000C466C" w:rsidRPr="0098057F">
        <w:rPr>
          <w:spacing w:val="-3"/>
          <w:sz w:val="26"/>
          <w:szCs w:val="24"/>
        </w:rPr>
        <w:t xml:space="preserve"> filed Exceptions on </w:t>
      </w:r>
      <w:r>
        <w:rPr>
          <w:spacing w:val="-3"/>
          <w:sz w:val="26"/>
          <w:szCs w:val="24"/>
        </w:rPr>
        <w:t>January 15, 2016.</w:t>
      </w:r>
      <w:r w:rsidR="00F12367" w:rsidRPr="0098057F">
        <w:rPr>
          <w:rStyle w:val="FootnoteReference"/>
          <w:spacing w:val="-3"/>
          <w:sz w:val="26"/>
          <w:szCs w:val="24"/>
        </w:rPr>
        <w:footnoteReference w:id="5"/>
      </w:r>
      <w:r w:rsidR="000C466C" w:rsidRPr="0098057F">
        <w:rPr>
          <w:spacing w:val="-3"/>
          <w:sz w:val="26"/>
          <w:szCs w:val="24"/>
        </w:rPr>
        <w:t xml:space="preserve">  PECO filed Replies to Exceptions on </w:t>
      </w:r>
      <w:r>
        <w:rPr>
          <w:spacing w:val="-3"/>
          <w:sz w:val="26"/>
          <w:szCs w:val="24"/>
        </w:rPr>
        <w:t>February 19</w:t>
      </w:r>
      <w:r w:rsidR="000C466C" w:rsidRPr="0098057F">
        <w:rPr>
          <w:spacing w:val="-3"/>
          <w:sz w:val="26"/>
          <w:szCs w:val="24"/>
        </w:rPr>
        <w:t>, 201</w:t>
      </w:r>
      <w:r>
        <w:rPr>
          <w:spacing w:val="-3"/>
          <w:sz w:val="26"/>
          <w:szCs w:val="24"/>
        </w:rPr>
        <w:t>6</w:t>
      </w:r>
      <w:r w:rsidR="000C466C" w:rsidRPr="0098057F">
        <w:rPr>
          <w:spacing w:val="-3"/>
          <w:sz w:val="26"/>
          <w:szCs w:val="24"/>
        </w:rPr>
        <w:t>.</w:t>
      </w:r>
      <w:r w:rsidR="00236B48">
        <w:rPr>
          <w:rStyle w:val="FootnoteReference"/>
          <w:spacing w:val="-3"/>
          <w:sz w:val="26"/>
          <w:szCs w:val="24"/>
        </w:rPr>
        <w:footnoteReference w:id="6"/>
      </w:r>
      <w:r w:rsidR="00796CE8">
        <w:rPr>
          <w:spacing w:val="-3"/>
          <w:sz w:val="26"/>
          <w:szCs w:val="24"/>
        </w:rPr>
        <w:t xml:space="preserve">  </w:t>
      </w:r>
    </w:p>
    <w:p w:rsidR="00660A79" w:rsidRDefault="00660A79" w:rsidP="00796CE8">
      <w:pPr>
        <w:pStyle w:val="FootnoteText"/>
        <w:spacing w:line="360" w:lineRule="auto"/>
        <w:rPr>
          <w:spacing w:val="-3"/>
          <w:sz w:val="26"/>
          <w:szCs w:val="24"/>
        </w:rPr>
      </w:pPr>
    </w:p>
    <w:p w:rsidR="00796CE8" w:rsidRPr="00735BE0" w:rsidRDefault="000D6250" w:rsidP="00796CE8">
      <w:pPr>
        <w:pStyle w:val="FootnoteText"/>
        <w:spacing w:line="360" w:lineRule="auto"/>
        <w:rPr>
          <w:sz w:val="26"/>
          <w:szCs w:val="26"/>
        </w:rPr>
      </w:pPr>
      <w:r>
        <w:rPr>
          <w:spacing w:val="-3"/>
          <w:sz w:val="26"/>
          <w:szCs w:val="24"/>
        </w:rPr>
        <w:tab/>
      </w:r>
      <w:r>
        <w:rPr>
          <w:spacing w:val="-3"/>
          <w:sz w:val="26"/>
          <w:szCs w:val="24"/>
        </w:rPr>
        <w:tab/>
      </w:r>
      <w:r w:rsidR="00796CE8">
        <w:rPr>
          <w:spacing w:val="-3"/>
          <w:sz w:val="26"/>
          <w:szCs w:val="24"/>
        </w:rPr>
        <w:t>On February 22, 2016, the Complainants also filed a letter in response to PECO’s Replies to Exceptions.  Because o</w:t>
      </w:r>
      <w:r w:rsidR="00796CE8" w:rsidRPr="00735BE0">
        <w:rPr>
          <w:sz w:val="26"/>
          <w:szCs w:val="26"/>
        </w:rPr>
        <w:t xml:space="preserve">ur Regulations </w:t>
      </w:r>
      <w:r w:rsidR="00796CE8">
        <w:rPr>
          <w:sz w:val="26"/>
          <w:szCs w:val="26"/>
        </w:rPr>
        <w:t xml:space="preserve">at 52 Pa. Code §§ 5.533 and 5.535 </w:t>
      </w:r>
      <w:r w:rsidR="00796CE8" w:rsidRPr="00735BE0">
        <w:rPr>
          <w:sz w:val="26"/>
          <w:szCs w:val="26"/>
        </w:rPr>
        <w:t>do not provide for a response to Replies to Exceptions</w:t>
      </w:r>
      <w:r w:rsidR="00796CE8">
        <w:rPr>
          <w:sz w:val="26"/>
          <w:szCs w:val="26"/>
        </w:rPr>
        <w:t>, we</w:t>
      </w:r>
      <w:r w:rsidR="00796CE8" w:rsidRPr="00735BE0">
        <w:rPr>
          <w:sz w:val="26"/>
          <w:szCs w:val="26"/>
        </w:rPr>
        <w:t xml:space="preserve"> will not consider th</w:t>
      </w:r>
      <w:r w:rsidR="00796CE8">
        <w:rPr>
          <w:sz w:val="26"/>
          <w:szCs w:val="26"/>
        </w:rPr>
        <w:t>e Complainants’ response</w:t>
      </w:r>
      <w:r w:rsidR="00796CE8" w:rsidRPr="00735BE0">
        <w:rPr>
          <w:sz w:val="26"/>
          <w:szCs w:val="26"/>
        </w:rPr>
        <w:t xml:space="preserve"> in rendering </w:t>
      </w:r>
      <w:r w:rsidR="00796CE8">
        <w:rPr>
          <w:sz w:val="26"/>
          <w:szCs w:val="26"/>
        </w:rPr>
        <w:t>the instant</w:t>
      </w:r>
      <w:r w:rsidR="00796CE8" w:rsidRPr="00735BE0">
        <w:rPr>
          <w:sz w:val="26"/>
          <w:szCs w:val="26"/>
        </w:rPr>
        <w:t xml:space="preserve"> decision.</w:t>
      </w:r>
    </w:p>
    <w:p w:rsidR="000D6299" w:rsidRDefault="000C466C" w:rsidP="00CD6068">
      <w:pPr>
        <w:spacing w:line="360" w:lineRule="auto"/>
        <w:rPr>
          <w:sz w:val="26"/>
          <w:szCs w:val="26"/>
        </w:rPr>
      </w:pPr>
      <w:r w:rsidRPr="0098057F">
        <w:rPr>
          <w:spacing w:val="-3"/>
          <w:sz w:val="26"/>
          <w:szCs w:val="24"/>
        </w:rPr>
        <w:t xml:space="preserve">    </w:t>
      </w:r>
      <w:r w:rsidR="00ED2D21" w:rsidRPr="00ED2D21">
        <w:rPr>
          <w:spacing w:val="-3"/>
          <w:sz w:val="26"/>
          <w:szCs w:val="24"/>
        </w:rPr>
        <w:tab/>
      </w:r>
    </w:p>
    <w:p w:rsidR="008E5758" w:rsidRPr="008E5758" w:rsidRDefault="00DB44D9" w:rsidP="00181958">
      <w:pPr>
        <w:widowControl/>
        <w:spacing w:after="200" w:line="276"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DB44D9" w:rsidRPr="000522FC" w:rsidRDefault="008E5758" w:rsidP="00DB44D9">
      <w:pPr>
        <w:widowControl/>
        <w:spacing w:line="360" w:lineRule="auto"/>
        <w:ind w:firstLine="1440"/>
        <w:rPr>
          <w:sz w:val="26"/>
          <w:szCs w:val="26"/>
        </w:rPr>
      </w:pPr>
      <w:r>
        <w:rPr>
          <w:sz w:val="26"/>
          <w:szCs w:val="26"/>
        </w:rPr>
        <w:t>Initially</w:t>
      </w:r>
      <w:r w:rsidRPr="00A031AA">
        <w:rPr>
          <w:sz w:val="26"/>
          <w:szCs w:val="26"/>
        </w:rPr>
        <w:t>, we note that any issue or Exception that we do not specifically delineate shall be deemed to have been duly considered and denied without further discussion.  It is well</w:t>
      </w:r>
      <w:r w:rsidR="004C3FEB">
        <w:rPr>
          <w:sz w:val="26"/>
          <w:szCs w:val="26"/>
        </w:rPr>
        <w:t>-</w:t>
      </w:r>
      <w:r w:rsidRPr="00A031AA">
        <w:rPr>
          <w:sz w:val="26"/>
          <w:szCs w:val="26"/>
        </w:rPr>
        <w:t xml:space="preserve">settled that the Commission is not required to consider expressly or at length each contention or argument raised by the parties.  </w:t>
      </w:r>
      <w:hyperlink r:id="rId9" w:history="1">
        <w:r w:rsidRPr="00A031AA">
          <w:rPr>
            <w:rStyle w:val="Emphasis"/>
            <w:sz w:val="26"/>
            <w:szCs w:val="26"/>
          </w:rPr>
          <w:t>Consolidated Ra</w:t>
        </w:r>
        <w:r w:rsidRPr="00A031AA">
          <w:rPr>
            <w:rStyle w:val="Emphasis"/>
            <w:color w:val="000000"/>
            <w:sz w:val="26"/>
            <w:szCs w:val="26"/>
          </w:rPr>
          <w:t xml:space="preserve">il Corp. v. Pa. PUC, </w:t>
        </w:r>
        <w:r w:rsidRPr="00A031AA">
          <w:rPr>
            <w:rStyle w:val="Hyperlink"/>
            <w:color w:val="000000"/>
            <w:sz w:val="26"/>
            <w:szCs w:val="26"/>
            <w:u w:val="none"/>
          </w:rPr>
          <w:t>625 A.2d 741 (Pa. Cmwlth.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hyperlink r:id="rId10" w:history="1">
        <w:r w:rsidRPr="000522FC">
          <w:rPr>
            <w:rStyle w:val="Emphasis"/>
            <w:color w:val="000000"/>
            <w:sz w:val="26"/>
            <w:szCs w:val="26"/>
          </w:rPr>
          <w:t>University of Pennsylvania v. Pa. PUC</w:t>
        </w:r>
        <w:r w:rsidRPr="000522FC">
          <w:rPr>
            <w:rStyle w:val="Hyperlink"/>
            <w:color w:val="000000"/>
            <w:sz w:val="26"/>
            <w:szCs w:val="26"/>
            <w:u w:val="none"/>
          </w:rPr>
          <w:t>, 485 A.2d 1217 (Pa. Cmwlth. 1984).</w:t>
        </w:r>
      </w:hyperlink>
      <w:r w:rsidRPr="000522FC">
        <w:rPr>
          <w:sz w:val="26"/>
          <w:szCs w:val="26"/>
        </w:rPr>
        <w:t xml:space="preserve"> </w:t>
      </w:r>
    </w:p>
    <w:p w:rsidR="00DB44D9" w:rsidRPr="000522FC" w:rsidRDefault="00DB44D9" w:rsidP="00DB44D9">
      <w:pPr>
        <w:widowControl/>
        <w:tabs>
          <w:tab w:val="left" w:pos="-720"/>
        </w:tabs>
        <w:suppressAutoHyphens/>
        <w:spacing w:line="360" w:lineRule="auto"/>
        <w:rPr>
          <w:b/>
          <w:sz w:val="26"/>
        </w:rPr>
      </w:pPr>
    </w:p>
    <w:p w:rsidR="000522FC" w:rsidRDefault="000522FC" w:rsidP="000522FC">
      <w:pPr>
        <w:widowControl/>
        <w:spacing w:line="360" w:lineRule="auto"/>
        <w:rPr>
          <w:sz w:val="26"/>
          <w:szCs w:val="26"/>
        </w:rPr>
      </w:pPr>
      <w:r w:rsidRPr="000522FC">
        <w:rPr>
          <w:sz w:val="26"/>
          <w:szCs w:val="26"/>
        </w:rPr>
        <w:tab/>
      </w:r>
      <w:r w:rsidRPr="000522FC">
        <w:rPr>
          <w:sz w:val="26"/>
          <w:szCs w:val="26"/>
        </w:rPr>
        <w:tab/>
        <w:t>In h</w:t>
      </w:r>
      <w:r w:rsidR="000D03D1">
        <w:rPr>
          <w:sz w:val="26"/>
          <w:szCs w:val="26"/>
        </w:rPr>
        <w:t>is</w:t>
      </w:r>
      <w:r w:rsidRPr="000522FC">
        <w:rPr>
          <w:sz w:val="26"/>
          <w:szCs w:val="26"/>
        </w:rPr>
        <w:t xml:space="preserve"> Initial Decision, ALJ </w:t>
      </w:r>
      <w:r w:rsidR="000D03D1">
        <w:rPr>
          <w:sz w:val="26"/>
          <w:szCs w:val="26"/>
        </w:rPr>
        <w:t>Salapa</w:t>
      </w:r>
      <w:r w:rsidRPr="000522FC">
        <w:rPr>
          <w:sz w:val="26"/>
          <w:szCs w:val="26"/>
        </w:rPr>
        <w:t xml:space="preserve"> made </w:t>
      </w:r>
      <w:r w:rsidR="00F017F0">
        <w:rPr>
          <w:sz w:val="26"/>
          <w:szCs w:val="26"/>
        </w:rPr>
        <w:t>s</w:t>
      </w:r>
      <w:r w:rsidR="00E32CE3">
        <w:rPr>
          <w:sz w:val="26"/>
          <w:szCs w:val="26"/>
        </w:rPr>
        <w:t>i</w:t>
      </w:r>
      <w:r w:rsidR="00F017F0">
        <w:rPr>
          <w:sz w:val="26"/>
          <w:szCs w:val="26"/>
        </w:rPr>
        <w:t>x</w:t>
      </w:r>
      <w:r w:rsidRPr="000522FC">
        <w:rPr>
          <w:sz w:val="26"/>
          <w:szCs w:val="26"/>
        </w:rPr>
        <w:t xml:space="preserve"> Findings of Fact and reached </w:t>
      </w:r>
      <w:r w:rsidR="00E32CE3">
        <w:rPr>
          <w:sz w:val="26"/>
          <w:szCs w:val="26"/>
        </w:rPr>
        <w:t>three</w:t>
      </w:r>
      <w:r w:rsidRPr="000522FC">
        <w:rPr>
          <w:sz w:val="26"/>
          <w:szCs w:val="26"/>
        </w:rPr>
        <w:t xml:space="preserve"> Conclusions of Law.  I.D. at 4, </w:t>
      </w:r>
      <w:r w:rsidR="00F017F0">
        <w:rPr>
          <w:sz w:val="26"/>
          <w:szCs w:val="26"/>
        </w:rPr>
        <w:t>10</w:t>
      </w:r>
      <w:r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055C2A" w:rsidRDefault="00055C2A" w:rsidP="000522FC">
      <w:pPr>
        <w:widowControl/>
        <w:spacing w:line="360" w:lineRule="auto"/>
        <w:rPr>
          <w:sz w:val="26"/>
          <w:szCs w:val="26"/>
        </w:rPr>
      </w:pPr>
    </w:p>
    <w:p w:rsidR="00DB44D9" w:rsidRDefault="00DB44D9" w:rsidP="00DB13EB">
      <w:pPr>
        <w:widowControl/>
        <w:tabs>
          <w:tab w:val="left" w:pos="-720"/>
        </w:tabs>
        <w:suppressAutoHyphens/>
        <w:spacing w:line="360" w:lineRule="auto"/>
        <w:rPr>
          <w:b/>
          <w:sz w:val="26"/>
        </w:rPr>
      </w:pPr>
      <w:r w:rsidRPr="00910FEF">
        <w:rPr>
          <w:b/>
          <w:sz w:val="26"/>
        </w:rPr>
        <w:t>Legal Standards</w:t>
      </w:r>
    </w:p>
    <w:p w:rsidR="00E07612" w:rsidRPr="00910FEF" w:rsidRDefault="00E07612" w:rsidP="00DB13EB">
      <w:pPr>
        <w:widowControl/>
        <w:tabs>
          <w:tab w:val="left" w:pos="-720"/>
        </w:tabs>
        <w:suppressAutoHyphens/>
        <w:spacing w:line="360" w:lineRule="auto"/>
        <w:rPr>
          <w:sz w:val="26"/>
        </w:rPr>
      </w:pPr>
    </w:p>
    <w:p w:rsidR="00DB44D9" w:rsidRPr="00910FEF" w:rsidRDefault="00DB44D9" w:rsidP="00506975">
      <w:pPr>
        <w:keepNext/>
        <w:widowControl/>
        <w:tabs>
          <w:tab w:val="left" w:pos="0"/>
        </w:tabs>
        <w:spacing w:line="360" w:lineRule="auto"/>
        <w:ind w:firstLine="1440"/>
        <w:rPr>
          <w:sz w:val="26"/>
          <w:szCs w:val="24"/>
        </w:rPr>
      </w:pPr>
      <w:r w:rsidRPr="00910FEF">
        <w:rPr>
          <w:sz w:val="26"/>
          <w:szCs w:val="24"/>
        </w:rPr>
        <w:t xml:space="preserve">Section 5.101 of our Regulations, 52 Pa. Code § 5.101, sets forth the grounds for granting preliminary objections.  That section provides as follows: </w:t>
      </w:r>
    </w:p>
    <w:p w:rsidR="00DB44D9" w:rsidRDefault="00DB44D9" w:rsidP="00216BB4">
      <w:pPr>
        <w:widowControl/>
        <w:spacing w:line="360" w:lineRule="auto"/>
        <w:ind w:left="1440" w:right="1440"/>
        <w:rPr>
          <w:b/>
          <w:sz w:val="26"/>
          <w:szCs w:val="24"/>
        </w:rPr>
      </w:pPr>
    </w:p>
    <w:p w:rsidR="00DB44D9" w:rsidRPr="00910FEF" w:rsidRDefault="00DB44D9" w:rsidP="00DB44D9">
      <w:pPr>
        <w:widowControl/>
        <w:ind w:left="1440" w:right="1440"/>
        <w:rPr>
          <w:b/>
          <w:sz w:val="26"/>
          <w:szCs w:val="24"/>
        </w:rPr>
      </w:pPr>
      <w:r w:rsidRPr="00910FEF">
        <w:rPr>
          <w:b/>
          <w:sz w:val="26"/>
          <w:szCs w:val="24"/>
        </w:rPr>
        <w:t>§ 5.101.  Preliminary objections.</w:t>
      </w:r>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contextualSpacing/>
        <w:rPr>
          <w:sz w:val="26"/>
          <w:szCs w:val="24"/>
        </w:rPr>
      </w:pPr>
      <w:r w:rsidRPr="00910FEF">
        <w:rPr>
          <w:sz w:val="26"/>
          <w:szCs w:val="24"/>
        </w:rPr>
        <w:t>(a)</w:t>
      </w:r>
      <w:r w:rsidRPr="00910FEF">
        <w:rPr>
          <w:sz w:val="26"/>
          <w:szCs w:val="24"/>
        </w:rPr>
        <w:tab/>
      </w:r>
      <w:r w:rsidRPr="00910FEF">
        <w:rPr>
          <w:i/>
          <w:sz w:val="26"/>
          <w:szCs w:val="24"/>
        </w:rPr>
        <w:t>Grounds.</w:t>
      </w:r>
      <w:r w:rsidRPr="00910FEF">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B44D9" w:rsidRPr="00910FEF" w:rsidRDefault="00DB44D9" w:rsidP="00DB44D9">
      <w:pPr>
        <w:widowControl/>
        <w:spacing w:before="100" w:beforeAutospacing="1" w:after="100" w:afterAutospacing="1"/>
        <w:ind w:left="1440" w:right="1440"/>
        <w:rPr>
          <w:sz w:val="26"/>
          <w:szCs w:val="24"/>
        </w:rPr>
      </w:pPr>
      <w:bookmarkStart w:id="0" w:name="5.101."/>
      <w:r w:rsidRPr="00910FEF">
        <w:rPr>
          <w:sz w:val="26"/>
          <w:szCs w:val="24"/>
        </w:rPr>
        <w:t> </w:t>
      </w:r>
      <w:r w:rsidRPr="00910FEF">
        <w:rPr>
          <w:sz w:val="26"/>
          <w:szCs w:val="24"/>
        </w:rPr>
        <w:tab/>
        <w:t>(1)</w:t>
      </w:r>
      <w:r w:rsidRPr="00910FEF">
        <w:rPr>
          <w:sz w:val="26"/>
          <w:szCs w:val="24"/>
        </w:rPr>
        <w:tab/>
        <w:t xml:space="preserve">Lack of Commission jurisdiction or improper service of the pleading initiating the proceeding.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(2)</w:t>
      </w:r>
      <w:r w:rsidRPr="00910FEF">
        <w:rPr>
          <w:sz w:val="26"/>
          <w:szCs w:val="24"/>
        </w:rPr>
        <w:tab/>
        <w:t xml:space="preserve">Failure of a pleading to conform to this chapter or the inclusion of scandalous or impertinent matter.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(3)</w:t>
      </w:r>
      <w:r w:rsidRPr="00910FEF">
        <w:rPr>
          <w:sz w:val="26"/>
          <w:szCs w:val="24"/>
        </w:rPr>
        <w:tab/>
        <w:t xml:space="preserve">Insufficient specificity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(4)</w:t>
      </w:r>
      <w:r w:rsidRPr="00910FEF">
        <w:rPr>
          <w:sz w:val="26"/>
          <w:szCs w:val="24"/>
        </w:rPr>
        <w:tab/>
        <w:t xml:space="preserve">Legal insufficiency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(5)</w:t>
      </w:r>
      <w:r w:rsidRPr="00910FEF">
        <w:rPr>
          <w:sz w:val="26"/>
          <w:szCs w:val="24"/>
        </w:rPr>
        <w:tab/>
        <w:t xml:space="preserve">Lack of capacity to sue, nonjoinder of a necessary party or misjoinder of a cause of action. </w:t>
      </w:r>
    </w:p>
    <w:bookmarkEnd w:id="0"/>
    <w:p w:rsidR="00DB44D9" w:rsidRDefault="00DB44D9" w:rsidP="00DB44D9">
      <w:pPr>
        <w:widowControl/>
        <w:ind w:left="1440" w:right="1440"/>
        <w:contextualSpacing/>
        <w:rPr>
          <w:sz w:val="26"/>
          <w:szCs w:val="24"/>
        </w:rPr>
      </w:pPr>
      <w:r w:rsidRPr="00910FEF">
        <w:rPr>
          <w:sz w:val="26"/>
          <w:szCs w:val="24"/>
        </w:rPr>
        <w:tab/>
        <w:t>(6)</w:t>
      </w:r>
      <w:r w:rsidRPr="00910FEF">
        <w:rPr>
          <w:sz w:val="26"/>
          <w:szCs w:val="24"/>
        </w:rPr>
        <w:tab/>
        <w:t>Pendency of a prior proceeding or agreement for alternative dispute resolution.</w:t>
      </w:r>
    </w:p>
    <w:p w:rsidR="007D1A8D" w:rsidRDefault="007D1A8D" w:rsidP="00DB44D9">
      <w:pPr>
        <w:widowControl/>
        <w:ind w:left="1440" w:right="1440"/>
        <w:contextualSpacing/>
        <w:rPr>
          <w:sz w:val="26"/>
          <w:szCs w:val="24"/>
        </w:rPr>
      </w:pPr>
    </w:p>
    <w:p w:rsidR="007D1A8D" w:rsidRDefault="007D1A8D" w:rsidP="00CB4AA3">
      <w:pPr>
        <w:widowControl/>
        <w:ind w:left="1440" w:right="1440" w:firstLine="720"/>
        <w:contextualSpacing/>
        <w:rPr>
          <w:sz w:val="26"/>
          <w:szCs w:val="24"/>
        </w:rPr>
      </w:pPr>
      <w:r>
        <w:rPr>
          <w:sz w:val="26"/>
          <w:szCs w:val="24"/>
        </w:rPr>
        <w:lastRenderedPageBreak/>
        <w:t>(7)</w:t>
      </w:r>
      <w:r>
        <w:rPr>
          <w:sz w:val="26"/>
          <w:szCs w:val="24"/>
        </w:rPr>
        <w:tab/>
        <w:t>Standing of a party to participate in the proceeding.</w:t>
      </w:r>
    </w:p>
    <w:p w:rsidR="00CA6434" w:rsidRDefault="00CA6434" w:rsidP="00CB4AA3">
      <w:pPr>
        <w:widowControl/>
        <w:ind w:left="1440" w:right="1440" w:firstLine="720"/>
        <w:contextualSpacing/>
        <w:rPr>
          <w:sz w:val="26"/>
          <w:szCs w:val="24"/>
        </w:rPr>
      </w:pPr>
    </w:p>
    <w:p w:rsidR="00CA6434" w:rsidRPr="00910FEF" w:rsidRDefault="00CA6434" w:rsidP="00CB4AA3">
      <w:pPr>
        <w:widowControl/>
        <w:ind w:left="1440" w:right="1440" w:firstLine="720"/>
        <w:contextualSpacing/>
        <w:rPr>
          <w:sz w:val="26"/>
          <w:szCs w:val="24"/>
        </w:rPr>
      </w:pPr>
    </w:p>
    <w:p w:rsidR="00DB44D9" w:rsidRPr="00910FEF" w:rsidRDefault="00DB44D9" w:rsidP="00DB44D9">
      <w:pPr>
        <w:widowControl/>
        <w:spacing w:line="360" w:lineRule="auto"/>
        <w:ind w:left="1440" w:right="1440" w:hanging="1440"/>
        <w:contextualSpacing/>
        <w:rPr>
          <w:sz w:val="26"/>
          <w:szCs w:val="24"/>
        </w:rPr>
      </w:pPr>
      <w:r w:rsidRPr="00910FEF">
        <w:rPr>
          <w:sz w:val="26"/>
          <w:szCs w:val="24"/>
        </w:rPr>
        <w:t>52 Pa. Code § 5.101(a).</w:t>
      </w:r>
    </w:p>
    <w:p w:rsidR="00DB44D9" w:rsidRPr="00910FEF" w:rsidRDefault="00DB44D9" w:rsidP="00DB44D9">
      <w:pPr>
        <w:widowControl/>
        <w:spacing w:line="360" w:lineRule="auto"/>
        <w:ind w:left="1440" w:right="1440" w:hanging="1440"/>
        <w:contextualSpacing/>
        <w:rPr>
          <w:sz w:val="26"/>
          <w:szCs w:val="24"/>
        </w:rPr>
      </w:pPr>
    </w:p>
    <w:p w:rsidR="00DB44D9" w:rsidRDefault="00DB44D9" w:rsidP="00DB44D9">
      <w:pPr>
        <w:widowControl/>
        <w:tabs>
          <w:tab w:val="left" w:pos="-720"/>
        </w:tabs>
        <w:suppressAutoHyphens/>
        <w:autoSpaceDE w:val="0"/>
        <w:autoSpaceDN w:val="0"/>
        <w:spacing w:line="360" w:lineRule="auto"/>
        <w:ind w:firstLine="1440"/>
        <w:rPr>
          <w:rFonts w:cs="CG Times"/>
          <w:sz w:val="26"/>
          <w:szCs w:val="26"/>
        </w:rPr>
      </w:pPr>
      <w:r w:rsidRPr="00910FEF">
        <w:rPr>
          <w:rFonts w:cs="CG Times"/>
          <w:color w:val="000000"/>
          <w:sz w:val="26"/>
          <w:szCs w:val="26"/>
        </w:rPr>
        <w:t xml:space="preserve">Commission procedure </w:t>
      </w:r>
      <w:r w:rsidRPr="00910FEF">
        <w:rPr>
          <w:rFonts w:cs="CG Times"/>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910FEF">
        <w:rPr>
          <w:rFonts w:cs="CG Times"/>
          <w:i/>
          <w:sz w:val="26"/>
          <w:szCs w:val="26"/>
        </w:rPr>
        <w:t>Interstate Traveller Services, Inc. v. Pa. Dep’t of Environmental Resources</w:t>
      </w:r>
      <w:r w:rsidRPr="00910FEF">
        <w:rPr>
          <w:rFonts w:cs="CG Times"/>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910FEF">
        <w:rPr>
          <w:rFonts w:cs="CG Times"/>
          <w:i/>
          <w:sz w:val="26"/>
          <w:szCs w:val="26"/>
        </w:rPr>
        <w:t>County of Allegheny v. Commonwealth</w:t>
      </w:r>
      <w:r w:rsidRPr="00910FEF">
        <w:rPr>
          <w:rFonts w:cs="CG Times"/>
          <w:sz w:val="26"/>
          <w:szCs w:val="26"/>
        </w:rPr>
        <w:t xml:space="preserve"> </w:t>
      </w:r>
      <w:r w:rsidRPr="00910FEF">
        <w:rPr>
          <w:rFonts w:cs="CG Times"/>
          <w:i/>
          <w:sz w:val="26"/>
          <w:szCs w:val="26"/>
        </w:rPr>
        <w:t>of Pa.</w:t>
      </w:r>
      <w:r w:rsidRPr="00910FEF">
        <w:rPr>
          <w:rFonts w:cs="CG Times"/>
          <w:sz w:val="26"/>
          <w:szCs w:val="26"/>
        </w:rPr>
        <w:t xml:space="preserve">, 507 Pa. 360, 490 A.2d 402 (1985).  The preliminary objection may be granted only if the moving party prevails as a matter of law.  </w:t>
      </w:r>
      <w:r w:rsidRPr="00910FEF">
        <w:rPr>
          <w:rFonts w:cs="CG Times"/>
          <w:i/>
          <w:sz w:val="26"/>
          <w:szCs w:val="26"/>
        </w:rPr>
        <w:t>Rok v. Flaherty</w:t>
      </w:r>
      <w:r w:rsidRPr="00910FEF">
        <w:rPr>
          <w:rFonts w:cs="CG Times"/>
          <w:sz w:val="26"/>
          <w:szCs w:val="26"/>
        </w:rPr>
        <w:t xml:space="preserve">, 527 A.2d 211 (Pa. Cmwlth. 1987).  Any doubt must be resolved in favor of the non-moving party by refusing to sustain the preliminary objections.  </w:t>
      </w:r>
      <w:r w:rsidRPr="00910FEF">
        <w:rPr>
          <w:rFonts w:cs="CG Times"/>
          <w:i/>
          <w:sz w:val="26"/>
          <w:szCs w:val="26"/>
        </w:rPr>
        <w:t xml:space="preserve">Dep’t of Auditor General, et al. v. </w:t>
      </w:r>
      <w:r w:rsidRPr="001B6C10">
        <w:rPr>
          <w:rFonts w:cs="CG Times"/>
          <w:i/>
          <w:sz w:val="26"/>
          <w:szCs w:val="26"/>
        </w:rPr>
        <w:t>State Employees’ Retirement System, et al.</w:t>
      </w:r>
      <w:r w:rsidRPr="001B6C10">
        <w:rPr>
          <w:rFonts w:cs="CG Times"/>
          <w:sz w:val="26"/>
          <w:szCs w:val="26"/>
        </w:rPr>
        <w:t>, 836 A.2d 1053, 1064 (Pa. Cmwlth. 2003) (</w:t>
      </w:r>
      <w:r w:rsidRPr="00F550C7">
        <w:rPr>
          <w:rFonts w:cs="CG Times"/>
          <w:sz w:val="26"/>
          <w:szCs w:val="26"/>
        </w:rPr>
        <w:t>citing</w:t>
      </w:r>
      <w:r w:rsidRPr="001B6C10">
        <w:rPr>
          <w:rFonts w:cs="CG Times"/>
          <w:i/>
          <w:sz w:val="26"/>
          <w:szCs w:val="26"/>
        </w:rPr>
        <w:t xml:space="preserve"> Boyd v. Ward</w:t>
      </w:r>
      <w:r w:rsidRPr="001B6C10">
        <w:rPr>
          <w:rFonts w:cs="CG Times"/>
          <w:sz w:val="26"/>
          <w:szCs w:val="26"/>
        </w:rPr>
        <w:t>, 802 A.2d 705 (Pa. Cmwlth. 2002)).</w:t>
      </w:r>
    </w:p>
    <w:p w:rsidR="004A1EAD" w:rsidRDefault="004A1EAD" w:rsidP="00DB44D9">
      <w:pPr>
        <w:widowControl/>
        <w:tabs>
          <w:tab w:val="left" w:pos="-720"/>
        </w:tabs>
        <w:suppressAutoHyphens/>
        <w:autoSpaceDE w:val="0"/>
        <w:autoSpaceDN w:val="0"/>
        <w:spacing w:line="360" w:lineRule="auto"/>
        <w:ind w:firstLine="1440"/>
        <w:rPr>
          <w:rFonts w:cs="CG Times"/>
          <w:sz w:val="26"/>
          <w:szCs w:val="26"/>
        </w:rPr>
      </w:pPr>
    </w:p>
    <w:p w:rsidR="00DB44D9" w:rsidRPr="001B6C10" w:rsidRDefault="00DB44D9" w:rsidP="00DB44D9">
      <w:pPr>
        <w:widowControl/>
        <w:spacing w:line="360" w:lineRule="auto"/>
        <w:rPr>
          <w:b/>
          <w:sz w:val="26"/>
          <w:szCs w:val="26"/>
        </w:rPr>
      </w:pPr>
      <w:r w:rsidRPr="001B6C10">
        <w:rPr>
          <w:b/>
          <w:sz w:val="26"/>
          <w:szCs w:val="26"/>
        </w:rPr>
        <w:t xml:space="preserve">ALJ’s Initial Decision </w:t>
      </w:r>
    </w:p>
    <w:p w:rsidR="000522FC" w:rsidRPr="001B6C10" w:rsidRDefault="000522FC" w:rsidP="00DB44D9">
      <w:pPr>
        <w:widowControl/>
        <w:spacing w:line="360" w:lineRule="auto"/>
        <w:rPr>
          <w:b/>
          <w:sz w:val="26"/>
          <w:szCs w:val="26"/>
        </w:rPr>
      </w:pPr>
    </w:p>
    <w:p w:rsidR="00853365" w:rsidRDefault="001B6C10" w:rsidP="00853365">
      <w:pPr>
        <w:widowControl/>
        <w:spacing w:line="360" w:lineRule="auto"/>
        <w:rPr>
          <w:sz w:val="26"/>
          <w:szCs w:val="26"/>
        </w:rPr>
      </w:pPr>
      <w:r>
        <w:rPr>
          <w:sz w:val="26"/>
          <w:szCs w:val="26"/>
        </w:rPr>
        <w:tab/>
      </w:r>
      <w:r>
        <w:rPr>
          <w:sz w:val="26"/>
          <w:szCs w:val="26"/>
        </w:rPr>
        <w:tab/>
      </w:r>
      <w:r w:rsidR="00CC7128">
        <w:rPr>
          <w:sz w:val="26"/>
          <w:szCs w:val="26"/>
        </w:rPr>
        <w:t>The ALJ initially stated that, viewing the Complaint in the light most favorable to the Complainant</w:t>
      </w:r>
      <w:r w:rsidR="00DD28B4">
        <w:rPr>
          <w:sz w:val="26"/>
          <w:szCs w:val="26"/>
        </w:rPr>
        <w:t>s</w:t>
      </w:r>
      <w:r w:rsidR="00CC7128">
        <w:rPr>
          <w:sz w:val="26"/>
          <w:szCs w:val="26"/>
        </w:rPr>
        <w:t>, the Complainant</w:t>
      </w:r>
      <w:r w:rsidR="00DD28B4">
        <w:rPr>
          <w:sz w:val="26"/>
          <w:szCs w:val="26"/>
        </w:rPr>
        <w:t>s</w:t>
      </w:r>
      <w:r w:rsidR="00CC7128">
        <w:rPr>
          <w:sz w:val="26"/>
          <w:szCs w:val="26"/>
        </w:rPr>
        <w:t xml:space="preserve"> do not want a smart meter installed at </w:t>
      </w:r>
      <w:r w:rsidR="00DD28B4">
        <w:rPr>
          <w:sz w:val="26"/>
          <w:szCs w:val="26"/>
        </w:rPr>
        <w:t>their</w:t>
      </w:r>
      <w:r w:rsidR="00CC7128">
        <w:rPr>
          <w:sz w:val="26"/>
          <w:szCs w:val="26"/>
        </w:rPr>
        <w:t xml:space="preserve"> residence and object to the termination of </w:t>
      </w:r>
      <w:r w:rsidR="00DD28B4">
        <w:rPr>
          <w:sz w:val="26"/>
          <w:szCs w:val="26"/>
        </w:rPr>
        <w:t>t</w:t>
      </w:r>
      <w:r w:rsidR="00CC7128">
        <w:rPr>
          <w:sz w:val="26"/>
          <w:szCs w:val="26"/>
        </w:rPr>
        <w:t>h</w:t>
      </w:r>
      <w:r w:rsidR="00DD28B4">
        <w:rPr>
          <w:sz w:val="26"/>
          <w:szCs w:val="26"/>
        </w:rPr>
        <w:t>eir</w:t>
      </w:r>
      <w:r w:rsidR="00CC7128">
        <w:rPr>
          <w:sz w:val="26"/>
          <w:szCs w:val="26"/>
        </w:rPr>
        <w:t xml:space="preserve"> service.  </w:t>
      </w:r>
      <w:r w:rsidR="00853365">
        <w:rPr>
          <w:sz w:val="26"/>
          <w:szCs w:val="26"/>
        </w:rPr>
        <w:t xml:space="preserve">The ALJ found that </w:t>
      </w:r>
      <w:r w:rsidR="0017660F">
        <w:rPr>
          <w:sz w:val="26"/>
          <w:szCs w:val="26"/>
        </w:rPr>
        <w:t xml:space="preserve">accepting </w:t>
      </w:r>
      <w:r w:rsidR="006D02C4">
        <w:rPr>
          <w:sz w:val="26"/>
          <w:szCs w:val="26"/>
        </w:rPr>
        <w:t xml:space="preserve">these facts as alleged as true for the purpose of disposing of the Preliminary Objections, </w:t>
      </w:r>
      <w:r w:rsidR="003044D4">
        <w:rPr>
          <w:sz w:val="26"/>
          <w:szCs w:val="26"/>
        </w:rPr>
        <w:t>the Complain</w:t>
      </w:r>
      <w:r w:rsidR="00CC7128">
        <w:rPr>
          <w:sz w:val="26"/>
          <w:szCs w:val="26"/>
        </w:rPr>
        <w:t>ant</w:t>
      </w:r>
      <w:r w:rsidR="00DD28B4">
        <w:rPr>
          <w:sz w:val="26"/>
          <w:szCs w:val="26"/>
        </w:rPr>
        <w:t>s</w:t>
      </w:r>
      <w:r w:rsidR="003044D4">
        <w:rPr>
          <w:sz w:val="26"/>
          <w:szCs w:val="26"/>
        </w:rPr>
        <w:t xml:space="preserve"> failed to allege that PECO violated the Code, a Comm</w:t>
      </w:r>
      <w:r w:rsidR="0017660F">
        <w:rPr>
          <w:sz w:val="26"/>
          <w:szCs w:val="26"/>
        </w:rPr>
        <w:t xml:space="preserve">ission Order, </w:t>
      </w:r>
      <w:r w:rsidR="003044D4">
        <w:rPr>
          <w:sz w:val="26"/>
          <w:szCs w:val="26"/>
        </w:rPr>
        <w:t xml:space="preserve">or </w:t>
      </w:r>
      <w:r w:rsidR="0017660F">
        <w:rPr>
          <w:sz w:val="26"/>
          <w:szCs w:val="26"/>
        </w:rPr>
        <w:t xml:space="preserve">Regulation.  On this basis, the ALJ determined that the Complaint </w:t>
      </w:r>
      <w:r w:rsidR="003044D4">
        <w:rPr>
          <w:sz w:val="26"/>
          <w:szCs w:val="26"/>
        </w:rPr>
        <w:t>was legally insufficient</w:t>
      </w:r>
      <w:r w:rsidR="0017660F">
        <w:rPr>
          <w:sz w:val="26"/>
          <w:szCs w:val="26"/>
        </w:rPr>
        <w:t xml:space="preserve">.  </w:t>
      </w:r>
      <w:r w:rsidR="003044D4">
        <w:rPr>
          <w:sz w:val="26"/>
          <w:szCs w:val="26"/>
        </w:rPr>
        <w:t>I.D</w:t>
      </w:r>
      <w:r w:rsidR="0017660F">
        <w:rPr>
          <w:i/>
          <w:sz w:val="26"/>
          <w:szCs w:val="26"/>
        </w:rPr>
        <w:t xml:space="preserve">. </w:t>
      </w:r>
      <w:r w:rsidR="0017660F" w:rsidRPr="0017660F">
        <w:rPr>
          <w:sz w:val="26"/>
          <w:szCs w:val="26"/>
        </w:rPr>
        <w:t>a</w:t>
      </w:r>
      <w:r w:rsidR="0017660F">
        <w:rPr>
          <w:sz w:val="26"/>
          <w:szCs w:val="26"/>
        </w:rPr>
        <w:t xml:space="preserve">t </w:t>
      </w:r>
      <w:r w:rsidR="00CC7128">
        <w:rPr>
          <w:sz w:val="26"/>
          <w:szCs w:val="26"/>
        </w:rPr>
        <w:t>6</w:t>
      </w:r>
      <w:r w:rsidR="0017660F">
        <w:rPr>
          <w:sz w:val="26"/>
          <w:szCs w:val="26"/>
        </w:rPr>
        <w:t>.</w:t>
      </w:r>
      <w:r w:rsidR="003044D4">
        <w:rPr>
          <w:sz w:val="26"/>
          <w:szCs w:val="26"/>
        </w:rPr>
        <w:t xml:space="preserve">  </w:t>
      </w:r>
      <w:r w:rsidR="0017660F">
        <w:rPr>
          <w:sz w:val="26"/>
          <w:szCs w:val="26"/>
        </w:rPr>
        <w:t xml:space="preserve">  </w:t>
      </w:r>
    </w:p>
    <w:p w:rsidR="00616F2B" w:rsidRDefault="00616F2B" w:rsidP="00853365">
      <w:pPr>
        <w:widowControl/>
        <w:spacing w:line="360" w:lineRule="auto"/>
        <w:rPr>
          <w:sz w:val="26"/>
          <w:szCs w:val="26"/>
        </w:rPr>
      </w:pPr>
    </w:p>
    <w:p w:rsidR="00064F6E" w:rsidRDefault="00616F2B" w:rsidP="000771BB">
      <w:pPr>
        <w:widowControl/>
        <w:spacing w:line="360" w:lineRule="auto"/>
        <w:rPr>
          <w:sz w:val="26"/>
        </w:rPr>
      </w:pPr>
      <w:r>
        <w:rPr>
          <w:sz w:val="26"/>
          <w:szCs w:val="26"/>
        </w:rPr>
        <w:tab/>
      </w:r>
      <w:r>
        <w:rPr>
          <w:sz w:val="26"/>
          <w:szCs w:val="26"/>
        </w:rPr>
        <w:tab/>
      </w:r>
      <w:r w:rsidR="00AA583C">
        <w:rPr>
          <w:sz w:val="26"/>
          <w:szCs w:val="26"/>
        </w:rPr>
        <w:t xml:space="preserve">The ALJ stated that the </w:t>
      </w:r>
      <w:r w:rsidR="009B68F4">
        <w:rPr>
          <w:sz w:val="26"/>
          <w:szCs w:val="26"/>
        </w:rPr>
        <w:t xml:space="preserve">Respondent was complying with Act 129 and </w:t>
      </w:r>
      <w:r w:rsidR="00AA583C">
        <w:rPr>
          <w:sz w:val="26"/>
          <w:szCs w:val="26"/>
        </w:rPr>
        <w:t xml:space="preserve">the </w:t>
      </w:r>
      <w:r w:rsidR="00AA583C" w:rsidRPr="00A5001A">
        <w:rPr>
          <w:i/>
          <w:sz w:val="26"/>
          <w:szCs w:val="26"/>
        </w:rPr>
        <w:t>PECO Smart Meter Plan Order</w:t>
      </w:r>
      <w:r w:rsidR="009B68F4">
        <w:rPr>
          <w:i/>
          <w:sz w:val="26"/>
          <w:szCs w:val="26"/>
        </w:rPr>
        <w:t xml:space="preserve"> </w:t>
      </w:r>
      <w:r w:rsidR="009B68F4">
        <w:rPr>
          <w:sz w:val="26"/>
          <w:szCs w:val="26"/>
        </w:rPr>
        <w:t>that was approved by the Commission.</w:t>
      </w:r>
      <w:r w:rsidR="00AA583C">
        <w:rPr>
          <w:sz w:val="26"/>
          <w:szCs w:val="26"/>
        </w:rPr>
        <w:t xml:space="preserve"> </w:t>
      </w:r>
      <w:r w:rsidR="000C765F">
        <w:rPr>
          <w:sz w:val="26"/>
          <w:szCs w:val="26"/>
        </w:rPr>
        <w:t xml:space="preserve"> </w:t>
      </w:r>
      <w:r w:rsidR="009B68F4">
        <w:rPr>
          <w:sz w:val="26"/>
          <w:szCs w:val="26"/>
        </w:rPr>
        <w:t xml:space="preserve">The ALJ determined that dismissal of the Complaint was consistent with prior Commission decisions.  </w:t>
      </w:r>
      <w:r w:rsidR="009B68F4" w:rsidRPr="009B68F4">
        <w:rPr>
          <w:i/>
          <w:sz w:val="26"/>
          <w:szCs w:val="26"/>
        </w:rPr>
        <w:t>Id</w:t>
      </w:r>
      <w:r w:rsidR="009B68F4">
        <w:rPr>
          <w:sz w:val="26"/>
          <w:szCs w:val="26"/>
        </w:rPr>
        <w:t xml:space="preserve">. at 7.  The ALJ also determined that the instant case was distinguishable from the Commission’s determination in </w:t>
      </w:r>
      <w:r w:rsidR="009B68F4" w:rsidRPr="00DD75B8">
        <w:rPr>
          <w:i/>
          <w:sz w:val="26"/>
          <w:szCs w:val="26"/>
        </w:rPr>
        <w:t>Susan Kreider v. PECO Energy Company</w:t>
      </w:r>
      <w:r w:rsidR="009B68F4">
        <w:rPr>
          <w:sz w:val="26"/>
          <w:szCs w:val="26"/>
        </w:rPr>
        <w:t>, Docket No. P-2015-2495064 (Order entered September 3, 2015)</w:t>
      </w:r>
      <w:r w:rsidR="0079205F">
        <w:rPr>
          <w:sz w:val="26"/>
          <w:szCs w:val="26"/>
        </w:rPr>
        <w:t xml:space="preserve">.  The ALJ averred </w:t>
      </w:r>
      <w:r w:rsidR="00B902B1">
        <w:rPr>
          <w:sz w:val="26"/>
          <w:szCs w:val="26"/>
        </w:rPr>
        <w:t>that, because the C</w:t>
      </w:r>
      <w:r w:rsidR="0079205F" w:rsidRPr="0079205F">
        <w:rPr>
          <w:sz w:val="26"/>
        </w:rPr>
        <w:t>omplain</w:t>
      </w:r>
      <w:r w:rsidR="00B902B1">
        <w:rPr>
          <w:sz w:val="26"/>
        </w:rPr>
        <w:t>an</w:t>
      </w:r>
      <w:r w:rsidR="0079205F" w:rsidRPr="0079205F">
        <w:rPr>
          <w:sz w:val="26"/>
        </w:rPr>
        <w:t>t</w:t>
      </w:r>
      <w:r w:rsidR="00DD28B4">
        <w:rPr>
          <w:sz w:val="26"/>
        </w:rPr>
        <w:t>s</w:t>
      </w:r>
      <w:r w:rsidR="0079205F" w:rsidRPr="0079205F">
        <w:rPr>
          <w:sz w:val="26"/>
        </w:rPr>
        <w:t xml:space="preserve"> d</w:t>
      </w:r>
      <w:r w:rsidR="00B902B1">
        <w:rPr>
          <w:sz w:val="26"/>
        </w:rPr>
        <w:t>id</w:t>
      </w:r>
      <w:r w:rsidR="0079205F" w:rsidRPr="0079205F">
        <w:rPr>
          <w:sz w:val="26"/>
        </w:rPr>
        <w:t xml:space="preserve"> not allege that the Respondent installed a smart meter at </w:t>
      </w:r>
      <w:r w:rsidR="00DD28B4">
        <w:rPr>
          <w:sz w:val="26"/>
        </w:rPr>
        <w:t>their</w:t>
      </w:r>
      <w:r w:rsidR="0079205F" w:rsidRPr="0079205F">
        <w:rPr>
          <w:sz w:val="26"/>
        </w:rPr>
        <w:t xml:space="preserve"> residence and d</w:t>
      </w:r>
      <w:r w:rsidR="00B902B1">
        <w:rPr>
          <w:sz w:val="26"/>
        </w:rPr>
        <w:t>id</w:t>
      </w:r>
      <w:r w:rsidR="0079205F" w:rsidRPr="0079205F">
        <w:rPr>
          <w:sz w:val="26"/>
        </w:rPr>
        <w:t xml:space="preserve"> not allege that </w:t>
      </w:r>
      <w:r w:rsidR="00DD28B4">
        <w:rPr>
          <w:sz w:val="26"/>
        </w:rPr>
        <w:t>t</w:t>
      </w:r>
      <w:r w:rsidR="0079205F" w:rsidRPr="0079205F">
        <w:rPr>
          <w:sz w:val="26"/>
        </w:rPr>
        <w:t>he</w:t>
      </w:r>
      <w:r w:rsidR="00DD28B4">
        <w:rPr>
          <w:sz w:val="26"/>
        </w:rPr>
        <w:t>y</w:t>
      </w:r>
      <w:r w:rsidR="0079205F" w:rsidRPr="0079205F">
        <w:rPr>
          <w:sz w:val="26"/>
        </w:rPr>
        <w:t xml:space="preserve"> suffered specific </w:t>
      </w:r>
      <w:r w:rsidR="00B902B1">
        <w:rPr>
          <w:sz w:val="26"/>
        </w:rPr>
        <w:t>health</w:t>
      </w:r>
      <w:r w:rsidR="0079205F" w:rsidRPr="0079205F">
        <w:rPr>
          <w:sz w:val="26"/>
        </w:rPr>
        <w:t xml:space="preserve"> symptoms resulting from the installation of a smart meter, </w:t>
      </w:r>
      <w:r w:rsidR="0079205F" w:rsidRPr="00B902B1">
        <w:rPr>
          <w:i/>
          <w:sz w:val="26"/>
        </w:rPr>
        <w:t>Kreider</w:t>
      </w:r>
      <w:r w:rsidR="0079205F" w:rsidRPr="0079205F">
        <w:rPr>
          <w:sz w:val="26"/>
        </w:rPr>
        <w:t xml:space="preserve"> </w:t>
      </w:r>
      <w:r w:rsidR="00B902B1">
        <w:rPr>
          <w:sz w:val="26"/>
        </w:rPr>
        <w:t>wa</w:t>
      </w:r>
      <w:r w:rsidR="0079205F" w:rsidRPr="0079205F">
        <w:rPr>
          <w:sz w:val="26"/>
        </w:rPr>
        <w:t>s not applicable to this case</w:t>
      </w:r>
      <w:r w:rsidR="00B902B1">
        <w:rPr>
          <w:sz w:val="26"/>
        </w:rPr>
        <w:t xml:space="preserve">.  I.D. at 8.  </w:t>
      </w:r>
      <w:r w:rsidR="00DD28B4">
        <w:rPr>
          <w:sz w:val="26"/>
        </w:rPr>
        <w:t xml:space="preserve">While the ALJ dismissed the Complaint, the ALJ decided to refer the Complainants’ safety concerns to I&amp;E for whatever action I&amp;E deemed appropriate, consistent with </w:t>
      </w:r>
      <w:r w:rsidR="00DD28B4" w:rsidRPr="00504731">
        <w:rPr>
          <w:i/>
          <w:sz w:val="26"/>
        </w:rPr>
        <w:t>Feldman v. PECO Energy Company</w:t>
      </w:r>
      <w:r w:rsidR="00DD28B4">
        <w:rPr>
          <w:sz w:val="26"/>
        </w:rPr>
        <w:t xml:space="preserve">, Docket No. C-2014-2442308 (Order entered </w:t>
      </w:r>
      <w:r w:rsidR="000D02EB">
        <w:rPr>
          <w:sz w:val="26"/>
        </w:rPr>
        <w:t xml:space="preserve">November 19, 2015).  I.D. at 9.  The ALJ also found that PECO could terminate the Complainants’ service if the Complainants refuse to provide PECO with access to their meter and equipment to install a smart meter.  </w:t>
      </w:r>
      <w:r w:rsidR="000D02EB" w:rsidRPr="000D02EB">
        <w:rPr>
          <w:i/>
          <w:sz w:val="26"/>
        </w:rPr>
        <w:t>Id</w:t>
      </w:r>
      <w:r w:rsidR="000D02EB">
        <w:rPr>
          <w:sz w:val="26"/>
        </w:rPr>
        <w:t xml:space="preserve">. (citing </w:t>
      </w:r>
      <w:r w:rsidR="000D02EB" w:rsidRPr="000D02EB">
        <w:rPr>
          <w:i/>
          <w:sz w:val="26"/>
        </w:rPr>
        <w:t>Larson v. PECO Energy Company</w:t>
      </w:r>
      <w:r w:rsidR="000D02EB">
        <w:rPr>
          <w:sz w:val="26"/>
        </w:rPr>
        <w:t>, Docket No. C-2014-2451754 (Order entered June 11, 2015)).</w:t>
      </w:r>
      <w:r w:rsidR="00A0766F">
        <w:rPr>
          <w:sz w:val="26"/>
        </w:rPr>
        <w:t xml:space="preserve">  </w:t>
      </w:r>
      <w:r w:rsidR="000D02EB">
        <w:rPr>
          <w:sz w:val="26"/>
        </w:rPr>
        <w:t xml:space="preserve">  </w:t>
      </w:r>
      <w:r w:rsidR="00DD28B4">
        <w:rPr>
          <w:sz w:val="26"/>
        </w:rPr>
        <w:t xml:space="preserve"> </w:t>
      </w:r>
    </w:p>
    <w:p w:rsidR="00336812" w:rsidRDefault="00336812" w:rsidP="000771BB">
      <w:pPr>
        <w:widowControl/>
        <w:spacing w:line="360" w:lineRule="auto"/>
        <w:rPr>
          <w:sz w:val="26"/>
          <w:szCs w:val="26"/>
        </w:rPr>
      </w:pPr>
    </w:p>
    <w:p w:rsidR="00E0520E" w:rsidRDefault="00DB44D9" w:rsidP="00E0520E">
      <w:pPr>
        <w:widowControl/>
        <w:spacing w:line="360" w:lineRule="auto"/>
        <w:rPr>
          <w:b/>
          <w:sz w:val="26"/>
          <w:szCs w:val="26"/>
        </w:rPr>
      </w:pPr>
      <w:r w:rsidRPr="00A23FC4">
        <w:rPr>
          <w:b/>
          <w:sz w:val="26"/>
          <w:szCs w:val="26"/>
        </w:rPr>
        <w:t>Exceptions and Replies</w:t>
      </w:r>
    </w:p>
    <w:p w:rsidR="00E0520E" w:rsidRPr="00E0520E" w:rsidRDefault="00E0520E" w:rsidP="00E0520E">
      <w:pPr>
        <w:widowControl/>
        <w:spacing w:line="360" w:lineRule="auto"/>
        <w:rPr>
          <w:sz w:val="26"/>
          <w:szCs w:val="26"/>
        </w:rPr>
      </w:pPr>
    </w:p>
    <w:p w:rsidR="00FA396C" w:rsidRDefault="00D36142" w:rsidP="00402763">
      <w:pPr>
        <w:widowControl/>
        <w:spacing w:line="360" w:lineRule="auto"/>
        <w:rPr>
          <w:sz w:val="26"/>
          <w:szCs w:val="26"/>
        </w:rPr>
      </w:pPr>
      <w:r>
        <w:rPr>
          <w:sz w:val="26"/>
          <w:szCs w:val="26"/>
        </w:rPr>
        <w:tab/>
      </w:r>
      <w:r>
        <w:rPr>
          <w:sz w:val="26"/>
          <w:szCs w:val="26"/>
        </w:rPr>
        <w:tab/>
        <w:t>In their Exceptions, the Complainants aver that, contrary to the ALJ’s finding on page four of the Initial Decision, the Complainants did</w:t>
      </w:r>
      <w:r w:rsidR="003E2B2E">
        <w:rPr>
          <w:sz w:val="26"/>
          <w:szCs w:val="26"/>
        </w:rPr>
        <w:t>, in fact,</w:t>
      </w:r>
      <w:r>
        <w:rPr>
          <w:sz w:val="26"/>
          <w:szCs w:val="26"/>
        </w:rPr>
        <w:t xml:space="preserve"> file an </w:t>
      </w:r>
      <w:r>
        <w:rPr>
          <w:sz w:val="26"/>
        </w:rPr>
        <w:t>Answer to the New Matter and Preliminary Objections.  In Finding of Fact No. 6, the ALJ indicated that “[t]he Complain</w:t>
      </w:r>
      <w:r w:rsidR="003E2B2E">
        <w:rPr>
          <w:sz w:val="26"/>
        </w:rPr>
        <w:t>a</w:t>
      </w:r>
      <w:r>
        <w:rPr>
          <w:sz w:val="26"/>
        </w:rPr>
        <w:t>nt</w:t>
      </w:r>
      <w:r w:rsidR="003E2B2E">
        <w:rPr>
          <w:sz w:val="26"/>
        </w:rPr>
        <w:t xml:space="preserve">s have not filed an answer to either the Respondent’s new matter or its preliminary objections.”  I.D. at 4.  </w:t>
      </w:r>
      <w:r w:rsidR="004E7F2E">
        <w:rPr>
          <w:sz w:val="26"/>
        </w:rPr>
        <w:t xml:space="preserve">The Complainants object to the ALJ’s failure to consider their Answer to Preliminary Objections </w:t>
      </w:r>
      <w:r w:rsidR="00504731">
        <w:rPr>
          <w:sz w:val="26"/>
        </w:rPr>
        <w:t>prior to</w:t>
      </w:r>
      <w:r w:rsidR="004E7F2E">
        <w:rPr>
          <w:sz w:val="26"/>
        </w:rPr>
        <w:t xml:space="preserve"> ruling on the Preliminary Objections.  The Complainant</w:t>
      </w:r>
      <w:r w:rsidR="006F39E7">
        <w:rPr>
          <w:sz w:val="26"/>
        </w:rPr>
        <w:t>s</w:t>
      </w:r>
      <w:r w:rsidR="004E7F2E">
        <w:rPr>
          <w:sz w:val="26"/>
        </w:rPr>
        <w:t xml:space="preserve"> also contend that the Initial Decision is deficient because it does not contain an original signature of the ALJ.  </w:t>
      </w:r>
      <w:r w:rsidR="003E2B2E">
        <w:rPr>
          <w:sz w:val="26"/>
        </w:rPr>
        <w:t xml:space="preserve">   </w:t>
      </w:r>
      <w:r>
        <w:rPr>
          <w:sz w:val="26"/>
        </w:rPr>
        <w:t xml:space="preserve">   </w:t>
      </w:r>
      <w:r>
        <w:rPr>
          <w:sz w:val="26"/>
          <w:szCs w:val="26"/>
        </w:rPr>
        <w:t xml:space="preserve"> </w:t>
      </w:r>
      <w:r w:rsidR="00CE0B91">
        <w:rPr>
          <w:sz w:val="26"/>
          <w:szCs w:val="26"/>
        </w:rPr>
        <w:tab/>
      </w:r>
      <w:r w:rsidR="00CE0B91">
        <w:rPr>
          <w:sz w:val="26"/>
          <w:szCs w:val="26"/>
        </w:rPr>
        <w:tab/>
      </w:r>
    </w:p>
    <w:p w:rsidR="00D36142" w:rsidRDefault="00D36142" w:rsidP="00402763">
      <w:pPr>
        <w:widowControl/>
        <w:spacing w:line="360" w:lineRule="auto"/>
        <w:rPr>
          <w:sz w:val="26"/>
          <w:szCs w:val="26"/>
        </w:rPr>
      </w:pPr>
    </w:p>
    <w:p w:rsidR="00085117" w:rsidRDefault="00085117" w:rsidP="00402763">
      <w:pPr>
        <w:widowControl/>
        <w:spacing w:line="360" w:lineRule="auto"/>
        <w:rPr>
          <w:sz w:val="26"/>
          <w:szCs w:val="26"/>
        </w:rPr>
      </w:pPr>
      <w:r>
        <w:rPr>
          <w:sz w:val="26"/>
          <w:szCs w:val="26"/>
        </w:rPr>
        <w:lastRenderedPageBreak/>
        <w:tab/>
      </w:r>
      <w:r>
        <w:rPr>
          <w:sz w:val="26"/>
          <w:szCs w:val="26"/>
        </w:rPr>
        <w:tab/>
      </w:r>
      <w:r w:rsidR="009A6087">
        <w:rPr>
          <w:sz w:val="26"/>
          <w:szCs w:val="26"/>
        </w:rPr>
        <w:t>In its Replies to Exceptions, PECO avers that the issues the Complainant</w:t>
      </w:r>
      <w:r w:rsidR="00710309">
        <w:rPr>
          <w:sz w:val="26"/>
          <w:szCs w:val="26"/>
        </w:rPr>
        <w:t>s</w:t>
      </w:r>
      <w:r w:rsidR="009A6087">
        <w:rPr>
          <w:sz w:val="26"/>
          <w:szCs w:val="26"/>
        </w:rPr>
        <w:t xml:space="preserve"> raise in </w:t>
      </w:r>
      <w:r w:rsidR="00710309">
        <w:rPr>
          <w:sz w:val="26"/>
          <w:szCs w:val="26"/>
        </w:rPr>
        <w:t>their</w:t>
      </w:r>
      <w:r w:rsidR="009A6087">
        <w:rPr>
          <w:sz w:val="26"/>
          <w:szCs w:val="26"/>
        </w:rPr>
        <w:t xml:space="preserve"> Exceptions are not relevant to whether the Complainant has the ability to refuse meter installation under state law and whether PECO violated the Code, a Commission Order or Regulation, or the Company’s tariff.  </w:t>
      </w:r>
      <w:r w:rsidR="00710309">
        <w:rPr>
          <w:sz w:val="26"/>
          <w:szCs w:val="26"/>
        </w:rPr>
        <w:t xml:space="preserve">R. Exc. at 1-2.  PECO contends that, even if the Complainants filed a response to the Company’s Preliminary Objections, they cannot raise any argument that will prevail as a matter of law, because Act 129 requires smart meters </w:t>
      </w:r>
      <w:r w:rsidR="00504731">
        <w:rPr>
          <w:sz w:val="26"/>
          <w:szCs w:val="26"/>
        </w:rPr>
        <w:t xml:space="preserve">to </w:t>
      </w:r>
      <w:r w:rsidR="00710309">
        <w:rPr>
          <w:sz w:val="26"/>
          <w:szCs w:val="26"/>
        </w:rPr>
        <w:t xml:space="preserve">be installed.  R. Exc. at 2.  </w:t>
      </w:r>
      <w:r w:rsidR="00D91991">
        <w:rPr>
          <w:sz w:val="26"/>
          <w:szCs w:val="26"/>
        </w:rPr>
        <w:t>PECO s</w:t>
      </w:r>
      <w:r w:rsidR="00710309">
        <w:rPr>
          <w:sz w:val="26"/>
          <w:szCs w:val="26"/>
        </w:rPr>
        <w:t>tates</w:t>
      </w:r>
      <w:r w:rsidR="00D91991">
        <w:rPr>
          <w:sz w:val="26"/>
          <w:szCs w:val="26"/>
        </w:rPr>
        <w:t xml:space="preserve"> that the Complainant</w:t>
      </w:r>
      <w:r w:rsidR="00710309">
        <w:rPr>
          <w:sz w:val="26"/>
          <w:szCs w:val="26"/>
        </w:rPr>
        <w:t>s</w:t>
      </w:r>
      <w:r w:rsidR="00D91991">
        <w:rPr>
          <w:sz w:val="26"/>
          <w:szCs w:val="26"/>
        </w:rPr>
        <w:t xml:space="preserve"> ha</w:t>
      </w:r>
      <w:r w:rsidR="00710309">
        <w:rPr>
          <w:sz w:val="26"/>
          <w:szCs w:val="26"/>
        </w:rPr>
        <w:t>ve</w:t>
      </w:r>
      <w:r w:rsidR="00D91991">
        <w:rPr>
          <w:sz w:val="26"/>
          <w:szCs w:val="26"/>
        </w:rPr>
        <w:t xml:space="preserve"> not provided legal justification to support </w:t>
      </w:r>
      <w:r w:rsidR="00710309">
        <w:rPr>
          <w:sz w:val="26"/>
          <w:szCs w:val="26"/>
        </w:rPr>
        <w:t>their</w:t>
      </w:r>
      <w:r w:rsidR="00D91991">
        <w:rPr>
          <w:sz w:val="26"/>
          <w:szCs w:val="26"/>
        </w:rPr>
        <w:t xml:space="preserve"> decision to refuse smart meter installation or to challenge the service termination.  </w:t>
      </w:r>
      <w:r w:rsidR="00710309" w:rsidRPr="00710309">
        <w:rPr>
          <w:i/>
          <w:sz w:val="26"/>
          <w:szCs w:val="26"/>
        </w:rPr>
        <w:t>Id</w:t>
      </w:r>
      <w:r w:rsidR="00710309">
        <w:rPr>
          <w:sz w:val="26"/>
          <w:szCs w:val="26"/>
        </w:rPr>
        <w:t>.</w:t>
      </w:r>
      <w:r w:rsidR="00D91991">
        <w:rPr>
          <w:sz w:val="26"/>
          <w:szCs w:val="26"/>
        </w:rPr>
        <w:t xml:space="preserve"> at </w:t>
      </w:r>
      <w:r w:rsidR="00710309">
        <w:rPr>
          <w:sz w:val="26"/>
          <w:szCs w:val="26"/>
        </w:rPr>
        <w:t>2</w:t>
      </w:r>
      <w:r w:rsidR="00D91991">
        <w:rPr>
          <w:sz w:val="26"/>
          <w:szCs w:val="26"/>
        </w:rPr>
        <w:t>.  PECO argues that the ALJ’s decision should be upheld, because it is clear from the pleadings that PECO was complying with relevant Statutes, Regulations, and Orders and</w:t>
      </w:r>
      <w:r w:rsidR="0043385F">
        <w:rPr>
          <w:sz w:val="26"/>
          <w:szCs w:val="26"/>
        </w:rPr>
        <w:t xml:space="preserve">, </w:t>
      </w:r>
      <w:r w:rsidR="00AC1639">
        <w:rPr>
          <w:sz w:val="26"/>
          <w:szCs w:val="26"/>
        </w:rPr>
        <w:t>under applicable</w:t>
      </w:r>
      <w:r w:rsidR="00D91991">
        <w:rPr>
          <w:sz w:val="26"/>
          <w:szCs w:val="26"/>
        </w:rPr>
        <w:t xml:space="preserve"> law, the Complainant may not opt out of smart meter installation.  </w:t>
      </w:r>
      <w:r w:rsidR="00D91991" w:rsidRPr="00D91991">
        <w:rPr>
          <w:i/>
          <w:sz w:val="26"/>
          <w:szCs w:val="26"/>
        </w:rPr>
        <w:t>Id</w:t>
      </w:r>
      <w:r w:rsidR="00D91991">
        <w:rPr>
          <w:sz w:val="26"/>
          <w:szCs w:val="26"/>
        </w:rPr>
        <w:t xml:space="preserve">. at </w:t>
      </w:r>
      <w:r w:rsidR="0043385F">
        <w:rPr>
          <w:sz w:val="26"/>
          <w:szCs w:val="26"/>
        </w:rPr>
        <w:t>3-</w:t>
      </w:r>
      <w:r w:rsidR="00D91991">
        <w:rPr>
          <w:sz w:val="26"/>
          <w:szCs w:val="26"/>
        </w:rPr>
        <w:t xml:space="preserve">4.         </w:t>
      </w:r>
      <w:r w:rsidR="00DD45BE">
        <w:rPr>
          <w:sz w:val="26"/>
          <w:szCs w:val="26"/>
        </w:rPr>
        <w:t xml:space="preserve">   </w:t>
      </w:r>
      <w:r w:rsidR="009A6087">
        <w:rPr>
          <w:sz w:val="26"/>
          <w:szCs w:val="26"/>
        </w:rPr>
        <w:t xml:space="preserve">      </w:t>
      </w:r>
    </w:p>
    <w:p w:rsidR="00C85943" w:rsidRDefault="00926BC8" w:rsidP="00402763">
      <w:pPr>
        <w:widowControl/>
        <w:spacing w:line="360" w:lineRule="auto"/>
        <w:rPr>
          <w:sz w:val="26"/>
        </w:rPr>
      </w:pPr>
      <w:r>
        <w:rPr>
          <w:sz w:val="26"/>
          <w:szCs w:val="26"/>
        </w:rPr>
        <w:t xml:space="preserve">   </w:t>
      </w:r>
      <w:r w:rsidR="00F92560">
        <w:rPr>
          <w:sz w:val="26"/>
        </w:rPr>
        <w:t xml:space="preserve"> </w:t>
      </w:r>
    </w:p>
    <w:p w:rsidR="00DB44D9" w:rsidRPr="00C53C04" w:rsidRDefault="00DB44D9" w:rsidP="00E20F28">
      <w:pPr>
        <w:widowControl/>
        <w:spacing w:line="360" w:lineRule="auto"/>
        <w:rPr>
          <w:sz w:val="26"/>
          <w:szCs w:val="26"/>
        </w:rPr>
      </w:pPr>
      <w:r w:rsidRPr="00C53C04">
        <w:rPr>
          <w:b/>
          <w:sz w:val="26"/>
          <w:szCs w:val="26"/>
        </w:rPr>
        <w:t>Disposition</w:t>
      </w:r>
    </w:p>
    <w:p w:rsidR="004A1EAD" w:rsidRDefault="004A1EAD" w:rsidP="004A1EAD">
      <w:pPr>
        <w:widowControl/>
        <w:spacing w:line="360" w:lineRule="auto"/>
        <w:rPr>
          <w:sz w:val="26"/>
          <w:szCs w:val="26"/>
        </w:rPr>
      </w:pPr>
    </w:p>
    <w:p w:rsidR="00AF06C2" w:rsidRDefault="00AF06C2" w:rsidP="00AF06C2">
      <w:pPr>
        <w:widowControl/>
        <w:spacing w:line="360" w:lineRule="auto"/>
        <w:rPr>
          <w:sz w:val="26"/>
          <w:szCs w:val="26"/>
        </w:rPr>
      </w:pPr>
      <w:r>
        <w:rPr>
          <w:sz w:val="26"/>
          <w:szCs w:val="26"/>
        </w:rPr>
        <w:tab/>
      </w:r>
      <w:r>
        <w:rPr>
          <w:sz w:val="26"/>
          <w:szCs w:val="26"/>
        </w:rPr>
        <w:tab/>
      </w:r>
      <w:r w:rsidR="000425AA">
        <w:rPr>
          <w:sz w:val="26"/>
          <w:szCs w:val="26"/>
        </w:rPr>
        <w:t xml:space="preserve">Based on our review of the record in this proceeding and the Exceptions and the Replies thereto, </w:t>
      </w:r>
      <w:r w:rsidR="00B77710">
        <w:rPr>
          <w:sz w:val="26"/>
          <w:szCs w:val="26"/>
        </w:rPr>
        <w:t>we shall grant the Exceptions, in part, and modify the ALJ’s Initial Decision.</w:t>
      </w:r>
      <w:r>
        <w:rPr>
          <w:sz w:val="26"/>
          <w:szCs w:val="26"/>
        </w:rPr>
        <w:t xml:space="preserve">  We shall grant the Exceptions and modify the Initial Decision to correct Finding of Fact No. 4 and the related language on page four of the Initial Decision, which indicate that the Complainants did not file an answer to PECO’s New Matter or Preliminary Objections.  Our review of the Complainants’ Answer to Preliminary Objections reveals that the filing does not contain a Certificate of Service or other indication that the ALJ or PECO were served with the Answer to Preliminary Objections.  However, as noted herein, the Complainants timely filed an Answer to Preliminary Objections o</w:t>
      </w:r>
      <w:r>
        <w:rPr>
          <w:sz w:val="26"/>
        </w:rPr>
        <w:t xml:space="preserve">n December 21, 2015, as well as an amended Answer to Preliminary Objections on January 4, 2016, which contained an original signature consistent with the directive in the December 28, 2015 Secretarial Letter.  We find that the Complainants’ Answer to Preliminary Objections is properly before the Commission, and that PECO </w:t>
      </w:r>
      <w:r>
        <w:rPr>
          <w:sz w:val="26"/>
        </w:rPr>
        <w:lastRenderedPageBreak/>
        <w:t xml:space="preserve">will not be prejudiced by our consideration of the Answer in reaching our disposition in this Opinion and Order.    </w:t>
      </w:r>
      <w:r>
        <w:rPr>
          <w:sz w:val="26"/>
          <w:szCs w:val="26"/>
        </w:rPr>
        <w:t xml:space="preserve">       </w:t>
      </w:r>
    </w:p>
    <w:p w:rsidR="00AF06C2" w:rsidRDefault="00B77710" w:rsidP="00874C69">
      <w:pPr>
        <w:spacing w:line="360" w:lineRule="auto"/>
        <w:ind w:firstLine="1440"/>
        <w:rPr>
          <w:sz w:val="26"/>
          <w:szCs w:val="26"/>
        </w:rPr>
      </w:pPr>
      <w:r>
        <w:rPr>
          <w:sz w:val="26"/>
          <w:szCs w:val="26"/>
        </w:rPr>
        <w:t xml:space="preserve"> </w:t>
      </w:r>
    </w:p>
    <w:p w:rsidR="00AF06C2" w:rsidRDefault="00AF06C2" w:rsidP="00874C69">
      <w:pPr>
        <w:spacing w:line="360" w:lineRule="auto"/>
        <w:ind w:firstLine="1440"/>
        <w:rPr>
          <w:sz w:val="26"/>
          <w:szCs w:val="26"/>
        </w:rPr>
      </w:pPr>
      <w:r>
        <w:rPr>
          <w:sz w:val="26"/>
          <w:szCs w:val="26"/>
        </w:rPr>
        <w:t xml:space="preserve">We shall adopt the remainder of the Initial Decision.  </w:t>
      </w:r>
      <w:r w:rsidR="00FD1FE2">
        <w:rPr>
          <w:sz w:val="26"/>
          <w:szCs w:val="26"/>
        </w:rPr>
        <w:t>W</w:t>
      </w:r>
      <w:r w:rsidR="000425AA">
        <w:rPr>
          <w:sz w:val="26"/>
          <w:szCs w:val="26"/>
        </w:rPr>
        <w:t xml:space="preserve">e agree with the ALJ’s determination to dismiss the Complaint on legal insufficiency grounds.  </w:t>
      </w:r>
      <w:r w:rsidR="00FB297F">
        <w:rPr>
          <w:sz w:val="26"/>
          <w:szCs w:val="26"/>
        </w:rPr>
        <w:t>We have held that the express language in Act 129 does not prohibit us from holding a hearing on issues related to the safety of smart meters, consistent with our statutory authority in Section 1501 of the Code</w:t>
      </w:r>
      <w:r w:rsidR="00645427">
        <w:rPr>
          <w:sz w:val="26"/>
          <w:szCs w:val="26"/>
        </w:rPr>
        <w:t>,</w:t>
      </w:r>
      <w:r w:rsidR="00FB297F">
        <w:rPr>
          <w:sz w:val="26"/>
          <w:szCs w:val="26"/>
        </w:rPr>
        <w:t xml:space="preserve"> when a legally sufficient claim is present.  </w:t>
      </w:r>
      <w:r w:rsidR="00FB297F" w:rsidRPr="00FB297F">
        <w:rPr>
          <w:i/>
          <w:sz w:val="26"/>
          <w:szCs w:val="26"/>
        </w:rPr>
        <w:t>Kreider</w:t>
      </w:r>
      <w:r w:rsidR="00FB297F">
        <w:rPr>
          <w:i/>
          <w:sz w:val="26"/>
          <w:szCs w:val="26"/>
        </w:rPr>
        <w:t>, supra</w:t>
      </w:r>
      <w:r w:rsidR="00FB297F">
        <w:rPr>
          <w:sz w:val="26"/>
          <w:szCs w:val="26"/>
        </w:rPr>
        <w:t xml:space="preserve">, at 17.  In cases involving smart meter installation, we evaluate the specific allegations made by the complainant under the circumstances in each case and reach a conclusion based on those particular circumstances.  </w:t>
      </w:r>
      <w:r w:rsidR="00FB297F" w:rsidRPr="00E81948">
        <w:rPr>
          <w:rFonts w:cs="CG Times"/>
          <w:i/>
          <w:sz w:val="26"/>
          <w:szCs w:val="26"/>
        </w:rPr>
        <w:t>See</w:t>
      </w:r>
      <w:r w:rsidR="00FB297F">
        <w:rPr>
          <w:rFonts w:cs="CG Times"/>
          <w:sz w:val="26"/>
          <w:szCs w:val="26"/>
        </w:rPr>
        <w:t xml:space="preserve"> </w:t>
      </w:r>
      <w:r w:rsidR="00FB297F" w:rsidRPr="00DD75B8">
        <w:rPr>
          <w:i/>
          <w:sz w:val="26"/>
          <w:szCs w:val="26"/>
        </w:rPr>
        <w:t>Susan Kreider v. PECO Energy Company</w:t>
      </w:r>
      <w:r w:rsidR="00FB297F">
        <w:rPr>
          <w:sz w:val="26"/>
          <w:szCs w:val="26"/>
        </w:rPr>
        <w:t>, Docket No. P-2015-2495064 (Order on Reconsideration entered January 28, 2016), at 21.</w:t>
      </w:r>
      <w:r w:rsidR="00874C69">
        <w:rPr>
          <w:sz w:val="26"/>
          <w:szCs w:val="26"/>
        </w:rPr>
        <w:t xml:space="preserve">  In this particular case, </w:t>
      </w:r>
      <w:r w:rsidR="001B31EE">
        <w:rPr>
          <w:sz w:val="26"/>
          <w:szCs w:val="26"/>
        </w:rPr>
        <w:t>the Complainants</w:t>
      </w:r>
      <w:r w:rsidR="00874C69">
        <w:rPr>
          <w:sz w:val="26"/>
          <w:szCs w:val="26"/>
        </w:rPr>
        <w:t>’</w:t>
      </w:r>
      <w:r w:rsidR="001B31EE">
        <w:rPr>
          <w:sz w:val="26"/>
          <w:szCs w:val="26"/>
        </w:rPr>
        <w:t xml:space="preserve"> factual averments</w:t>
      </w:r>
      <w:r w:rsidR="00B77710">
        <w:rPr>
          <w:sz w:val="26"/>
          <w:szCs w:val="26"/>
        </w:rPr>
        <w:t xml:space="preserve"> fail to </w:t>
      </w:r>
      <w:r w:rsidR="00874C69">
        <w:rPr>
          <w:sz w:val="26"/>
          <w:szCs w:val="26"/>
        </w:rPr>
        <w:t>implicate</w:t>
      </w:r>
      <w:r w:rsidR="00B77710">
        <w:rPr>
          <w:sz w:val="26"/>
          <w:szCs w:val="26"/>
        </w:rPr>
        <w:t xml:space="preserve"> </w:t>
      </w:r>
      <w:r w:rsidR="00874C69">
        <w:rPr>
          <w:sz w:val="26"/>
          <w:szCs w:val="26"/>
        </w:rPr>
        <w:t xml:space="preserve">a potential violation of </w:t>
      </w:r>
      <w:r w:rsidR="00B77710">
        <w:rPr>
          <w:sz w:val="26"/>
          <w:szCs w:val="26"/>
        </w:rPr>
        <w:t>the Code, a Commission Order or Regulation</w:t>
      </w:r>
      <w:r w:rsidR="00874C69">
        <w:rPr>
          <w:sz w:val="26"/>
          <w:szCs w:val="26"/>
        </w:rPr>
        <w:t>, or the Company’s tariff.</w:t>
      </w:r>
      <w:r w:rsidR="00B77710">
        <w:rPr>
          <w:sz w:val="26"/>
          <w:szCs w:val="26"/>
        </w:rPr>
        <w:t xml:space="preserve"> </w:t>
      </w:r>
      <w:r w:rsidR="00874C69">
        <w:rPr>
          <w:sz w:val="26"/>
          <w:szCs w:val="26"/>
        </w:rPr>
        <w:t xml:space="preserve"> T</w:t>
      </w:r>
      <w:r w:rsidR="00B77710">
        <w:rPr>
          <w:sz w:val="26"/>
          <w:szCs w:val="26"/>
        </w:rPr>
        <w:t xml:space="preserve">he Complainants have not </w:t>
      </w:r>
      <w:r w:rsidR="007F473E">
        <w:rPr>
          <w:sz w:val="26"/>
          <w:szCs w:val="26"/>
        </w:rPr>
        <w:t xml:space="preserve">presented a claim to which </w:t>
      </w:r>
      <w:r w:rsidR="00B77710">
        <w:rPr>
          <w:sz w:val="26"/>
          <w:szCs w:val="26"/>
        </w:rPr>
        <w:t>t</w:t>
      </w:r>
      <w:r w:rsidR="007F473E">
        <w:rPr>
          <w:sz w:val="26"/>
          <w:szCs w:val="26"/>
        </w:rPr>
        <w:t>he</w:t>
      </w:r>
      <w:r w:rsidR="00B77710">
        <w:rPr>
          <w:sz w:val="26"/>
          <w:szCs w:val="26"/>
        </w:rPr>
        <w:t>y</w:t>
      </w:r>
      <w:r w:rsidR="007F473E">
        <w:rPr>
          <w:sz w:val="26"/>
          <w:szCs w:val="26"/>
        </w:rPr>
        <w:t xml:space="preserve"> could personally testify that would support a finding that </w:t>
      </w:r>
      <w:r w:rsidR="00FD1FE2">
        <w:rPr>
          <w:sz w:val="26"/>
          <w:szCs w:val="26"/>
        </w:rPr>
        <w:t>the installation of a</w:t>
      </w:r>
      <w:r w:rsidR="007F473E">
        <w:rPr>
          <w:sz w:val="26"/>
          <w:szCs w:val="26"/>
        </w:rPr>
        <w:t xml:space="preserve"> smart meter was responsible for any specific safety or health affects </w:t>
      </w:r>
      <w:r w:rsidR="00B77710">
        <w:rPr>
          <w:sz w:val="26"/>
          <w:szCs w:val="26"/>
        </w:rPr>
        <w:t>t</w:t>
      </w:r>
      <w:r w:rsidR="007F473E">
        <w:rPr>
          <w:sz w:val="26"/>
          <w:szCs w:val="26"/>
        </w:rPr>
        <w:t>he</w:t>
      </w:r>
      <w:r w:rsidR="00B77710">
        <w:rPr>
          <w:sz w:val="26"/>
          <w:szCs w:val="26"/>
        </w:rPr>
        <w:t>y</w:t>
      </w:r>
      <w:r w:rsidR="007F473E">
        <w:rPr>
          <w:sz w:val="26"/>
          <w:szCs w:val="26"/>
        </w:rPr>
        <w:t xml:space="preserve"> experienced within </w:t>
      </w:r>
      <w:r w:rsidR="00B77710">
        <w:rPr>
          <w:sz w:val="26"/>
          <w:szCs w:val="26"/>
        </w:rPr>
        <w:t>their</w:t>
      </w:r>
      <w:r w:rsidR="007F473E">
        <w:rPr>
          <w:sz w:val="26"/>
          <w:szCs w:val="26"/>
        </w:rPr>
        <w:t xml:space="preserve"> home.</w:t>
      </w:r>
      <w:r w:rsidR="00C11AE7">
        <w:rPr>
          <w:sz w:val="26"/>
          <w:szCs w:val="26"/>
        </w:rPr>
        <w:t xml:space="preserve"> </w:t>
      </w:r>
    </w:p>
    <w:p w:rsidR="00BD1010" w:rsidRDefault="00C11AE7" w:rsidP="00874C69">
      <w:pPr>
        <w:spacing w:line="360" w:lineRule="auto"/>
        <w:ind w:firstLine="1440"/>
        <w:rPr>
          <w:sz w:val="26"/>
          <w:szCs w:val="26"/>
        </w:rPr>
      </w:pPr>
      <w:r>
        <w:rPr>
          <w:sz w:val="26"/>
          <w:szCs w:val="26"/>
        </w:rPr>
        <w:t xml:space="preserve"> </w:t>
      </w:r>
    </w:p>
    <w:p w:rsidR="006B7629" w:rsidRDefault="006B7629" w:rsidP="006B7629">
      <w:pPr>
        <w:widowControl/>
        <w:spacing w:line="360" w:lineRule="auto"/>
        <w:rPr>
          <w:sz w:val="26"/>
          <w:szCs w:val="26"/>
        </w:rPr>
      </w:pPr>
      <w:r>
        <w:rPr>
          <w:sz w:val="26"/>
          <w:szCs w:val="26"/>
        </w:rPr>
        <w:tab/>
      </w:r>
      <w:r>
        <w:rPr>
          <w:sz w:val="26"/>
          <w:szCs w:val="26"/>
        </w:rPr>
        <w:tab/>
        <w:t>While we are dismissing the Complaint in this case, w</w:t>
      </w:r>
      <w:r w:rsidRPr="00825C77">
        <w:rPr>
          <w:sz w:val="26"/>
          <w:szCs w:val="26"/>
        </w:rPr>
        <w:t xml:space="preserve">e </w:t>
      </w:r>
      <w:r>
        <w:rPr>
          <w:sz w:val="26"/>
          <w:szCs w:val="26"/>
        </w:rPr>
        <w:t xml:space="preserve">recognize that </w:t>
      </w:r>
      <w:r w:rsidRPr="00825C77">
        <w:rPr>
          <w:sz w:val="26"/>
          <w:szCs w:val="26"/>
        </w:rPr>
        <w:t>the Complainant</w:t>
      </w:r>
      <w:r w:rsidR="00A45442">
        <w:rPr>
          <w:sz w:val="26"/>
          <w:szCs w:val="26"/>
        </w:rPr>
        <w:t>s</w:t>
      </w:r>
      <w:r w:rsidRPr="00825C77">
        <w:rPr>
          <w:sz w:val="26"/>
          <w:szCs w:val="26"/>
        </w:rPr>
        <w:t xml:space="preserve"> </w:t>
      </w:r>
      <w:r w:rsidR="00A45442">
        <w:rPr>
          <w:sz w:val="26"/>
          <w:szCs w:val="26"/>
        </w:rPr>
        <w:t>are</w:t>
      </w:r>
      <w:r w:rsidRPr="00825C77">
        <w:rPr>
          <w:sz w:val="26"/>
          <w:szCs w:val="26"/>
        </w:rPr>
        <w:t xml:space="preserve"> appearing </w:t>
      </w:r>
      <w:r w:rsidRPr="00825C77">
        <w:rPr>
          <w:i/>
          <w:sz w:val="26"/>
          <w:szCs w:val="26"/>
        </w:rPr>
        <w:t>pro se</w:t>
      </w:r>
      <w:r>
        <w:rPr>
          <w:sz w:val="26"/>
          <w:szCs w:val="26"/>
        </w:rPr>
        <w:t xml:space="preserve"> and that we would not generally dismiss a </w:t>
      </w:r>
      <w:r>
        <w:rPr>
          <w:i/>
          <w:sz w:val="26"/>
          <w:szCs w:val="26"/>
        </w:rPr>
        <w:t xml:space="preserve">pro se </w:t>
      </w:r>
      <w:r>
        <w:rPr>
          <w:sz w:val="26"/>
          <w:szCs w:val="26"/>
        </w:rPr>
        <w:t xml:space="preserve">complaint without first </w:t>
      </w:r>
      <w:r w:rsidRPr="00B8542A">
        <w:rPr>
          <w:sz w:val="26"/>
          <w:szCs w:val="26"/>
        </w:rPr>
        <w:t xml:space="preserve">providing a hearing during which the </w:t>
      </w:r>
      <w:r w:rsidRPr="00B8542A">
        <w:rPr>
          <w:i/>
          <w:sz w:val="26"/>
          <w:szCs w:val="26"/>
        </w:rPr>
        <w:t>pro se</w:t>
      </w:r>
      <w:r w:rsidRPr="00B8542A">
        <w:rPr>
          <w:sz w:val="26"/>
          <w:szCs w:val="26"/>
        </w:rPr>
        <w:t xml:space="preserve"> complainant</w:t>
      </w:r>
      <w:r w:rsidR="00A45442">
        <w:rPr>
          <w:sz w:val="26"/>
          <w:szCs w:val="26"/>
        </w:rPr>
        <w:t>s</w:t>
      </w:r>
      <w:r w:rsidRPr="00B8542A">
        <w:rPr>
          <w:sz w:val="26"/>
          <w:szCs w:val="26"/>
        </w:rPr>
        <w:t xml:space="preserve"> could further explain </w:t>
      </w:r>
      <w:r w:rsidR="00A45442">
        <w:rPr>
          <w:sz w:val="26"/>
          <w:szCs w:val="26"/>
        </w:rPr>
        <w:t>their</w:t>
      </w:r>
      <w:r w:rsidRPr="00B8542A">
        <w:rPr>
          <w:sz w:val="26"/>
          <w:szCs w:val="26"/>
        </w:rPr>
        <w:t xml:space="preserve"> position and the factual basis for the complaint.  </w:t>
      </w:r>
      <w:r w:rsidRPr="00B8542A">
        <w:rPr>
          <w:i/>
          <w:sz w:val="26"/>
          <w:szCs w:val="26"/>
        </w:rPr>
        <w:t>See</w:t>
      </w:r>
      <w:r w:rsidRPr="00B8542A">
        <w:rPr>
          <w:sz w:val="26"/>
          <w:szCs w:val="26"/>
        </w:rPr>
        <w:t>,</w:t>
      </w:r>
      <w:r w:rsidRPr="00B8542A">
        <w:rPr>
          <w:i/>
          <w:sz w:val="26"/>
          <w:szCs w:val="26"/>
        </w:rPr>
        <w:t xml:space="preserve"> e.g.</w:t>
      </w:r>
      <w:r w:rsidRPr="00B8542A">
        <w:rPr>
          <w:sz w:val="26"/>
          <w:szCs w:val="26"/>
        </w:rPr>
        <w:t>,</w:t>
      </w:r>
      <w:r w:rsidRPr="00B8542A">
        <w:rPr>
          <w:i/>
          <w:sz w:val="26"/>
          <w:szCs w:val="26"/>
        </w:rPr>
        <w:t xml:space="preserve"> Carlock v. The United Telephone Company of Pennsylvania</w:t>
      </w:r>
      <w:r w:rsidRPr="00B8542A">
        <w:rPr>
          <w:sz w:val="26"/>
          <w:szCs w:val="26"/>
        </w:rPr>
        <w:t>, Docket No. F-00163617 (Order entered July 14, 1993)</w:t>
      </w:r>
      <w:r>
        <w:rPr>
          <w:sz w:val="26"/>
          <w:szCs w:val="26"/>
        </w:rPr>
        <w:t xml:space="preserve"> (</w:t>
      </w:r>
      <w:r>
        <w:rPr>
          <w:i/>
          <w:sz w:val="26"/>
          <w:szCs w:val="26"/>
        </w:rPr>
        <w:t>Carlock</w:t>
      </w:r>
      <w:r>
        <w:rPr>
          <w:sz w:val="26"/>
          <w:szCs w:val="26"/>
        </w:rPr>
        <w:t>)</w:t>
      </w:r>
      <w:r w:rsidRPr="00B8542A">
        <w:rPr>
          <w:sz w:val="26"/>
          <w:szCs w:val="26"/>
        </w:rPr>
        <w:t xml:space="preserve">.  </w:t>
      </w:r>
      <w:r>
        <w:rPr>
          <w:sz w:val="26"/>
          <w:szCs w:val="26"/>
        </w:rPr>
        <w:t xml:space="preserve">Such accommodation must be within the bounds of due process.  </w:t>
      </w:r>
      <w:r>
        <w:rPr>
          <w:i/>
          <w:sz w:val="26"/>
          <w:szCs w:val="26"/>
        </w:rPr>
        <w:t xml:space="preserve">See </w:t>
      </w:r>
      <w:r w:rsidRPr="00B8542A">
        <w:rPr>
          <w:i/>
          <w:sz w:val="26"/>
          <w:szCs w:val="26"/>
        </w:rPr>
        <w:t>MacLuckie</w:t>
      </w:r>
      <w:r>
        <w:rPr>
          <w:i/>
          <w:sz w:val="26"/>
          <w:szCs w:val="26"/>
        </w:rPr>
        <w:t xml:space="preserve"> v. Palmco Energy, LLC</w:t>
      </w:r>
      <w:r>
        <w:rPr>
          <w:sz w:val="26"/>
          <w:szCs w:val="26"/>
        </w:rPr>
        <w:t xml:space="preserve">, Docket No. C-2014-2402558 (Order entered December 4, 2014).  There are some cases, such as this case, however, </w:t>
      </w:r>
      <w:r w:rsidRPr="00B8542A">
        <w:rPr>
          <w:sz w:val="26"/>
          <w:szCs w:val="26"/>
        </w:rPr>
        <w:t>where a hearing would not alter the inevitable conclusion that this Commission cannot provide the Complainant</w:t>
      </w:r>
      <w:r w:rsidR="00A45442">
        <w:rPr>
          <w:sz w:val="26"/>
          <w:szCs w:val="26"/>
        </w:rPr>
        <w:t>s</w:t>
      </w:r>
      <w:r w:rsidRPr="00B8542A">
        <w:rPr>
          <w:sz w:val="26"/>
          <w:szCs w:val="26"/>
        </w:rPr>
        <w:t xml:space="preserve"> the </w:t>
      </w:r>
      <w:r>
        <w:rPr>
          <w:sz w:val="26"/>
          <w:szCs w:val="26"/>
        </w:rPr>
        <w:t xml:space="preserve">relief </w:t>
      </w:r>
      <w:r w:rsidRPr="00B8542A">
        <w:rPr>
          <w:sz w:val="26"/>
          <w:szCs w:val="26"/>
        </w:rPr>
        <w:t xml:space="preserve">requested.  </w:t>
      </w:r>
      <w:r w:rsidR="008C6F6E" w:rsidRPr="00B8542A">
        <w:rPr>
          <w:i/>
          <w:iCs/>
          <w:sz w:val="26"/>
          <w:szCs w:val="26"/>
        </w:rPr>
        <w:t>See Floyd v. Verizon Pennsylvania LLC,</w:t>
      </w:r>
      <w:r w:rsidR="008C6F6E" w:rsidRPr="00B8542A">
        <w:rPr>
          <w:sz w:val="26"/>
          <w:szCs w:val="26"/>
        </w:rPr>
        <w:t xml:space="preserve"> Docket No. </w:t>
      </w:r>
      <w:r w:rsidR="008C6F6E" w:rsidRPr="00B8542A">
        <w:rPr>
          <w:sz w:val="26"/>
          <w:szCs w:val="26"/>
        </w:rPr>
        <w:lastRenderedPageBreak/>
        <w:t>C-2012-2333157 (Order entered April 4, 2013).</w:t>
      </w:r>
      <w:r>
        <w:rPr>
          <w:sz w:val="26"/>
          <w:szCs w:val="26"/>
        </w:rPr>
        <w:t xml:space="preserve">  For these reasons, we find </w:t>
      </w:r>
      <w:r w:rsidRPr="00B8542A">
        <w:rPr>
          <w:i/>
          <w:sz w:val="26"/>
          <w:szCs w:val="26"/>
        </w:rPr>
        <w:t>Carlock</w:t>
      </w:r>
      <w:r w:rsidRPr="00B8542A">
        <w:rPr>
          <w:sz w:val="26"/>
          <w:szCs w:val="26"/>
        </w:rPr>
        <w:t xml:space="preserve"> </w:t>
      </w:r>
      <w:r>
        <w:rPr>
          <w:sz w:val="26"/>
          <w:szCs w:val="26"/>
        </w:rPr>
        <w:t xml:space="preserve">distinguishable </w:t>
      </w:r>
      <w:r w:rsidRPr="00B8542A">
        <w:rPr>
          <w:sz w:val="26"/>
          <w:szCs w:val="26"/>
        </w:rPr>
        <w:t>from the case now before us</w:t>
      </w:r>
      <w:r>
        <w:rPr>
          <w:sz w:val="26"/>
          <w:szCs w:val="26"/>
        </w:rPr>
        <w:t xml:space="preserve"> and agree with the ALJ’s dismissal</w:t>
      </w:r>
      <w:r w:rsidRPr="00B8542A">
        <w:rPr>
          <w:sz w:val="26"/>
          <w:szCs w:val="26"/>
        </w:rPr>
        <w:t>.</w:t>
      </w:r>
      <w:r>
        <w:rPr>
          <w:sz w:val="26"/>
          <w:szCs w:val="26"/>
        </w:rPr>
        <w:t xml:space="preserve"> </w:t>
      </w:r>
    </w:p>
    <w:p w:rsidR="006B7629" w:rsidRDefault="006B7629" w:rsidP="00874C69">
      <w:pPr>
        <w:spacing w:line="360" w:lineRule="auto"/>
        <w:ind w:firstLine="1440"/>
        <w:rPr>
          <w:sz w:val="26"/>
          <w:szCs w:val="26"/>
        </w:rPr>
      </w:pPr>
    </w:p>
    <w:p w:rsidR="00505FB1" w:rsidRDefault="00505FB1" w:rsidP="00BD1010">
      <w:pPr>
        <w:widowControl/>
        <w:spacing w:line="360" w:lineRule="auto"/>
        <w:rPr>
          <w:sz w:val="26"/>
          <w:szCs w:val="26"/>
        </w:rPr>
      </w:pPr>
      <w:r>
        <w:rPr>
          <w:sz w:val="26"/>
          <w:szCs w:val="26"/>
        </w:rPr>
        <w:tab/>
      </w:r>
      <w:r>
        <w:rPr>
          <w:sz w:val="26"/>
          <w:szCs w:val="26"/>
        </w:rPr>
        <w:tab/>
        <w:t>We also find that the ALJ’s Initial Decision contained a proper signature</w:t>
      </w:r>
      <w:r w:rsidR="007D1470">
        <w:rPr>
          <w:sz w:val="26"/>
          <w:szCs w:val="26"/>
        </w:rPr>
        <w:t>, because it contained an “/s/” on the signature line above ALJ Salapa’s typewritten name</w:t>
      </w:r>
      <w:r>
        <w:rPr>
          <w:sz w:val="26"/>
          <w:szCs w:val="26"/>
        </w:rPr>
        <w:t>.</w:t>
      </w:r>
      <w:r w:rsidR="007D1470">
        <w:rPr>
          <w:sz w:val="26"/>
          <w:szCs w:val="26"/>
        </w:rPr>
        <w:t xml:space="preserve">  By Secretarial Letter issued January 29, 2013, </w:t>
      </w:r>
      <w:r w:rsidR="00497EEA">
        <w:rPr>
          <w:sz w:val="26"/>
          <w:szCs w:val="26"/>
        </w:rPr>
        <w:t xml:space="preserve">at Docket No. M-2013-2344553, </w:t>
      </w:r>
      <w:r w:rsidR="007D1470">
        <w:rPr>
          <w:sz w:val="26"/>
          <w:szCs w:val="26"/>
        </w:rPr>
        <w:t xml:space="preserve">the Commission approved the use of </w:t>
      </w:r>
      <w:r w:rsidR="00497EEA">
        <w:rPr>
          <w:sz w:val="26"/>
          <w:szCs w:val="26"/>
        </w:rPr>
        <w:t xml:space="preserve">such “/s/” </w:t>
      </w:r>
      <w:r w:rsidR="007D1470">
        <w:rPr>
          <w:sz w:val="26"/>
          <w:szCs w:val="26"/>
        </w:rPr>
        <w:t>electronic signatures o</w:t>
      </w:r>
      <w:r w:rsidR="00497EEA">
        <w:rPr>
          <w:sz w:val="26"/>
          <w:szCs w:val="26"/>
        </w:rPr>
        <w:t xml:space="preserve">n Initial Decisions.  </w:t>
      </w:r>
      <w:r w:rsidR="004116C1">
        <w:rPr>
          <w:sz w:val="26"/>
          <w:szCs w:val="26"/>
        </w:rPr>
        <w:t xml:space="preserve">The Code and the Commission’s Regulations do not otherwise contain </w:t>
      </w:r>
      <w:r w:rsidR="00935FEE">
        <w:rPr>
          <w:sz w:val="26"/>
          <w:szCs w:val="26"/>
        </w:rPr>
        <w:t xml:space="preserve">a </w:t>
      </w:r>
      <w:r w:rsidR="004116C1">
        <w:rPr>
          <w:sz w:val="26"/>
          <w:szCs w:val="26"/>
        </w:rPr>
        <w:t xml:space="preserve">requirement regarding </w:t>
      </w:r>
      <w:r w:rsidR="00935FEE">
        <w:rPr>
          <w:sz w:val="26"/>
          <w:szCs w:val="26"/>
        </w:rPr>
        <w:t xml:space="preserve">the format of </w:t>
      </w:r>
      <w:r w:rsidR="004116C1">
        <w:rPr>
          <w:sz w:val="26"/>
          <w:szCs w:val="26"/>
        </w:rPr>
        <w:t>signatures on Initial Decisions.</w:t>
      </w:r>
    </w:p>
    <w:p w:rsidR="006B7629" w:rsidRDefault="006B7629" w:rsidP="00BD1010">
      <w:pPr>
        <w:widowControl/>
        <w:spacing w:line="360" w:lineRule="auto"/>
        <w:rPr>
          <w:sz w:val="26"/>
          <w:szCs w:val="26"/>
        </w:rPr>
      </w:pPr>
    </w:p>
    <w:p w:rsidR="00DB44D9" w:rsidRPr="00D32C49" w:rsidRDefault="00DB44D9" w:rsidP="00AF06C2">
      <w:pPr>
        <w:widowControl/>
        <w:spacing w:line="360" w:lineRule="auto"/>
        <w:jc w:val="center"/>
        <w:rPr>
          <w:sz w:val="26"/>
        </w:rPr>
      </w:pPr>
      <w:r w:rsidRPr="00D32C49">
        <w:rPr>
          <w:b/>
          <w:sz w:val="26"/>
        </w:rPr>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D32C49" w:rsidP="00574222">
      <w:pPr>
        <w:widowControl/>
        <w:tabs>
          <w:tab w:val="left" w:pos="-720"/>
        </w:tabs>
        <w:suppressAutoHyphens/>
        <w:spacing w:line="360" w:lineRule="auto"/>
        <w:ind w:firstLine="1440"/>
        <w:rPr>
          <w:sz w:val="26"/>
        </w:rPr>
      </w:pPr>
      <w:r w:rsidRPr="00D32C49">
        <w:rPr>
          <w:sz w:val="26"/>
        </w:rPr>
        <w:t>In light of the above discussion</w:t>
      </w:r>
      <w:r w:rsidR="00DB44D9" w:rsidRPr="00D32C49">
        <w:rPr>
          <w:sz w:val="26"/>
        </w:rPr>
        <w:t xml:space="preserve">, we shall:  (1) </w:t>
      </w:r>
      <w:r w:rsidR="00C20642">
        <w:rPr>
          <w:sz w:val="26"/>
        </w:rPr>
        <w:t>grant</w:t>
      </w:r>
      <w:r w:rsidR="00DB44D9" w:rsidRPr="00D32C49">
        <w:rPr>
          <w:sz w:val="26"/>
        </w:rPr>
        <w:t xml:space="preserve"> the Complainants</w:t>
      </w:r>
      <w:r w:rsidR="00C20642">
        <w:rPr>
          <w:sz w:val="26"/>
        </w:rPr>
        <w:t>’</w:t>
      </w:r>
      <w:r w:rsidR="00DB44D9" w:rsidRPr="00D32C49">
        <w:rPr>
          <w:sz w:val="26"/>
        </w:rPr>
        <w:t xml:space="preserve"> Exception</w:t>
      </w:r>
      <w:r w:rsidR="00C51A71">
        <w:rPr>
          <w:sz w:val="26"/>
        </w:rPr>
        <w:t>s</w:t>
      </w:r>
      <w:r w:rsidR="00C20642">
        <w:rPr>
          <w:sz w:val="26"/>
        </w:rPr>
        <w:t>, in part</w:t>
      </w:r>
      <w:r w:rsidR="00DB44D9" w:rsidRPr="00D32C49">
        <w:rPr>
          <w:sz w:val="26"/>
        </w:rPr>
        <w:t xml:space="preserve">; (2) </w:t>
      </w:r>
      <w:r w:rsidR="007049F0">
        <w:rPr>
          <w:sz w:val="26"/>
        </w:rPr>
        <w:t>modify</w:t>
      </w:r>
      <w:r w:rsidR="004D7331">
        <w:rPr>
          <w:sz w:val="26"/>
        </w:rPr>
        <w:t xml:space="preserve"> </w:t>
      </w:r>
      <w:r w:rsidR="00DB44D9" w:rsidRPr="00D32C49">
        <w:rPr>
          <w:sz w:val="26"/>
        </w:rPr>
        <w:t xml:space="preserve">the ALJ’s Initial Decision; </w:t>
      </w:r>
      <w:r w:rsidR="004D7331">
        <w:rPr>
          <w:sz w:val="26"/>
        </w:rPr>
        <w:t xml:space="preserve">and </w:t>
      </w:r>
      <w:r w:rsidR="00DB44D9" w:rsidRPr="00D32C49">
        <w:rPr>
          <w:sz w:val="26"/>
        </w:rPr>
        <w:t>(3) dismiss the Complaint</w:t>
      </w:r>
      <w:r w:rsidR="00796D03">
        <w:rPr>
          <w:sz w:val="26"/>
        </w:rPr>
        <w:t>, all consistent with this Opinion and Order</w:t>
      </w:r>
      <w:r w:rsidR="00587533">
        <w:rPr>
          <w:sz w:val="26"/>
        </w:rPr>
        <w:t xml:space="preserve">; </w:t>
      </w:r>
      <w:r w:rsidR="00DB44D9" w:rsidRPr="00D32C49">
        <w:rPr>
          <w:b/>
          <w:sz w:val="26"/>
        </w:rPr>
        <w:t>THEREFORE,</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587533"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by </w:t>
      </w:r>
      <w:r w:rsidR="001A1BC6">
        <w:rPr>
          <w:sz w:val="26"/>
        </w:rPr>
        <w:t>Nancy and Jim Colbert</w:t>
      </w:r>
      <w:r w:rsidR="001A1BC6" w:rsidRPr="00DB44D9">
        <w:rPr>
          <w:sz w:val="26"/>
        </w:rPr>
        <w:t xml:space="preserve"> on </w:t>
      </w:r>
      <w:r w:rsidR="001A1BC6">
        <w:rPr>
          <w:sz w:val="26"/>
        </w:rPr>
        <w:t>January 15</w:t>
      </w:r>
      <w:r w:rsidR="001A1BC6" w:rsidRPr="00DB44D9">
        <w:rPr>
          <w:sz w:val="26"/>
        </w:rPr>
        <w:t>,</w:t>
      </w:r>
      <w:r w:rsidR="001A1BC6">
        <w:rPr>
          <w:sz w:val="26"/>
        </w:rPr>
        <w:t xml:space="preserve"> 2016, </w:t>
      </w:r>
      <w:r w:rsidR="00587533">
        <w:rPr>
          <w:sz w:val="26"/>
        </w:rPr>
        <w:t xml:space="preserve">are </w:t>
      </w:r>
      <w:r w:rsidR="001A1BC6">
        <w:rPr>
          <w:sz w:val="26"/>
        </w:rPr>
        <w:t>granted, in part</w:t>
      </w:r>
      <w:r w:rsidR="00587533">
        <w:rPr>
          <w:sz w:val="26"/>
        </w:rPr>
        <w:t xml:space="preserve">.  </w:t>
      </w:r>
    </w:p>
    <w:p w:rsidR="00587533" w:rsidRDefault="00587533" w:rsidP="00DB44D9">
      <w:pPr>
        <w:widowControl/>
        <w:tabs>
          <w:tab w:val="left" w:pos="-720"/>
        </w:tabs>
        <w:suppressAutoHyphens/>
        <w:spacing w:line="360" w:lineRule="auto"/>
        <w:ind w:firstLine="1440"/>
        <w:rPr>
          <w:sz w:val="26"/>
        </w:rPr>
      </w:pPr>
    </w:p>
    <w:p w:rsidR="00DB44D9" w:rsidRPr="00D32C49" w:rsidRDefault="00587533" w:rsidP="00DB44D9">
      <w:pPr>
        <w:widowControl/>
        <w:tabs>
          <w:tab w:val="left" w:pos="-720"/>
        </w:tabs>
        <w:suppressAutoHyphens/>
        <w:spacing w:line="360" w:lineRule="auto"/>
        <w:ind w:firstLine="1440"/>
        <w:rPr>
          <w:sz w:val="26"/>
        </w:rPr>
      </w:pPr>
      <w:r>
        <w:rPr>
          <w:sz w:val="26"/>
        </w:rPr>
        <w:t>2.</w:t>
      </w:r>
      <w:r>
        <w:rPr>
          <w:sz w:val="26"/>
        </w:rPr>
        <w:tab/>
        <w:t xml:space="preserve">That the </w:t>
      </w:r>
      <w:r w:rsidRPr="00DB44D9">
        <w:rPr>
          <w:sz w:val="26"/>
        </w:rPr>
        <w:t xml:space="preserve">Initial Decision </w:t>
      </w:r>
      <w:r w:rsidR="00B41CB9">
        <w:rPr>
          <w:sz w:val="26"/>
        </w:rPr>
        <w:t xml:space="preserve">Sustaining Preliminary Objection and Dismissing Complaint </w:t>
      </w:r>
      <w:r w:rsidRPr="00DB44D9">
        <w:rPr>
          <w:sz w:val="26"/>
        </w:rPr>
        <w:t>of Adminis</w:t>
      </w:r>
      <w:r w:rsidRPr="0069670F">
        <w:rPr>
          <w:sz w:val="26"/>
        </w:rPr>
        <w:t xml:space="preserve">trative Law Judge </w:t>
      </w:r>
      <w:r w:rsidR="00832DF0">
        <w:rPr>
          <w:sz w:val="26"/>
        </w:rPr>
        <w:t>David A. Salapa,</w:t>
      </w:r>
      <w:r w:rsidR="00832DF0" w:rsidRPr="00DB44D9">
        <w:rPr>
          <w:sz w:val="26"/>
        </w:rPr>
        <w:t xml:space="preserve"> issued on </w:t>
      </w:r>
      <w:r w:rsidR="001A1BC6">
        <w:rPr>
          <w:sz w:val="26"/>
        </w:rPr>
        <w:t xml:space="preserve">January 14, 2016, </w:t>
      </w:r>
      <w:r>
        <w:rPr>
          <w:sz w:val="26"/>
        </w:rPr>
        <w:t xml:space="preserve">is </w:t>
      </w:r>
      <w:r w:rsidR="007049F0">
        <w:rPr>
          <w:sz w:val="26"/>
        </w:rPr>
        <w:t>modifi</w:t>
      </w:r>
      <w:r>
        <w:rPr>
          <w:sz w:val="26"/>
        </w:rPr>
        <w:t>ed</w:t>
      </w:r>
      <w:r w:rsidR="00832DF0">
        <w:rPr>
          <w:sz w:val="26"/>
        </w:rPr>
        <w:t>, consistent with</w:t>
      </w:r>
      <w:r w:rsidR="004D7331">
        <w:rPr>
          <w:sz w:val="26"/>
        </w:rPr>
        <w:t xml:space="preserve"> this Opinion and Order</w:t>
      </w:r>
      <w:r w:rsidR="00DB44D9" w:rsidRPr="00D32C49">
        <w:rPr>
          <w:sz w:val="26"/>
        </w:rPr>
        <w:t>.</w:t>
      </w:r>
      <w:r w:rsidR="004D7331">
        <w:rPr>
          <w:sz w:val="26"/>
        </w:rPr>
        <w:t xml:space="preserve">  </w:t>
      </w:r>
    </w:p>
    <w:p w:rsidR="00DB44D9" w:rsidRDefault="00DB44D9" w:rsidP="00DB44D9">
      <w:pPr>
        <w:widowControl/>
        <w:tabs>
          <w:tab w:val="left" w:pos="-720"/>
        </w:tabs>
        <w:suppressAutoHyphens/>
        <w:spacing w:line="360" w:lineRule="auto"/>
        <w:ind w:firstLine="1440"/>
        <w:rPr>
          <w:sz w:val="26"/>
        </w:rPr>
      </w:pPr>
    </w:p>
    <w:p w:rsidR="00105E29" w:rsidRPr="00D32C49" w:rsidRDefault="00105E29" w:rsidP="00DB44D9">
      <w:pPr>
        <w:widowControl/>
        <w:tabs>
          <w:tab w:val="left" w:pos="-720"/>
        </w:tabs>
        <w:suppressAutoHyphens/>
        <w:spacing w:line="360" w:lineRule="auto"/>
        <w:ind w:firstLine="1440"/>
        <w:rPr>
          <w:sz w:val="26"/>
        </w:rPr>
      </w:pPr>
      <w:r>
        <w:rPr>
          <w:sz w:val="26"/>
        </w:rPr>
        <w:t>3.</w:t>
      </w:r>
      <w:r>
        <w:rPr>
          <w:sz w:val="26"/>
        </w:rPr>
        <w:tab/>
        <w:t xml:space="preserve">That the Preliminary Objections filed by PECO Energy Company on December 14, 2015, are sustained. </w:t>
      </w:r>
    </w:p>
    <w:p w:rsidR="00105E29" w:rsidRDefault="00DB44D9" w:rsidP="00DB44D9">
      <w:pPr>
        <w:widowControl/>
        <w:spacing w:line="360" w:lineRule="auto"/>
        <w:rPr>
          <w:sz w:val="26"/>
          <w:szCs w:val="26"/>
        </w:rPr>
      </w:pPr>
      <w:r w:rsidRPr="00AB0977">
        <w:rPr>
          <w:sz w:val="26"/>
          <w:szCs w:val="26"/>
        </w:rPr>
        <w:tab/>
      </w:r>
      <w:r w:rsidR="00587533">
        <w:rPr>
          <w:sz w:val="26"/>
          <w:szCs w:val="26"/>
        </w:rPr>
        <w:tab/>
      </w:r>
    </w:p>
    <w:p w:rsidR="00DB44D9" w:rsidRDefault="00105E29" w:rsidP="00DB44D9">
      <w:pPr>
        <w:widowControl/>
        <w:spacing w:line="360" w:lineRule="auto"/>
        <w:rPr>
          <w:sz w:val="26"/>
          <w:szCs w:val="26"/>
        </w:rPr>
      </w:pPr>
      <w:r>
        <w:rPr>
          <w:sz w:val="26"/>
          <w:szCs w:val="26"/>
        </w:rPr>
        <w:lastRenderedPageBreak/>
        <w:tab/>
      </w:r>
      <w:r>
        <w:rPr>
          <w:sz w:val="26"/>
          <w:szCs w:val="26"/>
        </w:rPr>
        <w:tab/>
        <w:t>4</w:t>
      </w:r>
      <w:r w:rsidR="00DB44D9" w:rsidRPr="00AB0977">
        <w:rPr>
          <w:sz w:val="26"/>
          <w:szCs w:val="26"/>
        </w:rPr>
        <w:t>.</w:t>
      </w:r>
      <w:r w:rsidR="00DB44D9" w:rsidRPr="00AB0977">
        <w:rPr>
          <w:sz w:val="26"/>
          <w:szCs w:val="26"/>
        </w:rPr>
        <w:tab/>
        <w:t>That the Formal</w:t>
      </w:r>
      <w:r w:rsidR="00D32C49" w:rsidRPr="00AB0977">
        <w:rPr>
          <w:sz w:val="26"/>
          <w:szCs w:val="26"/>
        </w:rPr>
        <w:t xml:space="preserve"> Complaint filed </w:t>
      </w:r>
      <w:r w:rsidR="00587533">
        <w:rPr>
          <w:sz w:val="26"/>
          <w:szCs w:val="26"/>
        </w:rPr>
        <w:t xml:space="preserve">by </w:t>
      </w:r>
      <w:r>
        <w:rPr>
          <w:sz w:val="26"/>
          <w:szCs w:val="26"/>
        </w:rPr>
        <w:t>Nancy and Jim Colbert</w:t>
      </w:r>
      <w:r w:rsidR="00832DF0">
        <w:rPr>
          <w:sz w:val="26"/>
          <w:szCs w:val="26"/>
        </w:rPr>
        <w:t xml:space="preserve"> </w:t>
      </w:r>
      <w:r w:rsidR="00587533">
        <w:rPr>
          <w:sz w:val="26"/>
          <w:szCs w:val="26"/>
        </w:rPr>
        <w:t>at Docket No.</w:t>
      </w:r>
      <w:r w:rsidR="00DB44D9" w:rsidRPr="005E1D9A">
        <w:rPr>
          <w:sz w:val="26"/>
          <w:szCs w:val="26"/>
        </w:rPr>
        <w:t xml:space="preserve"> </w:t>
      </w:r>
      <w:r>
        <w:rPr>
          <w:sz w:val="26"/>
          <w:szCs w:val="26"/>
        </w:rPr>
        <w:t>C</w:t>
      </w:r>
      <w:r w:rsidR="00832DF0">
        <w:rPr>
          <w:sz w:val="26"/>
          <w:szCs w:val="26"/>
        </w:rPr>
        <w:t>-2015-2</w:t>
      </w:r>
      <w:r>
        <w:rPr>
          <w:sz w:val="26"/>
          <w:szCs w:val="26"/>
        </w:rPr>
        <w:t>515607</w:t>
      </w:r>
      <w:r w:rsidR="00587533">
        <w:rPr>
          <w:sz w:val="26"/>
          <w:szCs w:val="26"/>
        </w:rPr>
        <w:t xml:space="preserve"> </w:t>
      </w:r>
      <w:r w:rsidR="00DB44D9" w:rsidRPr="005E1D9A">
        <w:rPr>
          <w:sz w:val="26"/>
          <w:szCs w:val="26"/>
        </w:rPr>
        <w:t>is dismissed</w:t>
      </w:r>
      <w:r>
        <w:rPr>
          <w:sz w:val="26"/>
          <w:szCs w:val="26"/>
        </w:rPr>
        <w:t xml:space="preserve"> with prejudice</w:t>
      </w:r>
      <w:r w:rsidR="00DB44D9" w:rsidRPr="005E1D9A">
        <w:rPr>
          <w:sz w:val="26"/>
          <w:szCs w:val="26"/>
        </w:rPr>
        <w:t>.</w:t>
      </w:r>
    </w:p>
    <w:p w:rsidR="000141BC" w:rsidRDefault="000141BC" w:rsidP="00DB44D9">
      <w:pPr>
        <w:widowControl/>
        <w:spacing w:line="360" w:lineRule="auto"/>
        <w:rPr>
          <w:sz w:val="26"/>
          <w:szCs w:val="26"/>
        </w:rPr>
      </w:pPr>
    </w:p>
    <w:p w:rsidR="00105E29" w:rsidRDefault="00105E29" w:rsidP="00DB44D9">
      <w:pPr>
        <w:widowControl/>
        <w:spacing w:line="360" w:lineRule="auto"/>
        <w:rPr>
          <w:sz w:val="26"/>
          <w:szCs w:val="26"/>
        </w:rPr>
      </w:pPr>
      <w:r>
        <w:rPr>
          <w:sz w:val="26"/>
          <w:szCs w:val="26"/>
        </w:rPr>
        <w:tab/>
      </w:r>
      <w:r>
        <w:rPr>
          <w:sz w:val="26"/>
          <w:szCs w:val="26"/>
        </w:rPr>
        <w:tab/>
        <w:t>5.</w:t>
      </w:r>
      <w:r>
        <w:rPr>
          <w:sz w:val="26"/>
          <w:szCs w:val="26"/>
        </w:rPr>
        <w:tab/>
        <w:t xml:space="preserve">That the public safety concerns raised by Nancy and Jim Colbert are referred to the Commission’s Bureau of Investigation and Enforcement for whatever action it deems necessary.  </w:t>
      </w:r>
    </w:p>
    <w:p w:rsidR="00105E29" w:rsidRDefault="00105E29" w:rsidP="00DB44D9">
      <w:pPr>
        <w:widowControl/>
        <w:spacing w:line="360" w:lineRule="auto"/>
        <w:rPr>
          <w:sz w:val="26"/>
          <w:szCs w:val="26"/>
        </w:rPr>
      </w:pPr>
    </w:p>
    <w:p w:rsidR="00DB44D9" w:rsidRDefault="000141BC" w:rsidP="004D7331">
      <w:pPr>
        <w:widowControl/>
        <w:spacing w:line="360" w:lineRule="auto"/>
        <w:rPr>
          <w:sz w:val="26"/>
          <w:szCs w:val="26"/>
        </w:rPr>
      </w:pPr>
      <w:r>
        <w:rPr>
          <w:sz w:val="26"/>
          <w:szCs w:val="26"/>
        </w:rPr>
        <w:tab/>
      </w:r>
      <w:r>
        <w:rPr>
          <w:sz w:val="26"/>
          <w:szCs w:val="26"/>
        </w:rPr>
        <w:tab/>
      </w:r>
      <w:r w:rsidR="00105E29">
        <w:rPr>
          <w:sz w:val="26"/>
          <w:szCs w:val="26"/>
        </w:rPr>
        <w:t>6</w:t>
      </w:r>
      <w:r w:rsidR="00DB44D9" w:rsidRPr="005E1D9A">
        <w:rPr>
          <w:spacing w:val="-3"/>
          <w:sz w:val="26"/>
          <w:szCs w:val="24"/>
        </w:rPr>
        <w:t>.</w:t>
      </w:r>
      <w:r w:rsidR="00DB44D9" w:rsidRPr="005E1D9A">
        <w:rPr>
          <w:spacing w:val="-3"/>
          <w:sz w:val="26"/>
          <w:szCs w:val="24"/>
        </w:rPr>
        <w:tab/>
        <w:t xml:space="preserve">That the proceeding at </w:t>
      </w:r>
      <w:r w:rsidR="00AB0977" w:rsidRPr="005E1D9A">
        <w:rPr>
          <w:sz w:val="26"/>
          <w:szCs w:val="26"/>
        </w:rPr>
        <w:t xml:space="preserve">Docket No. </w:t>
      </w:r>
      <w:r w:rsidR="00105E29">
        <w:rPr>
          <w:sz w:val="26"/>
          <w:szCs w:val="26"/>
        </w:rPr>
        <w:t>C</w:t>
      </w:r>
      <w:r w:rsidR="00832DF0">
        <w:rPr>
          <w:sz w:val="26"/>
          <w:szCs w:val="26"/>
        </w:rPr>
        <w:t>-2015-</w:t>
      </w:r>
      <w:r w:rsidR="00105E29">
        <w:rPr>
          <w:sz w:val="26"/>
          <w:szCs w:val="26"/>
        </w:rPr>
        <w:t>2515607</w:t>
      </w:r>
      <w:r w:rsidR="00832DF0">
        <w:rPr>
          <w:sz w:val="26"/>
          <w:szCs w:val="26"/>
        </w:rPr>
        <w:t xml:space="preserve"> </w:t>
      </w:r>
      <w:r w:rsidR="00DB44D9" w:rsidRPr="005E1D9A">
        <w:rPr>
          <w:sz w:val="26"/>
          <w:szCs w:val="26"/>
        </w:rPr>
        <w:t>is marked closed.</w:t>
      </w:r>
    </w:p>
    <w:p w:rsidR="0092742A" w:rsidRPr="005E1D9A" w:rsidRDefault="0092742A" w:rsidP="004D7331">
      <w:pPr>
        <w:widowControl/>
        <w:spacing w:line="360" w:lineRule="auto"/>
        <w:rPr>
          <w:spacing w:val="-3"/>
          <w:sz w:val="26"/>
          <w:szCs w:val="24"/>
        </w:rPr>
      </w:pPr>
    </w:p>
    <w:p w:rsidR="00DB44D9" w:rsidRPr="005E1D9A" w:rsidRDefault="00956497" w:rsidP="00DB44D9">
      <w:pPr>
        <w:widowControl/>
        <w:tabs>
          <w:tab w:val="left" w:pos="-720"/>
        </w:tabs>
        <w:suppressAutoHyphens/>
        <w:rPr>
          <w:b/>
          <w:sz w:val="26"/>
        </w:rPr>
      </w:pPr>
      <w:bookmarkStart w:id="1" w:name="_GoBack"/>
      <w:r w:rsidRPr="00F45E06">
        <w:rPr>
          <w:b/>
          <w:noProof/>
        </w:rPr>
        <w:drawing>
          <wp:anchor distT="0" distB="0" distL="114300" distR="114300" simplePos="0" relativeHeight="251659264" behindDoc="1" locked="0" layoutInCell="1" allowOverlap="1" wp14:anchorId="5FA2C783" wp14:editId="02CCDB43">
            <wp:simplePos x="0" y="0"/>
            <wp:positionH relativeFrom="column">
              <wp:posOffset>3048635</wp:posOffset>
            </wp:positionH>
            <wp:positionV relativeFrom="paragraph">
              <wp:posOffset>86995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t>BY THE COMMISSION,</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p>
    <w:p w:rsidR="00DB44D9"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Pr="005E1D9A" w:rsidRDefault="006C7956" w:rsidP="00DB44D9">
      <w:pPr>
        <w:widowControl/>
        <w:tabs>
          <w:tab w:val="left" w:pos="-720"/>
        </w:tabs>
        <w:suppressAutoHyphens/>
        <w:rPr>
          <w:sz w:val="26"/>
        </w:rPr>
      </w:pPr>
      <w:r w:rsidRPr="005E1D9A">
        <w:rPr>
          <w:sz w:val="26"/>
        </w:rPr>
        <w:t xml:space="preserve">ORDER ADOPTED:  </w:t>
      </w:r>
      <w:r w:rsidR="00105E29">
        <w:rPr>
          <w:sz w:val="26"/>
        </w:rPr>
        <w:t>June 30</w:t>
      </w:r>
      <w:r w:rsidR="00832DF0">
        <w:rPr>
          <w:sz w:val="26"/>
        </w:rPr>
        <w:t>, 2016</w:t>
      </w:r>
      <w:r w:rsidR="00F86453">
        <w:rPr>
          <w:sz w:val="26"/>
        </w:rPr>
        <w:t xml:space="preserve"> </w:t>
      </w:r>
    </w:p>
    <w:p w:rsidR="00DB44D9" w:rsidRPr="005E1D9A" w:rsidRDefault="00DB44D9"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956497">
        <w:rPr>
          <w:sz w:val="26"/>
        </w:rPr>
        <w:t>June 30, 2016</w:t>
      </w:r>
    </w:p>
    <w:p w:rsidR="00344804" w:rsidRPr="00CA43A5" w:rsidRDefault="00344804" w:rsidP="00DB44D9">
      <w:pPr>
        <w:widowControl/>
        <w:jc w:val="center"/>
        <w:rPr>
          <w:sz w:val="26"/>
          <w:szCs w:val="26"/>
        </w:rPr>
      </w:pPr>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369" w:rsidRDefault="004B3369" w:rsidP="00F7174B">
      <w:r>
        <w:separator/>
      </w:r>
    </w:p>
  </w:endnote>
  <w:endnote w:type="continuationSeparator" w:id="0">
    <w:p w:rsidR="004B3369" w:rsidRDefault="004B3369"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236B48" w:rsidRPr="009F1A08" w:rsidRDefault="00236B48">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956497">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369" w:rsidRDefault="004B3369" w:rsidP="00F7174B">
      <w:r>
        <w:separator/>
      </w:r>
    </w:p>
  </w:footnote>
  <w:footnote w:type="continuationSeparator" w:id="0">
    <w:p w:rsidR="004B3369" w:rsidRDefault="004B3369" w:rsidP="00F7174B">
      <w:r>
        <w:continuationSeparator/>
      </w:r>
    </w:p>
  </w:footnote>
  <w:footnote w:id="1">
    <w:p w:rsidR="00236B48" w:rsidRPr="007E3D73" w:rsidRDefault="00236B48" w:rsidP="00BF0ED0">
      <w:pPr>
        <w:pStyle w:val="FootnoteText"/>
        <w:ind w:firstLine="720"/>
        <w:rPr>
          <w:sz w:val="26"/>
          <w:szCs w:val="26"/>
        </w:rPr>
      </w:pPr>
      <w:r w:rsidRPr="007E3D73">
        <w:rPr>
          <w:rStyle w:val="FootnoteReference"/>
          <w:sz w:val="26"/>
          <w:szCs w:val="26"/>
        </w:rPr>
        <w:footnoteRef/>
      </w:r>
      <w:r w:rsidRPr="007E3D73">
        <w:rPr>
          <w:sz w:val="26"/>
          <w:szCs w:val="26"/>
        </w:rPr>
        <w:t xml:space="preserve"> </w:t>
      </w:r>
      <w:r>
        <w:rPr>
          <w:sz w:val="26"/>
          <w:szCs w:val="26"/>
        </w:rPr>
        <w:tab/>
      </w:r>
      <w:r w:rsidRPr="007E3D73">
        <w:rPr>
          <w:i/>
          <w:sz w:val="26"/>
          <w:szCs w:val="26"/>
        </w:rPr>
        <w:t>See</w:t>
      </w:r>
      <w:r w:rsidRPr="007E3D73">
        <w:rPr>
          <w:sz w:val="26"/>
          <w:szCs w:val="26"/>
        </w:rPr>
        <w:t xml:space="preserve"> </w:t>
      </w:r>
      <w:r w:rsidRPr="007E3D73">
        <w:rPr>
          <w:i/>
          <w:sz w:val="26"/>
          <w:szCs w:val="26"/>
        </w:rPr>
        <w:t>Petition of PECO Energy Company for Approval of its Smart Meter Technology Procurement and Installation Plan</w:t>
      </w:r>
      <w:r w:rsidRPr="007E3D73">
        <w:rPr>
          <w:sz w:val="26"/>
          <w:szCs w:val="26"/>
        </w:rPr>
        <w:t>, Docket No. M-2009-2123944 (Smart Meter Plan).</w:t>
      </w:r>
    </w:p>
  </w:footnote>
  <w:footnote w:id="2">
    <w:p w:rsidR="00236B48" w:rsidRPr="00A5001A" w:rsidRDefault="00236B48" w:rsidP="00BF0ED0">
      <w:pPr>
        <w:pStyle w:val="FootnoteText"/>
        <w:ind w:firstLine="720"/>
        <w:rPr>
          <w:sz w:val="26"/>
          <w:szCs w:val="26"/>
        </w:rPr>
      </w:pPr>
      <w:r w:rsidRPr="00A5001A">
        <w:rPr>
          <w:rStyle w:val="FootnoteReference"/>
          <w:sz w:val="26"/>
          <w:szCs w:val="26"/>
        </w:rPr>
        <w:footnoteRef/>
      </w:r>
      <w:r w:rsidRPr="00A5001A">
        <w:rPr>
          <w:sz w:val="26"/>
          <w:szCs w:val="26"/>
        </w:rPr>
        <w:t xml:space="preserve"> </w:t>
      </w:r>
      <w:r w:rsidRPr="00A5001A">
        <w:rPr>
          <w:sz w:val="26"/>
          <w:szCs w:val="26"/>
        </w:rPr>
        <w:tab/>
      </w:r>
      <w:r w:rsidRPr="00A5001A">
        <w:rPr>
          <w:i/>
          <w:sz w:val="26"/>
          <w:szCs w:val="26"/>
        </w:rPr>
        <w:t>See</w:t>
      </w:r>
      <w:r w:rsidRPr="00A5001A">
        <w:rPr>
          <w:sz w:val="26"/>
          <w:szCs w:val="26"/>
        </w:rPr>
        <w:t xml:space="preserve"> </w:t>
      </w:r>
      <w:r w:rsidRPr="00A5001A">
        <w:rPr>
          <w:i/>
          <w:sz w:val="26"/>
          <w:szCs w:val="26"/>
        </w:rPr>
        <w:t xml:space="preserve">Petition of PECO Energy Company for Approval of its Smart </w:t>
      </w:r>
      <w:r>
        <w:rPr>
          <w:i/>
          <w:sz w:val="26"/>
          <w:szCs w:val="26"/>
        </w:rPr>
        <w:t>M</w:t>
      </w:r>
      <w:r w:rsidRPr="00A5001A">
        <w:rPr>
          <w:i/>
          <w:sz w:val="26"/>
          <w:szCs w:val="26"/>
        </w:rPr>
        <w:t>eter Technology Procurement and Installation Plan</w:t>
      </w:r>
      <w:r w:rsidRPr="00A5001A">
        <w:rPr>
          <w:sz w:val="26"/>
          <w:szCs w:val="26"/>
        </w:rPr>
        <w:t>, Docket No. M-2009-2123944</w:t>
      </w:r>
      <w:r>
        <w:rPr>
          <w:sz w:val="26"/>
          <w:szCs w:val="26"/>
        </w:rPr>
        <w:t xml:space="preserve"> </w:t>
      </w:r>
      <w:r w:rsidRPr="00A5001A">
        <w:rPr>
          <w:sz w:val="26"/>
          <w:szCs w:val="26"/>
        </w:rPr>
        <w:t>(Order entered May 6, 2010) (</w:t>
      </w:r>
      <w:r w:rsidRPr="00A5001A">
        <w:rPr>
          <w:i/>
          <w:sz w:val="26"/>
          <w:szCs w:val="26"/>
        </w:rPr>
        <w:t>PECO Smart Meter Plan Order</w:t>
      </w:r>
      <w:r w:rsidRPr="00A5001A">
        <w:rPr>
          <w:sz w:val="26"/>
          <w:szCs w:val="26"/>
        </w:rPr>
        <w:t>).</w:t>
      </w:r>
    </w:p>
  </w:footnote>
  <w:footnote w:id="3">
    <w:p w:rsidR="00236B48" w:rsidRPr="00DD2324" w:rsidRDefault="00236B48" w:rsidP="00BF0ED0">
      <w:pPr>
        <w:pStyle w:val="FootnoteText"/>
        <w:ind w:firstLine="720"/>
      </w:pPr>
      <w:r w:rsidRPr="00DD2324">
        <w:rPr>
          <w:rStyle w:val="FootnoteReference"/>
          <w:sz w:val="26"/>
          <w:szCs w:val="26"/>
        </w:rPr>
        <w:footnoteRef/>
      </w:r>
      <w:r>
        <w:t xml:space="preserve"> </w:t>
      </w:r>
      <w:r>
        <w:tab/>
      </w:r>
      <w:r w:rsidRPr="00DD2324">
        <w:rPr>
          <w:i/>
          <w:sz w:val="26"/>
          <w:szCs w:val="26"/>
        </w:rPr>
        <w:t>See Smart Meter Procurement and Installation</w:t>
      </w:r>
      <w:r w:rsidRPr="00DD2324">
        <w:rPr>
          <w:sz w:val="26"/>
          <w:szCs w:val="26"/>
        </w:rPr>
        <w:t xml:space="preserve">, Docket </w:t>
      </w:r>
      <w:r>
        <w:rPr>
          <w:sz w:val="26"/>
          <w:szCs w:val="26"/>
        </w:rPr>
        <w:t>N</w:t>
      </w:r>
      <w:r w:rsidRPr="00DD2324">
        <w:rPr>
          <w:sz w:val="26"/>
          <w:szCs w:val="26"/>
        </w:rPr>
        <w:t>o.</w:t>
      </w:r>
      <w:r w:rsidRPr="00DB13EB">
        <w:rPr>
          <w:sz w:val="26"/>
          <w:szCs w:val="26"/>
        </w:rPr>
        <w:t xml:space="preserve"> </w:t>
      </w:r>
      <w:r w:rsidRPr="00DB13EB">
        <w:rPr>
          <w:sz w:val="26"/>
          <w:szCs w:val="26"/>
        </w:rPr>
        <w:br/>
      </w:r>
      <w:r w:rsidRPr="00DD2324">
        <w:rPr>
          <w:sz w:val="26"/>
          <w:szCs w:val="26"/>
        </w:rPr>
        <w:t>M</w:t>
      </w:r>
      <w:r>
        <w:rPr>
          <w:sz w:val="26"/>
          <w:szCs w:val="26"/>
        </w:rPr>
        <w:t>-</w:t>
      </w:r>
      <w:r w:rsidRPr="00DD2324">
        <w:rPr>
          <w:sz w:val="26"/>
          <w:szCs w:val="26"/>
        </w:rPr>
        <w:t>2009</w:t>
      </w:r>
      <w:r>
        <w:rPr>
          <w:sz w:val="26"/>
          <w:szCs w:val="26"/>
        </w:rPr>
        <w:t>-</w:t>
      </w:r>
      <w:r w:rsidRPr="00DD2324">
        <w:rPr>
          <w:sz w:val="26"/>
          <w:szCs w:val="26"/>
        </w:rPr>
        <w:t>2092655 (Implementation Order entered June 24, 2009) (</w:t>
      </w:r>
      <w:r w:rsidRPr="00DD2324">
        <w:rPr>
          <w:i/>
          <w:sz w:val="26"/>
          <w:szCs w:val="26"/>
        </w:rPr>
        <w:t>Smart Meter Procurement and Installation Order</w:t>
      </w:r>
      <w:r w:rsidRPr="00DD2324">
        <w:rPr>
          <w:sz w:val="26"/>
          <w:szCs w:val="26"/>
        </w:rPr>
        <w:t>).</w:t>
      </w:r>
    </w:p>
  </w:footnote>
  <w:footnote w:id="4">
    <w:p w:rsidR="00236B48" w:rsidRPr="003C528E" w:rsidRDefault="00236B48" w:rsidP="008F1B81">
      <w:pPr>
        <w:pStyle w:val="FootnoteText"/>
        <w:ind w:right="-90" w:firstLine="720"/>
        <w:rPr>
          <w:sz w:val="26"/>
          <w:szCs w:val="26"/>
        </w:rPr>
      </w:pPr>
      <w:r w:rsidRPr="003C528E">
        <w:rPr>
          <w:rStyle w:val="FootnoteReference"/>
          <w:sz w:val="26"/>
          <w:szCs w:val="26"/>
        </w:rPr>
        <w:footnoteRef/>
      </w:r>
      <w:r w:rsidRPr="003C528E">
        <w:rPr>
          <w:sz w:val="26"/>
          <w:szCs w:val="26"/>
        </w:rPr>
        <w:t xml:space="preserve"> </w:t>
      </w:r>
      <w:r w:rsidRPr="003C528E">
        <w:rPr>
          <w:sz w:val="26"/>
          <w:szCs w:val="26"/>
        </w:rPr>
        <w:tab/>
      </w:r>
      <w:r>
        <w:rPr>
          <w:sz w:val="26"/>
          <w:szCs w:val="26"/>
        </w:rPr>
        <w:t>PECO cite</w:t>
      </w:r>
      <w:r w:rsidR="008E37D2">
        <w:rPr>
          <w:sz w:val="26"/>
          <w:szCs w:val="26"/>
        </w:rPr>
        <w:t>d</w:t>
      </w:r>
      <w:r>
        <w:rPr>
          <w:sz w:val="26"/>
          <w:szCs w:val="26"/>
        </w:rPr>
        <w:t xml:space="preserve"> to</w:t>
      </w:r>
      <w:r w:rsidRPr="003C528E">
        <w:rPr>
          <w:i/>
          <w:sz w:val="26"/>
          <w:szCs w:val="26"/>
        </w:rPr>
        <w:t xml:space="preserve"> Maria Povacz v. PECO Energy</w:t>
      </w:r>
      <w:r>
        <w:rPr>
          <w:i/>
          <w:sz w:val="26"/>
          <w:szCs w:val="26"/>
        </w:rPr>
        <w:t xml:space="preserve"> Company</w:t>
      </w:r>
      <w:r w:rsidRPr="003C528E">
        <w:rPr>
          <w:sz w:val="26"/>
          <w:szCs w:val="26"/>
        </w:rPr>
        <w:t>, Docket No.</w:t>
      </w:r>
      <w:r>
        <w:rPr>
          <w:sz w:val="26"/>
          <w:szCs w:val="26"/>
        </w:rPr>
        <w:t xml:space="preserve"> </w:t>
      </w:r>
      <w:r w:rsidRPr="003C528E">
        <w:rPr>
          <w:sz w:val="26"/>
          <w:szCs w:val="26"/>
        </w:rPr>
        <w:t>C</w:t>
      </w:r>
      <w:r w:rsidR="003719BB">
        <w:rPr>
          <w:sz w:val="26"/>
          <w:szCs w:val="26"/>
        </w:rPr>
        <w:noBreakHyphen/>
      </w:r>
      <w:r w:rsidRPr="003C528E">
        <w:rPr>
          <w:sz w:val="26"/>
          <w:szCs w:val="26"/>
        </w:rPr>
        <w:t xml:space="preserve">2012-2317176 (Order entered January 24, 2013); </w:t>
      </w:r>
      <w:r w:rsidRPr="003C528E">
        <w:rPr>
          <w:i/>
          <w:sz w:val="26"/>
          <w:szCs w:val="26"/>
        </w:rPr>
        <w:t>Theresa Gavin v. PECO Energy</w:t>
      </w:r>
      <w:r>
        <w:rPr>
          <w:i/>
          <w:sz w:val="26"/>
          <w:szCs w:val="26"/>
        </w:rPr>
        <w:t xml:space="preserve"> Company</w:t>
      </w:r>
      <w:r w:rsidRPr="003C528E">
        <w:rPr>
          <w:sz w:val="26"/>
          <w:szCs w:val="26"/>
        </w:rPr>
        <w:t xml:space="preserve">, Docket No. C-2012-2325258 (Order entered January 24, 2013); </w:t>
      </w:r>
      <w:r w:rsidRPr="003C528E">
        <w:rPr>
          <w:i/>
          <w:sz w:val="26"/>
          <w:szCs w:val="26"/>
        </w:rPr>
        <w:t>Jeff Morgan v. PECO Energy</w:t>
      </w:r>
      <w:r>
        <w:rPr>
          <w:i/>
          <w:sz w:val="26"/>
          <w:szCs w:val="26"/>
        </w:rPr>
        <w:t xml:space="preserve"> Company</w:t>
      </w:r>
      <w:r w:rsidRPr="003C528E">
        <w:rPr>
          <w:sz w:val="26"/>
          <w:szCs w:val="26"/>
        </w:rPr>
        <w:t>, Docket No. C-2013-2356606 (</w:t>
      </w:r>
      <w:r>
        <w:rPr>
          <w:sz w:val="26"/>
          <w:szCs w:val="26"/>
        </w:rPr>
        <w:t xml:space="preserve">Final </w:t>
      </w:r>
      <w:r w:rsidRPr="003C528E">
        <w:rPr>
          <w:sz w:val="26"/>
          <w:szCs w:val="26"/>
        </w:rPr>
        <w:t xml:space="preserve">Order entered July 23, 2013); </w:t>
      </w:r>
      <w:r w:rsidRPr="003C528E">
        <w:rPr>
          <w:i/>
          <w:sz w:val="26"/>
          <w:szCs w:val="26"/>
        </w:rPr>
        <w:t>Thomas McCarey v. PECO Energy</w:t>
      </w:r>
      <w:r>
        <w:rPr>
          <w:i/>
          <w:sz w:val="26"/>
          <w:szCs w:val="26"/>
        </w:rPr>
        <w:t xml:space="preserve"> Company</w:t>
      </w:r>
      <w:r w:rsidRPr="003C528E">
        <w:rPr>
          <w:sz w:val="26"/>
          <w:szCs w:val="26"/>
        </w:rPr>
        <w:t>, Docket No. C-2013-2354862 (</w:t>
      </w:r>
      <w:r>
        <w:rPr>
          <w:sz w:val="26"/>
          <w:szCs w:val="26"/>
        </w:rPr>
        <w:t xml:space="preserve">Final </w:t>
      </w:r>
      <w:r w:rsidRPr="003C528E">
        <w:rPr>
          <w:sz w:val="26"/>
          <w:szCs w:val="26"/>
        </w:rPr>
        <w:t xml:space="preserve">Order entered September 26, 2013); </w:t>
      </w:r>
      <w:r w:rsidRPr="003C528E">
        <w:rPr>
          <w:i/>
          <w:sz w:val="26"/>
          <w:szCs w:val="26"/>
        </w:rPr>
        <w:t>Renney Thomas v. PECO Energy</w:t>
      </w:r>
      <w:r>
        <w:rPr>
          <w:i/>
          <w:sz w:val="26"/>
          <w:szCs w:val="26"/>
        </w:rPr>
        <w:t xml:space="preserve"> Company</w:t>
      </w:r>
      <w:r w:rsidRPr="003C528E">
        <w:rPr>
          <w:sz w:val="26"/>
          <w:szCs w:val="26"/>
        </w:rPr>
        <w:t>, Docket No. C-2012-2336225 (</w:t>
      </w:r>
      <w:r>
        <w:rPr>
          <w:sz w:val="26"/>
          <w:szCs w:val="26"/>
        </w:rPr>
        <w:t xml:space="preserve">Final </w:t>
      </w:r>
      <w:r w:rsidRPr="003C528E">
        <w:rPr>
          <w:sz w:val="26"/>
          <w:szCs w:val="26"/>
        </w:rPr>
        <w:t>Order entered December 31, 2013);</w:t>
      </w:r>
      <w:r>
        <w:rPr>
          <w:sz w:val="26"/>
          <w:szCs w:val="26"/>
        </w:rPr>
        <w:t xml:space="preserve"> </w:t>
      </w:r>
      <w:r w:rsidRPr="003C528E">
        <w:rPr>
          <w:i/>
          <w:sz w:val="26"/>
          <w:szCs w:val="26"/>
        </w:rPr>
        <w:t>Ellen Donnelly v. PECO Energy</w:t>
      </w:r>
      <w:r>
        <w:rPr>
          <w:i/>
          <w:sz w:val="26"/>
          <w:szCs w:val="26"/>
        </w:rPr>
        <w:t xml:space="preserve"> Company</w:t>
      </w:r>
      <w:r w:rsidRPr="003C528E">
        <w:rPr>
          <w:sz w:val="26"/>
          <w:szCs w:val="26"/>
        </w:rPr>
        <w:t>, Docket No. F-2013-2330663 (</w:t>
      </w:r>
      <w:r>
        <w:rPr>
          <w:sz w:val="26"/>
          <w:szCs w:val="26"/>
        </w:rPr>
        <w:t xml:space="preserve">Final </w:t>
      </w:r>
      <w:r w:rsidRPr="003C528E">
        <w:rPr>
          <w:sz w:val="26"/>
          <w:szCs w:val="26"/>
        </w:rPr>
        <w:t>Order entered March 18, 2014)</w:t>
      </w:r>
      <w:r>
        <w:rPr>
          <w:sz w:val="26"/>
          <w:szCs w:val="26"/>
        </w:rPr>
        <w:t xml:space="preserve">; and </w:t>
      </w:r>
      <w:r w:rsidRPr="008F1B81">
        <w:rPr>
          <w:i/>
          <w:sz w:val="26"/>
          <w:szCs w:val="26"/>
        </w:rPr>
        <w:t>Gerald H. Smith v. PECO Energy Company</w:t>
      </w:r>
      <w:r>
        <w:rPr>
          <w:sz w:val="26"/>
          <w:szCs w:val="26"/>
        </w:rPr>
        <w:t xml:space="preserve">, Docket No. C-2014-2443198 (Order entered April 23, 2015).  </w:t>
      </w:r>
    </w:p>
  </w:footnote>
  <w:footnote w:id="5">
    <w:p w:rsidR="00236B48" w:rsidRPr="006742D8" w:rsidRDefault="00236B48">
      <w:pPr>
        <w:pStyle w:val="FootnoteText"/>
        <w:rPr>
          <w:sz w:val="26"/>
        </w:rPr>
      </w:pPr>
      <w:r>
        <w:tab/>
      </w:r>
      <w:r w:rsidRPr="006742D8">
        <w:rPr>
          <w:rStyle w:val="FootnoteReference"/>
          <w:sz w:val="26"/>
        </w:rPr>
        <w:footnoteRef/>
      </w:r>
      <w:r w:rsidRPr="006742D8">
        <w:rPr>
          <w:sz w:val="26"/>
        </w:rPr>
        <w:t xml:space="preserve"> </w:t>
      </w:r>
      <w:r w:rsidRPr="006742D8">
        <w:rPr>
          <w:sz w:val="26"/>
        </w:rPr>
        <w:tab/>
        <w:t>We acknowledge that the Complainants</w:t>
      </w:r>
      <w:r w:rsidR="00685B33">
        <w:rPr>
          <w:sz w:val="26"/>
        </w:rPr>
        <w:t>’</w:t>
      </w:r>
      <w:r w:rsidRPr="006742D8">
        <w:rPr>
          <w:sz w:val="26"/>
        </w:rPr>
        <w:t xml:space="preserve"> Exceptions do not strictly conform to 52 Pa. Code § 5.533(b), which requires each exception to “be numbered and identify the finding of fact or conclusion of law to which exception is taken and cite relevant pages of the decision.”  However, we will consider the Exceptions as filed in order to secure a just, speedy, and inexpensive determination in this proceeding</w:t>
      </w:r>
      <w:r>
        <w:rPr>
          <w:sz w:val="26"/>
        </w:rPr>
        <w:t>, consistent with 52 Pa. Code § 1.2(a) and (d), particularly because the Complainant</w:t>
      </w:r>
      <w:r w:rsidR="00685B33">
        <w:rPr>
          <w:sz w:val="26"/>
        </w:rPr>
        <w:t>s</w:t>
      </w:r>
      <w:r>
        <w:rPr>
          <w:sz w:val="26"/>
        </w:rPr>
        <w:t xml:space="preserve"> </w:t>
      </w:r>
      <w:r w:rsidR="00685B33">
        <w:rPr>
          <w:sz w:val="26"/>
        </w:rPr>
        <w:t>are</w:t>
      </w:r>
      <w:r>
        <w:rPr>
          <w:sz w:val="26"/>
        </w:rPr>
        <w:t xml:space="preserve"> appearing </w:t>
      </w:r>
      <w:r w:rsidRPr="00787F64">
        <w:rPr>
          <w:i/>
          <w:sz w:val="26"/>
        </w:rPr>
        <w:t>pro se</w:t>
      </w:r>
      <w:r w:rsidRPr="006742D8">
        <w:rPr>
          <w:sz w:val="26"/>
        </w:rPr>
        <w:t xml:space="preserve">.    </w:t>
      </w:r>
    </w:p>
  </w:footnote>
  <w:footnote w:id="6">
    <w:p w:rsidR="00236B48" w:rsidRPr="00F55234" w:rsidRDefault="00236B48">
      <w:pPr>
        <w:pStyle w:val="FootnoteText"/>
        <w:rPr>
          <w:sz w:val="26"/>
        </w:rPr>
      </w:pPr>
      <w:r>
        <w:tab/>
      </w:r>
      <w:r w:rsidRPr="00F55234">
        <w:rPr>
          <w:rStyle w:val="FootnoteReference"/>
          <w:sz w:val="26"/>
        </w:rPr>
        <w:footnoteRef/>
      </w:r>
      <w:r w:rsidRPr="00F55234">
        <w:rPr>
          <w:sz w:val="26"/>
        </w:rPr>
        <w:t xml:space="preserve"> </w:t>
      </w:r>
      <w:r w:rsidRPr="00F55234">
        <w:rPr>
          <w:sz w:val="26"/>
        </w:rPr>
        <w:tab/>
        <w:t xml:space="preserve">Replies to Exceptions were due on February 16, 2016; however PECO filed its Replies three days after the deadline.  </w:t>
      </w:r>
      <w:r w:rsidR="004C2972">
        <w:rPr>
          <w:sz w:val="26"/>
        </w:rPr>
        <w:t>The Exceptions consist of</w:t>
      </w:r>
      <w:r w:rsidR="00E63DD6">
        <w:rPr>
          <w:sz w:val="26"/>
        </w:rPr>
        <w:t>:</w:t>
      </w:r>
      <w:r w:rsidR="004C2972">
        <w:rPr>
          <w:sz w:val="26"/>
        </w:rPr>
        <w:t xml:space="preserve"> (1) a document bearing no docket number, no case name, and no signatures; (2) a copy of the Initial Decision bearing handwritten markings</w:t>
      </w:r>
      <w:r w:rsidR="00E63DD6">
        <w:rPr>
          <w:sz w:val="26"/>
        </w:rPr>
        <w:t>;</w:t>
      </w:r>
      <w:r w:rsidR="004C2972">
        <w:rPr>
          <w:sz w:val="26"/>
        </w:rPr>
        <w:t xml:space="preserve"> and (3) a letter addressed to the PUC.  </w:t>
      </w:r>
      <w:r w:rsidRPr="00F55234">
        <w:rPr>
          <w:sz w:val="26"/>
        </w:rPr>
        <w:t xml:space="preserve">PECO </w:t>
      </w:r>
      <w:r w:rsidR="00E63DD6">
        <w:rPr>
          <w:sz w:val="26"/>
        </w:rPr>
        <w:t>avers</w:t>
      </w:r>
      <w:r w:rsidRPr="00F55234">
        <w:rPr>
          <w:sz w:val="26"/>
        </w:rPr>
        <w:t xml:space="preserve"> in its Replies </w:t>
      </w:r>
      <w:r w:rsidR="00F55234">
        <w:rPr>
          <w:sz w:val="26"/>
        </w:rPr>
        <w:t xml:space="preserve">to Exceptions </w:t>
      </w:r>
      <w:r w:rsidRPr="00F55234">
        <w:rPr>
          <w:sz w:val="26"/>
        </w:rPr>
        <w:t>that the Complainant</w:t>
      </w:r>
      <w:r w:rsidR="00685B33">
        <w:rPr>
          <w:sz w:val="26"/>
        </w:rPr>
        <w:t>s</w:t>
      </w:r>
      <w:r w:rsidRPr="00F55234">
        <w:rPr>
          <w:sz w:val="26"/>
        </w:rPr>
        <w:t xml:space="preserve"> </w:t>
      </w:r>
      <w:r w:rsidR="004C2972">
        <w:rPr>
          <w:sz w:val="26"/>
        </w:rPr>
        <w:t xml:space="preserve">only </w:t>
      </w:r>
      <w:r w:rsidRPr="00F55234">
        <w:rPr>
          <w:sz w:val="26"/>
        </w:rPr>
        <w:t xml:space="preserve">sent </w:t>
      </w:r>
      <w:r w:rsidR="004C2972">
        <w:rPr>
          <w:sz w:val="26"/>
        </w:rPr>
        <w:t>PECO a copy of the first document</w:t>
      </w:r>
      <w:r w:rsidR="00E63DD6">
        <w:rPr>
          <w:sz w:val="26"/>
        </w:rPr>
        <w:t xml:space="preserve">, and that </w:t>
      </w:r>
      <w:r w:rsidR="004C2972">
        <w:rPr>
          <w:sz w:val="26"/>
        </w:rPr>
        <w:t>it did not construe th</w:t>
      </w:r>
      <w:r w:rsidR="00E63DD6">
        <w:rPr>
          <w:sz w:val="26"/>
        </w:rPr>
        <w:t>at d</w:t>
      </w:r>
      <w:r w:rsidR="004C2972">
        <w:rPr>
          <w:sz w:val="26"/>
        </w:rPr>
        <w:t>ocument as Exceptions</w:t>
      </w:r>
      <w:r w:rsidR="00E63DD6">
        <w:rPr>
          <w:sz w:val="26"/>
        </w:rPr>
        <w:t xml:space="preserve">.  PECO further avers that it </w:t>
      </w:r>
      <w:r w:rsidR="004C2972">
        <w:rPr>
          <w:sz w:val="26"/>
        </w:rPr>
        <w:t xml:space="preserve">subsequently viewed </w:t>
      </w:r>
      <w:r w:rsidR="00E346C9">
        <w:rPr>
          <w:sz w:val="26"/>
        </w:rPr>
        <w:t xml:space="preserve">the second and third </w:t>
      </w:r>
      <w:r w:rsidR="004C2972">
        <w:rPr>
          <w:sz w:val="26"/>
        </w:rPr>
        <w:t>documents on the PUC website</w:t>
      </w:r>
      <w:r w:rsidR="00E346C9">
        <w:rPr>
          <w:sz w:val="26"/>
        </w:rPr>
        <w:t xml:space="preserve"> and </w:t>
      </w:r>
      <w:r w:rsidR="00E63DD6">
        <w:rPr>
          <w:sz w:val="26"/>
        </w:rPr>
        <w:t xml:space="preserve">promptly </w:t>
      </w:r>
      <w:r w:rsidR="00E346C9">
        <w:rPr>
          <w:sz w:val="26"/>
        </w:rPr>
        <w:t>filed its Replies</w:t>
      </w:r>
      <w:r w:rsidRPr="00F55234">
        <w:rPr>
          <w:sz w:val="26"/>
        </w:rPr>
        <w:t xml:space="preserve">.  PECO requests that the Commission consider its Replies to Exceptions, </w:t>
      </w:r>
      <w:r w:rsidRPr="00F55234">
        <w:rPr>
          <w:i/>
          <w:sz w:val="26"/>
        </w:rPr>
        <w:t>nunc pro tunc</w:t>
      </w:r>
      <w:r w:rsidRPr="00F55234">
        <w:rPr>
          <w:sz w:val="26"/>
        </w:rPr>
        <w:t xml:space="preserve">.  </w:t>
      </w:r>
      <w:r w:rsidR="00E346C9">
        <w:rPr>
          <w:sz w:val="26"/>
        </w:rPr>
        <w:t xml:space="preserve">Our Regulation at 1.15(a)(1) permits us to extend a deadline, after the expiration of the specified period, where reasonable grounds are shown for the failure to act.  </w:t>
      </w:r>
      <w:r w:rsidRPr="00F55234">
        <w:rPr>
          <w:sz w:val="26"/>
        </w:rPr>
        <w:t xml:space="preserve">Upon review, </w:t>
      </w:r>
      <w:r w:rsidR="00E346C9">
        <w:rPr>
          <w:sz w:val="26"/>
        </w:rPr>
        <w:t xml:space="preserve">we find reasonable grounds for </w:t>
      </w:r>
      <w:r w:rsidR="00CC5EA2">
        <w:rPr>
          <w:sz w:val="26"/>
        </w:rPr>
        <w:t xml:space="preserve">PECO’s </w:t>
      </w:r>
      <w:r w:rsidR="00E346C9">
        <w:rPr>
          <w:sz w:val="26"/>
        </w:rPr>
        <w:t xml:space="preserve">brief delay in filing Replies.  </w:t>
      </w:r>
      <w:r w:rsidRPr="00F55234">
        <w:rPr>
          <w:sz w:val="26"/>
        </w:rPr>
        <w:t>Accordingly, we shall consider the Replies to Exceptions</w:t>
      </w:r>
      <w:r w:rsidR="00F55234">
        <w:rPr>
          <w:sz w:val="26"/>
        </w:rPr>
        <w:t>.</w:t>
      </w:r>
      <w:r w:rsidR="00685B33">
        <w:rPr>
          <w:sz w:val="26"/>
        </w:rPr>
        <w:t xml:space="preserve">  </w:t>
      </w:r>
      <w:r w:rsidRPr="00F55234">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518"/>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86"/>
    <w:rsid w:val="000260C6"/>
    <w:rsid w:val="000267E5"/>
    <w:rsid w:val="00026C8C"/>
    <w:rsid w:val="00026CD2"/>
    <w:rsid w:val="00027002"/>
    <w:rsid w:val="0003055F"/>
    <w:rsid w:val="00030928"/>
    <w:rsid w:val="0003093F"/>
    <w:rsid w:val="00030A62"/>
    <w:rsid w:val="00030B07"/>
    <w:rsid w:val="00030F6D"/>
    <w:rsid w:val="000314B7"/>
    <w:rsid w:val="00032635"/>
    <w:rsid w:val="0003325E"/>
    <w:rsid w:val="0003333B"/>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1B6E"/>
    <w:rsid w:val="000425AA"/>
    <w:rsid w:val="000426D8"/>
    <w:rsid w:val="00043D65"/>
    <w:rsid w:val="000441C7"/>
    <w:rsid w:val="00044260"/>
    <w:rsid w:val="00044CDF"/>
    <w:rsid w:val="00044F62"/>
    <w:rsid w:val="00045800"/>
    <w:rsid w:val="00045E6A"/>
    <w:rsid w:val="00046D2C"/>
    <w:rsid w:val="000477D8"/>
    <w:rsid w:val="00047874"/>
    <w:rsid w:val="00047A50"/>
    <w:rsid w:val="00047F4A"/>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5C2A"/>
    <w:rsid w:val="00056286"/>
    <w:rsid w:val="000571D8"/>
    <w:rsid w:val="0005720D"/>
    <w:rsid w:val="00057D06"/>
    <w:rsid w:val="00057EB5"/>
    <w:rsid w:val="00057F80"/>
    <w:rsid w:val="000609F5"/>
    <w:rsid w:val="00060ADE"/>
    <w:rsid w:val="000612FD"/>
    <w:rsid w:val="00061B73"/>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DA5"/>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A2E"/>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117"/>
    <w:rsid w:val="00085330"/>
    <w:rsid w:val="00087299"/>
    <w:rsid w:val="0008785F"/>
    <w:rsid w:val="000878C9"/>
    <w:rsid w:val="00087A69"/>
    <w:rsid w:val="00090825"/>
    <w:rsid w:val="00090B69"/>
    <w:rsid w:val="000918D4"/>
    <w:rsid w:val="00091C59"/>
    <w:rsid w:val="000922E7"/>
    <w:rsid w:val="0009261B"/>
    <w:rsid w:val="00093164"/>
    <w:rsid w:val="00093660"/>
    <w:rsid w:val="00093E0C"/>
    <w:rsid w:val="00094851"/>
    <w:rsid w:val="00094907"/>
    <w:rsid w:val="000958D8"/>
    <w:rsid w:val="00095AD5"/>
    <w:rsid w:val="00095DBE"/>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1D2"/>
    <w:rsid w:val="000B1D8C"/>
    <w:rsid w:val="000B216D"/>
    <w:rsid w:val="000B26FD"/>
    <w:rsid w:val="000B2755"/>
    <w:rsid w:val="000B2A4A"/>
    <w:rsid w:val="000B2E1C"/>
    <w:rsid w:val="000B3420"/>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466C"/>
    <w:rsid w:val="000C55FB"/>
    <w:rsid w:val="000C5927"/>
    <w:rsid w:val="000C5F15"/>
    <w:rsid w:val="000C67F5"/>
    <w:rsid w:val="000C69F0"/>
    <w:rsid w:val="000C709A"/>
    <w:rsid w:val="000C70AB"/>
    <w:rsid w:val="000C7255"/>
    <w:rsid w:val="000C765F"/>
    <w:rsid w:val="000C76B5"/>
    <w:rsid w:val="000C79A0"/>
    <w:rsid w:val="000C7BBD"/>
    <w:rsid w:val="000D008C"/>
    <w:rsid w:val="000D02EB"/>
    <w:rsid w:val="000D03B2"/>
    <w:rsid w:val="000D03D1"/>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250"/>
    <w:rsid w:val="000D6299"/>
    <w:rsid w:val="000D669A"/>
    <w:rsid w:val="000D6E1E"/>
    <w:rsid w:val="000D72E0"/>
    <w:rsid w:val="000D7AB5"/>
    <w:rsid w:val="000E02B6"/>
    <w:rsid w:val="000E1DC9"/>
    <w:rsid w:val="000E2075"/>
    <w:rsid w:val="000E215E"/>
    <w:rsid w:val="000E231D"/>
    <w:rsid w:val="000E3310"/>
    <w:rsid w:val="000E35AE"/>
    <w:rsid w:val="000E64D8"/>
    <w:rsid w:val="000E6A73"/>
    <w:rsid w:val="000E6DC6"/>
    <w:rsid w:val="000E766F"/>
    <w:rsid w:val="000E7A90"/>
    <w:rsid w:val="000E7DE5"/>
    <w:rsid w:val="000F179E"/>
    <w:rsid w:val="000F1DC2"/>
    <w:rsid w:val="000F1FB3"/>
    <w:rsid w:val="000F2397"/>
    <w:rsid w:val="000F27FE"/>
    <w:rsid w:val="000F2DE3"/>
    <w:rsid w:val="000F4307"/>
    <w:rsid w:val="000F551B"/>
    <w:rsid w:val="000F5CA7"/>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1C1"/>
    <w:rsid w:val="0010425F"/>
    <w:rsid w:val="001044B6"/>
    <w:rsid w:val="00104D61"/>
    <w:rsid w:val="00104D9B"/>
    <w:rsid w:val="00105C8E"/>
    <w:rsid w:val="00105DAC"/>
    <w:rsid w:val="00105E29"/>
    <w:rsid w:val="001060E5"/>
    <w:rsid w:val="001062CD"/>
    <w:rsid w:val="00106312"/>
    <w:rsid w:val="00107388"/>
    <w:rsid w:val="00107609"/>
    <w:rsid w:val="001079A5"/>
    <w:rsid w:val="00107A0C"/>
    <w:rsid w:val="00107EE2"/>
    <w:rsid w:val="00110650"/>
    <w:rsid w:val="001106DA"/>
    <w:rsid w:val="00110F2F"/>
    <w:rsid w:val="00112217"/>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4F72"/>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4395"/>
    <w:rsid w:val="00134C8A"/>
    <w:rsid w:val="00135157"/>
    <w:rsid w:val="001351BB"/>
    <w:rsid w:val="00135480"/>
    <w:rsid w:val="00135670"/>
    <w:rsid w:val="001358B2"/>
    <w:rsid w:val="00135972"/>
    <w:rsid w:val="001360FC"/>
    <w:rsid w:val="001361AC"/>
    <w:rsid w:val="00136C22"/>
    <w:rsid w:val="001370B5"/>
    <w:rsid w:val="00137B55"/>
    <w:rsid w:val="001400A9"/>
    <w:rsid w:val="001402F3"/>
    <w:rsid w:val="001414CD"/>
    <w:rsid w:val="00142219"/>
    <w:rsid w:val="00142BD8"/>
    <w:rsid w:val="00142CF7"/>
    <w:rsid w:val="00143267"/>
    <w:rsid w:val="0014360F"/>
    <w:rsid w:val="00143F09"/>
    <w:rsid w:val="001447A0"/>
    <w:rsid w:val="0014497F"/>
    <w:rsid w:val="00144F43"/>
    <w:rsid w:val="00145197"/>
    <w:rsid w:val="00145241"/>
    <w:rsid w:val="001456D6"/>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EFA"/>
    <w:rsid w:val="00160FB6"/>
    <w:rsid w:val="001611EF"/>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6298"/>
    <w:rsid w:val="001663C8"/>
    <w:rsid w:val="0016653A"/>
    <w:rsid w:val="0016673B"/>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1958"/>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A42"/>
    <w:rsid w:val="00195C58"/>
    <w:rsid w:val="00195F2E"/>
    <w:rsid w:val="00197581"/>
    <w:rsid w:val="001A004E"/>
    <w:rsid w:val="001A0B18"/>
    <w:rsid w:val="001A1400"/>
    <w:rsid w:val="001A1946"/>
    <w:rsid w:val="001A1BC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66A"/>
    <w:rsid w:val="001C4978"/>
    <w:rsid w:val="001C4B6C"/>
    <w:rsid w:val="001C5F74"/>
    <w:rsid w:val="001C61F9"/>
    <w:rsid w:val="001C657E"/>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6DC3"/>
    <w:rsid w:val="001D705F"/>
    <w:rsid w:val="001E0B61"/>
    <w:rsid w:val="001E1276"/>
    <w:rsid w:val="001E1610"/>
    <w:rsid w:val="001E1FD6"/>
    <w:rsid w:val="001E2949"/>
    <w:rsid w:val="001E343F"/>
    <w:rsid w:val="001E3937"/>
    <w:rsid w:val="001E3F37"/>
    <w:rsid w:val="001E5807"/>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0AB5"/>
    <w:rsid w:val="00202524"/>
    <w:rsid w:val="00202A4F"/>
    <w:rsid w:val="00202AA8"/>
    <w:rsid w:val="00202B57"/>
    <w:rsid w:val="00203025"/>
    <w:rsid w:val="00203F94"/>
    <w:rsid w:val="0020442F"/>
    <w:rsid w:val="002044B6"/>
    <w:rsid w:val="0020580B"/>
    <w:rsid w:val="0020644D"/>
    <w:rsid w:val="00206592"/>
    <w:rsid w:val="0020688A"/>
    <w:rsid w:val="00206E8B"/>
    <w:rsid w:val="00207441"/>
    <w:rsid w:val="00207DDC"/>
    <w:rsid w:val="002105C5"/>
    <w:rsid w:val="00210736"/>
    <w:rsid w:val="00210CE0"/>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BB4"/>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8E8"/>
    <w:rsid w:val="00232AA6"/>
    <w:rsid w:val="00232E6B"/>
    <w:rsid w:val="00233488"/>
    <w:rsid w:val="002347C5"/>
    <w:rsid w:val="00234B16"/>
    <w:rsid w:val="0023519F"/>
    <w:rsid w:val="00235F21"/>
    <w:rsid w:val="00236209"/>
    <w:rsid w:val="002369BF"/>
    <w:rsid w:val="00236B20"/>
    <w:rsid w:val="00236B48"/>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128"/>
    <w:rsid w:val="00257AA3"/>
    <w:rsid w:val="00257D32"/>
    <w:rsid w:val="00260044"/>
    <w:rsid w:val="00260613"/>
    <w:rsid w:val="00260957"/>
    <w:rsid w:val="00261032"/>
    <w:rsid w:val="00262909"/>
    <w:rsid w:val="00262D9F"/>
    <w:rsid w:val="002630E2"/>
    <w:rsid w:val="002643F9"/>
    <w:rsid w:val="00264646"/>
    <w:rsid w:val="00264B6E"/>
    <w:rsid w:val="00264E86"/>
    <w:rsid w:val="00265506"/>
    <w:rsid w:val="00265AE4"/>
    <w:rsid w:val="00265B6D"/>
    <w:rsid w:val="00266444"/>
    <w:rsid w:val="00266D46"/>
    <w:rsid w:val="00266DDD"/>
    <w:rsid w:val="00267188"/>
    <w:rsid w:val="002671A2"/>
    <w:rsid w:val="00267B63"/>
    <w:rsid w:val="00267F1F"/>
    <w:rsid w:val="00267F5D"/>
    <w:rsid w:val="002704E9"/>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238"/>
    <w:rsid w:val="00275489"/>
    <w:rsid w:val="0027561F"/>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47B0"/>
    <w:rsid w:val="00284972"/>
    <w:rsid w:val="00284E86"/>
    <w:rsid w:val="0028500A"/>
    <w:rsid w:val="00285073"/>
    <w:rsid w:val="002859FB"/>
    <w:rsid w:val="00285A8E"/>
    <w:rsid w:val="0028602D"/>
    <w:rsid w:val="0028701F"/>
    <w:rsid w:val="002872B6"/>
    <w:rsid w:val="002873E6"/>
    <w:rsid w:val="00287681"/>
    <w:rsid w:val="00287EF7"/>
    <w:rsid w:val="00290029"/>
    <w:rsid w:val="00290F08"/>
    <w:rsid w:val="002911F0"/>
    <w:rsid w:val="00291F2F"/>
    <w:rsid w:val="00291F68"/>
    <w:rsid w:val="0029235E"/>
    <w:rsid w:val="00292927"/>
    <w:rsid w:val="0029356B"/>
    <w:rsid w:val="00294181"/>
    <w:rsid w:val="002946AB"/>
    <w:rsid w:val="002946B2"/>
    <w:rsid w:val="00294BD5"/>
    <w:rsid w:val="0029672A"/>
    <w:rsid w:val="00296998"/>
    <w:rsid w:val="00297B94"/>
    <w:rsid w:val="002A01BD"/>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598"/>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6C"/>
    <w:rsid w:val="002C44E1"/>
    <w:rsid w:val="002C4A1B"/>
    <w:rsid w:val="002C4F72"/>
    <w:rsid w:val="002C5256"/>
    <w:rsid w:val="002C6648"/>
    <w:rsid w:val="002C6CC4"/>
    <w:rsid w:val="002C6EF5"/>
    <w:rsid w:val="002C7166"/>
    <w:rsid w:val="002C7270"/>
    <w:rsid w:val="002C7542"/>
    <w:rsid w:val="002C79B8"/>
    <w:rsid w:val="002D13C4"/>
    <w:rsid w:val="002D1791"/>
    <w:rsid w:val="002D1B15"/>
    <w:rsid w:val="002D2678"/>
    <w:rsid w:val="002D275E"/>
    <w:rsid w:val="002D2A1D"/>
    <w:rsid w:val="002D2C16"/>
    <w:rsid w:val="002D313F"/>
    <w:rsid w:val="002D402C"/>
    <w:rsid w:val="002D41FE"/>
    <w:rsid w:val="002D4DA3"/>
    <w:rsid w:val="002D50F1"/>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474"/>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364"/>
    <w:rsid w:val="002E765B"/>
    <w:rsid w:val="002E7BAB"/>
    <w:rsid w:val="002E7F8F"/>
    <w:rsid w:val="002F112F"/>
    <w:rsid w:val="002F1385"/>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44D4"/>
    <w:rsid w:val="00304F5A"/>
    <w:rsid w:val="0030665C"/>
    <w:rsid w:val="0030682C"/>
    <w:rsid w:val="00306D1F"/>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18EE"/>
    <w:rsid w:val="00322040"/>
    <w:rsid w:val="00322AF6"/>
    <w:rsid w:val="00323326"/>
    <w:rsid w:val="00323BAB"/>
    <w:rsid w:val="00323CA9"/>
    <w:rsid w:val="00323EF5"/>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6812"/>
    <w:rsid w:val="0033732D"/>
    <w:rsid w:val="00337A1F"/>
    <w:rsid w:val="00337BA8"/>
    <w:rsid w:val="00340D19"/>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272"/>
    <w:rsid w:val="00355410"/>
    <w:rsid w:val="00356024"/>
    <w:rsid w:val="003561D9"/>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9BB"/>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961"/>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49B"/>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192A"/>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1E14"/>
    <w:rsid w:val="003E25AA"/>
    <w:rsid w:val="003E2890"/>
    <w:rsid w:val="003E2B2E"/>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26F"/>
    <w:rsid w:val="004012F8"/>
    <w:rsid w:val="00401733"/>
    <w:rsid w:val="00401D5C"/>
    <w:rsid w:val="00402763"/>
    <w:rsid w:val="00402F37"/>
    <w:rsid w:val="00403056"/>
    <w:rsid w:val="00403501"/>
    <w:rsid w:val="004036B6"/>
    <w:rsid w:val="0040377C"/>
    <w:rsid w:val="00403D6E"/>
    <w:rsid w:val="00404859"/>
    <w:rsid w:val="00404C6E"/>
    <w:rsid w:val="00404C7A"/>
    <w:rsid w:val="00405083"/>
    <w:rsid w:val="00405898"/>
    <w:rsid w:val="00405AA2"/>
    <w:rsid w:val="00405E03"/>
    <w:rsid w:val="00406194"/>
    <w:rsid w:val="004073CB"/>
    <w:rsid w:val="004077D8"/>
    <w:rsid w:val="00407AC0"/>
    <w:rsid w:val="0041013B"/>
    <w:rsid w:val="00411024"/>
    <w:rsid w:val="004116C1"/>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961"/>
    <w:rsid w:val="00415B78"/>
    <w:rsid w:val="00416041"/>
    <w:rsid w:val="004166BD"/>
    <w:rsid w:val="00416724"/>
    <w:rsid w:val="00416924"/>
    <w:rsid w:val="004169A6"/>
    <w:rsid w:val="004170AF"/>
    <w:rsid w:val="0042057D"/>
    <w:rsid w:val="004210DA"/>
    <w:rsid w:val="00421331"/>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85F"/>
    <w:rsid w:val="0043390D"/>
    <w:rsid w:val="00433E8D"/>
    <w:rsid w:val="004346C9"/>
    <w:rsid w:val="00434A60"/>
    <w:rsid w:val="00434E88"/>
    <w:rsid w:val="0043541B"/>
    <w:rsid w:val="0043559E"/>
    <w:rsid w:val="0043592C"/>
    <w:rsid w:val="00436062"/>
    <w:rsid w:val="00436217"/>
    <w:rsid w:val="00436345"/>
    <w:rsid w:val="00436F2F"/>
    <w:rsid w:val="00437894"/>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5C33"/>
    <w:rsid w:val="004462F7"/>
    <w:rsid w:val="0044636A"/>
    <w:rsid w:val="00450675"/>
    <w:rsid w:val="00451116"/>
    <w:rsid w:val="00451656"/>
    <w:rsid w:val="00453C7E"/>
    <w:rsid w:val="00454835"/>
    <w:rsid w:val="00454F06"/>
    <w:rsid w:val="004550AC"/>
    <w:rsid w:val="0045554B"/>
    <w:rsid w:val="00455AAF"/>
    <w:rsid w:val="0045635B"/>
    <w:rsid w:val="0045645E"/>
    <w:rsid w:val="0045650D"/>
    <w:rsid w:val="00456B5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5CFC"/>
    <w:rsid w:val="004864B3"/>
    <w:rsid w:val="004875B9"/>
    <w:rsid w:val="004875D5"/>
    <w:rsid w:val="00490625"/>
    <w:rsid w:val="0049082B"/>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2F5"/>
    <w:rsid w:val="00496874"/>
    <w:rsid w:val="00496CF9"/>
    <w:rsid w:val="00496E5A"/>
    <w:rsid w:val="0049768F"/>
    <w:rsid w:val="00497EEA"/>
    <w:rsid w:val="004A04E5"/>
    <w:rsid w:val="004A064F"/>
    <w:rsid w:val="004A0768"/>
    <w:rsid w:val="004A0E80"/>
    <w:rsid w:val="004A1495"/>
    <w:rsid w:val="004A17BE"/>
    <w:rsid w:val="004A1EAD"/>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369"/>
    <w:rsid w:val="004B35AF"/>
    <w:rsid w:val="004B3F02"/>
    <w:rsid w:val="004B5366"/>
    <w:rsid w:val="004B5F4A"/>
    <w:rsid w:val="004B604A"/>
    <w:rsid w:val="004B6A8C"/>
    <w:rsid w:val="004B6B14"/>
    <w:rsid w:val="004B7C5F"/>
    <w:rsid w:val="004C07BB"/>
    <w:rsid w:val="004C0FC8"/>
    <w:rsid w:val="004C1048"/>
    <w:rsid w:val="004C2972"/>
    <w:rsid w:val="004C3390"/>
    <w:rsid w:val="004C3E3E"/>
    <w:rsid w:val="004C3FEB"/>
    <w:rsid w:val="004C44E9"/>
    <w:rsid w:val="004C4E4F"/>
    <w:rsid w:val="004C516F"/>
    <w:rsid w:val="004C6198"/>
    <w:rsid w:val="004C650A"/>
    <w:rsid w:val="004C68A0"/>
    <w:rsid w:val="004C692A"/>
    <w:rsid w:val="004C6DE0"/>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DC3"/>
    <w:rsid w:val="004E12AC"/>
    <w:rsid w:val="004E1843"/>
    <w:rsid w:val="004E20B2"/>
    <w:rsid w:val="004E248A"/>
    <w:rsid w:val="004E2C79"/>
    <w:rsid w:val="004E2F87"/>
    <w:rsid w:val="004E3279"/>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E7F2E"/>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4718"/>
    <w:rsid w:val="004F5715"/>
    <w:rsid w:val="004F58F8"/>
    <w:rsid w:val="004F5E7A"/>
    <w:rsid w:val="004F61F4"/>
    <w:rsid w:val="0050002D"/>
    <w:rsid w:val="00500141"/>
    <w:rsid w:val="00500C5A"/>
    <w:rsid w:val="00500E33"/>
    <w:rsid w:val="005012B0"/>
    <w:rsid w:val="005014E4"/>
    <w:rsid w:val="00501C6A"/>
    <w:rsid w:val="00501ECF"/>
    <w:rsid w:val="00502165"/>
    <w:rsid w:val="00502218"/>
    <w:rsid w:val="00502432"/>
    <w:rsid w:val="005031DD"/>
    <w:rsid w:val="00503D12"/>
    <w:rsid w:val="00504731"/>
    <w:rsid w:val="00504834"/>
    <w:rsid w:val="00504B4E"/>
    <w:rsid w:val="00504C7A"/>
    <w:rsid w:val="0050520C"/>
    <w:rsid w:val="00505489"/>
    <w:rsid w:val="00505AEE"/>
    <w:rsid w:val="00505C40"/>
    <w:rsid w:val="00505C62"/>
    <w:rsid w:val="00505FB1"/>
    <w:rsid w:val="005060D7"/>
    <w:rsid w:val="0050632E"/>
    <w:rsid w:val="00506975"/>
    <w:rsid w:val="00506D07"/>
    <w:rsid w:val="00506D74"/>
    <w:rsid w:val="00507512"/>
    <w:rsid w:val="0050752D"/>
    <w:rsid w:val="00507A46"/>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29"/>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99A"/>
    <w:rsid w:val="00564A12"/>
    <w:rsid w:val="00565EE0"/>
    <w:rsid w:val="00565FD3"/>
    <w:rsid w:val="00566299"/>
    <w:rsid w:val="005673AF"/>
    <w:rsid w:val="00567695"/>
    <w:rsid w:val="00567782"/>
    <w:rsid w:val="0057127D"/>
    <w:rsid w:val="00571B4B"/>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533"/>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2FD"/>
    <w:rsid w:val="005A5587"/>
    <w:rsid w:val="005A5A88"/>
    <w:rsid w:val="005A5DC9"/>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422A"/>
    <w:rsid w:val="005B5100"/>
    <w:rsid w:val="005B536B"/>
    <w:rsid w:val="005B53AF"/>
    <w:rsid w:val="005B55F4"/>
    <w:rsid w:val="005B5C29"/>
    <w:rsid w:val="005B5D1F"/>
    <w:rsid w:val="005B5D33"/>
    <w:rsid w:val="005B6E15"/>
    <w:rsid w:val="005C0A3A"/>
    <w:rsid w:val="005C0B9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35D"/>
    <w:rsid w:val="005E590A"/>
    <w:rsid w:val="005E5E87"/>
    <w:rsid w:val="005E5FD3"/>
    <w:rsid w:val="005E6960"/>
    <w:rsid w:val="005E6D97"/>
    <w:rsid w:val="005E6DE3"/>
    <w:rsid w:val="005E6E51"/>
    <w:rsid w:val="005E73F1"/>
    <w:rsid w:val="005E75AB"/>
    <w:rsid w:val="005E7D93"/>
    <w:rsid w:val="005E7EB8"/>
    <w:rsid w:val="005F110E"/>
    <w:rsid w:val="005F149B"/>
    <w:rsid w:val="005F1577"/>
    <w:rsid w:val="005F184F"/>
    <w:rsid w:val="005F18D6"/>
    <w:rsid w:val="005F2A33"/>
    <w:rsid w:val="005F2BA8"/>
    <w:rsid w:val="005F3582"/>
    <w:rsid w:val="005F3FFE"/>
    <w:rsid w:val="005F40BA"/>
    <w:rsid w:val="005F4434"/>
    <w:rsid w:val="005F50DF"/>
    <w:rsid w:val="005F5324"/>
    <w:rsid w:val="005F58CD"/>
    <w:rsid w:val="005F7E1A"/>
    <w:rsid w:val="00600D34"/>
    <w:rsid w:val="00601089"/>
    <w:rsid w:val="00601171"/>
    <w:rsid w:val="00601392"/>
    <w:rsid w:val="00601925"/>
    <w:rsid w:val="00601DC7"/>
    <w:rsid w:val="00602064"/>
    <w:rsid w:val="0060221D"/>
    <w:rsid w:val="006024B9"/>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1B3"/>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971"/>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2E"/>
    <w:rsid w:val="00642985"/>
    <w:rsid w:val="00642A9A"/>
    <w:rsid w:val="00643078"/>
    <w:rsid w:val="00643641"/>
    <w:rsid w:val="006438C4"/>
    <w:rsid w:val="00643A9E"/>
    <w:rsid w:val="00643FB4"/>
    <w:rsid w:val="006441F7"/>
    <w:rsid w:val="006450EA"/>
    <w:rsid w:val="00645427"/>
    <w:rsid w:val="0064558B"/>
    <w:rsid w:val="0064586F"/>
    <w:rsid w:val="00645E82"/>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5C8"/>
    <w:rsid w:val="00656DA1"/>
    <w:rsid w:val="006571E4"/>
    <w:rsid w:val="0065760C"/>
    <w:rsid w:val="00657DB9"/>
    <w:rsid w:val="0066037C"/>
    <w:rsid w:val="00660A79"/>
    <w:rsid w:val="00661123"/>
    <w:rsid w:val="00661153"/>
    <w:rsid w:val="006627B9"/>
    <w:rsid w:val="00662A6B"/>
    <w:rsid w:val="00663111"/>
    <w:rsid w:val="006631F8"/>
    <w:rsid w:val="0066435C"/>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2D8"/>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C3A"/>
    <w:rsid w:val="00684FCA"/>
    <w:rsid w:val="0068524B"/>
    <w:rsid w:val="0068582B"/>
    <w:rsid w:val="00685B32"/>
    <w:rsid w:val="00685B33"/>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629"/>
    <w:rsid w:val="006B7995"/>
    <w:rsid w:val="006C07A9"/>
    <w:rsid w:val="006C0D0F"/>
    <w:rsid w:val="006C0F46"/>
    <w:rsid w:val="006C16A8"/>
    <w:rsid w:val="006C1EEC"/>
    <w:rsid w:val="006C319D"/>
    <w:rsid w:val="006C352C"/>
    <w:rsid w:val="006C3732"/>
    <w:rsid w:val="006C3FEA"/>
    <w:rsid w:val="006C4D9B"/>
    <w:rsid w:val="006C4FEE"/>
    <w:rsid w:val="006C65E9"/>
    <w:rsid w:val="006C6666"/>
    <w:rsid w:val="006C69E7"/>
    <w:rsid w:val="006C7956"/>
    <w:rsid w:val="006D02C4"/>
    <w:rsid w:val="006D03C2"/>
    <w:rsid w:val="006D0E42"/>
    <w:rsid w:val="006D10AE"/>
    <w:rsid w:val="006D17CF"/>
    <w:rsid w:val="006D1BBB"/>
    <w:rsid w:val="006D1E54"/>
    <w:rsid w:val="006D24DC"/>
    <w:rsid w:val="006D25C3"/>
    <w:rsid w:val="006D25E8"/>
    <w:rsid w:val="006D29F2"/>
    <w:rsid w:val="006D2A2D"/>
    <w:rsid w:val="006D3674"/>
    <w:rsid w:val="006D3BBB"/>
    <w:rsid w:val="006D3FCC"/>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5DB"/>
    <w:rsid w:val="006E1692"/>
    <w:rsid w:val="006E1C33"/>
    <w:rsid w:val="006E1E6C"/>
    <w:rsid w:val="006E20CB"/>
    <w:rsid w:val="006E39DC"/>
    <w:rsid w:val="006E533A"/>
    <w:rsid w:val="006E5505"/>
    <w:rsid w:val="006E56CB"/>
    <w:rsid w:val="006E576A"/>
    <w:rsid w:val="006E69BD"/>
    <w:rsid w:val="006E6BBE"/>
    <w:rsid w:val="006E6C72"/>
    <w:rsid w:val="006E71BB"/>
    <w:rsid w:val="006E71DC"/>
    <w:rsid w:val="006E75E9"/>
    <w:rsid w:val="006E799B"/>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9E7"/>
    <w:rsid w:val="006F3B4E"/>
    <w:rsid w:val="006F3CE3"/>
    <w:rsid w:val="006F3D23"/>
    <w:rsid w:val="006F4E35"/>
    <w:rsid w:val="006F5214"/>
    <w:rsid w:val="006F5261"/>
    <w:rsid w:val="006F531B"/>
    <w:rsid w:val="006F56B6"/>
    <w:rsid w:val="006F5AE6"/>
    <w:rsid w:val="006F5C09"/>
    <w:rsid w:val="006F621B"/>
    <w:rsid w:val="006F62BC"/>
    <w:rsid w:val="006F670F"/>
    <w:rsid w:val="006F6F2D"/>
    <w:rsid w:val="006F70BD"/>
    <w:rsid w:val="006F79A0"/>
    <w:rsid w:val="0070023A"/>
    <w:rsid w:val="0070037B"/>
    <w:rsid w:val="007008AF"/>
    <w:rsid w:val="00700EE1"/>
    <w:rsid w:val="00702493"/>
    <w:rsid w:val="007034D1"/>
    <w:rsid w:val="00704310"/>
    <w:rsid w:val="007049F0"/>
    <w:rsid w:val="007051D8"/>
    <w:rsid w:val="00705B01"/>
    <w:rsid w:val="00706A77"/>
    <w:rsid w:val="007078A9"/>
    <w:rsid w:val="00710309"/>
    <w:rsid w:val="0071035D"/>
    <w:rsid w:val="00710973"/>
    <w:rsid w:val="007109A0"/>
    <w:rsid w:val="00710D88"/>
    <w:rsid w:val="00710DD9"/>
    <w:rsid w:val="00711670"/>
    <w:rsid w:val="0071167F"/>
    <w:rsid w:val="007122F9"/>
    <w:rsid w:val="00712806"/>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9AD"/>
    <w:rsid w:val="007320A9"/>
    <w:rsid w:val="007326A9"/>
    <w:rsid w:val="0073277B"/>
    <w:rsid w:val="00732A29"/>
    <w:rsid w:val="00732B83"/>
    <w:rsid w:val="00732E51"/>
    <w:rsid w:val="00733957"/>
    <w:rsid w:val="007339D3"/>
    <w:rsid w:val="007339F8"/>
    <w:rsid w:val="0073435D"/>
    <w:rsid w:val="00734536"/>
    <w:rsid w:val="007345B7"/>
    <w:rsid w:val="007346E0"/>
    <w:rsid w:val="00734A6F"/>
    <w:rsid w:val="00734B6D"/>
    <w:rsid w:val="00734BAD"/>
    <w:rsid w:val="00735064"/>
    <w:rsid w:val="00735BE0"/>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6683"/>
    <w:rsid w:val="00746695"/>
    <w:rsid w:val="00747215"/>
    <w:rsid w:val="00750E70"/>
    <w:rsid w:val="00751075"/>
    <w:rsid w:val="0075132B"/>
    <w:rsid w:val="00751808"/>
    <w:rsid w:val="007526AB"/>
    <w:rsid w:val="0075323B"/>
    <w:rsid w:val="00753356"/>
    <w:rsid w:val="00753376"/>
    <w:rsid w:val="007537D0"/>
    <w:rsid w:val="00753909"/>
    <w:rsid w:val="007543B0"/>
    <w:rsid w:val="007548E3"/>
    <w:rsid w:val="00754A5A"/>
    <w:rsid w:val="00754DFC"/>
    <w:rsid w:val="00755131"/>
    <w:rsid w:val="007559E5"/>
    <w:rsid w:val="007564F6"/>
    <w:rsid w:val="007565BF"/>
    <w:rsid w:val="007568A9"/>
    <w:rsid w:val="00756CB9"/>
    <w:rsid w:val="00756DEC"/>
    <w:rsid w:val="00761514"/>
    <w:rsid w:val="00761FBC"/>
    <w:rsid w:val="00761FE1"/>
    <w:rsid w:val="007621DE"/>
    <w:rsid w:val="0076267A"/>
    <w:rsid w:val="007629F0"/>
    <w:rsid w:val="00762EBF"/>
    <w:rsid w:val="00763C22"/>
    <w:rsid w:val="00763CE7"/>
    <w:rsid w:val="00764923"/>
    <w:rsid w:val="00765842"/>
    <w:rsid w:val="007659E2"/>
    <w:rsid w:val="007669EA"/>
    <w:rsid w:val="00766A7F"/>
    <w:rsid w:val="00766D6C"/>
    <w:rsid w:val="007673C3"/>
    <w:rsid w:val="00767696"/>
    <w:rsid w:val="00767793"/>
    <w:rsid w:val="00770127"/>
    <w:rsid w:val="007701DE"/>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5DEB"/>
    <w:rsid w:val="007863CB"/>
    <w:rsid w:val="007867C0"/>
    <w:rsid w:val="00786D62"/>
    <w:rsid w:val="00786F48"/>
    <w:rsid w:val="0078725D"/>
    <w:rsid w:val="0078772C"/>
    <w:rsid w:val="00787866"/>
    <w:rsid w:val="007878E4"/>
    <w:rsid w:val="007879E4"/>
    <w:rsid w:val="00787F64"/>
    <w:rsid w:val="0079082B"/>
    <w:rsid w:val="0079090E"/>
    <w:rsid w:val="00790984"/>
    <w:rsid w:val="00790A49"/>
    <w:rsid w:val="00791054"/>
    <w:rsid w:val="0079128C"/>
    <w:rsid w:val="0079205F"/>
    <w:rsid w:val="00792076"/>
    <w:rsid w:val="00792289"/>
    <w:rsid w:val="0079228D"/>
    <w:rsid w:val="00792628"/>
    <w:rsid w:val="0079267C"/>
    <w:rsid w:val="00792D4E"/>
    <w:rsid w:val="0079302A"/>
    <w:rsid w:val="0079345F"/>
    <w:rsid w:val="00793CC0"/>
    <w:rsid w:val="00794177"/>
    <w:rsid w:val="0079508F"/>
    <w:rsid w:val="0079530A"/>
    <w:rsid w:val="007955F3"/>
    <w:rsid w:val="007958ED"/>
    <w:rsid w:val="007960DD"/>
    <w:rsid w:val="007963BD"/>
    <w:rsid w:val="00796453"/>
    <w:rsid w:val="007966E6"/>
    <w:rsid w:val="00796CE8"/>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0D3"/>
    <w:rsid w:val="007A7AEE"/>
    <w:rsid w:val="007A7F33"/>
    <w:rsid w:val="007B03A0"/>
    <w:rsid w:val="007B0500"/>
    <w:rsid w:val="007B0BE5"/>
    <w:rsid w:val="007B111B"/>
    <w:rsid w:val="007B1441"/>
    <w:rsid w:val="007B1478"/>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470"/>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0C43"/>
    <w:rsid w:val="007E11D8"/>
    <w:rsid w:val="007E1600"/>
    <w:rsid w:val="007E16BE"/>
    <w:rsid w:val="007E1E93"/>
    <w:rsid w:val="007E2E72"/>
    <w:rsid w:val="007E2F09"/>
    <w:rsid w:val="007E38C7"/>
    <w:rsid w:val="007E3A75"/>
    <w:rsid w:val="007E3D73"/>
    <w:rsid w:val="007E3F3E"/>
    <w:rsid w:val="007E4050"/>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82F"/>
    <w:rsid w:val="007F28B0"/>
    <w:rsid w:val="007F2A03"/>
    <w:rsid w:val="007F3616"/>
    <w:rsid w:val="007F473E"/>
    <w:rsid w:val="007F4847"/>
    <w:rsid w:val="007F4D92"/>
    <w:rsid w:val="007F4ED7"/>
    <w:rsid w:val="007F5371"/>
    <w:rsid w:val="007F60F8"/>
    <w:rsid w:val="007F699F"/>
    <w:rsid w:val="007F6A9E"/>
    <w:rsid w:val="007F6DE8"/>
    <w:rsid w:val="007F77B2"/>
    <w:rsid w:val="007F7883"/>
    <w:rsid w:val="007F7D0C"/>
    <w:rsid w:val="00800499"/>
    <w:rsid w:val="008014ED"/>
    <w:rsid w:val="008021B9"/>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427"/>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2DF0"/>
    <w:rsid w:val="00833012"/>
    <w:rsid w:val="0083324D"/>
    <w:rsid w:val="008332FC"/>
    <w:rsid w:val="00833AA0"/>
    <w:rsid w:val="00834929"/>
    <w:rsid w:val="008354BA"/>
    <w:rsid w:val="00835595"/>
    <w:rsid w:val="0083585E"/>
    <w:rsid w:val="008361B9"/>
    <w:rsid w:val="0083636A"/>
    <w:rsid w:val="00840F10"/>
    <w:rsid w:val="00841733"/>
    <w:rsid w:val="00841C58"/>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5DC"/>
    <w:rsid w:val="0084563E"/>
    <w:rsid w:val="008460B0"/>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04B"/>
    <w:rsid w:val="00872172"/>
    <w:rsid w:val="00872345"/>
    <w:rsid w:val="008726BA"/>
    <w:rsid w:val="00872B3E"/>
    <w:rsid w:val="00872C75"/>
    <w:rsid w:val="00873456"/>
    <w:rsid w:val="0087347D"/>
    <w:rsid w:val="00873CA1"/>
    <w:rsid w:val="00874C69"/>
    <w:rsid w:val="008751E0"/>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DA4"/>
    <w:rsid w:val="008B6E36"/>
    <w:rsid w:val="008B7A43"/>
    <w:rsid w:val="008C06B9"/>
    <w:rsid w:val="008C09C4"/>
    <w:rsid w:val="008C0B7B"/>
    <w:rsid w:val="008C1270"/>
    <w:rsid w:val="008C144D"/>
    <w:rsid w:val="008C1492"/>
    <w:rsid w:val="008C1598"/>
    <w:rsid w:val="008C1B8A"/>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6F6E"/>
    <w:rsid w:val="008C73E8"/>
    <w:rsid w:val="008D0258"/>
    <w:rsid w:val="008D08DC"/>
    <w:rsid w:val="008D0EE3"/>
    <w:rsid w:val="008D12D7"/>
    <w:rsid w:val="008D2363"/>
    <w:rsid w:val="008D2408"/>
    <w:rsid w:val="008D2AC2"/>
    <w:rsid w:val="008D2E46"/>
    <w:rsid w:val="008D429B"/>
    <w:rsid w:val="008D4364"/>
    <w:rsid w:val="008D45B1"/>
    <w:rsid w:val="008D4689"/>
    <w:rsid w:val="008D48FF"/>
    <w:rsid w:val="008D50EA"/>
    <w:rsid w:val="008D5321"/>
    <w:rsid w:val="008D53A4"/>
    <w:rsid w:val="008D61A7"/>
    <w:rsid w:val="008D62A9"/>
    <w:rsid w:val="008D64F1"/>
    <w:rsid w:val="008E0007"/>
    <w:rsid w:val="008E00FC"/>
    <w:rsid w:val="008E0179"/>
    <w:rsid w:val="008E02F2"/>
    <w:rsid w:val="008E0374"/>
    <w:rsid w:val="008E0B1C"/>
    <w:rsid w:val="008E1426"/>
    <w:rsid w:val="008E145C"/>
    <w:rsid w:val="008E16B0"/>
    <w:rsid w:val="008E1AA7"/>
    <w:rsid w:val="008E1D5A"/>
    <w:rsid w:val="008E2D53"/>
    <w:rsid w:val="008E37D2"/>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B81"/>
    <w:rsid w:val="008F1C39"/>
    <w:rsid w:val="008F1E9C"/>
    <w:rsid w:val="008F2795"/>
    <w:rsid w:val="008F2F6F"/>
    <w:rsid w:val="008F356B"/>
    <w:rsid w:val="008F3AB7"/>
    <w:rsid w:val="008F3B70"/>
    <w:rsid w:val="008F3D6C"/>
    <w:rsid w:val="008F4398"/>
    <w:rsid w:val="008F485A"/>
    <w:rsid w:val="008F58B6"/>
    <w:rsid w:val="008F6978"/>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17D6F"/>
    <w:rsid w:val="00920301"/>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6BC8"/>
    <w:rsid w:val="0092742A"/>
    <w:rsid w:val="00927471"/>
    <w:rsid w:val="00927593"/>
    <w:rsid w:val="00927A95"/>
    <w:rsid w:val="00927C17"/>
    <w:rsid w:val="00927C43"/>
    <w:rsid w:val="00927C5C"/>
    <w:rsid w:val="00927CA6"/>
    <w:rsid w:val="00927CEF"/>
    <w:rsid w:val="00930029"/>
    <w:rsid w:val="009301F9"/>
    <w:rsid w:val="00931854"/>
    <w:rsid w:val="009325FE"/>
    <w:rsid w:val="00932B80"/>
    <w:rsid w:val="0093409F"/>
    <w:rsid w:val="00934AA9"/>
    <w:rsid w:val="0093523F"/>
    <w:rsid w:val="009354AB"/>
    <w:rsid w:val="009356BA"/>
    <w:rsid w:val="00935723"/>
    <w:rsid w:val="00935FEE"/>
    <w:rsid w:val="00936130"/>
    <w:rsid w:val="00936D0E"/>
    <w:rsid w:val="009373D3"/>
    <w:rsid w:val="009405DC"/>
    <w:rsid w:val="009407FE"/>
    <w:rsid w:val="009410B7"/>
    <w:rsid w:val="00941710"/>
    <w:rsid w:val="00941A2E"/>
    <w:rsid w:val="00941E3E"/>
    <w:rsid w:val="00942436"/>
    <w:rsid w:val="00942FCF"/>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497"/>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F8F"/>
    <w:rsid w:val="00964013"/>
    <w:rsid w:val="00964263"/>
    <w:rsid w:val="0096487B"/>
    <w:rsid w:val="00965462"/>
    <w:rsid w:val="00965885"/>
    <w:rsid w:val="00965CD1"/>
    <w:rsid w:val="00966934"/>
    <w:rsid w:val="00967C53"/>
    <w:rsid w:val="00970460"/>
    <w:rsid w:val="00970874"/>
    <w:rsid w:val="0097149A"/>
    <w:rsid w:val="00971B48"/>
    <w:rsid w:val="00972583"/>
    <w:rsid w:val="00972963"/>
    <w:rsid w:val="00972ECE"/>
    <w:rsid w:val="0097326D"/>
    <w:rsid w:val="009734B3"/>
    <w:rsid w:val="00973500"/>
    <w:rsid w:val="009736FE"/>
    <w:rsid w:val="00973AC4"/>
    <w:rsid w:val="00973E95"/>
    <w:rsid w:val="0097434E"/>
    <w:rsid w:val="009757D1"/>
    <w:rsid w:val="00975EB9"/>
    <w:rsid w:val="00976AB7"/>
    <w:rsid w:val="009777B0"/>
    <w:rsid w:val="00980381"/>
    <w:rsid w:val="0098057F"/>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9F1"/>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6D2E"/>
    <w:rsid w:val="00997260"/>
    <w:rsid w:val="00997EB2"/>
    <w:rsid w:val="009A036C"/>
    <w:rsid w:val="009A054C"/>
    <w:rsid w:val="009A0665"/>
    <w:rsid w:val="009A06F5"/>
    <w:rsid w:val="009A0788"/>
    <w:rsid w:val="009A0E92"/>
    <w:rsid w:val="009A0FF3"/>
    <w:rsid w:val="009A12D9"/>
    <w:rsid w:val="009A1596"/>
    <w:rsid w:val="009A17EC"/>
    <w:rsid w:val="009A25CB"/>
    <w:rsid w:val="009A25D3"/>
    <w:rsid w:val="009A3345"/>
    <w:rsid w:val="009A3D83"/>
    <w:rsid w:val="009A6087"/>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8F4"/>
    <w:rsid w:val="009B6AF0"/>
    <w:rsid w:val="009B6BEF"/>
    <w:rsid w:val="009B6CE4"/>
    <w:rsid w:val="009C0579"/>
    <w:rsid w:val="009C09F3"/>
    <w:rsid w:val="009C0CD2"/>
    <w:rsid w:val="009C128C"/>
    <w:rsid w:val="009C1604"/>
    <w:rsid w:val="009C1E96"/>
    <w:rsid w:val="009C20A8"/>
    <w:rsid w:val="009C292D"/>
    <w:rsid w:val="009C2E0C"/>
    <w:rsid w:val="009C3903"/>
    <w:rsid w:val="009C3CA9"/>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66F"/>
    <w:rsid w:val="00A0779F"/>
    <w:rsid w:val="00A10DD9"/>
    <w:rsid w:val="00A1117F"/>
    <w:rsid w:val="00A11ACF"/>
    <w:rsid w:val="00A11D21"/>
    <w:rsid w:val="00A12565"/>
    <w:rsid w:val="00A12671"/>
    <w:rsid w:val="00A12758"/>
    <w:rsid w:val="00A12C6B"/>
    <w:rsid w:val="00A12E41"/>
    <w:rsid w:val="00A12FE6"/>
    <w:rsid w:val="00A13151"/>
    <w:rsid w:val="00A13525"/>
    <w:rsid w:val="00A13766"/>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271"/>
    <w:rsid w:val="00A27DEE"/>
    <w:rsid w:val="00A31563"/>
    <w:rsid w:val="00A317B5"/>
    <w:rsid w:val="00A31B93"/>
    <w:rsid w:val="00A3202D"/>
    <w:rsid w:val="00A32EB7"/>
    <w:rsid w:val="00A33BD6"/>
    <w:rsid w:val="00A34C4D"/>
    <w:rsid w:val="00A34E06"/>
    <w:rsid w:val="00A34FFC"/>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5442"/>
    <w:rsid w:val="00A457C2"/>
    <w:rsid w:val="00A45DBE"/>
    <w:rsid w:val="00A46D7F"/>
    <w:rsid w:val="00A475C5"/>
    <w:rsid w:val="00A47904"/>
    <w:rsid w:val="00A47B68"/>
    <w:rsid w:val="00A5001A"/>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C7"/>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6308"/>
    <w:rsid w:val="00A766E8"/>
    <w:rsid w:val="00A768AA"/>
    <w:rsid w:val="00A776C7"/>
    <w:rsid w:val="00A77717"/>
    <w:rsid w:val="00A7781A"/>
    <w:rsid w:val="00A77AC1"/>
    <w:rsid w:val="00A77C08"/>
    <w:rsid w:val="00A77E78"/>
    <w:rsid w:val="00A8048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610F"/>
    <w:rsid w:val="00AA6223"/>
    <w:rsid w:val="00AA70E9"/>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1639"/>
    <w:rsid w:val="00AC1A33"/>
    <w:rsid w:val="00AC31EA"/>
    <w:rsid w:val="00AC32B7"/>
    <w:rsid w:val="00AC38BD"/>
    <w:rsid w:val="00AC44FD"/>
    <w:rsid w:val="00AC4881"/>
    <w:rsid w:val="00AC5275"/>
    <w:rsid w:val="00AC52F0"/>
    <w:rsid w:val="00AC54A8"/>
    <w:rsid w:val="00AC5BF4"/>
    <w:rsid w:val="00AC5F91"/>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E9C"/>
    <w:rsid w:val="00AD4FEE"/>
    <w:rsid w:val="00AD523F"/>
    <w:rsid w:val="00AD5255"/>
    <w:rsid w:val="00AD57F8"/>
    <w:rsid w:val="00AD58A0"/>
    <w:rsid w:val="00AD6010"/>
    <w:rsid w:val="00AD6AEE"/>
    <w:rsid w:val="00AD6DFC"/>
    <w:rsid w:val="00AD7223"/>
    <w:rsid w:val="00AD7226"/>
    <w:rsid w:val="00AD7746"/>
    <w:rsid w:val="00AD77D4"/>
    <w:rsid w:val="00AE03CC"/>
    <w:rsid w:val="00AE0551"/>
    <w:rsid w:val="00AE05F8"/>
    <w:rsid w:val="00AE218D"/>
    <w:rsid w:val="00AE2212"/>
    <w:rsid w:val="00AE319E"/>
    <w:rsid w:val="00AE3283"/>
    <w:rsid w:val="00AE339E"/>
    <w:rsid w:val="00AE33FF"/>
    <w:rsid w:val="00AE38D4"/>
    <w:rsid w:val="00AE46FE"/>
    <w:rsid w:val="00AE499D"/>
    <w:rsid w:val="00AE4B14"/>
    <w:rsid w:val="00AE4DAC"/>
    <w:rsid w:val="00AE4E99"/>
    <w:rsid w:val="00AE4FF8"/>
    <w:rsid w:val="00AE54AE"/>
    <w:rsid w:val="00AE5753"/>
    <w:rsid w:val="00AE5E94"/>
    <w:rsid w:val="00AE6856"/>
    <w:rsid w:val="00AE6D12"/>
    <w:rsid w:val="00AF026B"/>
    <w:rsid w:val="00AF06C2"/>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655"/>
    <w:rsid w:val="00B0339B"/>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2D6C"/>
    <w:rsid w:val="00B2357C"/>
    <w:rsid w:val="00B23933"/>
    <w:rsid w:val="00B24787"/>
    <w:rsid w:val="00B2489C"/>
    <w:rsid w:val="00B2489D"/>
    <w:rsid w:val="00B24E21"/>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754"/>
    <w:rsid w:val="00B37F11"/>
    <w:rsid w:val="00B40417"/>
    <w:rsid w:val="00B40E9F"/>
    <w:rsid w:val="00B4118A"/>
    <w:rsid w:val="00B411D8"/>
    <w:rsid w:val="00B4145D"/>
    <w:rsid w:val="00B416C6"/>
    <w:rsid w:val="00B41AAE"/>
    <w:rsid w:val="00B41CB9"/>
    <w:rsid w:val="00B42C50"/>
    <w:rsid w:val="00B44FDB"/>
    <w:rsid w:val="00B45080"/>
    <w:rsid w:val="00B45350"/>
    <w:rsid w:val="00B466DA"/>
    <w:rsid w:val="00B46905"/>
    <w:rsid w:val="00B4696B"/>
    <w:rsid w:val="00B46A92"/>
    <w:rsid w:val="00B47113"/>
    <w:rsid w:val="00B47CC6"/>
    <w:rsid w:val="00B505B6"/>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7EB"/>
    <w:rsid w:val="00B56826"/>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49E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6E"/>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77710"/>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7B6D"/>
    <w:rsid w:val="00B87E7C"/>
    <w:rsid w:val="00B902B1"/>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55A3"/>
    <w:rsid w:val="00BC60BE"/>
    <w:rsid w:val="00BC62CF"/>
    <w:rsid w:val="00BC666B"/>
    <w:rsid w:val="00BC6DC2"/>
    <w:rsid w:val="00BC7208"/>
    <w:rsid w:val="00BC734E"/>
    <w:rsid w:val="00BD0B48"/>
    <w:rsid w:val="00BD0C97"/>
    <w:rsid w:val="00BD0ED3"/>
    <w:rsid w:val="00BD1010"/>
    <w:rsid w:val="00BD1425"/>
    <w:rsid w:val="00BD1643"/>
    <w:rsid w:val="00BD1DF0"/>
    <w:rsid w:val="00BD1E24"/>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BC0"/>
    <w:rsid w:val="00BE4F69"/>
    <w:rsid w:val="00BE5132"/>
    <w:rsid w:val="00BE5158"/>
    <w:rsid w:val="00BE5393"/>
    <w:rsid w:val="00BE5C7D"/>
    <w:rsid w:val="00BE62E9"/>
    <w:rsid w:val="00BE6BD1"/>
    <w:rsid w:val="00BE70D7"/>
    <w:rsid w:val="00BF0ED0"/>
    <w:rsid w:val="00BF0FC4"/>
    <w:rsid w:val="00BF1393"/>
    <w:rsid w:val="00BF1EA0"/>
    <w:rsid w:val="00BF2170"/>
    <w:rsid w:val="00BF3A71"/>
    <w:rsid w:val="00BF486D"/>
    <w:rsid w:val="00BF60E7"/>
    <w:rsid w:val="00BF65EA"/>
    <w:rsid w:val="00BF697A"/>
    <w:rsid w:val="00BF6ADB"/>
    <w:rsid w:val="00BF6D5A"/>
    <w:rsid w:val="00C01FD6"/>
    <w:rsid w:val="00C02444"/>
    <w:rsid w:val="00C02DA5"/>
    <w:rsid w:val="00C0303B"/>
    <w:rsid w:val="00C03776"/>
    <w:rsid w:val="00C03C99"/>
    <w:rsid w:val="00C03E66"/>
    <w:rsid w:val="00C04138"/>
    <w:rsid w:val="00C04320"/>
    <w:rsid w:val="00C046A1"/>
    <w:rsid w:val="00C04B9F"/>
    <w:rsid w:val="00C051EF"/>
    <w:rsid w:val="00C0523C"/>
    <w:rsid w:val="00C074D9"/>
    <w:rsid w:val="00C0753E"/>
    <w:rsid w:val="00C07C10"/>
    <w:rsid w:val="00C10A80"/>
    <w:rsid w:val="00C10A86"/>
    <w:rsid w:val="00C10F1C"/>
    <w:rsid w:val="00C111A3"/>
    <w:rsid w:val="00C11AE7"/>
    <w:rsid w:val="00C11C8D"/>
    <w:rsid w:val="00C11D90"/>
    <w:rsid w:val="00C12078"/>
    <w:rsid w:val="00C120E9"/>
    <w:rsid w:val="00C12199"/>
    <w:rsid w:val="00C12BED"/>
    <w:rsid w:val="00C12C3F"/>
    <w:rsid w:val="00C13585"/>
    <w:rsid w:val="00C13821"/>
    <w:rsid w:val="00C13A14"/>
    <w:rsid w:val="00C13BBA"/>
    <w:rsid w:val="00C13E76"/>
    <w:rsid w:val="00C14051"/>
    <w:rsid w:val="00C1421B"/>
    <w:rsid w:val="00C14F78"/>
    <w:rsid w:val="00C15667"/>
    <w:rsid w:val="00C15F73"/>
    <w:rsid w:val="00C16AFA"/>
    <w:rsid w:val="00C2037B"/>
    <w:rsid w:val="00C20642"/>
    <w:rsid w:val="00C20A4C"/>
    <w:rsid w:val="00C20FDA"/>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981"/>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A71"/>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943"/>
    <w:rsid w:val="00C85F76"/>
    <w:rsid w:val="00C868F6"/>
    <w:rsid w:val="00C86953"/>
    <w:rsid w:val="00C86A40"/>
    <w:rsid w:val="00C86ACE"/>
    <w:rsid w:val="00C87F6C"/>
    <w:rsid w:val="00C90D91"/>
    <w:rsid w:val="00C9137C"/>
    <w:rsid w:val="00C914E0"/>
    <w:rsid w:val="00C91644"/>
    <w:rsid w:val="00C916E9"/>
    <w:rsid w:val="00C91E71"/>
    <w:rsid w:val="00C926EC"/>
    <w:rsid w:val="00C92BDC"/>
    <w:rsid w:val="00C930D3"/>
    <w:rsid w:val="00C93556"/>
    <w:rsid w:val="00C9368B"/>
    <w:rsid w:val="00C95590"/>
    <w:rsid w:val="00C95698"/>
    <w:rsid w:val="00C95759"/>
    <w:rsid w:val="00C9663B"/>
    <w:rsid w:val="00C96D64"/>
    <w:rsid w:val="00CA1356"/>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ECA"/>
    <w:rsid w:val="00CA43A5"/>
    <w:rsid w:val="00CA4EFA"/>
    <w:rsid w:val="00CA515E"/>
    <w:rsid w:val="00CA5AB3"/>
    <w:rsid w:val="00CA5FDE"/>
    <w:rsid w:val="00CA6434"/>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BE6"/>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4B5D"/>
    <w:rsid w:val="00CC5684"/>
    <w:rsid w:val="00CC5896"/>
    <w:rsid w:val="00CC5ADD"/>
    <w:rsid w:val="00CC5AFC"/>
    <w:rsid w:val="00CC5C86"/>
    <w:rsid w:val="00CC5EA2"/>
    <w:rsid w:val="00CC6417"/>
    <w:rsid w:val="00CC676E"/>
    <w:rsid w:val="00CC6F89"/>
    <w:rsid w:val="00CC7128"/>
    <w:rsid w:val="00CC75BB"/>
    <w:rsid w:val="00CC7D8C"/>
    <w:rsid w:val="00CC7F17"/>
    <w:rsid w:val="00CD045F"/>
    <w:rsid w:val="00CD0FD2"/>
    <w:rsid w:val="00CD12FE"/>
    <w:rsid w:val="00CD17C6"/>
    <w:rsid w:val="00CD1EAB"/>
    <w:rsid w:val="00CD2B54"/>
    <w:rsid w:val="00CD4158"/>
    <w:rsid w:val="00CD50AF"/>
    <w:rsid w:val="00CD538E"/>
    <w:rsid w:val="00CD5988"/>
    <w:rsid w:val="00CD5A0D"/>
    <w:rsid w:val="00CD6068"/>
    <w:rsid w:val="00CD6379"/>
    <w:rsid w:val="00CD6A2B"/>
    <w:rsid w:val="00CD7887"/>
    <w:rsid w:val="00CD7F9A"/>
    <w:rsid w:val="00CE00B9"/>
    <w:rsid w:val="00CE0483"/>
    <w:rsid w:val="00CE0B91"/>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BA3"/>
    <w:rsid w:val="00CF4FF0"/>
    <w:rsid w:val="00CF54B6"/>
    <w:rsid w:val="00CF57B0"/>
    <w:rsid w:val="00CF5B47"/>
    <w:rsid w:val="00CF607B"/>
    <w:rsid w:val="00CF6869"/>
    <w:rsid w:val="00CF6D28"/>
    <w:rsid w:val="00D00C6D"/>
    <w:rsid w:val="00D013CF"/>
    <w:rsid w:val="00D017A0"/>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C3"/>
    <w:rsid w:val="00D17095"/>
    <w:rsid w:val="00D1715F"/>
    <w:rsid w:val="00D1735E"/>
    <w:rsid w:val="00D207DC"/>
    <w:rsid w:val="00D2099C"/>
    <w:rsid w:val="00D20D57"/>
    <w:rsid w:val="00D22631"/>
    <w:rsid w:val="00D239F8"/>
    <w:rsid w:val="00D24614"/>
    <w:rsid w:val="00D24991"/>
    <w:rsid w:val="00D24B8F"/>
    <w:rsid w:val="00D2555A"/>
    <w:rsid w:val="00D256D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42"/>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51D2"/>
    <w:rsid w:val="00D45204"/>
    <w:rsid w:val="00D45DD3"/>
    <w:rsid w:val="00D4647A"/>
    <w:rsid w:val="00D46DAE"/>
    <w:rsid w:val="00D47335"/>
    <w:rsid w:val="00D47717"/>
    <w:rsid w:val="00D478AA"/>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587C"/>
    <w:rsid w:val="00D769B9"/>
    <w:rsid w:val="00D76B71"/>
    <w:rsid w:val="00D76DEC"/>
    <w:rsid w:val="00D77699"/>
    <w:rsid w:val="00D7780F"/>
    <w:rsid w:val="00D7794D"/>
    <w:rsid w:val="00D80587"/>
    <w:rsid w:val="00D80A83"/>
    <w:rsid w:val="00D81A84"/>
    <w:rsid w:val="00D81C1D"/>
    <w:rsid w:val="00D81DAC"/>
    <w:rsid w:val="00D82B81"/>
    <w:rsid w:val="00D82E05"/>
    <w:rsid w:val="00D83043"/>
    <w:rsid w:val="00D8327E"/>
    <w:rsid w:val="00D84675"/>
    <w:rsid w:val="00D84969"/>
    <w:rsid w:val="00D8526A"/>
    <w:rsid w:val="00D8617A"/>
    <w:rsid w:val="00D86252"/>
    <w:rsid w:val="00D865E6"/>
    <w:rsid w:val="00D86B05"/>
    <w:rsid w:val="00D86EF5"/>
    <w:rsid w:val="00D86FE2"/>
    <w:rsid w:val="00D8720D"/>
    <w:rsid w:val="00D87CC5"/>
    <w:rsid w:val="00D87DA9"/>
    <w:rsid w:val="00D910BE"/>
    <w:rsid w:val="00D917F3"/>
    <w:rsid w:val="00D91991"/>
    <w:rsid w:val="00D92154"/>
    <w:rsid w:val="00D92E61"/>
    <w:rsid w:val="00D935BB"/>
    <w:rsid w:val="00D9360A"/>
    <w:rsid w:val="00D93D91"/>
    <w:rsid w:val="00D94136"/>
    <w:rsid w:val="00D948FE"/>
    <w:rsid w:val="00D95091"/>
    <w:rsid w:val="00D95CB0"/>
    <w:rsid w:val="00D966F5"/>
    <w:rsid w:val="00D96D38"/>
    <w:rsid w:val="00D96E1A"/>
    <w:rsid w:val="00D973B2"/>
    <w:rsid w:val="00D9779A"/>
    <w:rsid w:val="00D97968"/>
    <w:rsid w:val="00D97BAA"/>
    <w:rsid w:val="00D97DE4"/>
    <w:rsid w:val="00DA0435"/>
    <w:rsid w:val="00DA0AA0"/>
    <w:rsid w:val="00DA13D6"/>
    <w:rsid w:val="00DA149D"/>
    <w:rsid w:val="00DA1902"/>
    <w:rsid w:val="00DA1B4F"/>
    <w:rsid w:val="00DA1C6F"/>
    <w:rsid w:val="00DA2E7B"/>
    <w:rsid w:val="00DA3358"/>
    <w:rsid w:val="00DA3AF3"/>
    <w:rsid w:val="00DA45A8"/>
    <w:rsid w:val="00DA468D"/>
    <w:rsid w:val="00DA495A"/>
    <w:rsid w:val="00DA4C31"/>
    <w:rsid w:val="00DA544F"/>
    <w:rsid w:val="00DA5455"/>
    <w:rsid w:val="00DA57F0"/>
    <w:rsid w:val="00DA5C2B"/>
    <w:rsid w:val="00DA5DCC"/>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A9"/>
    <w:rsid w:val="00DC7CC9"/>
    <w:rsid w:val="00DD04C2"/>
    <w:rsid w:val="00DD09C9"/>
    <w:rsid w:val="00DD113B"/>
    <w:rsid w:val="00DD1DA3"/>
    <w:rsid w:val="00DD2324"/>
    <w:rsid w:val="00DD24BD"/>
    <w:rsid w:val="00DD2711"/>
    <w:rsid w:val="00DD28B4"/>
    <w:rsid w:val="00DD2CC2"/>
    <w:rsid w:val="00DD332A"/>
    <w:rsid w:val="00DD343D"/>
    <w:rsid w:val="00DD3482"/>
    <w:rsid w:val="00DD3D8D"/>
    <w:rsid w:val="00DD4237"/>
    <w:rsid w:val="00DD45BE"/>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DF6CFA"/>
    <w:rsid w:val="00E0055D"/>
    <w:rsid w:val="00E008B9"/>
    <w:rsid w:val="00E00C1D"/>
    <w:rsid w:val="00E00CCB"/>
    <w:rsid w:val="00E00EC5"/>
    <w:rsid w:val="00E00EFA"/>
    <w:rsid w:val="00E0145C"/>
    <w:rsid w:val="00E0147F"/>
    <w:rsid w:val="00E01653"/>
    <w:rsid w:val="00E016AB"/>
    <w:rsid w:val="00E019F8"/>
    <w:rsid w:val="00E01C97"/>
    <w:rsid w:val="00E0315C"/>
    <w:rsid w:val="00E03206"/>
    <w:rsid w:val="00E0368B"/>
    <w:rsid w:val="00E03E2C"/>
    <w:rsid w:val="00E03EB3"/>
    <w:rsid w:val="00E042C7"/>
    <w:rsid w:val="00E04421"/>
    <w:rsid w:val="00E0465E"/>
    <w:rsid w:val="00E04C73"/>
    <w:rsid w:val="00E0520E"/>
    <w:rsid w:val="00E055E3"/>
    <w:rsid w:val="00E0578E"/>
    <w:rsid w:val="00E06010"/>
    <w:rsid w:val="00E0651F"/>
    <w:rsid w:val="00E06BB6"/>
    <w:rsid w:val="00E073AC"/>
    <w:rsid w:val="00E07612"/>
    <w:rsid w:val="00E0781A"/>
    <w:rsid w:val="00E07929"/>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6E84"/>
    <w:rsid w:val="00E175A7"/>
    <w:rsid w:val="00E17971"/>
    <w:rsid w:val="00E20168"/>
    <w:rsid w:val="00E20695"/>
    <w:rsid w:val="00E20740"/>
    <w:rsid w:val="00E20ADB"/>
    <w:rsid w:val="00E20E92"/>
    <w:rsid w:val="00E20F28"/>
    <w:rsid w:val="00E21106"/>
    <w:rsid w:val="00E21CFC"/>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C01"/>
    <w:rsid w:val="00E31B92"/>
    <w:rsid w:val="00E31BCB"/>
    <w:rsid w:val="00E3286C"/>
    <w:rsid w:val="00E32963"/>
    <w:rsid w:val="00E32CE3"/>
    <w:rsid w:val="00E32D9B"/>
    <w:rsid w:val="00E32DF1"/>
    <w:rsid w:val="00E332A7"/>
    <w:rsid w:val="00E33359"/>
    <w:rsid w:val="00E337BC"/>
    <w:rsid w:val="00E3406E"/>
    <w:rsid w:val="00E34160"/>
    <w:rsid w:val="00E34602"/>
    <w:rsid w:val="00E346C9"/>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2287"/>
    <w:rsid w:val="00E43094"/>
    <w:rsid w:val="00E43E14"/>
    <w:rsid w:val="00E45711"/>
    <w:rsid w:val="00E45A4C"/>
    <w:rsid w:val="00E45D3B"/>
    <w:rsid w:val="00E461C0"/>
    <w:rsid w:val="00E461CB"/>
    <w:rsid w:val="00E46B7C"/>
    <w:rsid w:val="00E46B9D"/>
    <w:rsid w:val="00E470D5"/>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88"/>
    <w:rsid w:val="00E60BE6"/>
    <w:rsid w:val="00E622CC"/>
    <w:rsid w:val="00E62523"/>
    <w:rsid w:val="00E63D14"/>
    <w:rsid w:val="00E63DD6"/>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2D2E"/>
    <w:rsid w:val="00E73745"/>
    <w:rsid w:val="00E7523D"/>
    <w:rsid w:val="00E754BA"/>
    <w:rsid w:val="00E7694D"/>
    <w:rsid w:val="00E770B5"/>
    <w:rsid w:val="00E77197"/>
    <w:rsid w:val="00E771D0"/>
    <w:rsid w:val="00E77A3E"/>
    <w:rsid w:val="00E77ABB"/>
    <w:rsid w:val="00E77BDC"/>
    <w:rsid w:val="00E80176"/>
    <w:rsid w:val="00E80927"/>
    <w:rsid w:val="00E80AFC"/>
    <w:rsid w:val="00E80BB0"/>
    <w:rsid w:val="00E8125A"/>
    <w:rsid w:val="00E81B1A"/>
    <w:rsid w:val="00E82B43"/>
    <w:rsid w:val="00E82B77"/>
    <w:rsid w:val="00E833E5"/>
    <w:rsid w:val="00E834EA"/>
    <w:rsid w:val="00E84F5C"/>
    <w:rsid w:val="00E84FB3"/>
    <w:rsid w:val="00E856FD"/>
    <w:rsid w:val="00E85B63"/>
    <w:rsid w:val="00E86A3E"/>
    <w:rsid w:val="00E86E52"/>
    <w:rsid w:val="00E86F68"/>
    <w:rsid w:val="00E87037"/>
    <w:rsid w:val="00E87819"/>
    <w:rsid w:val="00E90092"/>
    <w:rsid w:val="00E90228"/>
    <w:rsid w:val="00E90ED5"/>
    <w:rsid w:val="00E921F3"/>
    <w:rsid w:val="00E92854"/>
    <w:rsid w:val="00E930AA"/>
    <w:rsid w:val="00E93749"/>
    <w:rsid w:val="00E940E0"/>
    <w:rsid w:val="00E9418E"/>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3DE"/>
    <w:rsid w:val="00EC0A68"/>
    <w:rsid w:val="00EC1212"/>
    <w:rsid w:val="00EC13BE"/>
    <w:rsid w:val="00EC13D6"/>
    <w:rsid w:val="00EC18E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0CD"/>
    <w:rsid w:val="00ED3143"/>
    <w:rsid w:val="00ED389B"/>
    <w:rsid w:val="00ED3E97"/>
    <w:rsid w:val="00ED3F10"/>
    <w:rsid w:val="00ED496E"/>
    <w:rsid w:val="00ED49F6"/>
    <w:rsid w:val="00ED4A08"/>
    <w:rsid w:val="00ED4CE6"/>
    <w:rsid w:val="00ED5536"/>
    <w:rsid w:val="00ED56CF"/>
    <w:rsid w:val="00ED5B5C"/>
    <w:rsid w:val="00ED61B8"/>
    <w:rsid w:val="00ED68F0"/>
    <w:rsid w:val="00ED6B5A"/>
    <w:rsid w:val="00ED6C38"/>
    <w:rsid w:val="00ED6D18"/>
    <w:rsid w:val="00ED70BD"/>
    <w:rsid w:val="00ED7934"/>
    <w:rsid w:val="00ED7D28"/>
    <w:rsid w:val="00ED7EE8"/>
    <w:rsid w:val="00EE08FC"/>
    <w:rsid w:val="00EE0B3E"/>
    <w:rsid w:val="00EE0BAA"/>
    <w:rsid w:val="00EE0CF5"/>
    <w:rsid w:val="00EE1FD6"/>
    <w:rsid w:val="00EE3556"/>
    <w:rsid w:val="00EE37BB"/>
    <w:rsid w:val="00EE37C3"/>
    <w:rsid w:val="00EE433C"/>
    <w:rsid w:val="00EE45EA"/>
    <w:rsid w:val="00EE5100"/>
    <w:rsid w:val="00EE5259"/>
    <w:rsid w:val="00EE52BE"/>
    <w:rsid w:val="00EE58F7"/>
    <w:rsid w:val="00EE5E03"/>
    <w:rsid w:val="00EE60E0"/>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7F0"/>
    <w:rsid w:val="00F0190F"/>
    <w:rsid w:val="00F01C4C"/>
    <w:rsid w:val="00F02786"/>
    <w:rsid w:val="00F033DF"/>
    <w:rsid w:val="00F036B1"/>
    <w:rsid w:val="00F0434F"/>
    <w:rsid w:val="00F045A8"/>
    <w:rsid w:val="00F047C3"/>
    <w:rsid w:val="00F04911"/>
    <w:rsid w:val="00F05426"/>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1DCA"/>
    <w:rsid w:val="00F12367"/>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938"/>
    <w:rsid w:val="00F24A24"/>
    <w:rsid w:val="00F24D75"/>
    <w:rsid w:val="00F25267"/>
    <w:rsid w:val="00F261E3"/>
    <w:rsid w:val="00F26F16"/>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66D8"/>
    <w:rsid w:val="00F369B6"/>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374F"/>
    <w:rsid w:val="00F43EA7"/>
    <w:rsid w:val="00F44B8E"/>
    <w:rsid w:val="00F451CA"/>
    <w:rsid w:val="00F453DA"/>
    <w:rsid w:val="00F456F9"/>
    <w:rsid w:val="00F46A6E"/>
    <w:rsid w:val="00F47128"/>
    <w:rsid w:val="00F4720B"/>
    <w:rsid w:val="00F4749B"/>
    <w:rsid w:val="00F47CA1"/>
    <w:rsid w:val="00F50598"/>
    <w:rsid w:val="00F5088D"/>
    <w:rsid w:val="00F50B4B"/>
    <w:rsid w:val="00F514FB"/>
    <w:rsid w:val="00F51602"/>
    <w:rsid w:val="00F52B73"/>
    <w:rsid w:val="00F52B7B"/>
    <w:rsid w:val="00F53C92"/>
    <w:rsid w:val="00F550C7"/>
    <w:rsid w:val="00F55234"/>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501"/>
    <w:rsid w:val="00F67B6E"/>
    <w:rsid w:val="00F7022D"/>
    <w:rsid w:val="00F70B07"/>
    <w:rsid w:val="00F70BBD"/>
    <w:rsid w:val="00F7174B"/>
    <w:rsid w:val="00F71D1A"/>
    <w:rsid w:val="00F728DD"/>
    <w:rsid w:val="00F72953"/>
    <w:rsid w:val="00F72A85"/>
    <w:rsid w:val="00F72B0D"/>
    <w:rsid w:val="00F73B5B"/>
    <w:rsid w:val="00F73BBF"/>
    <w:rsid w:val="00F741BD"/>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453"/>
    <w:rsid w:val="00F86F36"/>
    <w:rsid w:val="00F90F30"/>
    <w:rsid w:val="00F91762"/>
    <w:rsid w:val="00F91943"/>
    <w:rsid w:val="00F9231F"/>
    <w:rsid w:val="00F9242E"/>
    <w:rsid w:val="00F92560"/>
    <w:rsid w:val="00F92924"/>
    <w:rsid w:val="00F92A6F"/>
    <w:rsid w:val="00F930B8"/>
    <w:rsid w:val="00F9388B"/>
    <w:rsid w:val="00F938FE"/>
    <w:rsid w:val="00F93A21"/>
    <w:rsid w:val="00F94181"/>
    <w:rsid w:val="00F945ED"/>
    <w:rsid w:val="00F94824"/>
    <w:rsid w:val="00F94C4E"/>
    <w:rsid w:val="00F94D42"/>
    <w:rsid w:val="00F94E08"/>
    <w:rsid w:val="00F951A5"/>
    <w:rsid w:val="00F9596E"/>
    <w:rsid w:val="00F95989"/>
    <w:rsid w:val="00F96798"/>
    <w:rsid w:val="00F96907"/>
    <w:rsid w:val="00F96919"/>
    <w:rsid w:val="00F97B87"/>
    <w:rsid w:val="00FA0A7C"/>
    <w:rsid w:val="00FA10F4"/>
    <w:rsid w:val="00FA18D9"/>
    <w:rsid w:val="00FA1E4A"/>
    <w:rsid w:val="00FA1E93"/>
    <w:rsid w:val="00FA218E"/>
    <w:rsid w:val="00FA2F63"/>
    <w:rsid w:val="00FA320A"/>
    <w:rsid w:val="00FA396C"/>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1730"/>
    <w:rsid w:val="00FB2004"/>
    <w:rsid w:val="00FB21FA"/>
    <w:rsid w:val="00FB297F"/>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1FE2"/>
    <w:rsid w:val="00FD2233"/>
    <w:rsid w:val="00FD28E1"/>
    <w:rsid w:val="00FD2BAB"/>
    <w:rsid w:val="00FD3D4F"/>
    <w:rsid w:val="00FD42A0"/>
    <w:rsid w:val="00FD43B6"/>
    <w:rsid w:val="00FD4F74"/>
    <w:rsid w:val="00FD5DB0"/>
    <w:rsid w:val="00FD5EB9"/>
    <w:rsid w:val="00FD6657"/>
    <w:rsid w:val="00FD7187"/>
    <w:rsid w:val="00FD72D8"/>
    <w:rsid w:val="00FD76B9"/>
    <w:rsid w:val="00FD7FDC"/>
    <w:rsid w:val="00FE015F"/>
    <w:rsid w:val="00FE0276"/>
    <w:rsid w:val="00FE033E"/>
    <w:rsid w:val="00FE1622"/>
    <w:rsid w:val="00FE2EDE"/>
    <w:rsid w:val="00FE339F"/>
    <w:rsid w:val="00FE3B5F"/>
    <w:rsid w:val="00FE4FB6"/>
    <w:rsid w:val="00FE5873"/>
    <w:rsid w:val="00FE61B0"/>
    <w:rsid w:val="00FE6527"/>
    <w:rsid w:val="00FE6ADE"/>
    <w:rsid w:val="00FE6C1E"/>
    <w:rsid w:val="00FE6DB7"/>
    <w:rsid w:val="00FE6FB1"/>
    <w:rsid w:val="00FE733C"/>
    <w:rsid w:val="00FE78CB"/>
    <w:rsid w:val="00FF02BC"/>
    <w:rsid w:val="00FF0330"/>
    <w:rsid w:val="00FF0362"/>
    <w:rsid w:val="00FF0584"/>
    <w:rsid w:val="00FF0CD1"/>
    <w:rsid w:val="00FF166A"/>
    <w:rsid w:val="00FF1A54"/>
    <w:rsid w:val="00FF1FC4"/>
    <w:rsid w:val="00FF238F"/>
    <w:rsid w:val="00FF2F2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507A46"/>
    <w:pPr>
      <w:widowControl/>
      <w:spacing w:line="360" w:lineRule="auto"/>
    </w:pPr>
    <w:rPr>
      <w:sz w:val="26"/>
    </w:rPr>
  </w:style>
  <w:style w:type="character" w:customStyle="1" w:styleId="BodyTextChar">
    <w:name w:val="Body Text Char"/>
    <w:basedOn w:val="DefaultParagraphFont"/>
    <w:link w:val="BodyText"/>
    <w:rsid w:val="00507A46"/>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507A46"/>
    <w:pPr>
      <w:widowControl/>
      <w:spacing w:line="360" w:lineRule="auto"/>
    </w:pPr>
    <w:rPr>
      <w:sz w:val="26"/>
    </w:rPr>
  </w:style>
  <w:style w:type="character" w:customStyle="1" w:styleId="BodyTextChar">
    <w:name w:val="Body Text Char"/>
    <w:basedOn w:val="DefaultParagraphFont"/>
    <w:link w:val="BodyText"/>
    <w:rsid w:val="00507A46"/>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1AB97-FB73-4638-BC3D-E670A01C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2016-06-08T15:09:00Z</dcterms:created>
  <dcterms:modified xsi:type="dcterms:W3CDTF">2016-06-30T11:41:00Z</dcterms:modified>
</cp:coreProperties>
</file>