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913" w:rsidRPr="00D42913" w:rsidRDefault="00D42913" w:rsidP="00423E99">
      <w:pPr>
        <w:tabs>
          <w:tab w:val="clear" w:pos="1440"/>
          <w:tab w:val="left" w:pos="0"/>
        </w:tabs>
        <w:spacing w:after="0" w:line="240" w:lineRule="auto"/>
        <w:jc w:val="center"/>
        <w:rPr>
          <w:b/>
        </w:rPr>
      </w:pPr>
      <w:r w:rsidRPr="00D42913">
        <w:rPr>
          <w:b/>
        </w:rPr>
        <w:t>BEFORE THE</w:t>
      </w:r>
    </w:p>
    <w:p w:rsidR="00D42913" w:rsidRPr="00D42913" w:rsidRDefault="00D42913" w:rsidP="00423E99">
      <w:pPr>
        <w:tabs>
          <w:tab w:val="clear" w:pos="1440"/>
          <w:tab w:val="left" w:pos="0"/>
        </w:tabs>
        <w:spacing w:after="0" w:line="240" w:lineRule="auto"/>
        <w:jc w:val="center"/>
        <w:rPr>
          <w:b/>
        </w:rPr>
      </w:pPr>
      <w:r w:rsidRPr="00D42913">
        <w:rPr>
          <w:b/>
        </w:rPr>
        <w:t>PENNSYLVANIA PUBLIC UTILITY COMMISSION</w:t>
      </w:r>
    </w:p>
    <w:p w:rsidR="00D42913" w:rsidRPr="00D42913" w:rsidRDefault="00D42913" w:rsidP="00423E99">
      <w:pPr>
        <w:tabs>
          <w:tab w:val="clear" w:pos="1440"/>
          <w:tab w:val="left" w:pos="0"/>
        </w:tabs>
        <w:spacing w:after="0" w:line="240" w:lineRule="auto"/>
        <w:jc w:val="both"/>
        <w:rPr>
          <w:b/>
        </w:rPr>
      </w:pPr>
    </w:p>
    <w:p w:rsidR="00D42913" w:rsidRPr="00D42913" w:rsidRDefault="00D42913" w:rsidP="00423E99">
      <w:pPr>
        <w:tabs>
          <w:tab w:val="clear" w:pos="1440"/>
          <w:tab w:val="left" w:pos="0"/>
        </w:tabs>
        <w:spacing w:after="0" w:line="240" w:lineRule="auto"/>
        <w:jc w:val="both"/>
        <w:rPr>
          <w:b/>
        </w:rPr>
      </w:pPr>
    </w:p>
    <w:p w:rsidR="00D42913" w:rsidRPr="00D42913" w:rsidRDefault="00D42913" w:rsidP="00423E99">
      <w:pPr>
        <w:tabs>
          <w:tab w:val="clear" w:pos="1440"/>
          <w:tab w:val="left" w:pos="0"/>
        </w:tabs>
        <w:spacing w:after="0" w:line="240" w:lineRule="auto"/>
        <w:jc w:val="both"/>
        <w:rPr>
          <w:b/>
        </w:rPr>
      </w:pPr>
    </w:p>
    <w:p w:rsidR="00D42913" w:rsidRPr="00D42913" w:rsidRDefault="00841DC8" w:rsidP="00423E99">
      <w:pPr>
        <w:tabs>
          <w:tab w:val="clear" w:pos="1440"/>
          <w:tab w:val="left" w:pos="0"/>
        </w:tabs>
        <w:spacing w:after="0" w:line="240" w:lineRule="auto"/>
        <w:jc w:val="both"/>
        <w:rPr>
          <w:b/>
        </w:rPr>
      </w:pPr>
      <w:r>
        <w:t>George Mandeville</w:t>
      </w:r>
      <w:r w:rsidR="00D42913" w:rsidRPr="00D42913">
        <w:tab/>
      </w:r>
      <w:r w:rsidR="00D42913" w:rsidRPr="00D42913">
        <w:tab/>
      </w:r>
      <w:r w:rsidR="00D42913" w:rsidRPr="00D42913">
        <w:tab/>
      </w:r>
      <w:r w:rsidR="00D42913" w:rsidRPr="00D42913">
        <w:tab/>
      </w:r>
      <w:r w:rsidR="00423E99">
        <w:tab/>
      </w:r>
      <w:r w:rsidR="00D42913" w:rsidRPr="00D42913">
        <w:t>:</w:t>
      </w:r>
    </w:p>
    <w:p w:rsidR="00D42913" w:rsidRPr="00D42913" w:rsidRDefault="00D42913" w:rsidP="00423E99">
      <w:pPr>
        <w:tabs>
          <w:tab w:val="clear" w:pos="1440"/>
          <w:tab w:val="left" w:pos="0"/>
        </w:tabs>
        <w:spacing w:after="0" w:line="240" w:lineRule="auto"/>
        <w:jc w:val="both"/>
      </w:pPr>
      <w:r w:rsidRPr="00D42913">
        <w:rPr>
          <w:b/>
        </w:rPr>
        <w:tab/>
      </w:r>
      <w:r w:rsidRPr="00D42913">
        <w:rPr>
          <w:b/>
        </w:rPr>
        <w:tab/>
      </w:r>
      <w:r w:rsidRPr="00D42913">
        <w:rPr>
          <w:b/>
        </w:rPr>
        <w:tab/>
      </w:r>
      <w:r w:rsidRPr="00D42913">
        <w:rPr>
          <w:b/>
        </w:rPr>
        <w:tab/>
      </w:r>
      <w:r w:rsidRPr="00D42913">
        <w:rPr>
          <w:b/>
        </w:rPr>
        <w:tab/>
      </w:r>
      <w:r w:rsidRPr="00D42913">
        <w:rPr>
          <w:b/>
        </w:rPr>
        <w:tab/>
      </w:r>
      <w:r w:rsidR="00423E99">
        <w:rPr>
          <w:b/>
        </w:rPr>
        <w:tab/>
      </w:r>
      <w:r w:rsidRPr="00D42913">
        <w:t>:</w:t>
      </w:r>
    </w:p>
    <w:p w:rsidR="00D42913" w:rsidRPr="00D42913" w:rsidRDefault="00D42913" w:rsidP="00423E99">
      <w:pPr>
        <w:tabs>
          <w:tab w:val="clear" w:pos="1440"/>
          <w:tab w:val="left" w:pos="0"/>
        </w:tabs>
        <w:spacing w:after="0" w:line="240" w:lineRule="auto"/>
        <w:jc w:val="both"/>
      </w:pPr>
      <w:r w:rsidRPr="00D42913">
        <w:tab/>
        <w:t>v.</w:t>
      </w:r>
      <w:r w:rsidRPr="00D42913">
        <w:tab/>
      </w:r>
      <w:r w:rsidRPr="00D42913">
        <w:tab/>
      </w:r>
      <w:r w:rsidRPr="00D42913">
        <w:tab/>
      </w:r>
      <w:r w:rsidRPr="00D42913">
        <w:tab/>
      </w:r>
      <w:r w:rsidRPr="00D42913">
        <w:tab/>
      </w:r>
      <w:r w:rsidR="00423E99">
        <w:tab/>
      </w:r>
      <w:r w:rsidRPr="00D42913">
        <w:t>:</w:t>
      </w:r>
      <w:r w:rsidRPr="00D42913">
        <w:rPr>
          <w:b/>
        </w:rPr>
        <w:tab/>
      </w:r>
      <w:r w:rsidRPr="00D42913">
        <w:rPr>
          <w:b/>
        </w:rPr>
        <w:tab/>
      </w:r>
      <w:r w:rsidR="00841DC8" w:rsidRPr="00915F1C">
        <w:t>C</w:t>
      </w:r>
      <w:r w:rsidRPr="00D42913">
        <w:t>-201</w:t>
      </w:r>
      <w:r w:rsidR="00841DC8">
        <w:t>5</w:t>
      </w:r>
      <w:r w:rsidRPr="00D42913">
        <w:t>-2</w:t>
      </w:r>
      <w:r w:rsidR="00841DC8">
        <w:t>512838</w:t>
      </w:r>
    </w:p>
    <w:p w:rsidR="00D42913" w:rsidRPr="00D42913" w:rsidRDefault="00D42913" w:rsidP="00423E99">
      <w:pPr>
        <w:tabs>
          <w:tab w:val="clear" w:pos="1440"/>
          <w:tab w:val="left" w:pos="0"/>
        </w:tabs>
        <w:spacing w:after="0" w:line="240" w:lineRule="auto"/>
        <w:jc w:val="both"/>
      </w:pPr>
      <w:r w:rsidRPr="00D42913">
        <w:tab/>
      </w:r>
      <w:r w:rsidRPr="00D42913">
        <w:tab/>
      </w:r>
      <w:r w:rsidRPr="00D42913">
        <w:tab/>
      </w:r>
      <w:r w:rsidRPr="00D42913">
        <w:tab/>
      </w:r>
      <w:r w:rsidRPr="00D42913">
        <w:tab/>
      </w:r>
      <w:r w:rsidRPr="00D42913">
        <w:tab/>
      </w:r>
      <w:r w:rsidR="00423E99">
        <w:tab/>
      </w:r>
      <w:r w:rsidRPr="00D42913">
        <w:t>:</w:t>
      </w:r>
    </w:p>
    <w:p w:rsidR="00D42913" w:rsidRPr="00D42913" w:rsidRDefault="00841DC8" w:rsidP="00423E99">
      <w:pPr>
        <w:tabs>
          <w:tab w:val="clear" w:pos="1440"/>
          <w:tab w:val="left" w:pos="0"/>
        </w:tabs>
        <w:spacing w:after="0" w:line="240" w:lineRule="auto"/>
        <w:jc w:val="both"/>
      </w:pPr>
      <w:r>
        <w:t>PPL Electric Utilities Corporation</w:t>
      </w:r>
      <w:r w:rsidR="00D42913" w:rsidRPr="00D42913">
        <w:tab/>
      </w:r>
      <w:r w:rsidR="00D42913" w:rsidRPr="00D42913">
        <w:tab/>
      </w:r>
      <w:r w:rsidR="00423E99">
        <w:tab/>
      </w:r>
      <w:r w:rsidR="00D42913" w:rsidRPr="00D42913">
        <w:t>:</w:t>
      </w:r>
    </w:p>
    <w:p w:rsidR="00D42913" w:rsidRPr="00D42913" w:rsidRDefault="00D42913" w:rsidP="00423E99">
      <w:pPr>
        <w:tabs>
          <w:tab w:val="clear" w:pos="1440"/>
          <w:tab w:val="left" w:pos="0"/>
        </w:tabs>
        <w:spacing w:after="0" w:line="240" w:lineRule="auto"/>
        <w:jc w:val="both"/>
      </w:pPr>
    </w:p>
    <w:p w:rsidR="00D42913" w:rsidRPr="00D42913" w:rsidRDefault="00D42913" w:rsidP="00423E99">
      <w:pPr>
        <w:tabs>
          <w:tab w:val="clear" w:pos="1440"/>
          <w:tab w:val="left" w:pos="0"/>
        </w:tabs>
        <w:spacing w:after="0" w:line="240" w:lineRule="auto"/>
        <w:jc w:val="both"/>
      </w:pPr>
    </w:p>
    <w:p w:rsidR="00D42913" w:rsidRPr="00D42913" w:rsidRDefault="00D42913" w:rsidP="00D42913">
      <w:pPr>
        <w:tabs>
          <w:tab w:val="clear" w:pos="1440"/>
          <w:tab w:val="left" w:pos="0"/>
        </w:tabs>
        <w:spacing w:after="0" w:line="233" w:lineRule="auto"/>
        <w:jc w:val="both"/>
      </w:pPr>
    </w:p>
    <w:p w:rsidR="00D42913" w:rsidRDefault="00D42913" w:rsidP="00D42913">
      <w:pPr>
        <w:tabs>
          <w:tab w:val="clear" w:pos="1440"/>
        </w:tabs>
        <w:autoSpaceDE w:val="0"/>
        <w:autoSpaceDN w:val="0"/>
        <w:spacing w:after="0" w:line="240" w:lineRule="auto"/>
        <w:jc w:val="center"/>
        <w:rPr>
          <w:b/>
          <w:bCs/>
          <w:szCs w:val="24"/>
          <w:u w:val="single"/>
        </w:rPr>
      </w:pPr>
      <w:r w:rsidRPr="00D42913">
        <w:rPr>
          <w:b/>
          <w:bCs/>
          <w:szCs w:val="24"/>
          <w:u w:val="single"/>
        </w:rPr>
        <w:t>IN</w:t>
      </w:r>
      <w:r w:rsidR="00E86653">
        <w:rPr>
          <w:b/>
          <w:bCs/>
          <w:szCs w:val="24"/>
          <w:u w:val="single"/>
        </w:rPr>
        <w:t>ITIAL DECISION</w:t>
      </w:r>
      <w:r w:rsidR="00841DC8">
        <w:rPr>
          <w:b/>
          <w:bCs/>
          <w:szCs w:val="24"/>
          <w:u w:val="single"/>
        </w:rPr>
        <w:t xml:space="preserve"> </w:t>
      </w:r>
    </w:p>
    <w:p w:rsidR="006374C2" w:rsidRDefault="006374C2" w:rsidP="00D42913">
      <w:pPr>
        <w:tabs>
          <w:tab w:val="clear" w:pos="1440"/>
        </w:tabs>
        <w:autoSpaceDE w:val="0"/>
        <w:autoSpaceDN w:val="0"/>
        <w:spacing w:after="0" w:line="240" w:lineRule="auto"/>
        <w:jc w:val="center"/>
        <w:rPr>
          <w:bCs/>
          <w:szCs w:val="24"/>
        </w:rPr>
      </w:pPr>
    </w:p>
    <w:p w:rsidR="006374C2" w:rsidRDefault="006374C2" w:rsidP="00D42913">
      <w:pPr>
        <w:tabs>
          <w:tab w:val="clear" w:pos="1440"/>
        </w:tabs>
        <w:autoSpaceDE w:val="0"/>
        <w:autoSpaceDN w:val="0"/>
        <w:spacing w:after="0" w:line="240" w:lineRule="auto"/>
        <w:jc w:val="center"/>
        <w:rPr>
          <w:bCs/>
          <w:szCs w:val="24"/>
        </w:rPr>
      </w:pPr>
    </w:p>
    <w:p w:rsidR="00E86653" w:rsidRDefault="00E86653" w:rsidP="00423E99">
      <w:pPr>
        <w:tabs>
          <w:tab w:val="clear" w:pos="1440"/>
        </w:tabs>
        <w:autoSpaceDE w:val="0"/>
        <w:autoSpaceDN w:val="0"/>
        <w:spacing w:after="0" w:line="240" w:lineRule="auto"/>
        <w:jc w:val="center"/>
        <w:rPr>
          <w:bCs/>
          <w:szCs w:val="24"/>
        </w:rPr>
      </w:pPr>
      <w:r>
        <w:rPr>
          <w:bCs/>
          <w:szCs w:val="24"/>
        </w:rPr>
        <w:t>Before</w:t>
      </w:r>
    </w:p>
    <w:p w:rsidR="00E86653" w:rsidRDefault="00E86653" w:rsidP="00423E99">
      <w:pPr>
        <w:tabs>
          <w:tab w:val="clear" w:pos="1440"/>
        </w:tabs>
        <w:autoSpaceDE w:val="0"/>
        <w:autoSpaceDN w:val="0"/>
        <w:spacing w:after="0" w:line="240" w:lineRule="auto"/>
        <w:jc w:val="center"/>
        <w:rPr>
          <w:bCs/>
          <w:szCs w:val="24"/>
        </w:rPr>
      </w:pPr>
      <w:r>
        <w:rPr>
          <w:bCs/>
          <w:szCs w:val="24"/>
        </w:rPr>
        <w:t>Conrad A. Johnson</w:t>
      </w:r>
    </w:p>
    <w:p w:rsidR="00E86653" w:rsidRPr="00D42913" w:rsidRDefault="00E86653" w:rsidP="00306B06">
      <w:pPr>
        <w:tabs>
          <w:tab w:val="clear" w:pos="1440"/>
        </w:tabs>
        <w:autoSpaceDE w:val="0"/>
        <w:autoSpaceDN w:val="0"/>
        <w:spacing w:after="0" w:line="240" w:lineRule="auto"/>
        <w:jc w:val="center"/>
        <w:rPr>
          <w:bCs/>
          <w:szCs w:val="24"/>
        </w:rPr>
      </w:pPr>
      <w:r>
        <w:rPr>
          <w:bCs/>
          <w:szCs w:val="24"/>
        </w:rPr>
        <w:t>Administrative Law Judge</w:t>
      </w:r>
    </w:p>
    <w:p w:rsidR="00D42913" w:rsidRPr="00D42913" w:rsidRDefault="00D42913" w:rsidP="00306B06">
      <w:pPr>
        <w:tabs>
          <w:tab w:val="clear" w:pos="1440"/>
        </w:tabs>
        <w:autoSpaceDE w:val="0"/>
        <w:autoSpaceDN w:val="0"/>
        <w:spacing w:after="0" w:line="240" w:lineRule="auto"/>
        <w:jc w:val="center"/>
        <w:rPr>
          <w:bCs/>
          <w:szCs w:val="24"/>
        </w:rPr>
      </w:pPr>
    </w:p>
    <w:p w:rsidR="00C95B11" w:rsidRDefault="00C95B11" w:rsidP="00306B06">
      <w:pPr>
        <w:autoSpaceDE w:val="0"/>
        <w:autoSpaceDN w:val="0"/>
        <w:spacing w:after="0" w:line="240" w:lineRule="auto"/>
        <w:jc w:val="center"/>
        <w:rPr>
          <w:szCs w:val="24"/>
          <w:u w:val="single"/>
        </w:rPr>
      </w:pPr>
    </w:p>
    <w:p w:rsidR="00C95B11" w:rsidRDefault="00C95B11" w:rsidP="00816105">
      <w:pPr>
        <w:autoSpaceDE w:val="0"/>
        <w:autoSpaceDN w:val="0"/>
        <w:spacing w:after="0" w:line="240" w:lineRule="auto"/>
        <w:jc w:val="center"/>
        <w:rPr>
          <w:szCs w:val="24"/>
          <w:u w:val="single"/>
        </w:rPr>
      </w:pPr>
      <w:r w:rsidRPr="00C95B11">
        <w:rPr>
          <w:szCs w:val="24"/>
          <w:u w:val="single"/>
        </w:rPr>
        <w:t>INTRODUCTION</w:t>
      </w:r>
    </w:p>
    <w:p w:rsidR="00306B06" w:rsidRDefault="00306B06" w:rsidP="00816105">
      <w:pPr>
        <w:autoSpaceDE w:val="0"/>
        <w:autoSpaceDN w:val="0"/>
        <w:spacing w:after="0" w:line="240" w:lineRule="auto"/>
        <w:jc w:val="center"/>
        <w:rPr>
          <w:szCs w:val="24"/>
          <w:u w:val="single"/>
        </w:rPr>
      </w:pPr>
    </w:p>
    <w:p w:rsidR="00306B06" w:rsidRDefault="00306B06" w:rsidP="00816105">
      <w:pPr>
        <w:autoSpaceDE w:val="0"/>
        <w:autoSpaceDN w:val="0"/>
        <w:spacing w:after="0" w:line="240" w:lineRule="auto"/>
        <w:jc w:val="center"/>
        <w:rPr>
          <w:szCs w:val="24"/>
          <w:u w:val="single"/>
        </w:rPr>
      </w:pPr>
    </w:p>
    <w:p w:rsidR="00C95B11" w:rsidRPr="00C95B11" w:rsidRDefault="00C95B11" w:rsidP="00816105">
      <w:pPr>
        <w:tabs>
          <w:tab w:val="left" w:pos="0"/>
        </w:tabs>
        <w:spacing w:after="0"/>
        <w:rPr>
          <w:rFonts w:ascii="CG Times" w:hAnsi="CG Times" w:cs="CG Times"/>
          <w:szCs w:val="24"/>
        </w:rPr>
      </w:pPr>
      <w:r w:rsidRPr="00C95B11">
        <w:rPr>
          <w:rFonts w:eastAsia="SimSun"/>
        </w:rPr>
        <w:tab/>
      </w:r>
      <w:r w:rsidRPr="00C95B11">
        <w:rPr>
          <w:rFonts w:ascii="CG Times" w:hAnsi="CG Times" w:cs="CG Times"/>
          <w:szCs w:val="24"/>
        </w:rPr>
        <w:t xml:space="preserve">This decision </w:t>
      </w:r>
      <w:r>
        <w:rPr>
          <w:rFonts w:ascii="CG Times" w:hAnsi="CG Times" w:cs="CG Times"/>
          <w:szCs w:val="24"/>
        </w:rPr>
        <w:t>sustains in part and dismiss</w:t>
      </w:r>
      <w:r w:rsidR="00D83B3C">
        <w:rPr>
          <w:rFonts w:ascii="CG Times" w:hAnsi="CG Times" w:cs="CG Times"/>
          <w:szCs w:val="24"/>
        </w:rPr>
        <w:t>es</w:t>
      </w:r>
      <w:r>
        <w:rPr>
          <w:rFonts w:ascii="CG Times" w:hAnsi="CG Times" w:cs="CG Times"/>
          <w:szCs w:val="24"/>
        </w:rPr>
        <w:t xml:space="preserve"> in part </w:t>
      </w:r>
      <w:r w:rsidRPr="00C95B11">
        <w:rPr>
          <w:rFonts w:ascii="CG Times" w:hAnsi="CG Times" w:cs="CG Times"/>
          <w:szCs w:val="24"/>
        </w:rPr>
        <w:t xml:space="preserve">the Formal Complaint alleging </w:t>
      </w:r>
      <w:r>
        <w:rPr>
          <w:rFonts w:ascii="CG Times" w:hAnsi="CG Times" w:cs="CG Times"/>
          <w:szCs w:val="24"/>
        </w:rPr>
        <w:t xml:space="preserve">service termination and </w:t>
      </w:r>
      <w:r w:rsidRPr="00C95B11">
        <w:rPr>
          <w:rFonts w:ascii="CG Times" w:hAnsi="CG Times" w:cs="CG Times"/>
          <w:szCs w:val="24"/>
        </w:rPr>
        <w:t>incorrect billing charges</w:t>
      </w:r>
      <w:r>
        <w:rPr>
          <w:rFonts w:ascii="CG Times" w:hAnsi="CG Times" w:cs="CG Times"/>
          <w:szCs w:val="24"/>
        </w:rPr>
        <w:t>.</w:t>
      </w:r>
      <w:r w:rsidRPr="00C95B11">
        <w:rPr>
          <w:rFonts w:ascii="CG Times" w:hAnsi="CG Times" w:cs="CG Times"/>
          <w:szCs w:val="24"/>
        </w:rPr>
        <w:t xml:space="preserve"> </w:t>
      </w:r>
    </w:p>
    <w:p w:rsidR="00C95B11" w:rsidRPr="00C95B11" w:rsidRDefault="00C95B11" w:rsidP="00816105">
      <w:pPr>
        <w:tabs>
          <w:tab w:val="clear" w:pos="1440"/>
        </w:tabs>
        <w:autoSpaceDE w:val="0"/>
        <w:autoSpaceDN w:val="0"/>
        <w:spacing w:after="0" w:line="240" w:lineRule="auto"/>
        <w:jc w:val="center"/>
        <w:rPr>
          <w:szCs w:val="24"/>
        </w:rPr>
      </w:pPr>
    </w:p>
    <w:p w:rsidR="00C95B11" w:rsidRPr="00C95B11" w:rsidRDefault="00C95B11" w:rsidP="00816105">
      <w:pPr>
        <w:tabs>
          <w:tab w:val="clear" w:pos="1440"/>
        </w:tabs>
        <w:autoSpaceDE w:val="0"/>
        <w:autoSpaceDN w:val="0"/>
        <w:spacing w:after="0" w:line="240" w:lineRule="auto"/>
        <w:rPr>
          <w:szCs w:val="24"/>
        </w:rPr>
      </w:pPr>
    </w:p>
    <w:p w:rsidR="00DE4405" w:rsidRDefault="00C95B11" w:rsidP="00423E99">
      <w:pPr>
        <w:tabs>
          <w:tab w:val="clear" w:pos="1440"/>
        </w:tabs>
        <w:autoSpaceDE w:val="0"/>
        <w:autoSpaceDN w:val="0"/>
        <w:spacing w:after="0"/>
        <w:jc w:val="center"/>
      </w:pPr>
      <w:r w:rsidRPr="00C95B11">
        <w:rPr>
          <w:szCs w:val="24"/>
          <w:u w:val="single"/>
        </w:rPr>
        <w:t>HISTORY OF THE PROCEEDING</w:t>
      </w:r>
    </w:p>
    <w:p w:rsidR="00C95B11" w:rsidRDefault="00C95B11" w:rsidP="00423E99">
      <w:pPr>
        <w:tabs>
          <w:tab w:val="clear" w:pos="1440"/>
        </w:tabs>
        <w:spacing w:after="0"/>
      </w:pPr>
    </w:p>
    <w:p w:rsidR="00BD3518" w:rsidRDefault="00FB43E8" w:rsidP="00423E99">
      <w:pPr>
        <w:tabs>
          <w:tab w:val="clear" w:pos="1440"/>
        </w:tabs>
        <w:spacing w:after="0"/>
      </w:pPr>
      <w:r>
        <w:tab/>
      </w:r>
      <w:r w:rsidR="008F3564">
        <w:tab/>
      </w:r>
      <w:r w:rsidR="004A784A">
        <w:t xml:space="preserve">On </w:t>
      </w:r>
      <w:r w:rsidR="00841DC8">
        <w:t>December 14</w:t>
      </w:r>
      <w:r w:rsidR="004A784A">
        <w:t>, 201</w:t>
      </w:r>
      <w:r w:rsidR="00AE4C6C">
        <w:t>5</w:t>
      </w:r>
      <w:r w:rsidR="004A784A">
        <w:t xml:space="preserve">, </w:t>
      </w:r>
      <w:r w:rsidR="00841DC8">
        <w:t xml:space="preserve">George Mandeville </w:t>
      </w:r>
      <w:r w:rsidR="008F3564">
        <w:t>(Complainant</w:t>
      </w:r>
      <w:r w:rsidR="002F1112">
        <w:t xml:space="preserve"> or M</w:t>
      </w:r>
      <w:r w:rsidR="00841DC8">
        <w:t>r. Mandeville)</w:t>
      </w:r>
      <w:r w:rsidR="008F3564">
        <w:t xml:space="preserve"> </w:t>
      </w:r>
      <w:r w:rsidR="004A784A">
        <w:t xml:space="preserve">filed a </w:t>
      </w:r>
      <w:r w:rsidR="00841DC8">
        <w:t>C</w:t>
      </w:r>
      <w:r w:rsidR="004A784A">
        <w:t xml:space="preserve">omplaint </w:t>
      </w:r>
      <w:r w:rsidR="008F3564">
        <w:t xml:space="preserve">against </w:t>
      </w:r>
      <w:r w:rsidR="00841DC8">
        <w:t>PPL Electric Utilities Corporation</w:t>
      </w:r>
      <w:r w:rsidR="00792D59">
        <w:t xml:space="preserve"> (PPL)</w:t>
      </w:r>
      <w:r w:rsidR="00841DC8">
        <w:t xml:space="preserve">, alleging </w:t>
      </w:r>
      <w:r w:rsidR="00792D59">
        <w:t>(a) the utility is threatening to shut off my service or has already shut off my service</w:t>
      </w:r>
      <w:r w:rsidR="008B3CC8">
        <w:t>,</w:t>
      </w:r>
      <w:r w:rsidR="00792D59">
        <w:t xml:space="preserve"> </w:t>
      </w:r>
      <w:r w:rsidR="00F212D2">
        <w:t xml:space="preserve">and </w:t>
      </w:r>
      <w:r w:rsidR="00792D59">
        <w:t>(b) there are incorrect charges on my bill</w:t>
      </w:r>
      <w:r w:rsidR="00F212D2">
        <w:t>.</w:t>
      </w:r>
      <w:r w:rsidR="00F42F0B">
        <w:rPr>
          <w:rStyle w:val="FootnoteReference"/>
        </w:rPr>
        <w:footnoteReference w:id="1"/>
      </w:r>
      <w:r w:rsidR="00085E50">
        <w:t xml:space="preserve"> </w:t>
      </w:r>
      <w:r w:rsidR="00F212D2">
        <w:t xml:space="preserve"> </w:t>
      </w:r>
      <w:r w:rsidR="007E09CC">
        <w:t>Mr. Mandeville</w:t>
      </w:r>
      <w:r w:rsidR="00BD3518">
        <w:t>’s request for relief, i.e. “not my bill,” suggested he was seeking a ruling from the Commission that the service charges were incorrect.</w:t>
      </w:r>
    </w:p>
    <w:p w:rsidR="00423E99" w:rsidRDefault="00423E99" w:rsidP="00423E99">
      <w:pPr>
        <w:tabs>
          <w:tab w:val="clear" w:pos="1440"/>
        </w:tabs>
        <w:spacing w:after="0"/>
      </w:pPr>
    </w:p>
    <w:p w:rsidR="00792D59" w:rsidRDefault="00792D59" w:rsidP="0033747F">
      <w:pPr>
        <w:tabs>
          <w:tab w:val="clear" w:pos="1440"/>
        </w:tabs>
        <w:spacing w:after="0"/>
      </w:pPr>
      <w:r>
        <w:lastRenderedPageBreak/>
        <w:tab/>
      </w:r>
      <w:r>
        <w:tab/>
        <w:t>On December 2, 2015, PPL filed an Answer</w:t>
      </w:r>
      <w:r w:rsidR="00A67D8F">
        <w:t>,</w:t>
      </w:r>
      <w:r>
        <w:t xml:space="preserve"> averring</w:t>
      </w:r>
      <w:r w:rsidR="00DA6894">
        <w:t xml:space="preserve"> as follows:</w:t>
      </w:r>
      <w:r>
        <w:t xml:space="preserve"> (a) </w:t>
      </w:r>
      <w:r w:rsidR="00C95B11">
        <w:t xml:space="preserve">it is admitted that </w:t>
      </w:r>
      <w:r>
        <w:t xml:space="preserve">service was terminated on August 25, 2015; (b) the balance on </w:t>
      </w:r>
      <w:r w:rsidR="00C95B11">
        <w:t>Complainant</w:t>
      </w:r>
      <w:r>
        <w:t>’s account was accumulated by him; (c) PPL has advised Mr. Mandeville to the extent he believes any amount was subject to a bankruptcy, PPL request</w:t>
      </w:r>
      <w:r w:rsidR="00915F1C">
        <w:t>s</w:t>
      </w:r>
      <w:r>
        <w:t xml:space="preserve"> proof of his bankruptcy and to the extent of alleged fraud, PPL request</w:t>
      </w:r>
      <w:r w:rsidR="00915F1C">
        <w:t>s</w:t>
      </w:r>
      <w:r>
        <w:t xml:space="preserve"> a police report; (d) Mr. Mandeville’s current balance exceeds $10,022.15</w:t>
      </w:r>
      <w:r w:rsidR="00C95B11">
        <w:t xml:space="preserve">; </w:t>
      </w:r>
      <w:r w:rsidR="00DA6894">
        <w:t xml:space="preserve">and (e) </w:t>
      </w:r>
      <w:r w:rsidR="00C95B11">
        <w:t>all other allegations are denied</w:t>
      </w:r>
      <w:r>
        <w:t>.</w:t>
      </w:r>
      <w:r w:rsidR="00C95B11">
        <w:t xml:space="preserve">  As relief, PPL requested that the </w:t>
      </w:r>
      <w:r w:rsidR="00F212D2">
        <w:t>Complaint be denied.</w:t>
      </w:r>
    </w:p>
    <w:p w:rsidR="00792D59" w:rsidRDefault="00792D59" w:rsidP="0033747F">
      <w:pPr>
        <w:tabs>
          <w:tab w:val="clear" w:pos="1440"/>
        </w:tabs>
        <w:spacing w:after="0"/>
      </w:pPr>
    </w:p>
    <w:p w:rsidR="00EC1D95" w:rsidRDefault="00792D59" w:rsidP="0033747F">
      <w:pPr>
        <w:tabs>
          <w:tab w:val="clear" w:pos="1440"/>
        </w:tabs>
        <w:spacing w:after="0"/>
      </w:pPr>
      <w:r>
        <w:tab/>
      </w:r>
      <w:r>
        <w:tab/>
      </w:r>
      <w:r w:rsidR="009662BD">
        <w:t xml:space="preserve">By </w:t>
      </w:r>
      <w:r w:rsidR="00EC1D95">
        <w:t>Notice</w:t>
      </w:r>
      <w:r w:rsidR="009662BD">
        <w:t xml:space="preserve"> dated </w:t>
      </w:r>
      <w:r w:rsidR="00EC1D95">
        <w:t>December 14, 2015,</w:t>
      </w:r>
      <w:r w:rsidR="0031017E">
        <w:t xml:space="preserve"> the </w:t>
      </w:r>
      <w:r w:rsidR="00F212D2">
        <w:t>P</w:t>
      </w:r>
      <w:r w:rsidR="0031017E">
        <w:t xml:space="preserve">arties were informed that </w:t>
      </w:r>
      <w:r w:rsidR="009662BD">
        <w:t xml:space="preserve">this matter was scheduled </w:t>
      </w:r>
      <w:r w:rsidR="0031017E">
        <w:t xml:space="preserve">before me </w:t>
      </w:r>
      <w:r w:rsidR="009662BD">
        <w:t xml:space="preserve">for a telephonic hearing on </w:t>
      </w:r>
      <w:r w:rsidR="00EC1D95">
        <w:t>January 27, 2016</w:t>
      </w:r>
      <w:r w:rsidR="00F272B3">
        <w:t xml:space="preserve"> at 10:00 a.m.</w:t>
      </w:r>
      <w:r w:rsidR="009662BD">
        <w:t xml:space="preserve">  </w:t>
      </w:r>
      <w:r w:rsidR="00F272B3">
        <w:t xml:space="preserve">On </w:t>
      </w:r>
      <w:r w:rsidR="00EC1D95">
        <w:t>December 21,</w:t>
      </w:r>
      <w:r w:rsidR="00F272B3">
        <w:t xml:space="preserve"> 201</w:t>
      </w:r>
      <w:r w:rsidR="00EC1D95">
        <w:t>6</w:t>
      </w:r>
      <w:r w:rsidR="00F272B3">
        <w:t xml:space="preserve">, I issued a Prehearing Order advising the </w:t>
      </w:r>
      <w:r w:rsidR="00F212D2">
        <w:t>P</w:t>
      </w:r>
      <w:r w:rsidR="00F272B3">
        <w:t>arties of the applicable procedural rules.</w:t>
      </w:r>
      <w:r w:rsidR="00AF47BD">
        <w:t xml:space="preserve"> </w:t>
      </w:r>
      <w:r w:rsidR="00F272B3">
        <w:t xml:space="preserve"> </w:t>
      </w:r>
      <w:r w:rsidR="00EC1D95">
        <w:t xml:space="preserve">The Prehearing Order also directed the utility to prepare and submit a least one week before the hearing an account statement, showing the history of the account for a minimum of 24 months or the entire history of the account, whichever is less. </w:t>
      </w:r>
    </w:p>
    <w:p w:rsidR="00EC1D95" w:rsidRDefault="00EC1D95" w:rsidP="0033747F">
      <w:pPr>
        <w:tabs>
          <w:tab w:val="clear" w:pos="1440"/>
        </w:tabs>
        <w:spacing w:after="0"/>
      </w:pPr>
    </w:p>
    <w:p w:rsidR="008528E6" w:rsidRDefault="00EC1D95" w:rsidP="0033747F">
      <w:pPr>
        <w:tabs>
          <w:tab w:val="clear" w:pos="1440"/>
        </w:tabs>
        <w:spacing w:after="0"/>
      </w:pPr>
      <w:r>
        <w:tab/>
      </w:r>
      <w:r>
        <w:tab/>
      </w:r>
      <w:r w:rsidR="009662BD">
        <w:t>The hearing convened as scheduled</w:t>
      </w:r>
      <w:r>
        <w:t xml:space="preserve"> on January 27, 2016.  </w:t>
      </w:r>
      <w:r w:rsidR="00F212D2">
        <w:t>Mr. Mandeville</w:t>
      </w:r>
      <w:r w:rsidR="009662BD">
        <w:t xml:space="preserve"> was self-represented</w:t>
      </w:r>
      <w:r w:rsidR="00DA6894">
        <w:t xml:space="preserve">. </w:t>
      </w:r>
      <w:r w:rsidR="00423E99">
        <w:t xml:space="preserve"> </w:t>
      </w:r>
      <w:r w:rsidR="00DA6894">
        <w:t>H</w:t>
      </w:r>
      <w:r w:rsidR="009662BD">
        <w:t>e testified on h</w:t>
      </w:r>
      <w:r w:rsidR="00B741A0">
        <w:t>is</w:t>
      </w:r>
      <w:r w:rsidR="009662BD">
        <w:t xml:space="preserve"> own behalf</w:t>
      </w:r>
      <w:r w:rsidR="00DA6894">
        <w:t>,</w:t>
      </w:r>
      <w:r w:rsidR="00B741A0">
        <w:t xml:space="preserve"> but </w:t>
      </w:r>
      <w:r w:rsidR="00DA6894">
        <w:t xml:space="preserve">he </w:t>
      </w:r>
      <w:r w:rsidR="00B741A0">
        <w:t>did not sponsor any exhibits</w:t>
      </w:r>
      <w:r w:rsidR="009662BD">
        <w:t xml:space="preserve">.  </w:t>
      </w:r>
      <w:r>
        <w:t>PPL was</w:t>
      </w:r>
      <w:r w:rsidR="00855E35">
        <w:t xml:space="preserve"> represented by Graig</w:t>
      </w:r>
      <w:r>
        <w:t xml:space="preserve"> M. Schultz, Esquire, </w:t>
      </w:r>
      <w:r w:rsidR="00855E35">
        <w:t xml:space="preserve">who </w:t>
      </w:r>
      <w:r w:rsidR="00915F1C">
        <w:t xml:space="preserve">called as a witness </w:t>
      </w:r>
      <w:r w:rsidR="00855E35">
        <w:t xml:space="preserve">Sherry Shaffer, a customer service representative, </w:t>
      </w:r>
      <w:r w:rsidR="008528E6">
        <w:t xml:space="preserve">and </w:t>
      </w:r>
      <w:r w:rsidR="00DA6894">
        <w:t xml:space="preserve">he </w:t>
      </w:r>
      <w:r w:rsidR="009662BD">
        <w:t xml:space="preserve">offered </w:t>
      </w:r>
      <w:r w:rsidR="0031017E">
        <w:t>pre-marked E</w:t>
      </w:r>
      <w:r w:rsidR="009662BD">
        <w:t>xhibits</w:t>
      </w:r>
      <w:r w:rsidR="0031017E">
        <w:t xml:space="preserve"> </w:t>
      </w:r>
      <w:r w:rsidR="008528E6">
        <w:t xml:space="preserve">1-A, 1-B and 2-B.  </w:t>
      </w:r>
    </w:p>
    <w:p w:rsidR="008528E6" w:rsidRDefault="008528E6" w:rsidP="0033747F">
      <w:pPr>
        <w:tabs>
          <w:tab w:val="clear" w:pos="1440"/>
        </w:tabs>
        <w:spacing w:after="0"/>
      </w:pPr>
    </w:p>
    <w:p w:rsidR="00BE22A3" w:rsidRDefault="008528E6" w:rsidP="0033747F">
      <w:pPr>
        <w:tabs>
          <w:tab w:val="clear" w:pos="1440"/>
        </w:tabs>
        <w:spacing w:after="0"/>
      </w:pPr>
      <w:r>
        <w:tab/>
      </w:r>
      <w:r>
        <w:tab/>
        <w:t xml:space="preserve">Contending he had not received copies of PPL’s exhibits, Mr. Mandeville, effectively, objected to the admission of PPL’s </w:t>
      </w:r>
      <w:r w:rsidR="00160080">
        <w:t>e</w:t>
      </w:r>
      <w:r>
        <w:t>xhibits into the record.</w:t>
      </w:r>
      <w:r>
        <w:rPr>
          <w:rStyle w:val="FootnoteReference"/>
        </w:rPr>
        <w:footnoteReference w:id="2"/>
      </w:r>
      <w:r>
        <w:t xml:space="preserve">  In response, Attorney Schultz represented that PPL’s exhibit</w:t>
      </w:r>
      <w:r w:rsidR="00BC30C4">
        <w:t>s</w:t>
      </w:r>
      <w:r>
        <w:t xml:space="preserve"> were sent to Mr. Mandeville on January 19, 2016.  Accordingly, I directed Attorney </w:t>
      </w:r>
      <w:r w:rsidR="001600C2">
        <w:t xml:space="preserve">Schultz </w:t>
      </w:r>
      <w:r>
        <w:t xml:space="preserve">to resend </w:t>
      </w:r>
      <w:r w:rsidR="00BE22A3">
        <w:t>PPL’s e</w:t>
      </w:r>
      <w:r>
        <w:t>xhibits</w:t>
      </w:r>
      <w:r w:rsidR="0031017E">
        <w:t xml:space="preserve"> </w:t>
      </w:r>
      <w:r w:rsidR="00BE22A3">
        <w:t xml:space="preserve">to Mr. Mandeville within the next five business days with written confirmation to me.  </w:t>
      </w:r>
    </w:p>
    <w:p w:rsidR="00BE22A3" w:rsidRDefault="00BE22A3" w:rsidP="0033747F">
      <w:pPr>
        <w:tabs>
          <w:tab w:val="clear" w:pos="1440"/>
        </w:tabs>
        <w:spacing w:after="0"/>
      </w:pPr>
    </w:p>
    <w:p w:rsidR="00BE22A3" w:rsidRDefault="00BE22A3" w:rsidP="0033747F">
      <w:pPr>
        <w:tabs>
          <w:tab w:val="clear" w:pos="1440"/>
        </w:tabs>
        <w:spacing w:after="0"/>
      </w:pPr>
      <w:r>
        <w:tab/>
      </w:r>
      <w:r>
        <w:tab/>
        <w:t xml:space="preserve">Additionally, I directed Mr. Mandeville to call or write me by February 10, 2016, to let me know whether or not he had any objections to the admission of PPL’s exhibits into the record.  If I did not hear from him by February 10, 2016, PPL’s exhibits would be admitted into the record. </w:t>
      </w:r>
    </w:p>
    <w:p w:rsidR="00BE22A3" w:rsidRDefault="00BE22A3" w:rsidP="0033747F">
      <w:pPr>
        <w:tabs>
          <w:tab w:val="clear" w:pos="1440"/>
        </w:tabs>
        <w:spacing w:after="0"/>
      </w:pPr>
    </w:p>
    <w:p w:rsidR="004D5F29" w:rsidRDefault="00BE22A3" w:rsidP="0033747F">
      <w:pPr>
        <w:tabs>
          <w:tab w:val="clear" w:pos="1440"/>
        </w:tabs>
        <w:spacing w:after="0"/>
      </w:pPr>
      <w:r>
        <w:lastRenderedPageBreak/>
        <w:tab/>
      </w:r>
      <w:r>
        <w:tab/>
        <w:t xml:space="preserve">On January 28, 2016, Attorney Schultz </w:t>
      </w:r>
      <w:r w:rsidR="004D5F29">
        <w:t xml:space="preserve">sent </w:t>
      </w:r>
      <w:r w:rsidR="00915F1C">
        <w:t xml:space="preserve">a </w:t>
      </w:r>
      <w:r>
        <w:t>letter to Mr. Mandeville</w:t>
      </w:r>
      <w:r w:rsidR="00C21503">
        <w:t xml:space="preserve"> and</w:t>
      </w:r>
      <w:r w:rsidR="004D5F29">
        <w:t xml:space="preserve"> a copy to me,</w:t>
      </w:r>
      <w:r>
        <w:t xml:space="preserve"> </w:t>
      </w:r>
      <w:r w:rsidR="004D5F29">
        <w:t xml:space="preserve">enclosing </w:t>
      </w:r>
      <w:r>
        <w:t xml:space="preserve">PPL’s exhibits that were offered into the record at the hearing on January </w:t>
      </w:r>
      <w:r w:rsidR="008B3CC8">
        <w:t>27, 2016</w:t>
      </w:r>
      <w:r>
        <w:t xml:space="preserve">.  </w:t>
      </w:r>
      <w:r w:rsidR="004D5F29">
        <w:t>Attorney Schultz’s letter stated the following:</w:t>
      </w:r>
    </w:p>
    <w:p w:rsidR="004D5F29" w:rsidRDefault="004D5F29" w:rsidP="00423E99">
      <w:pPr>
        <w:tabs>
          <w:tab w:val="clear" w:pos="1440"/>
        </w:tabs>
        <w:spacing w:after="0" w:line="240" w:lineRule="auto"/>
      </w:pPr>
    </w:p>
    <w:p w:rsidR="00BE22A3" w:rsidRDefault="004D5F29" w:rsidP="00423E99">
      <w:pPr>
        <w:tabs>
          <w:tab w:val="clear" w:pos="1440"/>
        </w:tabs>
        <w:spacing w:after="0" w:line="240" w:lineRule="auto"/>
        <w:ind w:left="1440" w:right="1080"/>
      </w:pPr>
      <w:r>
        <w:t>Please be advised that if we are unable to resolve this matter, I will request that Judge Johnson hold a continuation of our initial hearing in order to allow for the introduction of evidence concerning your bankruptcy filings and prior balance transfers.</w:t>
      </w:r>
    </w:p>
    <w:p w:rsidR="004D5F29" w:rsidRDefault="004D5F29" w:rsidP="00160080">
      <w:pPr>
        <w:tabs>
          <w:tab w:val="clear" w:pos="1440"/>
        </w:tabs>
        <w:spacing w:after="0"/>
        <w:ind w:left="1440" w:right="1080"/>
      </w:pPr>
    </w:p>
    <w:p w:rsidR="00871661" w:rsidRDefault="004D5F29" w:rsidP="00871661">
      <w:pPr>
        <w:tabs>
          <w:tab w:val="clear" w:pos="1440"/>
        </w:tabs>
        <w:spacing w:after="0"/>
      </w:pPr>
      <w:r>
        <w:tab/>
      </w:r>
      <w:r>
        <w:tab/>
        <w:t xml:space="preserve">By February 10, 2016, I had not received any objections from Mr. Mandeville to the admission of PPL’s exhibits into the record.  </w:t>
      </w:r>
      <w:r w:rsidR="008E68B5">
        <w:t xml:space="preserve">Accordingly on February 24, 2016, </w:t>
      </w:r>
      <w:r w:rsidR="00871661">
        <w:t>I issued an Interim Order Admitting Respondent Exhibits into the Record and Closing the Record.</w:t>
      </w:r>
    </w:p>
    <w:p w:rsidR="00871661" w:rsidRDefault="00871661" w:rsidP="00871661">
      <w:pPr>
        <w:tabs>
          <w:tab w:val="clear" w:pos="1440"/>
        </w:tabs>
        <w:spacing w:after="0"/>
      </w:pPr>
    </w:p>
    <w:p w:rsidR="008E68B5" w:rsidRDefault="00871661" w:rsidP="00871661">
      <w:pPr>
        <w:tabs>
          <w:tab w:val="clear" w:pos="1440"/>
        </w:tabs>
        <w:spacing w:after="0"/>
      </w:pPr>
      <w:r>
        <w:tab/>
      </w:r>
      <w:r>
        <w:tab/>
        <w:t xml:space="preserve">On February 29, 2016, I received Attorney Schultz’s February 26, 2016 letter requesting </w:t>
      </w:r>
      <w:r w:rsidR="00FF736F">
        <w:t xml:space="preserve">a scheduling of </w:t>
      </w:r>
      <w:r>
        <w:t>“</w:t>
      </w:r>
      <w:r w:rsidR="00FF736F">
        <w:t xml:space="preserve">a </w:t>
      </w:r>
      <w:r>
        <w:t>continuation of th</w:t>
      </w:r>
      <w:r w:rsidR="00FF736F">
        <w:t>is</w:t>
      </w:r>
      <w:r>
        <w:t xml:space="preserve"> hearing in order to afford PPL an opportunity to respond to Mr. Mandeville’s allegations concerning his bankruptcy filing and prior PPL account balance.”  Mr. Mandeville was copied on the letter</w:t>
      </w:r>
      <w:r w:rsidR="008E68B5">
        <w:t>, but he did not submit a response to the letter</w:t>
      </w:r>
      <w:r>
        <w:t>.</w:t>
      </w:r>
      <w:r w:rsidR="008E68B5">
        <w:t xml:space="preserve">  </w:t>
      </w:r>
    </w:p>
    <w:p w:rsidR="008E68B5" w:rsidRDefault="008E68B5" w:rsidP="00871661">
      <w:pPr>
        <w:tabs>
          <w:tab w:val="clear" w:pos="1440"/>
        </w:tabs>
        <w:spacing w:after="0"/>
      </w:pPr>
    </w:p>
    <w:p w:rsidR="00F13882" w:rsidRDefault="008E68B5" w:rsidP="00871661">
      <w:pPr>
        <w:tabs>
          <w:tab w:val="clear" w:pos="1440"/>
        </w:tabs>
        <w:spacing w:after="0"/>
      </w:pPr>
      <w:r>
        <w:tab/>
      </w:r>
      <w:r>
        <w:tab/>
      </w:r>
      <w:r w:rsidR="00871661">
        <w:t>As grounds for it</w:t>
      </w:r>
      <w:r w:rsidR="00C21503">
        <w:t>s</w:t>
      </w:r>
      <w:r w:rsidR="00871661">
        <w:t xml:space="preserve"> request to continue the hearing, PPL </w:t>
      </w:r>
      <w:r w:rsidR="00824444">
        <w:t>argued that Mr.</w:t>
      </w:r>
      <w:r w:rsidR="00423E99">
        <w:t> </w:t>
      </w:r>
      <w:r w:rsidR="00824444">
        <w:t xml:space="preserve">Mandeville had offered testimony about his bankruptcy filing and claimed his prior account balance should have been discharged in bankruptcy.  PPL asserted </w:t>
      </w:r>
      <w:r w:rsidR="00FF736F">
        <w:t xml:space="preserve">that </w:t>
      </w:r>
      <w:r w:rsidR="00824444">
        <w:t xml:space="preserve">it was </w:t>
      </w:r>
      <w:r w:rsidR="00FF736F">
        <w:t>not adequately prepared</w:t>
      </w:r>
      <w:r w:rsidR="00824444">
        <w:t xml:space="preserve"> to </w:t>
      </w:r>
      <w:r w:rsidR="00FF736F">
        <w:t>address</w:t>
      </w:r>
      <w:r w:rsidR="00824444">
        <w:t xml:space="preserve"> this testimony </w:t>
      </w:r>
      <w:r w:rsidR="008B3CC8">
        <w:t xml:space="preserve">at the hearing </w:t>
      </w:r>
      <w:r w:rsidR="00824444">
        <w:t xml:space="preserve">because Mr. Mandeville had not </w:t>
      </w:r>
      <w:r w:rsidR="00FF736F">
        <w:t>included information about his bankruptcies</w:t>
      </w:r>
      <w:r w:rsidR="00F13882">
        <w:t xml:space="preserve"> in </w:t>
      </w:r>
      <w:r w:rsidR="00FF736F">
        <w:t>hi</w:t>
      </w:r>
      <w:r w:rsidR="00F13882">
        <w:t xml:space="preserve">s Complaint. </w:t>
      </w:r>
      <w:r w:rsidR="00FF736F">
        <w:t xml:space="preserve"> </w:t>
      </w:r>
      <w:r w:rsidR="00F13882">
        <w:t xml:space="preserve">According to PPL, since the time of the initial hearing, it had sufficient time to research this </w:t>
      </w:r>
      <w:r w:rsidR="00FF736F">
        <w:t>matter</w:t>
      </w:r>
      <w:r w:rsidR="00F13882">
        <w:t>.  Therefore, PPL requested “an opportunity to respond to Mr. Mand</w:t>
      </w:r>
      <w:r w:rsidR="00FF736F">
        <w:t>e</w:t>
      </w:r>
      <w:r w:rsidR="00F13882">
        <w:t>ville’s allegations concerning his bankruptcy filing</w:t>
      </w:r>
      <w:r w:rsidR="00FF736F">
        <w:t>s</w:t>
      </w:r>
      <w:r w:rsidR="00F13882">
        <w:t xml:space="preserve"> and prior PPL account balance.” </w:t>
      </w:r>
    </w:p>
    <w:p w:rsidR="00F13882" w:rsidRDefault="00F13882" w:rsidP="00871661">
      <w:pPr>
        <w:tabs>
          <w:tab w:val="clear" w:pos="1440"/>
        </w:tabs>
        <w:spacing w:after="0"/>
      </w:pPr>
    </w:p>
    <w:p w:rsidR="002B7B5C" w:rsidRDefault="00F13882" w:rsidP="00576DAB">
      <w:pPr>
        <w:tabs>
          <w:tab w:val="clear" w:pos="1440"/>
        </w:tabs>
        <w:spacing w:after="0"/>
      </w:pPr>
      <w:r>
        <w:tab/>
      </w:r>
      <w:r>
        <w:tab/>
        <w:t>I treated PPL’s February 2</w:t>
      </w:r>
      <w:r w:rsidR="00FF736F">
        <w:t>6</w:t>
      </w:r>
      <w:r>
        <w:t>, 2016 letter a</w:t>
      </w:r>
      <w:r w:rsidR="00D83B3C">
        <w:t>s a</w:t>
      </w:r>
      <w:r>
        <w:t xml:space="preserve"> request to reopen the record</w:t>
      </w:r>
      <w:r w:rsidR="00D55420">
        <w:t>.</w:t>
      </w:r>
      <w:r w:rsidR="00D55420">
        <w:rPr>
          <w:rStyle w:val="FootnoteReference"/>
        </w:rPr>
        <w:footnoteReference w:id="3"/>
      </w:r>
      <w:r w:rsidR="00D55420">
        <w:t xml:space="preserve"> </w:t>
      </w:r>
      <w:r w:rsidR="008F5336">
        <w:t xml:space="preserve"> </w:t>
      </w:r>
      <w:r w:rsidR="00D55420">
        <w:t xml:space="preserve">PPL’s argument to reopen the </w:t>
      </w:r>
      <w:r w:rsidR="008F5336">
        <w:t xml:space="preserve">record did not allege any new facts or facts that could not have been </w:t>
      </w:r>
      <w:r w:rsidR="008F5336">
        <w:lastRenderedPageBreak/>
        <w:t xml:space="preserve">discovered prior to the hearing. </w:t>
      </w:r>
      <w:r w:rsidR="001E19BC">
        <w:t xml:space="preserve"> PPL’s request to reopen the record did </w:t>
      </w:r>
      <w:r w:rsidR="00C21503">
        <w:t xml:space="preserve">not </w:t>
      </w:r>
      <w:r w:rsidR="001E19BC">
        <w:t xml:space="preserve">meet the regulatory requirements warranting a reopening of the record.  </w:t>
      </w:r>
      <w:r w:rsidR="00D83B3C">
        <w:t>Accordingly</w:t>
      </w:r>
      <w:r>
        <w:t xml:space="preserve">, </w:t>
      </w:r>
      <w:r w:rsidR="00D83B3C">
        <w:t xml:space="preserve">on April 13, 2016, I issued </w:t>
      </w:r>
      <w:r w:rsidR="00FF736F">
        <w:t>an Inter</w:t>
      </w:r>
      <w:r w:rsidR="00576DAB">
        <w:t>i</w:t>
      </w:r>
      <w:r w:rsidR="00FF736F">
        <w:t xml:space="preserve">m Order </w:t>
      </w:r>
      <w:r w:rsidR="00576DAB">
        <w:t>Denying Respondent’s Request to Reopen the Record.</w:t>
      </w:r>
      <w:r w:rsidR="00990CAA">
        <w:rPr>
          <w:rStyle w:val="FootnoteReference"/>
        </w:rPr>
        <w:footnoteReference w:id="4"/>
      </w:r>
      <w:r w:rsidR="00576DAB">
        <w:t xml:space="preserve"> </w:t>
      </w:r>
    </w:p>
    <w:p w:rsidR="002B7B5C" w:rsidRDefault="002B7B5C" w:rsidP="00871661">
      <w:pPr>
        <w:tabs>
          <w:tab w:val="clear" w:pos="1440"/>
        </w:tabs>
        <w:spacing w:after="0"/>
      </w:pPr>
    </w:p>
    <w:p w:rsidR="00576DAB" w:rsidRDefault="00576DAB" w:rsidP="00871661">
      <w:pPr>
        <w:tabs>
          <w:tab w:val="clear" w:pos="1440"/>
        </w:tabs>
        <w:spacing w:after="0"/>
      </w:pPr>
      <w:r>
        <w:tab/>
      </w:r>
      <w:r>
        <w:tab/>
      </w:r>
      <w:r w:rsidR="00C21503">
        <w:t>The record in this case includes the hearing transcript consisting of 49 pages, PPL’s Exhibits 1-A, 1-B and 2-B and the order</w:t>
      </w:r>
      <w:r w:rsidR="001330EE">
        <w:t>s</w:t>
      </w:r>
      <w:r w:rsidR="00C21503">
        <w:t xml:space="preserve"> issued during the course of the proceeding.  </w:t>
      </w:r>
      <w:r>
        <w:t>This</w:t>
      </w:r>
      <w:r w:rsidR="00C21503">
        <w:t xml:space="preserve"> </w:t>
      </w:r>
      <w:r>
        <w:t>case is now ready for ruling.</w:t>
      </w:r>
    </w:p>
    <w:p w:rsidR="00576DAB" w:rsidRDefault="00576DAB" w:rsidP="00871661">
      <w:pPr>
        <w:tabs>
          <w:tab w:val="clear" w:pos="1440"/>
        </w:tabs>
        <w:spacing w:after="0"/>
      </w:pPr>
    </w:p>
    <w:p w:rsidR="00576DAB" w:rsidRPr="00576DAB" w:rsidRDefault="00576DAB" w:rsidP="00576DAB">
      <w:pPr>
        <w:tabs>
          <w:tab w:val="clear" w:pos="1440"/>
        </w:tabs>
        <w:spacing w:after="0"/>
        <w:jc w:val="center"/>
        <w:rPr>
          <w:u w:val="single"/>
        </w:rPr>
      </w:pPr>
      <w:r w:rsidRPr="00576DAB">
        <w:rPr>
          <w:u w:val="single"/>
        </w:rPr>
        <w:t>FINDINGS OF FACT</w:t>
      </w:r>
    </w:p>
    <w:p w:rsidR="00576DAB" w:rsidRDefault="00576DAB" w:rsidP="00BC30C4">
      <w:pPr>
        <w:tabs>
          <w:tab w:val="clear" w:pos="1440"/>
        </w:tabs>
        <w:spacing w:after="0"/>
      </w:pPr>
    </w:p>
    <w:p w:rsidR="003B3906" w:rsidRPr="003B3906" w:rsidRDefault="003B3906" w:rsidP="00A52DFE">
      <w:pPr>
        <w:tabs>
          <w:tab w:val="left" w:pos="0"/>
        </w:tabs>
      </w:pPr>
      <w:r w:rsidRPr="003B3906">
        <w:rPr>
          <w:u w:val="single"/>
        </w:rPr>
        <w:t xml:space="preserve">The Parties and </w:t>
      </w:r>
      <w:r w:rsidR="00A52DFE">
        <w:rPr>
          <w:u w:val="single"/>
        </w:rPr>
        <w:t>Service Address</w:t>
      </w:r>
      <w:r w:rsidRPr="003B3906">
        <w:tab/>
      </w:r>
      <w:r w:rsidRPr="003B3906">
        <w:tab/>
      </w:r>
    </w:p>
    <w:p w:rsidR="00A52DFE" w:rsidRDefault="00A52DFE" w:rsidP="003B3906">
      <w:pPr>
        <w:tabs>
          <w:tab w:val="clear" w:pos="1440"/>
          <w:tab w:val="left" w:pos="0"/>
        </w:tabs>
        <w:spacing w:after="0"/>
      </w:pPr>
    </w:p>
    <w:p w:rsidR="003B3906" w:rsidRPr="003B3906" w:rsidRDefault="003B3906" w:rsidP="003B3906">
      <w:pPr>
        <w:tabs>
          <w:tab w:val="clear" w:pos="1440"/>
          <w:tab w:val="left" w:pos="0"/>
        </w:tabs>
        <w:spacing w:after="0"/>
      </w:pPr>
      <w:r w:rsidRPr="003B3906">
        <w:tab/>
      </w:r>
      <w:r w:rsidRPr="003B3906">
        <w:tab/>
        <w:t>1.</w:t>
      </w:r>
      <w:r w:rsidRPr="003B3906">
        <w:tab/>
        <w:t xml:space="preserve">Complainant </w:t>
      </w:r>
      <w:r>
        <w:t xml:space="preserve">George Mandeville </w:t>
      </w:r>
      <w:r w:rsidRPr="003B3906">
        <w:t xml:space="preserve">resides at </w:t>
      </w:r>
      <w:r>
        <w:t>1140 Ferris Avenue, Berwick,</w:t>
      </w:r>
      <w:r w:rsidRPr="003B3906">
        <w:t xml:space="preserve"> Pennsylvania 1</w:t>
      </w:r>
      <w:r>
        <w:t>8603</w:t>
      </w:r>
      <w:r w:rsidRPr="003B3906">
        <w:t xml:space="preserve"> (service address).  Tr</w:t>
      </w:r>
      <w:r>
        <w:t>.</w:t>
      </w:r>
      <w:r w:rsidRPr="003B3906">
        <w:t xml:space="preserve"> 5.</w:t>
      </w:r>
    </w:p>
    <w:p w:rsidR="003B3906" w:rsidRPr="003B3906" w:rsidRDefault="003B3906" w:rsidP="003B3906">
      <w:pPr>
        <w:tabs>
          <w:tab w:val="clear" w:pos="1440"/>
          <w:tab w:val="left" w:pos="0"/>
        </w:tabs>
        <w:spacing w:after="0"/>
      </w:pPr>
    </w:p>
    <w:p w:rsidR="003B3906" w:rsidRDefault="003B3906" w:rsidP="003B3906">
      <w:pPr>
        <w:tabs>
          <w:tab w:val="clear" w:pos="1440"/>
          <w:tab w:val="left" w:pos="0"/>
        </w:tabs>
        <w:spacing w:after="0"/>
        <w:rPr>
          <w:szCs w:val="24"/>
        </w:rPr>
      </w:pPr>
      <w:r w:rsidRPr="003B3906">
        <w:tab/>
      </w:r>
      <w:r w:rsidRPr="003B3906">
        <w:tab/>
        <w:t>2.</w:t>
      </w:r>
      <w:r w:rsidRPr="003B3906">
        <w:tab/>
        <w:t xml:space="preserve">Respondent </w:t>
      </w:r>
      <w:r>
        <w:t>PPL</w:t>
      </w:r>
      <w:r w:rsidR="00C21503">
        <w:t xml:space="preserve"> </w:t>
      </w:r>
      <w:r w:rsidR="003521F5">
        <w:t>E</w:t>
      </w:r>
      <w:r w:rsidR="00C21503">
        <w:t xml:space="preserve">lectric Utilities Corporation, </w:t>
      </w:r>
      <w:r w:rsidRPr="003B3906">
        <w:rPr>
          <w:szCs w:val="24"/>
        </w:rPr>
        <w:t xml:space="preserve">a jurisdictional public utility, provides </w:t>
      </w:r>
      <w:r>
        <w:rPr>
          <w:szCs w:val="24"/>
        </w:rPr>
        <w:t xml:space="preserve">electric service </w:t>
      </w:r>
      <w:r w:rsidRPr="003B3906">
        <w:rPr>
          <w:szCs w:val="24"/>
        </w:rPr>
        <w:t>to Pennsylvania customers.</w:t>
      </w:r>
    </w:p>
    <w:p w:rsidR="00382E04" w:rsidRDefault="00382E04" w:rsidP="003B3906">
      <w:pPr>
        <w:tabs>
          <w:tab w:val="clear" w:pos="1440"/>
          <w:tab w:val="left" w:pos="0"/>
        </w:tabs>
        <w:spacing w:after="0"/>
        <w:rPr>
          <w:szCs w:val="24"/>
        </w:rPr>
      </w:pPr>
    </w:p>
    <w:p w:rsidR="001416DF" w:rsidRDefault="00382E04" w:rsidP="003B3906">
      <w:pPr>
        <w:tabs>
          <w:tab w:val="clear" w:pos="1440"/>
          <w:tab w:val="left" w:pos="0"/>
        </w:tabs>
        <w:spacing w:after="0"/>
        <w:rPr>
          <w:szCs w:val="24"/>
        </w:rPr>
      </w:pPr>
      <w:r>
        <w:rPr>
          <w:szCs w:val="24"/>
        </w:rPr>
        <w:tab/>
      </w:r>
      <w:r>
        <w:rPr>
          <w:szCs w:val="24"/>
        </w:rPr>
        <w:tab/>
        <w:t>3.</w:t>
      </w:r>
      <w:r>
        <w:rPr>
          <w:szCs w:val="24"/>
        </w:rPr>
        <w:tab/>
        <w:t>The service address</w:t>
      </w:r>
      <w:r w:rsidR="004C7F50">
        <w:rPr>
          <w:szCs w:val="24"/>
        </w:rPr>
        <w:t>,</w:t>
      </w:r>
      <w:r>
        <w:rPr>
          <w:szCs w:val="24"/>
        </w:rPr>
        <w:t xml:space="preserve"> </w:t>
      </w:r>
      <w:r w:rsidR="001416DF">
        <w:rPr>
          <w:szCs w:val="24"/>
        </w:rPr>
        <w:t>a</w:t>
      </w:r>
      <w:r w:rsidR="004C7F50">
        <w:rPr>
          <w:szCs w:val="24"/>
        </w:rPr>
        <w:t xml:space="preserve"> one-and-a-half-room </w:t>
      </w:r>
      <w:r w:rsidR="001416DF">
        <w:rPr>
          <w:szCs w:val="24"/>
        </w:rPr>
        <w:t>efficiency apartment</w:t>
      </w:r>
      <w:r w:rsidR="004C7F50">
        <w:rPr>
          <w:szCs w:val="24"/>
        </w:rPr>
        <w:t xml:space="preserve"> with a small bathroom, is part of a one-and-a-half story wooden house</w:t>
      </w:r>
      <w:r w:rsidR="001416DF">
        <w:rPr>
          <w:szCs w:val="24"/>
        </w:rPr>
        <w:t>.  Tr. 25.</w:t>
      </w:r>
    </w:p>
    <w:p w:rsidR="001416DF" w:rsidRDefault="001416DF" w:rsidP="003B3906">
      <w:pPr>
        <w:tabs>
          <w:tab w:val="clear" w:pos="1440"/>
          <w:tab w:val="left" w:pos="0"/>
        </w:tabs>
        <w:spacing w:after="0"/>
        <w:rPr>
          <w:szCs w:val="24"/>
        </w:rPr>
      </w:pPr>
    </w:p>
    <w:p w:rsidR="003B3906" w:rsidRDefault="001416DF" w:rsidP="003B3906">
      <w:pPr>
        <w:tabs>
          <w:tab w:val="clear" w:pos="1440"/>
          <w:tab w:val="left" w:pos="0"/>
        </w:tabs>
        <w:spacing w:after="0"/>
        <w:rPr>
          <w:szCs w:val="24"/>
        </w:rPr>
      </w:pPr>
      <w:r>
        <w:rPr>
          <w:szCs w:val="24"/>
        </w:rPr>
        <w:tab/>
      </w:r>
      <w:r>
        <w:rPr>
          <w:szCs w:val="24"/>
        </w:rPr>
        <w:tab/>
        <w:t>4.</w:t>
      </w:r>
      <w:r>
        <w:rPr>
          <w:szCs w:val="24"/>
        </w:rPr>
        <w:tab/>
        <w:t>Mr. Mandeville</w:t>
      </w:r>
      <w:r w:rsidR="004C7F50">
        <w:rPr>
          <w:szCs w:val="24"/>
        </w:rPr>
        <w:t xml:space="preserve"> is the only occupant at the service address, and the remainder of the one-and-a-half story wooden house is unoccupied.  Tr</w:t>
      </w:r>
      <w:r w:rsidR="00A52DFE">
        <w:rPr>
          <w:szCs w:val="24"/>
        </w:rPr>
        <w:t>. 17.</w:t>
      </w:r>
    </w:p>
    <w:p w:rsidR="00160080" w:rsidRDefault="00160080" w:rsidP="003B3906">
      <w:pPr>
        <w:tabs>
          <w:tab w:val="clear" w:pos="1440"/>
          <w:tab w:val="left" w:pos="0"/>
        </w:tabs>
        <w:spacing w:after="0"/>
        <w:rPr>
          <w:szCs w:val="24"/>
        </w:rPr>
      </w:pPr>
    </w:p>
    <w:p w:rsidR="003D04C2" w:rsidRDefault="003D04C2" w:rsidP="003B3906">
      <w:pPr>
        <w:tabs>
          <w:tab w:val="clear" w:pos="1440"/>
          <w:tab w:val="left" w:pos="0"/>
        </w:tabs>
        <w:spacing w:after="0"/>
        <w:rPr>
          <w:szCs w:val="24"/>
        </w:rPr>
      </w:pPr>
      <w:r>
        <w:rPr>
          <w:szCs w:val="24"/>
        </w:rPr>
        <w:tab/>
      </w:r>
      <w:r>
        <w:rPr>
          <w:szCs w:val="24"/>
        </w:rPr>
        <w:tab/>
        <w:t>5.</w:t>
      </w:r>
      <w:r>
        <w:rPr>
          <w:szCs w:val="24"/>
        </w:rPr>
        <w:tab/>
        <w:t xml:space="preserve">Mr. Mandeville’s efficiency apartment has two light fixtures, a small refrigerator, a freezer, a wood stove, and a gas furnace, which is </w:t>
      </w:r>
      <w:r w:rsidR="00822349">
        <w:rPr>
          <w:szCs w:val="24"/>
        </w:rPr>
        <w:t>operated by an electrical control.  Tr. 13.</w:t>
      </w:r>
    </w:p>
    <w:p w:rsidR="00A52DFE" w:rsidRPr="00A52DFE" w:rsidRDefault="00822349" w:rsidP="003B3906">
      <w:pPr>
        <w:tabs>
          <w:tab w:val="clear" w:pos="1440"/>
          <w:tab w:val="left" w:pos="0"/>
        </w:tabs>
        <w:spacing w:after="0"/>
        <w:rPr>
          <w:szCs w:val="24"/>
          <w:u w:val="single"/>
        </w:rPr>
      </w:pPr>
      <w:r>
        <w:rPr>
          <w:szCs w:val="24"/>
          <w:u w:val="single"/>
        </w:rPr>
        <w:lastRenderedPageBreak/>
        <w:t xml:space="preserve">Account and Service </w:t>
      </w:r>
      <w:r w:rsidR="00A52DFE">
        <w:rPr>
          <w:szCs w:val="24"/>
          <w:u w:val="single"/>
        </w:rPr>
        <w:t>History</w:t>
      </w:r>
    </w:p>
    <w:p w:rsidR="00A52DFE" w:rsidRPr="003B3906" w:rsidRDefault="00A52DFE" w:rsidP="003B3906">
      <w:pPr>
        <w:tabs>
          <w:tab w:val="clear" w:pos="1440"/>
          <w:tab w:val="left" w:pos="0"/>
        </w:tabs>
        <w:spacing w:after="0"/>
      </w:pPr>
    </w:p>
    <w:p w:rsidR="0068098F" w:rsidRDefault="0068098F" w:rsidP="0068098F">
      <w:pPr>
        <w:tabs>
          <w:tab w:val="clear" w:pos="1440"/>
          <w:tab w:val="left" w:pos="0"/>
        </w:tabs>
        <w:spacing w:after="0"/>
      </w:pPr>
      <w:r>
        <w:tab/>
      </w:r>
      <w:r>
        <w:tab/>
        <w:t>6.</w:t>
      </w:r>
      <w:r>
        <w:tab/>
        <w:t xml:space="preserve">Dating back to 2002 or 2003, Mr. Mandeville </w:t>
      </w:r>
      <w:r w:rsidR="00185CDD">
        <w:t>was receiving</w:t>
      </w:r>
      <w:r>
        <w:t xml:space="preserve"> electric service from PPL while residing in the Poconos of Pennsylvania.  Tr. 11</w:t>
      </w:r>
      <w:r w:rsidR="00EC5B6D">
        <w:t xml:space="preserve">, </w:t>
      </w:r>
      <w:r>
        <w:t>21.</w:t>
      </w:r>
    </w:p>
    <w:p w:rsidR="0068098F" w:rsidRDefault="0068098F" w:rsidP="00382E04">
      <w:pPr>
        <w:tabs>
          <w:tab w:val="clear" w:pos="1440"/>
          <w:tab w:val="left" w:pos="0"/>
        </w:tabs>
        <w:spacing w:after="0"/>
      </w:pPr>
    </w:p>
    <w:p w:rsidR="00185CDD" w:rsidRDefault="003B3906" w:rsidP="00382E04">
      <w:pPr>
        <w:tabs>
          <w:tab w:val="clear" w:pos="1440"/>
          <w:tab w:val="left" w:pos="0"/>
        </w:tabs>
        <w:spacing w:after="0"/>
      </w:pPr>
      <w:r w:rsidRPr="003B3906">
        <w:tab/>
      </w:r>
      <w:r w:rsidRPr="003B3906">
        <w:tab/>
      </w:r>
      <w:r w:rsidR="0068098F">
        <w:t>7</w:t>
      </w:r>
      <w:r w:rsidRPr="003B3906">
        <w:t>.</w:t>
      </w:r>
      <w:r w:rsidRPr="003B3906">
        <w:tab/>
      </w:r>
      <w:r w:rsidR="0068098F">
        <w:t xml:space="preserve">Sometime between </w:t>
      </w:r>
      <w:r w:rsidR="00185CDD">
        <w:t>2006 and 2007, Mr. Mandeville left the Poconos area. Tr. 12.</w:t>
      </w:r>
    </w:p>
    <w:p w:rsidR="00185CDD" w:rsidRDefault="00185CDD" w:rsidP="00382E04">
      <w:pPr>
        <w:tabs>
          <w:tab w:val="clear" w:pos="1440"/>
          <w:tab w:val="left" w:pos="0"/>
        </w:tabs>
        <w:spacing w:after="0"/>
      </w:pPr>
    </w:p>
    <w:p w:rsidR="00382E04" w:rsidRPr="003B3906" w:rsidRDefault="00185CDD" w:rsidP="00382E04">
      <w:pPr>
        <w:tabs>
          <w:tab w:val="clear" w:pos="1440"/>
          <w:tab w:val="left" w:pos="0"/>
        </w:tabs>
        <w:spacing w:after="0"/>
        <w:rPr>
          <w:szCs w:val="24"/>
        </w:rPr>
      </w:pPr>
      <w:r>
        <w:tab/>
      </w:r>
      <w:r>
        <w:tab/>
        <w:t>8.</w:t>
      </w:r>
      <w:r>
        <w:tab/>
      </w:r>
      <w:r w:rsidR="002A521C">
        <w:t>On October 24, 201</w:t>
      </w:r>
      <w:r w:rsidR="005B2CAE">
        <w:t>2</w:t>
      </w:r>
      <w:r w:rsidR="002A521C">
        <w:t>, Mr. Mandeville applied to PPL for electric service at the service address.</w:t>
      </w:r>
      <w:r w:rsidR="00382E04">
        <w:t xml:space="preserve">  </w:t>
      </w:r>
      <w:r w:rsidR="00382E04">
        <w:rPr>
          <w:szCs w:val="24"/>
        </w:rPr>
        <w:t>Exhibit 2B.</w:t>
      </w:r>
    </w:p>
    <w:p w:rsidR="002A521C" w:rsidRDefault="002A521C" w:rsidP="003B3906">
      <w:pPr>
        <w:tabs>
          <w:tab w:val="clear" w:pos="1440"/>
          <w:tab w:val="left" w:pos="0"/>
        </w:tabs>
        <w:spacing w:after="0"/>
      </w:pPr>
    </w:p>
    <w:p w:rsidR="005B2CAE" w:rsidRDefault="005B2CAE" w:rsidP="003B3906">
      <w:pPr>
        <w:tabs>
          <w:tab w:val="clear" w:pos="1440"/>
          <w:tab w:val="left" w:pos="0"/>
        </w:tabs>
        <w:spacing w:after="0"/>
      </w:pPr>
      <w:r>
        <w:tab/>
      </w:r>
      <w:r>
        <w:tab/>
      </w:r>
      <w:r w:rsidR="00185CDD">
        <w:t>9</w:t>
      </w:r>
      <w:r>
        <w:t>.</w:t>
      </w:r>
      <w:r>
        <w:tab/>
        <w:t xml:space="preserve"> Prior to his October 24, 2012 application for </w:t>
      </w:r>
      <w:r w:rsidR="009046BF">
        <w:t>electric service, Mr.</w:t>
      </w:r>
      <w:r w:rsidR="00583FEC">
        <w:t> </w:t>
      </w:r>
      <w:r w:rsidR="009046BF">
        <w:t xml:space="preserve">Mandeville had lived out-of-state for at least five </w:t>
      </w:r>
      <w:r w:rsidR="00C37C0A">
        <w:t xml:space="preserve">to six </w:t>
      </w:r>
      <w:r w:rsidR="009046BF">
        <w:t>years.  Tr. 12; Exhibit 2B.</w:t>
      </w:r>
    </w:p>
    <w:p w:rsidR="002A521C" w:rsidRDefault="002A521C" w:rsidP="003B3906">
      <w:pPr>
        <w:tabs>
          <w:tab w:val="clear" w:pos="1440"/>
          <w:tab w:val="left" w:pos="0"/>
        </w:tabs>
        <w:spacing w:after="0"/>
      </w:pPr>
    </w:p>
    <w:p w:rsidR="001A15BE" w:rsidRDefault="008B5EE4" w:rsidP="003B3906">
      <w:pPr>
        <w:tabs>
          <w:tab w:val="clear" w:pos="1440"/>
          <w:tab w:val="left" w:pos="0"/>
        </w:tabs>
        <w:spacing w:after="0"/>
      </w:pPr>
      <w:r>
        <w:tab/>
      </w:r>
      <w:r>
        <w:tab/>
      </w:r>
      <w:r w:rsidR="00185CDD">
        <w:t>10</w:t>
      </w:r>
      <w:r w:rsidR="000A0FF6">
        <w:t>.</w:t>
      </w:r>
      <w:r w:rsidR="000A0FF6">
        <w:tab/>
      </w:r>
      <w:r w:rsidR="001A15BE">
        <w:t>On October 24, 2012, PPL’s customer service representative, Devora Minnifield</w:t>
      </w:r>
      <w:r w:rsidR="00382E04">
        <w:t>,</w:t>
      </w:r>
      <w:r w:rsidR="001A15BE">
        <w:t xml:space="preserve"> noted on Mr. Mandeville’s account that no security deposit was required and there was no previous balance.  Exhibit 2B.</w:t>
      </w:r>
    </w:p>
    <w:p w:rsidR="001A15BE" w:rsidRDefault="001A15BE" w:rsidP="003B3906">
      <w:pPr>
        <w:tabs>
          <w:tab w:val="clear" w:pos="1440"/>
          <w:tab w:val="left" w:pos="0"/>
        </w:tabs>
        <w:spacing w:after="0"/>
      </w:pPr>
    </w:p>
    <w:p w:rsidR="004F270E" w:rsidRDefault="004F270E" w:rsidP="004F270E">
      <w:pPr>
        <w:tabs>
          <w:tab w:val="clear" w:pos="1440"/>
          <w:tab w:val="left" w:pos="0"/>
        </w:tabs>
        <w:spacing w:after="0"/>
      </w:pPr>
      <w:r>
        <w:tab/>
      </w:r>
      <w:r>
        <w:tab/>
      </w:r>
      <w:r w:rsidR="008B5EE4">
        <w:t>1</w:t>
      </w:r>
      <w:r w:rsidR="00185CDD">
        <w:t>1</w:t>
      </w:r>
      <w:r>
        <w:t>.</w:t>
      </w:r>
      <w:r>
        <w:tab/>
        <w:t>On October 25, 2012, PPL connected Mr. Mandeville’s electric service at the service address</w:t>
      </w:r>
      <w:r w:rsidRPr="003B3906">
        <w:t xml:space="preserve">.  Tr. </w:t>
      </w:r>
      <w:r>
        <w:t>29-30</w:t>
      </w:r>
      <w:r w:rsidRPr="003B3906">
        <w:t>.</w:t>
      </w:r>
    </w:p>
    <w:p w:rsidR="004F270E" w:rsidRDefault="004F270E" w:rsidP="004F270E">
      <w:pPr>
        <w:tabs>
          <w:tab w:val="clear" w:pos="1440"/>
          <w:tab w:val="left" w:pos="0"/>
        </w:tabs>
        <w:spacing w:after="0"/>
      </w:pPr>
    </w:p>
    <w:p w:rsidR="004160B9" w:rsidRDefault="001A15BE" w:rsidP="003B3906">
      <w:pPr>
        <w:tabs>
          <w:tab w:val="clear" w:pos="1440"/>
          <w:tab w:val="left" w:pos="0"/>
        </w:tabs>
        <w:spacing w:after="0"/>
      </w:pPr>
      <w:r>
        <w:tab/>
      </w:r>
      <w:r>
        <w:tab/>
      </w:r>
      <w:r w:rsidR="008B5EE4">
        <w:t>1</w:t>
      </w:r>
      <w:r w:rsidR="00185CDD">
        <w:t>2</w:t>
      </w:r>
      <w:r w:rsidR="004160B9">
        <w:t>.</w:t>
      </w:r>
      <w:r w:rsidR="004160B9">
        <w:tab/>
        <w:t xml:space="preserve">On October 29, 2012, PPL’s </w:t>
      </w:r>
      <w:r w:rsidR="00185CDD">
        <w:t xml:space="preserve">“system” </w:t>
      </w:r>
      <w:r w:rsidR="004160B9">
        <w:t xml:space="preserve">noted that Mr. Mandeville’s “ACCOUNT IS CURRENTLY IN A CONTINUOUS TRANSFER RELATIONSHIP.”  </w:t>
      </w:r>
      <w:r w:rsidR="00185CDD">
        <w:t>Exhibit</w:t>
      </w:r>
      <w:r w:rsidR="00583FEC">
        <w:t> </w:t>
      </w:r>
      <w:r w:rsidR="00185CDD">
        <w:t>2B.</w:t>
      </w:r>
    </w:p>
    <w:p w:rsidR="004409AE" w:rsidRPr="004409AE" w:rsidRDefault="004409AE" w:rsidP="003B3906">
      <w:pPr>
        <w:tabs>
          <w:tab w:val="clear" w:pos="1440"/>
          <w:tab w:val="left" w:pos="0"/>
        </w:tabs>
        <w:spacing w:after="0"/>
      </w:pPr>
    </w:p>
    <w:p w:rsidR="004160B9" w:rsidRDefault="004160B9" w:rsidP="003B3906">
      <w:pPr>
        <w:tabs>
          <w:tab w:val="clear" w:pos="1440"/>
          <w:tab w:val="left" w:pos="0"/>
        </w:tabs>
        <w:spacing w:after="0"/>
      </w:pPr>
      <w:r>
        <w:tab/>
      </w:r>
      <w:r>
        <w:tab/>
      </w:r>
      <w:r w:rsidR="008B5EE4">
        <w:t>1</w:t>
      </w:r>
      <w:r w:rsidR="00185CDD">
        <w:t>3</w:t>
      </w:r>
      <w:r>
        <w:t>.</w:t>
      </w:r>
      <w:r>
        <w:tab/>
        <w:t>On October 29, 2012</w:t>
      </w:r>
      <w:r w:rsidR="004409AE">
        <w:t xml:space="preserve">, PPL transferred </w:t>
      </w:r>
      <w:r w:rsidR="0081304B">
        <w:t xml:space="preserve">to Mr. Mandeville’s account </w:t>
      </w:r>
      <w:r w:rsidR="004409AE">
        <w:t>53 debits in varying amounts for a total of $8,747.77</w:t>
      </w:r>
      <w:r w:rsidR="00B42DD5">
        <w:t>.</w:t>
      </w:r>
      <w:r w:rsidR="004409AE">
        <w:t xml:space="preserve">  </w:t>
      </w:r>
      <w:r w:rsidR="004409AE" w:rsidRPr="004409AE">
        <w:rPr>
          <w:i/>
        </w:rPr>
        <w:t>Id.</w:t>
      </w:r>
    </w:p>
    <w:p w:rsidR="004160B9" w:rsidRDefault="004160B9" w:rsidP="003B3906">
      <w:pPr>
        <w:tabs>
          <w:tab w:val="clear" w:pos="1440"/>
          <w:tab w:val="left" w:pos="0"/>
        </w:tabs>
        <w:spacing w:after="0"/>
      </w:pPr>
    </w:p>
    <w:p w:rsidR="004E7310" w:rsidRDefault="004160B9" w:rsidP="004E7310">
      <w:pPr>
        <w:tabs>
          <w:tab w:val="clear" w:pos="1440"/>
          <w:tab w:val="left" w:pos="0"/>
        </w:tabs>
        <w:spacing w:after="0"/>
      </w:pPr>
      <w:r>
        <w:tab/>
      </w:r>
      <w:r>
        <w:tab/>
      </w:r>
      <w:r w:rsidR="00C37C0A">
        <w:t>1</w:t>
      </w:r>
      <w:r w:rsidR="00B42DD5">
        <w:t>4</w:t>
      </w:r>
      <w:r w:rsidR="0081304B">
        <w:t>.</w:t>
      </w:r>
      <w:r w:rsidR="0081304B">
        <w:tab/>
        <w:t xml:space="preserve">On </w:t>
      </w:r>
      <w:r w:rsidR="00D6780F">
        <w:t>November 1, 2012, PPL billed Mr. Mandeville $29.18 for his monthly service plus $8,747.77 for the transferred amounts for a total bill of $8,776.95</w:t>
      </w:r>
      <w:r w:rsidR="00B42DD5" w:rsidRPr="00B42DD5">
        <w:t xml:space="preserve"> </w:t>
      </w:r>
      <w:r w:rsidR="00B42DD5">
        <w:t xml:space="preserve">without listing the individual dates as to when the </w:t>
      </w:r>
      <w:r w:rsidR="0020726A">
        <w:t xml:space="preserve">transferred </w:t>
      </w:r>
      <w:r w:rsidR="00B42DD5">
        <w:t>charges accrued</w:t>
      </w:r>
      <w:r w:rsidR="00D6780F">
        <w:t>.</w:t>
      </w:r>
      <w:r w:rsidR="00B42DD5">
        <w:t xml:space="preserve"> </w:t>
      </w:r>
      <w:r w:rsidR="00D6780F">
        <w:t xml:space="preserve"> </w:t>
      </w:r>
      <w:r w:rsidR="00B42DD5">
        <w:t>Tr. 45; Exhibit 2B</w:t>
      </w:r>
      <w:r w:rsidR="00D6780F">
        <w:rPr>
          <w:i/>
        </w:rPr>
        <w:t>.</w:t>
      </w:r>
      <w:r w:rsidR="004E7310" w:rsidRPr="004E7310">
        <w:t xml:space="preserve"> </w:t>
      </w:r>
    </w:p>
    <w:p w:rsidR="00B42DD5" w:rsidRDefault="004E7310" w:rsidP="004E7310">
      <w:pPr>
        <w:tabs>
          <w:tab w:val="clear" w:pos="1440"/>
          <w:tab w:val="left" w:pos="0"/>
        </w:tabs>
        <w:spacing w:after="0"/>
      </w:pPr>
      <w:r>
        <w:lastRenderedPageBreak/>
        <w:tab/>
      </w:r>
      <w:r>
        <w:tab/>
        <w:t>1</w:t>
      </w:r>
      <w:r w:rsidR="00B42DD5">
        <w:t>5</w:t>
      </w:r>
      <w:r>
        <w:t>.</w:t>
      </w:r>
      <w:r>
        <w:tab/>
      </w:r>
      <w:r w:rsidR="00B42DD5">
        <w:t>On November 1, 2012, PPL billed Mr. Mandeville $29.18 for his monthly service plus $8,747.77 for the transferred amounts for a total bill of $8,776.95</w:t>
      </w:r>
      <w:r w:rsidR="00B42DD5" w:rsidRPr="00B42DD5">
        <w:t xml:space="preserve"> </w:t>
      </w:r>
      <w:r w:rsidR="00B42DD5">
        <w:t xml:space="preserve">without listing the specific address or addresses where the </w:t>
      </w:r>
      <w:r w:rsidR="0020726A">
        <w:t xml:space="preserve">transferred </w:t>
      </w:r>
      <w:r w:rsidR="00B42DD5">
        <w:t xml:space="preserve">charges accrued.  </w:t>
      </w:r>
      <w:r w:rsidR="00B42DD5">
        <w:rPr>
          <w:i/>
        </w:rPr>
        <w:t>Id.</w:t>
      </w:r>
    </w:p>
    <w:p w:rsidR="00B42DD5" w:rsidRDefault="00B42DD5" w:rsidP="004E7310">
      <w:pPr>
        <w:tabs>
          <w:tab w:val="clear" w:pos="1440"/>
          <w:tab w:val="left" w:pos="0"/>
        </w:tabs>
        <w:spacing w:after="0"/>
      </w:pPr>
    </w:p>
    <w:p w:rsidR="000C05E9" w:rsidRDefault="00D6780F" w:rsidP="003B3906">
      <w:pPr>
        <w:tabs>
          <w:tab w:val="clear" w:pos="1440"/>
          <w:tab w:val="left" w:pos="0"/>
        </w:tabs>
        <w:spacing w:after="0"/>
      </w:pPr>
      <w:r>
        <w:tab/>
      </w:r>
      <w:r>
        <w:tab/>
        <w:t>1</w:t>
      </w:r>
      <w:r w:rsidR="0020726A">
        <w:t>6</w:t>
      </w:r>
      <w:r>
        <w:t>.</w:t>
      </w:r>
      <w:r>
        <w:tab/>
      </w:r>
      <w:r w:rsidR="000C05E9">
        <w:t xml:space="preserve">On March 4, 2013, PPL issued Mr. Mandeville a 3-day termination notice for non-payment.  </w:t>
      </w:r>
      <w:r w:rsidR="0020726A">
        <w:t>Exhibit</w:t>
      </w:r>
      <w:r w:rsidR="00841F85">
        <w:t>s 1A,</w:t>
      </w:r>
      <w:r w:rsidR="0020726A">
        <w:t xml:space="preserve"> 2B.</w:t>
      </w:r>
    </w:p>
    <w:p w:rsidR="000C05E9" w:rsidRDefault="000C05E9" w:rsidP="003B3906">
      <w:pPr>
        <w:tabs>
          <w:tab w:val="clear" w:pos="1440"/>
          <w:tab w:val="left" w:pos="0"/>
        </w:tabs>
        <w:spacing w:after="0"/>
      </w:pPr>
    </w:p>
    <w:p w:rsidR="000C05E9" w:rsidRPr="00A24ECF" w:rsidRDefault="000C05E9" w:rsidP="003B3906">
      <w:pPr>
        <w:tabs>
          <w:tab w:val="clear" w:pos="1440"/>
          <w:tab w:val="left" w:pos="0"/>
        </w:tabs>
        <w:spacing w:after="0"/>
        <w:rPr>
          <w:i/>
        </w:rPr>
      </w:pPr>
      <w:r>
        <w:tab/>
      </w:r>
      <w:r>
        <w:tab/>
      </w:r>
      <w:r w:rsidR="0020726A">
        <w:t>17</w:t>
      </w:r>
      <w:r>
        <w:t>.</w:t>
      </w:r>
      <w:r>
        <w:tab/>
        <w:t xml:space="preserve">On March 6, 2013, Mr. Mandeville called PPL and stated he had never received a bill for the service address.  </w:t>
      </w:r>
      <w:r w:rsidR="00841F85">
        <w:t>Exhibit 2B</w:t>
      </w:r>
      <w:r w:rsidR="00A24ECF">
        <w:rPr>
          <w:i/>
        </w:rPr>
        <w:t>.</w:t>
      </w:r>
    </w:p>
    <w:p w:rsidR="00A24ECF" w:rsidRDefault="00A24ECF" w:rsidP="003B3906">
      <w:pPr>
        <w:tabs>
          <w:tab w:val="clear" w:pos="1440"/>
          <w:tab w:val="left" w:pos="0"/>
        </w:tabs>
        <w:spacing w:after="0"/>
      </w:pPr>
    </w:p>
    <w:p w:rsidR="00A24ECF" w:rsidRDefault="00A24ECF" w:rsidP="003B3906">
      <w:pPr>
        <w:tabs>
          <w:tab w:val="clear" w:pos="1440"/>
          <w:tab w:val="left" w:pos="0"/>
        </w:tabs>
        <w:spacing w:after="0"/>
      </w:pPr>
      <w:r>
        <w:tab/>
      </w:r>
      <w:r>
        <w:tab/>
        <w:t>1</w:t>
      </w:r>
      <w:r w:rsidR="0020726A">
        <w:t>8</w:t>
      </w:r>
      <w:r>
        <w:t>.</w:t>
      </w:r>
      <w:r>
        <w:tab/>
        <w:t xml:space="preserve">On March 8, 2013, PPL reviewed Mr. Mandeville’s account balance with him, and he disputed the account balance.  </w:t>
      </w:r>
      <w:r>
        <w:rPr>
          <w:i/>
        </w:rPr>
        <w:t>Id.</w:t>
      </w:r>
    </w:p>
    <w:p w:rsidR="000C05E9" w:rsidRDefault="000C05E9" w:rsidP="003B3906">
      <w:pPr>
        <w:tabs>
          <w:tab w:val="clear" w:pos="1440"/>
          <w:tab w:val="left" w:pos="0"/>
        </w:tabs>
        <w:spacing w:after="0"/>
      </w:pPr>
    </w:p>
    <w:p w:rsidR="00FB07FB" w:rsidRDefault="00A24ECF" w:rsidP="003B3906">
      <w:pPr>
        <w:tabs>
          <w:tab w:val="clear" w:pos="1440"/>
          <w:tab w:val="left" w:pos="0"/>
        </w:tabs>
        <w:spacing w:after="0"/>
      </w:pPr>
      <w:r>
        <w:tab/>
      </w:r>
      <w:r>
        <w:tab/>
      </w:r>
      <w:r w:rsidR="0020726A">
        <w:t>19</w:t>
      </w:r>
      <w:r>
        <w:t>.</w:t>
      </w:r>
      <w:r>
        <w:tab/>
      </w:r>
      <w:r w:rsidR="00FB07FB">
        <w:t xml:space="preserve">On April 2, 2013, Mr. Mandeville contacted PPL stating he was not receiving his bills, and on the same date PPL issued Mr. Mandeville a duplicate bill.  </w:t>
      </w:r>
      <w:r w:rsidR="00FB07FB">
        <w:rPr>
          <w:i/>
        </w:rPr>
        <w:t>Id.</w:t>
      </w:r>
    </w:p>
    <w:p w:rsidR="00FB07FB" w:rsidRDefault="00FB07FB" w:rsidP="003B3906">
      <w:pPr>
        <w:tabs>
          <w:tab w:val="clear" w:pos="1440"/>
          <w:tab w:val="left" w:pos="0"/>
        </w:tabs>
        <w:spacing w:after="0"/>
      </w:pPr>
    </w:p>
    <w:p w:rsidR="00FB07FB" w:rsidRDefault="00FB07FB" w:rsidP="003B3906">
      <w:pPr>
        <w:tabs>
          <w:tab w:val="clear" w:pos="1440"/>
          <w:tab w:val="left" w:pos="0"/>
        </w:tabs>
        <w:spacing w:after="0"/>
      </w:pPr>
      <w:r>
        <w:tab/>
      </w:r>
      <w:r>
        <w:tab/>
      </w:r>
      <w:r w:rsidR="0020726A">
        <w:t>20</w:t>
      </w:r>
      <w:r w:rsidR="00C37C0A">
        <w:t>.</w:t>
      </w:r>
      <w:r w:rsidR="00C37C0A">
        <w:tab/>
        <w:t>On April 22, 2013, Mr. Mandeville filed an informal complaint about his billing with the Commission’s Bureau of Consumer Services</w:t>
      </w:r>
      <w:r w:rsidR="008B5EE4">
        <w:t xml:space="preserve"> (BCS)</w:t>
      </w:r>
      <w:r w:rsidR="00185CDD">
        <w:t xml:space="preserve"> at BCS No</w:t>
      </w:r>
      <w:r w:rsidR="00C37C0A">
        <w:t xml:space="preserve">. </w:t>
      </w:r>
      <w:r w:rsidR="004535CB">
        <w:t xml:space="preserve">3087178. </w:t>
      </w:r>
      <w:r w:rsidR="00C37C0A">
        <w:t xml:space="preserve"> </w:t>
      </w:r>
      <w:r w:rsidR="00C37C0A">
        <w:rPr>
          <w:i/>
        </w:rPr>
        <w:t>Id.</w:t>
      </w:r>
    </w:p>
    <w:p w:rsidR="00C37C0A" w:rsidRDefault="00C37C0A" w:rsidP="003B3906">
      <w:pPr>
        <w:tabs>
          <w:tab w:val="clear" w:pos="1440"/>
          <w:tab w:val="left" w:pos="0"/>
        </w:tabs>
        <w:spacing w:after="0"/>
      </w:pPr>
    </w:p>
    <w:p w:rsidR="00C37C0A" w:rsidRPr="00C37C0A" w:rsidRDefault="00C37C0A" w:rsidP="003B3906">
      <w:pPr>
        <w:tabs>
          <w:tab w:val="clear" w:pos="1440"/>
          <w:tab w:val="left" w:pos="0"/>
        </w:tabs>
        <w:spacing w:after="0"/>
        <w:rPr>
          <w:i/>
        </w:rPr>
      </w:pPr>
      <w:r>
        <w:tab/>
      </w:r>
      <w:r>
        <w:tab/>
      </w:r>
      <w:r w:rsidR="00185CDD">
        <w:t>2</w:t>
      </w:r>
      <w:r w:rsidR="0020726A">
        <w:t>1</w:t>
      </w:r>
      <w:r>
        <w:t>.</w:t>
      </w:r>
      <w:r>
        <w:tab/>
        <w:t xml:space="preserve">On April 23, 2013, PPL informed Mr. Mandeville he should pay his current bill while his dispute was pending.  </w:t>
      </w:r>
      <w:r>
        <w:rPr>
          <w:i/>
        </w:rPr>
        <w:t>Id.</w:t>
      </w:r>
    </w:p>
    <w:p w:rsidR="00C37C0A" w:rsidRDefault="00C37C0A" w:rsidP="003B3906">
      <w:pPr>
        <w:tabs>
          <w:tab w:val="clear" w:pos="1440"/>
          <w:tab w:val="left" w:pos="0"/>
        </w:tabs>
        <w:spacing w:after="0"/>
      </w:pPr>
    </w:p>
    <w:p w:rsidR="008B5EE4" w:rsidRDefault="008B5EE4" w:rsidP="003B3906">
      <w:pPr>
        <w:tabs>
          <w:tab w:val="clear" w:pos="1440"/>
          <w:tab w:val="left" w:pos="0"/>
        </w:tabs>
        <w:spacing w:after="0"/>
      </w:pPr>
      <w:r>
        <w:tab/>
      </w:r>
      <w:r>
        <w:tab/>
        <w:t>2</w:t>
      </w:r>
      <w:r w:rsidR="0020726A">
        <w:t>2</w:t>
      </w:r>
      <w:r>
        <w:t>.</w:t>
      </w:r>
      <w:r>
        <w:tab/>
        <w:t xml:space="preserve">On July </w:t>
      </w:r>
      <w:r w:rsidR="00696CBC">
        <w:t>5</w:t>
      </w:r>
      <w:r>
        <w:t>, 2013, BCS dismissed Mr.</w:t>
      </w:r>
      <w:r w:rsidR="0020726A">
        <w:t xml:space="preserve"> Mandeville’s informal complaint </w:t>
      </w:r>
      <w:r w:rsidR="004535CB">
        <w:t xml:space="preserve">at BCS No. 3087178 </w:t>
      </w:r>
      <w:r w:rsidR="00E17FB6">
        <w:t>because he had not first contacted PPL to resolve his dispute</w:t>
      </w:r>
      <w:r>
        <w:t>.</w:t>
      </w:r>
      <w:r w:rsidR="00E17FB6">
        <w:t xml:space="preserve">  </w:t>
      </w:r>
      <w:r w:rsidR="00E17FB6">
        <w:rPr>
          <w:i/>
        </w:rPr>
        <w:t>Id.</w:t>
      </w:r>
    </w:p>
    <w:p w:rsidR="008B5EE4" w:rsidRDefault="008B5EE4" w:rsidP="003B3906">
      <w:pPr>
        <w:tabs>
          <w:tab w:val="clear" w:pos="1440"/>
          <w:tab w:val="left" w:pos="0"/>
        </w:tabs>
        <w:spacing w:after="0"/>
      </w:pPr>
    </w:p>
    <w:p w:rsidR="008B5EE4" w:rsidRDefault="008B5EE4" w:rsidP="003B3906">
      <w:pPr>
        <w:tabs>
          <w:tab w:val="clear" w:pos="1440"/>
          <w:tab w:val="left" w:pos="0"/>
        </w:tabs>
        <w:spacing w:after="0"/>
      </w:pPr>
      <w:r>
        <w:tab/>
      </w:r>
      <w:r>
        <w:tab/>
        <w:t>2</w:t>
      </w:r>
      <w:r w:rsidR="0020726A">
        <w:t>3</w:t>
      </w:r>
      <w:r>
        <w:t>.</w:t>
      </w:r>
      <w:r>
        <w:tab/>
        <w:t xml:space="preserve">On </w:t>
      </w:r>
      <w:r w:rsidR="00696CBC">
        <w:t xml:space="preserve">or about </w:t>
      </w:r>
      <w:r>
        <w:t>August 8, 2013, PPL issued Mr. Mandeville a 3-day termination notice</w:t>
      </w:r>
      <w:r w:rsidR="00841F85">
        <w:t xml:space="preserve"> for non-payment</w:t>
      </w:r>
      <w:r w:rsidR="00476816">
        <w:t xml:space="preserve"> </w:t>
      </w:r>
      <w:r w:rsidR="00176BAB">
        <w:t xml:space="preserve">of </w:t>
      </w:r>
      <w:r w:rsidR="00476816">
        <w:t>$9,842.21</w:t>
      </w:r>
      <w:r>
        <w:t>.</w:t>
      </w:r>
      <w:r w:rsidR="0020726A">
        <w:t xml:space="preserve"> </w:t>
      </w:r>
      <w:r w:rsidR="0033733E" w:rsidRPr="0033733E">
        <w:rPr>
          <w:i/>
        </w:rPr>
        <w:t xml:space="preserve"> </w:t>
      </w:r>
      <w:r w:rsidR="00841F85">
        <w:t>Exhibits 1A, 2B.</w:t>
      </w:r>
      <w:r w:rsidR="0033733E">
        <w:t xml:space="preserve">  </w:t>
      </w:r>
    </w:p>
    <w:p w:rsidR="00476816" w:rsidRDefault="00476816" w:rsidP="003B3906">
      <w:pPr>
        <w:tabs>
          <w:tab w:val="clear" w:pos="1440"/>
          <w:tab w:val="left" w:pos="0"/>
        </w:tabs>
        <w:spacing w:after="0"/>
      </w:pPr>
    </w:p>
    <w:p w:rsidR="00476816" w:rsidRDefault="00476816" w:rsidP="003B3906">
      <w:pPr>
        <w:tabs>
          <w:tab w:val="clear" w:pos="1440"/>
          <w:tab w:val="left" w:pos="0"/>
        </w:tabs>
        <w:spacing w:after="0"/>
      </w:pPr>
      <w:r>
        <w:tab/>
      </w:r>
      <w:r>
        <w:tab/>
        <w:t>24.</w:t>
      </w:r>
      <w:r>
        <w:tab/>
        <w:t>On August 9, 2013, Mr. Mandeville filed an informal complaint with BCS at BCS no. 3134487 in order to stop service termination.</w:t>
      </w:r>
      <w:r w:rsidR="00176BAB">
        <w:t xml:space="preserve">  Exhibit 2B.</w:t>
      </w:r>
      <w:bookmarkStart w:id="0" w:name="_GoBack"/>
      <w:bookmarkEnd w:id="0"/>
    </w:p>
    <w:p w:rsidR="008B5EE4" w:rsidRDefault="008B5EE4" w:rsidP="003B3906">
      <w:pPr>
        <w:tabs>
          <w:tab w:val="clear" w:pos="1440"/>
          <w:tab w:val="left" w:pos="0"/>
        </w:tabs>
        <w:spacing w:after="0"/>
      </w:pPr>
    </w:p>
    <w:p w:rsidR="008B5EE4" w:rsidRDefault="008B5EE4" w:rsidP="003B3906">
      <w:pPr>
        <w:tabs>
          <w:tab w:val="clear" w:pos="1440"/>
          <w:tab w:val="left" w:pos="0"/>
        </w:tabs>
        <w:spacing w:after="0"/>
      </w:pPr>
      <w:r>
        <w:lastRenderedPageBreak/>
        <w:tab/>
      </w:r>
      <w:r>
        <w:tab/>
        <w:t>2</w:t>
      </w:r>
      <w:r w:rsidR="00476816">
        <w:t>5</w:t>
      </w:r>
      <w:r>
        <w:t>.</w:t>
      </w:r>
      <w:r>
        <w:tab/>
        <w:t xml:space="preserve">On </w:t>
      </w:r>
      <w:r w:rsidR="00696CBC">
        <w:t xml:space="preserve">or about </w:t>
      </w:r>
      <w:r w:rsidR="00476816">
        <w:t>September 10</w:t>
      </w:r>
      <w:r>
        <w:t xml:space="preserve">, 2013, BCS </w:t>
      </w:r>
      <w:r w:rsidR="00476816">
        <w:t>dismissed</w:t>
      </w:r>
      <w:r>
        <w:t xml:space="preserve"> Mr. Mandeville</w:t>
      </w:r>
      <w:r w:rsidR="00476816">
        <w:t xml:space="preserve">’s informal complaint </w:t>
      </w:r>
      <w:r w:rsidR="004535CB">
        <w:t>at BCS No. 3134</w:t>
      </w:r>
      <w:r w:rsidR="00841F85">
        <w:t>48</w:t>
      </w:r>
      <w:r w:rsidR="004535CB">
        <w:t>7</w:t>
      </w:r>
      <w:r w:rsidR="00476816">
        <w:t xml:space="preserve"> because he had not first contacted PPL to resolve his dispute</w:t>
      </w:r>
      <w:r>
        <w:t>.</w:t>
      </w:r>
      <w:r w:rsidR="0020726A">
        <w:t xml:space="preserve"> </w:t>
      </w:r>
      <w:r w:rsidR="0033733E">
        <w:t xml:space="preserve"> </w:t>
      </w:r>
      <w:r w:rsidR="00841F85">
        <w:t>Exhibit 2B.</w:t>
      </w:r>
      <w:r w:rsidR="0033733E">
        <w:t xml:space="preserve"> </w:t>
      </w:r>
    </w:p>
    <w:p w:rsidR="008B5EE4" w:rsidRDefault="008B5EE4" w:rsidP="003B3906">
      <w:pPr>
        <w:tabs>
          <w:tab w:val="clear" w:pos="1440"/>
          <w:tab w:val="left" w:pos="0"/>
        </w:tabs>
        <w:spacing w:after="0"/>
      </w:pPr>
    </w:p>
    <w:p w:rsidR="00504CDB" w:rsidRDefault="00344659" w:rsidP="003B3906">
      <w:pPr>
        <w:tabs>
          <w:tab w:val="clear" w:pos="1440"/>
          <w:tab w:val="left" w:pos="0"/>
        </w:tabs>
        <w:spacing w:after="0"/>
      </w:pPr>
      <w:r>
        <w:tab/>
      </w:r>
      <w:r>
        <w:tab/>
        <w:t>2</w:t>
      </w:r>
      <w:r w:rsidR="00725D73">
        <w:t>6</w:t>
      </w:r>
      <w:r>
        <w:t>.</w:t>
      </w:r>
      <w:r>
        <w:tab/>
        <w:t>On November 2, 2013, PPL issued Mr. Mandeville a 3-day termination notice</w:t>
      </w:r>
      <w:r w:rsidR="00841F85">
        <w:t xml:space="preserve"> for non-payment</w:t>
      </w:r>
      <w:r w:rsidR="00725D73">
        <w:t xml:space="preserve"> of $10,051.75</w:t>
      </w:r>
      <w:r w:rsidR="00504CDB">
        <w:t>, after which service was terminated</w:t>
      </w:r>
      <w:r w:rsidR="00725D73">
        <w:t xml:space="preserve"> November 12, 2013</w:t>
      </w:r>
      <w:r w:rsidR="00504CDB">
        <w:t>.</w:t>
      </w:r>
      <w:r w:rsidR="0033733E">
        <w:t xml:space="preserve">  </w:t>
      </w:r>
      <w:r w:rsidR="00841F85">
        <w:t>Exhibits 1A, 2B.</w:t>
      </w:r>
    </w:p>
    <w:p w:rsidR="00504CDB" w:rsidRDefault="00504CDB" w:rsidP="003B3906">
      <w:pPr>
        <w:tabs>
          <w:tab w:val="clear" w:pos="1440"/>
          <w:tab w:val="left" w:pos="0"/>
        </w:tabs>
        <w:spacing w:after="0"/>
      </w:pPr>
    </w:p>
    <w:p w:rsidR="00EC67E9" w:rsidRDefault="00504CDB" w:rsidP="003B3906">
      <w:pPr>
        <w:tabs>
          <w:tab w:val="clear" w:pos="1440"/>
          <w:tab w:val="left" w:pos="0"/>
        </w:tabs>
        <w:spacing w:after="0"/>
      </w:pPr>
      <w:r>
        <w:tab/>
      </w:r>
      <w:r>
        <w:tab/>
      </w:r>
      <w:r w:rsidR="00EC67E9">
        <w:t>2</w:t>
      </w:r>
      <w:r w:rsidR="00725D73">
        <w:t>7</w:t>
      </w:r>
      <w:r w:rsidR="00EC67E9">
        <w:t>.</w:t>
      </w:r>
      <w:r w:rsidR="00EC67E9">
        <w:tab/>
        <w:t xml:space="preserve">On November 18, 2013, PPL offered Mr. Mandeville a payment </w:t>
      </w:r>
      <w:r w:rsidR="0011458B">
        <w:t xml:space="preserve">arrangement </w:t>
      </w:r>
      <w:r w:rsidR="00EC67E9">
        <w:t>to restore service under which he was required to pay $428.00 on November 22, 2013 and thereafter installments in the amount of $428 monthly.</w:t>
      </w:r>
      <w:r w:rsidR="0033733E" w:rsidRPr="0033733E">
        <w:rPr>
          <w:i/>
        </w:rPr>
        <w:t xml:space="preserve"> </w:t>
      </w:r>
      <w:r w:rsidR="00E72E1E">
        <w:rPr>
          <w:i/>
        </w:rPr>
        <w:t xml:space="preserve"> </w:t>
      </w:r>
      <w:r w:rsidR="00841F85">
        <w:t>Exhibit 2B.</w:t>
      </w:r>
    </w:p>
    <w:p w:rsidR="00EC67E9" w:rsidRDefault="00EC67E9" w:rsidP="003B3906">
      <w:pPr>
        <w:tabs>
          <w:tab w:val="clear" w:pos="1440"/>
          <w:tab w:val="left" w:pos="0"/>
        </w:tabs>
        <w:spacing w:after="0"/>
      </w:pPr>
    </w:p>
    <w:p w:rsidR="001E0D0D" w:rsidRDefault="00EC67E9" w:rsidP="003B3906">
      <w:pPr>
        <w:tabs>
          <w:tab w:val="clear" w:pos="1440"/>
          <w:tab w:val="left" w:pos="0"/>
        </w:tabs>
        <w:spacing w:after="0"/>
      </w:pPr>
      <w:r>
        <w:tab/>
      </w:r>
      <w:r>
        <w:tab/>
        <w:t>2</w:t>
      </w:r>
      <w:r w:rsidR="005A0E2B">
        <w:t>8</w:t>
      </w:r>
      <w:r>
        <w:t>.</w:t>
      </w:r>
      <w:r>
        <w:tab/>
      </w:r>
      <w:r w:rsidR="004D63CE">
        <w:t>On November 18, 2013, PPL offered to restore Mr. Mandeville’s service under a payment a</w:t>
      </w:r>
      <w:r w:rsidR="0011458B">
        <w:t xml:space="preserve">rrangement </w:t>
      </w:r>
      <w:r w:rsidR="004D63CE">
        <w:t>the terms of which included the $8,747.77 in charges that were transferred to his account on November 12, 2012.  Exhibits 1A, 2B.</w:t>
      </w:r>
    </w:p>
    <w:p w:rsidR="001E0D0D" w:rsidRDefault="001E0D0D" w:rsidP="003B3906">
      <w:pPr>
        <w:tabs>
          <w:tab w:val="clear" w:pos="1440"/>
          <w:tab w:val="left" w:pos="0"/>
        </w:tabs>
        <w:spacing w:after="0"/>
      </w:pPr>
    </w:p>
    <w:p w:rsidR="00EC67E9" w:rsidRDefault="004D63CE" w:rsidP="003B3906">
      <w:pPr>
        <w:tabs>
          <w:tab w:val="clear" w:pos="1440"/>
          <w:tab w:val="left" w:pos="0"/>
        </w:tabs>
        <w:spacing w:after="0"/>
      </w:pPr>
      <w:r>
        <w:tab/>
      </w:r>
      <w:r>
        <w:tab/>
        <w:t>2</w:t>
      </w:r>
      <w:r w:rsidR="005A0E2B">
        <w:t>9</w:t>
      </w:r>
      <w:r>
        <w:t>.</w:t>
      </w:r>
      <w:r>
        <w:tab/>
      </w:r>
      <w:r w:rsidR="00EC67E9">
        <w:t>On November 18, 2013, Mr. Mandeville filed an informal complaint with BCS at BCS No. 3173615</w:t>
      </w:r>
      <w:r w:rsidR="005A0E2B">
        <w:t xml:space="preserve"> seeking a payment arrangement</w:t>
      </w:r>
      <w:r w:rsidR="00EC67E9">
        <w:t>.</w:t>
      </w:r>
      <w:r w:rsidR="0033733E">
        <w:t xml:space="preserve"> </w:t>
      </w:r>
      <w:r w:rsidR="00867AC1">
        <w:t xml:space="preserve"> </w:t>
      </w:r>
      <w:r w:rsidR="0033733E">
        <w:rPr>
          <w:i/>
        </w:rPr>
        <w:t>Id.</w:t>
      </w:r>
      <w:r w:rsidR="0033733E">
        <w:t xml:space="preserve"> </w:t>
      </w:r>
    </w:p>
    <w:p w:rsidR="00EC67E9" w:rsidRDefault="00EC67E9" w:rsidP="003B3906">
      <w:pPr>
        <w:tabs>
          <w:tab w:val="clear" w:pos="1440"/>
          <w:tab w:val="left" w:pos="0"/>
        </w:tabs>
        <w:spacing w:after="0"/>
      </w:pPr>
    </w:p>
    <w:p w:rsidR="00EC67E9" w:rsidRDefault="00291FF7" w:rsidP="003B3906">
      <w:pPr>
        <w:tabs>
          <w:tab w:val="clear" w:pos="1440"/>
          <w:tab w:val="left" w:pos="0"/>
        </w:tabs>
        <w:spacing w:after="0"/>
      </w:pPr>
      <w:r>
        <w:tab/>
      </w:r>
      <w:r>
        <w:tab/>
        <w:t>30</w:t>
      </w:r>
      <w:r w:rsidR="00EC67E9">
        <w:t>.</w:t>
      </w:r>
      <w:r w:rsidR="00EC67E9">
        <w:tab/>
      </w:r>
      <w:r w:rsidR="004E03D9">
        <w:t>On November 20, 2013, BCS closed Mr. Mandeville’s informal complaint at BCS No. 3173615, directing him to pay $428.00 to PPL to restore electric service</w:t>
      </w:r>
      <w:r>
        <w:t xml:space="preserve"> and informing him that bills were being sent to the service address each month</w:t>
      </w:r>
      <w:r w:rsidR="004E03D9">
        <w:t>.</w:t>
      </w:r>
      <w:r w:rsidR="0033733E" w:rsidRPr="0033733E">
        <w:rPr>
          <w:i/>
        </w:rPr>
        <w:t xml:space="preserve"> </w:t>
      </w:r>
      <w:r w:rsidR="00E72E1E">
        <w:rPr>
          <w:i/>
        </w:rPr>
        <w:t xml:space="preserve"> </w:t>
      </w:r>
      <w:r w:rsidR="0033733E">
        <w:rPr>
          <w:i/>
        </w:rPr>
        <w:t>Id.</w:t>
      </w:r>
      <w:r w:rsidR="0033733E">
        <w:t xml:space="preserve">  </w:t>
      </w:r>
    </w:p>
    <w:p w:rsidR="004E03D9" w:rsidRDefault="004E03D9" w:rsidP="003B3906">
      <w:pPr>
        <w:tabs>
          <w:tab w:val="clear" w:pos="1440"/>
          <w:tab w:val="left" w:pos="0"/>
        </w:tabs>
        <w:spacing w:after="0"/>
      </w:pPr>
    </w:p>
    <w:p w:rsidR="004E03D9" w:rsidRDefault="004E03D9" w:rsidP="003B3906">
      <w:pPr>
        <w:tabs>
          <w:tab w:val="clear" w:pos="1440"/>
          <w:tab w:val="left" w:pos="0"/>
        </w:tabs>
        <w:spacing w:after="0"/>
      </w:pPr>
      <w:r>
        <w:tab/>
      </w:r>
      <w:r>
        <w:tab/>
      </w:r>
      <w:r w:rsidR="00291FF7">
        <w:t>31</w:t>
      </w:r>
      <w:r>
        <w:t>.</w:t>
      </w:r>
      <w:r>
        <w:tab/>
        <w:t xml:space="preserve">On December 9, 2013, the Montour County Public Assistance Office </w:t>
      </w:r>
      <w:r w:rsidR="00F8182F">
        <w:t>authorized for Mr. Mandeville a LIHEAP grant and CRISIS grant in the amounts of $257.00 and $171.00, respectively.</w:t>
      </w:r>
      <w:r w:rsidR="00E72E1E">
        <w:t xml:space="preserve"> </w:t>
      </w:r>
      <w:r w:rsidR="0033733E" w:rsidRPr="0033733E">
        <w:rPr>
          <w:i/>
        </w:rPr>
        <w:t xml:space="preserve"> </w:t>
      </w:r>
      <w:r w:rsidR="0033733E">
        <w:rPr>
          <w:i/>
        </w:rPr>
        <w:t>Id.</w:t>
      </w:r>
    </w:p>
    <w:p w:rsidR="00F8182F" w:rsidRDefault="00F8182F" w:rsidP="003B3906">
      <w:pPr>
        <w:tabs>
          <w:tab w:val="clear" w:pos="1440"/>
          <w:tab w:val="left" w:pos="0"/>
        </w:tabs>
        <w:spacing w:after="0"/>
      </w:pPr>
    </w:p>
    <w:p w:rsidR="00F8182F" w:rsidRDefault="00F8182F" w:rsidP="003B3906">
      <w:pPr>
        <w:tabs>
          <w:tab w:val="clear" w:pos="1440"/>
          <w:tab w:val="left" w:pos="0"/>
        </w:tabs>
        <w:spacing w:after="0"/>
      </w:pPr>
      <w:r>
        <w:tab/>
      </w:r>
      <w:r>
        <w:tab/>
      </w:r>
      <w:r w:rsidR="00841F85">
        <w:t>3</w:t>
      </w:r>
      <w:r w:rsidR="00291FF7">
        <w:t>2</w:t>
      </w:r>
      <w:r>
        <w:t>.</w:t>
      </w:r>
      <w:r>
        <w:tab/>
        <w:t>On December 9, 2013, PPL reconnected Mr. Mandeville’s electric service.</w:t>
      </w:r>
      <w:r w:rsidR="00841F85">
        <w:t xml:space="preserve"> </w:t>
      </w:r>
      <w:r w:rsidR="00841F85">
        <w:rPr>
          <w:i/>
        </w:rPr>
        <w:t>Id.</w:t>
      </w:r>
      <w:r w:rsidR="00841F85">
        <w:t xml:space="preserve"> </w:t>
      </w:r>
    </w:p>
    <w:p w:rsidR="00F8182F" w:rsidRDefault="00F8182F" w:rsidP="003B3906">
      <w:pPr>
        <w:tabs>
          <w:tab w:val="clear" w:pos="1440"/>
          <w:tab w:val="left" w:pos="0"/>
        </w:tabs>
        <w:spacing w:after="0"/>
      </w:pPr>
    </w:p>
    <w:p w:rsidR="00867AC1" w:rsidRDefault="00F8182F" w:rsidP="00867AC1">
      <w:pPr>
        <w:tabs>
          <w:tab w:val="clear" w:pos="1440"/>
          <w:tab w:val="left" w:pos="0"/>
        </w:tabs>
        <w:spacing w:after="0"/>
      </w:pPr>
      <w:r>
        <w:lastRenderedPageBreak/>
        <w:tab/>
      </w:r>
      <w:r>
        <w:tab/>
      </w:r>
      <w:r w:rsidR="004535CB">
        <w:t>3</w:t>
      </w:r>
      <w:r w:rsidR="00291FF7">
        <w:t>3</w:t>
      </w:r>
      <w:r>
        <w:t>.</w:t>
      </w:r>
      <w:r>
        <w:tab/>
        <w:t xml:space="preserve">On January 2, 2014, PPL applied </w:t>
      </w:r>
      <w:r w:rsidR="009F309E">
        <w:t>to Mr. Mandeville’s account, his LIHEAP grant, $257.00 and CRISIS grant, $171.00</w:t>
      </w:r>
      <w:r w:rsidR="00802860">
        <w:t>, thereby reducing his account balance to $9,917.38</w:t>
      </w:r>
      <w:r w:rsidR="00867AC1">
        <w:t>.  Exhibits 1A, 2B.</w:t>
      </w:r>
    </w:p>
    <w:p w:rsidR="00802860" w:rsidRDefault="00802860" w:rsidP="003B3906">
      <w:pPr>
        <w:tabs>
          <w:tab w:val="clear" w:pos="1440"/>
          <w:tab w:val="left" w:pos="0"/>
        </w:tabs>
        <w:spacing w:after="0"/>
      </w:pPr>
    </w:p>
    <w:p w:rsidR="00802860" w:rsidRDefault="00802860" w:rsidP="003B3906">
      <w:pPr>
        <w:tabs>
          <w:tab w:val="clear" w:pos="1440"/>
          <w:tab w:val="left" w:pos="0"/>
        </w:tabs>
        <w:spacing w:after="0"/>
      </w:pPr>
      <w:r>
        <w:tab/>
      </w:r>
      <w:r>
        <w:tab/>
        <w:t>3</w:t>
      </w:r>
      <w:r w:rsidR="00291FF7">
        <w:t>4</w:t>
      </w:r>
      <w:r>
        <w:t>.</w:t>
      </w:r>
      <w:r>
        <w:tab/>
        <w:t>Mr. Mandeville’s monthly electric bill</w:t>
      </w:r>
      <w:r w:rsidR="00821396">
        <w:t>ing</w:t>
      </w:r>
      <w:r>
        <w:t>s between January and May 2014 ranged from a high of $198.36 (February’s bill) to a low of $39.83 (May’s bill).</w:t>
      </w:r>
      <w:r w:rsidR="00EF6800">
        <w:t xml:space="preserve"> </w:t>
      </w:r>
      <w:r w:rsidR="0033733E">
        <w:t xml:space="preserve"> </w:t>
      </w:r>
      <w:r w:rsidR="00867AC1">
        <w:t>Exhibit 1A.</w:t>
      </w:r>
      <w:r w:rsidR="0033733E">
        <w:t xml:space="preserve"> </w:t>
      </w:r>
    </w:p>
    <w:p w:rsidR="004535CB" w:rsidRDefault="004535CB" w:rsidP="004535CB">
      <w:pPr>
        <w:tabs>
          <w:tab w:val="clear" w:pos="1440"/>
          <w:tab w:val="left" w:pos="0"/>
        </w:tabs>
        <w:spacing w:after="0"/>
      </w:pPr>
    </w:p>
    <w:p w:rsidR="004535CB" w:rsidRPr="00D340C5" w:rsidRDefault="004535CB" w:rsidP="004535CB">
      <w:pPr>
        <w:tabs>
          <w:tab w:val="clear" w:pos="1440"/>
          <w:tab w:val="left" w:pos="0"/>
        </w:tabs>
        <w:spacing w:after="0"/>
        <w:rPr>
          <w:i/>
        </w:rPr>
      </w:pPr>
      <w:r>
        <w:tab/>
      </w:r>
      <w:r>
        <w:tab/>
        <w:t>3</w:t>
      </w:r>
      <w:r w:rsidR="00B93E13">
        <w:t>5</w:t>
      </w:r>
      <w:r>
        <w:t>.</w:t>
      </w:r>
      <w:r>
        <w:tab/>
        <w:t xml:space="preserve">Mr. Mandeville did not pay any of his monthly electric billings from January 2014 to </w:t>
      </w:r>
      <w:r w:rsidR="00D340C5">
        <w:t>April 2014</w:t>
      </w:r>
      <w:r>
        <w:t xml:space="preserve">.  </w:t>
      </w:r>
      <w:r w:rsidR="00FE510F">
        <w:t>Exhibit 2B</w:t>
      </w:r>
      <w:r w:rsidR="00D340C5">
        <w:rPr>
          <w:i/>
        </w:rPr>
        <w:t>.</w:t>
      </w:r>
    </w:p>
    <w:p w:rsidR="00802860" w:rsidRDefault="00802860" w:rsidP="003B3906">
      <w:pPr>
        <w:tabs>
          <w:tab w:val="clear" w:pos="1440"/>
          <w:tab w:val="left" w:pos="0"/>
        </w:tabs>
        <w:spacing w:after="0"/>
      </w:pPr>
    </w:p>
    <w:p w:rsidR="00802860" w:rsidRDefault="00802860" w:rsidP="003B3906">
      <w:pPr>
        <w:tabs>
          <w:tab w:val="clear" w:pos="1440"/>
          <w:tab w:val="left" w:pos="0"/>
        </w:tabs>
        <w:spacing w:after="0"/>
      </w:pPr>
      <w:r>
        <w:tab/>
      </w:r>
      <w:r>
        <w:tab/>
      </w:r>
      <w:r w:rsidR="00F90786">
        <w:t>3</w:t>
      </w:r>
      <w:r w:rsidR="00B93E13">
        <w:t>6</w:t>
      </w:r>
      <w:r w:rsidR="00F90786">
        <w:t>.</w:t>
      </w:r>
      <w:r w:rsidR="00F90786">
        <w:tab/>
      </w:r>
      <w:r w:rsidR="00B93E13">
        <w:t xml:space="preserve">On </w:t>
      </w:r>
      <w:r w:rsidR="00F90786">
        <w:t>April</w:t>
      </w:r>
      <w:r w:rsidR="00B93E13">
        <w:t xml:space="preserve"> 15,</w:t>
      </w:r>
      <w:r w:rsidR="00F90786">
        <w:t xml:space="preserve"> 2014, Mr. Mandeville’s service was terminated for non-payment</w:t>
      </w:r>
      <w:r w:rsidR="00784586">
        <w:t xml:space="preserve">, after which Mr. Mandeville filed an informal complaint </w:t>
      </w:r>
      <w:r w:rsidR="00335EE4">
        <w:t xml:space="preserve">on April 18 2014, </w:t>
      </w:r>
      <w:r w:rsidR="00784586">
        <w:t>with BCS</w:t>
      </w:r>
      <w:r w:rsidR="00335EE4">
        <w:t xml:space="preserve"> at BCS No. 3225098</w:t>
      </w:r>
      <w:r w:rsidR="00F90786">
        <w:t>.</w:t>
      </w:r>
      <w:r w:rsidR="0033733E">
        <w:t xml:space="preserve"> </w:t>
      </w:r>
      <w:r w:rsidR="00FE510F">
        <w:t xml:space="preserve"> </w:t>
      </w:r>
      <w:r w:rsidR="0033733E">
        <w:rPr>
          <w:i/>
        </w:rPr>
        <w:t>Id.</w:t>
      </w:r>
      <w:r w:rsidR="0033733E">
        <w:t xml:space="preserve"> </w:t>
      </w:r>
    </w:p>
    <w:p w:rsidR="00F90786" w:rsidRDefault="00F90786" w:rsidP="003B3906">
      <w:pPr>
        <w:tabs>
          <w:tab w:val="clear" w:pos="1440"/>
          <w:tab w:val="left" w:pos="0"/>
        </w:tabs>
        <w:spacing w:after="0"/>
      </w:pPr>
    </w:p>
    <w:p w:rsidR="00784586" w:rsidRPr="00C34439" w:rsidRDefault="004535CB" w:rsidP="00C34439">
      <w:pPr>
        <w:pStyle w:val="FootnoteText"/>
        <w:spacing w:after="0" w:line="360" w:lineRule="auto"/>
        <w:rPr>
          <w:caps/>
          <w:sz w:val="24"/>
          <w:szCs w:val="24"/>
        </w:rPr>
      </w:pPr>
      <w:r>
        <w:tab/>
      </w:r>
      <w:r w:rsidR="00821396">
        <w:tab/>
      </w:r>
      <w:r w:rsidR="00821396" w:rsidRPr="00C665A0">
        <w:rPr>
          <w:sz w:val="24"/>
          <w:szCs w:val="24"/>
        </w:rPr>
        <w:t>3</w:t>
      </w:r>
      <w:r w:rsidR="00B93E13">
        <w:rPr>
          <w:sz w:val="24"/>
          <w:szCs w:val="24"/>
        </w:rPr>
        <w:t>7</w:t>
      </w:r>
      <w:r w:rsidR="00821396" w:rsidRPr="00C665A0">
        <w:rPr>
          <w:sz w:val="24"/>
          <w:szCs w:val="24"/>
        </w:rPr>
        <w:t>.</w:t>
      </w:r>
      <w:r w:rsidR="00821396" w:rsidRPr="00C665A0">
        <w:rPr>
          <w:sz w:val="24"/>
          <w:szCs w:val="24"/>
        </w:rPr>
        <w:tab/>
      </w:r>
      <w:r w:rsidR="00784586" w:rsidRPr="00C665A0">
        <w:rPr>
          <w:sz w:val="24"/>
          <w:szCs w:val="24"/>
        </w:rPr>
        <w:t xml:space="preserve">On April 24, 2014, BCS </w:t>
      </w:r>
      <w:r w:rsidR="00335EE4">
        <w:rPr>
          <w:sz w:val="24"/>
          <w:szCs w:val="24"/>
        </w:rPr>
        <w:t xml:space="preserve">at BCS </w:t>
      </w:r>
      <w:r w:rsidR="003433E7">
        <w:rPr>
          <w:sz w:val="24"/>
          <w:szCs w:val="24"/>
        </w:rPr>
        <w:t>No.</w:t>
      </w:r>
      <w:r w:rsidR="00335EE4">
        <w:rPr>
          <w:sz w:val="24"/>
          <w:szCs w:val="24"/>
        </w:rPr>
        <w:t xml:space="preserve"> 3225098 </w:t>
      </w:r>
      <w:r w:rsidR="00784586" w:rsidRPr="00C665A0">
        <w:rPr>
          <w:sz w:val="24"/>
          <w:szCs w:val="24"/>
        </w:rPr>
        <w:t>dismissed Mr.</w:t>
      </w:r>
      <w:r w:rsidR="00335EE4">
        <w:rPr>
          <w:sz w:val="24"/>
          <w:szCs w:val="24"/>
        </w:rPr>
        <w:t> </w:t>
      </w:r>
      <w:r w:rsidR="00784586" w:rsidRPr="00C665A0">
        <w:rPr>
          <w:sz w:val="24"/>
          <w:szCs w:val="24"/>
        </w:rPr>
        <w:t xml:space="preserve">Mandeville’s informal complaint alleging incorrect billing charges </w:t>
      </w:r>
      <w:r w:rsidR="00C34439">
        <w:rPr>
          <w:sz w:val="24"/>
          <w:szCs w:val="24"/>
        </w:rPr>
        <w:t>and denied his request for another payment a</w:t>
      </w:r>
      <w:r w:rsidR="00904F36">
        <w:rPr>
          <w:sz w:val="24"/>
          <w:szCs w:val="24"/>
        </w:rPr>
        <w:t>rrangement</w:t>
      </w:r>
      <w:r w:rsidR="00335EE4">
        <w:rPr>
          <w:sz w:val="24"/>
          <w:szCs w:val="24"/>
        </w:rPr>
        <w:t xml:space="preserve"> because he had defaulted on a prior BCS payment agreement for an account balance of $7,587.65 at BCS No. 2068323.  This docket was closed on December 4, 2006</w:t>
      </w:r>
      <w:r w:rsidR="00C34439">
        <w:rPr>
          <w:sz w:val="24"/>
          <w:szCs w:val="24"/>
        </w:rPr>
        <w:t>.</w:t>
      </w:r>
      <w:r w:rsidR="00EF6800">
        <w:rPr>
          <w:sz w:val="24"/>
          <w:szCs w:val="24"/>
        </w:rPr>
        <w:t xml:space="preserve"> </w:t>
      </w:r>
      <w:r w:rsidR="00C34439">
        <w:rPr>
          <w:sz w:val="24"/>
          <w:szCs w:val="24"/>
        </w:rPr>
        <w:t xml:space="preserve"> </w:t>
      </w:r>
      <w:r w:rsidR="00C34439">
        <w:rPr>
          <w:i/>
          <w:sz w:val="24"/>
          <w:szCs w:val="24"/>
        </w:rPr>
        <w:t>Id.</w:t>
      </w:r>
    </w:p>
    <w:p w:rsidR="00784586" w:rsidRDefault="00784586" w:rsidP="00C665A0">
      <w:pPr>
        <w:tabs>
          <w:tab w:val="clear" w:pos="1440"/>
          <w:tab w:val="left" w:pos="0"/>
        </w:tabs>
        <w:spacing w:after="0"/>
        <w:rPr>
          <w:szCs w:val="24"/>
        </w:rPr>
      </w:pPr>
    </w:p>
    <w:p w:rsidR="00821396" w:rsidRDefault="00C34439" w:rsidP="003B3906">
      <w:pPr>
        <w:tabs>
          <w:tab w:val="clear" w:pos="1440"/>
          <w:tab w:val="left" w:pos="0"/>
        </w:tabs>
        <w:spacing w:after="0"/>
      </w:pPr>
      <w:r>
        <w:rPr>
          <w:szCs w:val="24"/>
        </w:rPr>
        <w:tab/>
      </w:r>
      <w:r>
        <w:rPr>
          <w:szCs w:val="24"/>
        </w:rPr>
        <w:tab/>
        <w:t>3</w:t>
      </w:r>
      <w:r w:rsidR="00B93E13">
        <w:rPr>
          <w:szCs w:val="24"/>
        </w:rPr>
        <w:t>8</w:t>
      </w:r>
      <w:r>
        <w:rPr>
          <w:szCs w:val="24"/>
        </w:rPr>
        <w:t>.</w:t>
      </w:r>
      <w:r>
        <w:rPr>
          <w:szCs w:val="24"/>
        </w:rPr>
        <w:tab/>
      </w:r>
      <w:r w:rsidR="00821396">
        <w:t>On December 5, 2014, PPL reconnected Mr. Mandeville’s electric service.</w:t>
      </w:r>
      <w:r w:rsidR="0033733E" w:rsidRPr="0033733E">
        <w:rPr>
          <w:i/>
        </w:rPr>
        <w:t xml:space="preserve"> </w:t>
      </w:r>
      <w:r w:rsidR="0033733E">
        <w:rPr>
          <w:i/>
        </w:rPr>
        <w:t>Id.</w:t>
      </w:r>
      <w:r w:rsidR="0033733E">
        <w:t xml:space="preserve">  </w:t>
      </w:r>
    </w:p>
    <w:p w:rsidR="00821396" w:rsidRDefault="00821396" w:rsidP="003B3906">
      <w:pPr>
        <w:tabs>
          <w:tab w:val="clear" w:pos="1440"/>
          <w:tab w:val="left" w:pos="0"/>
        </w:tabs>
        <w:spacing w:after="0"/>
      </w:pPr>
    </w:p>
    <w:p w:rsidR="00772D5B" w:rsidRDefault="00772D5B" w:rsidP="003B3906">
      <w:pPr>
        <w:tabs>
          <w:tab w:val="clear" w:pos="1440"/>
          <w:tab w:val="left" w:pos="0"/>
        </w:tabs>
        <w:spacing w:after="0"/>
      </w:pPr>
      <w:r>
        <w:tab/>
      </w:r>
      <w:r>
        <w:tab/>
        <w:t>3</w:t>
      </w:r>
      <w:r w:rsidR="00B93E13">
        <w:t>9</w:t>
      </w:r>
      <w:r>
        <w:t>.</w:t>
      </w:r>
      <w:r>
        <w:tab/>
      </w:r>
      <w:r w:rsidR="0019767C">
        <w:t xml:space="preserve">On February 4, </w:t>
      </w:r>
      <w:r w:rsidR="00477EB8">
        <w:t>2015</w:t>
      </w:r>
      <w:r>
        <w:t>, Mr. Mandeville paid $</w:t>
      </w:r>
      <w:r w:rsidR="00F478C0">
        <w:t>500</w:t>
      </w:r>
      <w:r>
        <w:t>.00 to maintain his service.</w:t>
      </w:r>
      <w:r w:rsidR="00477EB8">
        <w:t xml:space="preserve">  Tr. </w:t>
      </w:r>
      <w:r w:rsidR="00F478C0">
        <w:t>41</w:t>
      </w:r>
      <w:r w:rsidR="00477EB8">
        <w:t>.</w:t>
      </w:r>
    </w:p>
    <w:p w:rsidR="00772D5B" w:rsidRDefault="00772D5B" w:rsidP="003B3906">
      <w:pPr>
        <w:tabs>
          <w:tab w:val="clear" w:pos="1440"/>
          <w:tab w:val="left" w:pos="0"/>
        </w:tabs>
        <w:spacing w:after="0"/>
      </w:pPr>
      <w:r>
        <w:t xml:space="preserve"> </w:t>
      </w:r>
      <w:r>
        <w:tab/>
      </w:r>
    </w:p>
    <w:p w:rsidR="00772D5B" w:rsidRDefault="00821396" w:rsidP="003B3906">
      <w:pPr>
        <w:tabs>
          <w:tab w:val="clear" w:pos="1440"/>
          <w:tab w:val="left" w:pos="0"/>
        </w:tabs>
        <w:spacing w:after="0"/>
      </w:pPr>
      <w:r>
        <w:tab/>
      </w:r>
      <w:r>
        <w:tab/>
      </w:r>
      <w:r w:rsidR="00B93E13">
        <w:t>40</w:t>
      </w:r>
      <w:r w:rsidR="0033733E">
        <w:t>.</w:t>
      </w:r>
      <w:r w:rsidR="0033733E">
        <w:tab/>
      </w:r>
      <w:r w:rsidR="00477EB8">
        <w:t>After making a payment of $</w:t>
      </w:r>
      <w:r w:rsidR="00F478C0">
        <w:t>500</w:t>
      </w:r>
      <w:r w:rsidR="00477EB8">
        <w:t>.00 in early 2015</w:t>
      </w:r>
      <w:r w:rsidR="00772D5B">
        <w:t>, Mr. Mandeville again became delinquent in paying his bill</w:t>
      </w:r>
      <w:r w:rsidR="00477EB8">
        <w:t>,</w:t>
      </w:r>
      <w:r w:rsidR="00772D5B">
        <w:t xml:space="preserve"> and service was terminated on August 2</w:t>
      </w:r>
      <w:r w:rsidR="00477EB8">
        <w:t>5</w:t>
      </w:r>
      <w:r w:rsidR="00772D5B">
        <w:t xml:space="preserve">, 2015.  Tr. </w:t>
      </w:r>
      <w:r w:rsidR="00F478C0">
        <w:t>29, 41</w:t>
      </w:r>
      <w:r w:rsidR="00772D5B">
        <w:t>.</w:t>
      </w:r>
    </w:p>
    <w:p w:rsidR="00772D5B" w:rsidRDefault="00772D5B" w:rsidP="003B3906">
      <w:pPr>
        <w:tabs>
          <w:tab w:val="clear" w:pos="1440"/>
          <w:tab w:val="left" w:pos="0"/>
        </w:tabs>
        <w:spacing w:after="0"/>
      </w:pPr>
    </w:p>
    <w:p w:rsidR="003A7AB5" w:rsidRDefault="00772D5B" w:rsidP="003B3906">
      <w:pPr>
        <w:tabs>
          <w:tab w:val="clear" w:pos="1440"/>
          <w:tab w:val="left" w:pos="0"/>
        </w:tabs>
        <w:spacing w:after="0"/>
      </w:pPr>
      <w:r>
        <w:tab/>
      </w:r>
      <w:r>
        <w:tab/>
      </w:r>
      <w:r w:rsidR="004D63CE">
        <w:t>4</w:t>
      </w:r>
      <w:r w:rsidR="00B93E13">
        <w:t>1</w:t>
      </w:r>
      <w:r>
        <w:t>.</w:t>
      </w:r>
      <w:r>
        <w:tab/>
      </w:r>
      <w:r w:rsidR="00500A0A">
        <w:t xml:space="preserve">At the time of the hearing, Mr. Mandeville’s electric service was off and his account balance was </w:t>
      </w:r>
      <w:r w:rsidR="008A5CE2">
        <w:t xml:space="preserve">$10,022.15.  Tr. </w:t>
      </w:r>
      <w:r w:rsidR="00477EB8">
        <w:t xml:space="preserve">29, </w:t>
      </w:r>
      <w:r w:rsidR="008A5CE2">
        <w:t>37.</w:t>
      </w:r>
    </w:p>
    <w:p w:rsidR="003433E7" w:rsidRDefault="003433E7" w:rsidP="003B3906">
      <w:pPr>
        <w:tabs>
          <w:tab w:val="clear" w:pos="1440"/>
          <w:tab w:val="left" w:pos="0"/>
        </w:tabs>
        <w:spacing w:after="0"/>
      </w:pPr>
    </w:p>
    <w:p w:rsidR="00BF2A91" w:rsidRPr="00BF2A91" w:rsidRDefault="00BF2A91" w:rsidP="00BF2A91">
      <w:pPr>
        <w:tabs>
          <w:tab w:val="clear" w:pos="1440"/>
        </w:tabs>
        <w:autoSpaceDE w:val="0"/>
        <w:autoSpaceDN w:val="0"/>
        <w:spacing w:after="0"/>
        <w:jc w:val="center"/>
        <w:rPr>
          <w:rFonts w:eastAsiaTheme="minorHAnsi"/>
          <w:szCs w:val="24"/>
          <w:u w:val="single"/>
        </w:rPr>
      </w:pPr>
      <w:r w:rsidRPr="00BF2A91">
        <w:rPr>
          <w:rFonts w:eastAsiaTheme="minorHAnsi"/>
          <w:szCs w:val="24"/>
          <w:u w:val="single"/>
        </w:rPr>
        <w:lastRenderedPageBreak/>
        <w:t>DISCUSSION</w:t>
      </w:r>
    </w:p>
    <w:p w:rsidR="00BF2A91" w:rsidRDefault="00BF2A91" w:rsidP="00BF2A91">
      <w:pPr>
        <w:tabs>
          <w:tab w:val="clear" w:pos="1440"/>
        </w:tabs>
        <w:autoSpaceDE w:val="0"/>
        <w:autoSpaceDN w:val="0"/>
        <w:spacing w:after="0"/>
        <w:rPr>
          <w:rFonts w:eastAsiaTheme="minorHAnsi"/>
          <w:szCs w:val="24"/>
          <w:u w:val="single"/>
        </w:rPr>
      </w:pPr>
    </w:p>
    <w:p w:rsidR="00BF2A91" w:rsidRPr="00BF2A91" w:rsidRDefault="00BF2A91" w:rsidP="00BF2A91">
      <w:pPr>
        <w:tabs>
          <w:tab w:val="clear" w:pos="1440"/>
        </w:tabs>
        <w:autoSpaceDE w:val="0"/>
        <w:autoSpaceDN w:val="0"/>
        <w:spacing w:after="0"/>
        <w:rPr>
          <w:rFonts w:eastAsiaTheme="minorHAnsi"/>
          <w:szCs w:val="24"/>
          <w:u w:val="single"/>
        </w:rPr>
      </w:pPr>
      <w:r w:rsidRPr="00BF2A91">
        <w:rPr>
          <w:rFonts w:eastAsiaTheme="minorHAnsi"/>
          <w:szCs w:val="24"/>
          <w:u w:val="single"/>
        </w:rPr>
        <w:t>Positions of the Part</w:t>
      </w:r>
      <w:r w:rsidR="005B4348">
        <w:rPr>
          <w:rFonts w:eastAsiaTheme="minorHAnsi"/>
          <w:szCs w:val="24"/>
          <w:u w:val="single"/>
        </w:rPr>
        <w:t>i</w:t>
      </w:r>
      <w:r w:rsidRPr="00BF2A91">
        <w:rPr>
          <w:rFonts w:eastAsiaTheme="minorHAnsi"/>
          <w:szCs w:val="24"/>
          <w:u w:val="single"/>
        </w:rPr>
        <w:t>es</w:t>
      </w:r>
    </w:p>
    <w:p w:rsidR="00BF2A91" w:rsidRPr="00BF2A91" w:rsidRDefault="00BF2A91" w:rsidP="00BF2A91">
      <w:pPr>
        <w:tabs>
          <w:tab w:val="clear" w:pos="1440"/>
        </w:tabs>
        <w:spacing w:after="0"/>
        <w:ind w:firstLine="1440"/>
        <w:rPr>
          <w:rFonts w:eastAsia="Calibri"/>
          <w:szCs w:val="24"/>
        </w:rPr>
      </w:pPr>
    </w:p>
    <w:p w:rsidR="00BE76CD" w:rsidRDefault="00BF2A91" w:rsidP="00BF2A91">
      <w:pPr>
        <w:tabs>
          <w:tab w:val="clear" w:pos="1440"/>
          <w:tab w:val="left" w:pos="0"/>
        </w:tabs>
        <w:autoSpaceDE w:val="0"/>
        <w:autoSpaceDN w:val="0"/>
        <w:spacing w:after="0"/>
      </w:pPr>
      <w:r w:rsidRPr="00BF2A91">
        <w:rPr>
          <w:rFonts w:eastAsia="Calibri"/>
          <w:szCs w:val="24"/>
        </w:rPr>
        <w:tab/>
      </w:r>
      <w:r w:rsidRPr="00BF2A91">
        <w:rPr>
          <w:rFonts w:eastAsia="Calibri"/>
          <w:szCs w:val="24"/>
        </w:rPr>
        <w:tab/>
      </w:r>
      <w:r w:rsidR="006F2846">
        <w:rPr>
          <w:rFonts w:eastAsia="Calibri"/>
          <w:szCs w:val="24"/>
        </w:rPr>
        <w:t xml:space="preserve">In </w:t>
      </w:r>
      <w:r w:rsidR="00DE71A4">
        <w:rPr>
          <w:rFonts w:eastAsia="Calibri"/>
          <w:szCs w:val="24"/>
        </w:rPr>
        <w:t>completing</w:t>
      </w:r>
      <w:r w:rsidR="001C0479">
        <w:rPr>
          <w:rFonts w:eastAsia="Calibri"/>
          <w:szCs w:val="24"/>
        </w:rPr>
        <w:t xml:space="preserve"> the Commission’s standard complaint form, Mr. Mandeville checked the boxes for service termination and incorrect charges, and </w:t>
      </w:r>
      <w:r w:rsidR="00172F63">
        <w:rPr>
          <w:rFonts w:eastAsia="Calibri"/>
          <w:szCs w:val="24"/>
        </w:rPr>
        <w:t>wrote</w:t>
      </w:r>
      <w:r w:rsidR="001C0479">
        <w:rPr>
          <w:rFonts w:eastAsia="Calibri"/>
          <w:szCs w:val="24"/>
        </w:rPr>
        <w:t xml:space="preserve"> the words</w:t>
      </w:r>
      <w:r w:rsidR="00DE71A4">
        <w:rPr>
          <w:rFonts w:eastAsia="Calibri"/>
          <w:szCs w:val="24"/>
        </w:rPr>
        <w:t>,</w:t>
      </w:r>
      <w:r w:rsidR="001C0479">
        <w:rPr>
          <w:rFonts w:eastAsia="Calibri"/>
          <w:szCs w:val="24"/>
        </w:rPr>
        <w:t xml:space="preserve"> “Not My Bill</w:t>
      </w:r>
      <w:r w:rsidR="00DE71A4">
        <w:rPr>
          <w:rFonts w:eastAsia="Calibri"/>
          <w:szCs w:val="24"/>
        </w:rPr>
        <w:t>,</w:t>
      </w:r>
      <w:r w:rsidR="001C0479">
        <w:rPr>
          <w:rFonts w:eastAsia="Calibri"/>
          <w:szCs w:val="24"/>
        </w:rPr>
        <w:t xml:space="preserve">” </w:t>
      </w:r>
      <w:r w:rsidR="00DE71A4">
        <w:rPr>
          <w:rFonts w:eastAsia="Calibri"/>
          <w:szCs w:val="24"/>
        </w:rPr>
        <w:t xml:space="preserve">without further explanation.  </w:t>
      </w:r>
      <w:r w:rsidR="001C0479">
        <w:rPr>
          <w:rFonts w:eastAsia="Calibri"/>
          <w:szCs w:val="24"/>
        </w:rPr>
        <w:t xml:space="preserve">Complaint ¶4. </w:t>
      </w:r>
      <w:r w:rsidR="00BE76CD">
        <w:rPr>
          <w:rFonts w:eastAsia="Calibri"/>
          <w:szCs w:val="24"/>
        </w:rPr>
        <w:t xml:space="preserve"> </w:t>
      </w:r>
      <w:r w:rsidR="00172F63">
        <w:rPr>
          <w:rFonts w:eastAsia="Calibri"/>
          <w:szCs w:val="24"/>
        </w:rPr>
        <w:t xml:space="preserve">In the “Requested Relief” section of the </w:t>
      </w:r>
      <w:r w:rsidR="001D516B">
        <w:rPr>
          <w:rFonts w:eastAsia="Calibri"/>
          <w:szCs w:val="24"/>
        </w:rPr>
        <w:t xml:space="preserve">standard </w:t>
      </w:r>
      <w:r w:rsidR="00172F63">
        <w:rPr>
          <w:rFonts w:eastAsia="Calibri"/>
          <w:szCs w:val="24"/>
        </w:rPr>
        <w:t xml:space="preserve">complaint form, Mr. Mandeville again </w:t>
      </w:r>
      <w:r w:rsidR="00DE71A4">
        <w:rPr>
          <w:rFonts w:eastAsia="Calibri"/>
          <w:szCs w:val="24"/>
        </w:rPr>
        <w:t xml:space="preserve">only </w:t>
      </w:r>
      <w:r w:rsidR="00172F63">
        <w:rPr>
          <w:rFonts w:eastAsia="Calibri"/>
          <w:szCs w:val="24"/>
        </w:rPr>
        <w:t xml:space="preserve">wrote, </w:t>
      </w:r>
      <w:r w:rsidR="001C0479">
        <w:rPr>
          <w:rFonts w:eastAsia="Calibri"/>
          <w:szCs w:val="24"/>
        </w:rPr>
        <w:t xml:space="preserve">“Not My Bill.”  </w:t>
      </w:r>
      <w:r w:rsidR="00BE76CD" w:rsidRPr="00A82881">
        <w:rPr>
          <w:rFonts w:eastAsia="Calibri"/>
          <w:i/>
          <w:szCs w:val="24"/>
        </w:rPr>
        <w:t>Id.</w:t>
      </w:r>
      <w:r w:rsidR="00BE76CD">
        <w:rPr>
          <w:rFonts w:eastAsia="Calibri"/>
          <w:szCs w:val="24"/>
        </w:rPr>
        <w:t xml:space="preserve"> ¶5.  </w:t>
      </w:r>
      <w:r w:rsidR="001C0479">
        <w:rPr>
          <w:rFonts w:eastAsia="Calibri"/>
          <w:szCs w:val="24"/>
        </w:rPr>
        <w:t xml:space="preserve">At hearing, he testified his service was off since the summer of 2015, and the </w:t>
      </w:r>
      <w:r w:rsidR="00674349">
        <w:rPr>
          <w:rFonts w:eastAsia="Calibri"/>
          <w:szCs w:val="24"/>
        </w:rPr>
        <w:t>incorrect charges</w:t>
      </w:r>
      <w:r w:rsidR="001C0479">
        <w:rPr>
          <w:rFonts w:eastAsia="Calibri"/>
          <w:szCs w:val="24"/>
        </w:rPr>
        <w:t xml:space="preserve"> dated back 13 or 14 years when he lived in the Poconos.  </w:t>
      </w:r>
      <w:r w:rsidR="00F478C0">
        <w:rPr>
          <w:rFonts w:eastAsia="Calibri"/>
          <w:szCs w:val="24"/>
        </w:rPr>
        <w:t xml:space="preserve">Tr. 11.  </w:t>
      </w:r>
      <w:r w:rsidR="00BE76CD">
        <w:rPr>
          <w:rFonts w:eastAsia="Calibri"/>
          <w:szCs w:val="24"/>
        </w:rPr>
        <w:t>According to Mr. Mandeville</w:t>
      </w:r>
      <w:r w:rsidR="00904F36">
        <w:rPr>
          <w:rFonts w:eastAsia="Calibri"/>
          <w:szCs w:val="24"/>
        </w:rPr>
        <w:t>,</w:t>
      </w:r>
      <w:r w:rsidR="00BE76CD">
        <w:rPr>
          <w:rFonts w:eastAsia="Calibri"/>
          <w:szCs w:val="24"/>
        </w:rPr>
        <w:t xml:space="preserve"> he filed for bankruptcy more than 13 years ago, and once he filed that should have been the end of all of his indebtedness.  Tr. 11-12.  Mr. Mandeville further argues that he had lived out of state for five or six years before he started receiving electric service at the service address on October 25, 2012.  </w:t>
      </w:r>
      <w:r w:rsidR="00F478C0">
        <w:rPr>
          <w:rFonts w:eastAsia="Calibri"/>
          <w:szCs w:val="24"/>
        </w:rPr>
        <w:t xml:space="preserve">Tr. 12.  </w:t>
      </w:r>
      <w:r w:rsidR="00BE76CD">
        <w:rPr>
          <w:rFonts w:eastAsia="Calibri"/>
          <w:szCs w:val="24"/>
        </w:rPr>
        <w:t xml:space="preserve">It is Mr. Mandeville’s position that </w:t>
      </w:r>
      <w:r w:rsidR="00F478C0">
        <w:rPr>
          <w:rFonts w:eastAsia="Calibri"/>
          <w:szCs w:val="24"/>
        </w:rPr>
        <w:t xml:space="preserve">the </w:t>
      </w:r>
      <w:r w:rsidR="00BE76CD">
        <w:t>$8,747.77</w:t>
      </w:r>
      <w:r w:rsidR="00F478C0">
        <w:t xml:space="preserve"> in service charges, which</w:t>
      </w:r>
      <w:r w:rsidR="00BE76CD">
        <w:t xml:space="preserve"> PPL transferred to his account on October 29, 2012</w:t>
      </w:r>
      <w:r w:rsidR="00F478C0">
        <w:t>,</w:t>
      </w:r>
      <w:r w:rsidR="00BE76CD">
        <w:t xml:space="preserve"> date back to when he lived in the Poconos.  Tr.</w:t>
      </w:r>
      <w:r w:rsidR="00A82881">
        <w:t> </w:t>
      </w:r>
      <w:r w:rsidR="003A7AB5">
        <w:t>22-23.</w:t>
      </w:r>
      <w:r w:rsidR="00F478C0">
        <w:t xml:space="preserve">  </w:t>
      </w:r>
      <w:r w:rsidR="00172F63">
        <w:t>Although Mr. Mandeville did not specifically request a payment arrangement from the Commission, his testimony suggested</w:t>
      </w:r>
      <w:r w:rsidR="00550C44">
        <w:t xml:space="preserve"> he was seeking a payment arrangement.  </w:t>
      </w:r>
      <w:r w:rsidR="00704BEE">
        <w:t>On cross-examination, he testified as follows:</w:t>
      </w:r>
    </w:p>
    <w:p w:rsidR="00704BEE" w:rsidRDefault="00704BEE" w:rsidP="00A82881">
      <w:pPr>
        <w:tabs>
          <w:tab w:val="clear" w:pos="1440"/>
          <w:tab w:val="left" w:pos="0"/>
        </w:tabs>
        <w:autoSpaceDE w:val="0"/>
        <w:autoSpaceDN w:val="0"/>
        <w:spacing w:after="0" w:line="240" w:lineRule="auto"/>
      </w:pPr>
    </w:p>
    <w:p w:rsidR="00704BEE" w:rsidRDefault="00704BEE" w:rsidP="00A82881">
      <w:pPr>
        <w:autoSpaceDE w:val="0"/>
        <w:autoSpaceDN w:val="0"/>
        <w:spacing w:after="0" w:line="240" w:lineRule="auto"/>
        <w:ind w:left="1440" w:right="1080"/>
      </w:pPr>
      <w:r>
        <w:t xml:space="preserve">I explained my income, and </w:t>
      </w:r>
      <w:r w:rsidR="007D7920">
        <w:t>you</w:t>
      </w:r>
      <w:r>
        <w:t xml:space="preserve"> want me to put up more than I got in income. </w:t>
      </w:r>
      <w:r w:rsidR="00A82881">
        <w:t xml:space="preserve"> </w:t>
      </w:r>
      <w:r>
        <w:t>How can I do that?  I can’t do that.</w:t>
      </w:r>
      <w:r w:rsidR="00A82881">
        <w:t xml:space="preserve"> </w:t>
      </w:r>
      <w:r>
        <w:t xml:space="preserve"> I’m willing to work with you on what you’re talking about, bu</w:t>
      </w:r>
      <w:r w:rsidR="007D7920">
        <w:t>t not</w:t>
      </w:r>
      <w:r>
        <w:t xml:space="preserve"> for those numbers.  I can’t pay those numbers.  If I could work it out and find out the right numbers, I would work it out. </w:t>
      </w:r>
    </w:p>
    <w:p w:rsidR="00704BEE" w:rsidRDefault="00704BEE" w:rsidP="00704BEE">
      <w:pPr>
        <w:autoSpaceDE w:val="0"/>
        <w:autoSpaceDN w:val="0"/>
        <w:spacing w:after="0" w:line="240" w:lineRule="auto"/>
        <w:ind w:left="1440" w:right="1080"/>
      </w:pPr>
    </w:p>
    <w:p w:rsidR="00704BEE" w:rsidRDefault="00704BEE" w:rsidP="00C34439">
      <w:pPr>
        <w:tabs>
          <w:tab w:val="clear" w:pos="1440"/>
        </w:tabs>
        <w:autoSpaceDE w:val="0"/>
        <w:autoSpaceDN w:val="0"/>
        <w:spacing w:after="0" w:line="240" w:lineRule="auto"/>
        <w:ind w:left="1440" w:right="1080" w:hanging="1440"/>
      </w:pPr>
      <w:r>
        <w:t>Tr. 40-42.</w:t>
      </w:r>
    </w:p>
    <w:p w:rsidR="003A7AB5" w:rsidRDefault="003A7AB5" w:rsidP="00BF2A91">
      <w:pPr>
        <w:tabs>
          <w:tab w:val="clear" w:pos="1440"/>
          <w:tab w:val="left" w:pos="0"/>
        </w:tabs>
        <w:autoSpaceDE w:val="0"/>
        <w:autoSpaceDN w:val="0"/>
        <w:spacing w:after="0"/>
      </w:pPr>
    </w:p>
    <w:p w:rsidR="00803ED6" w:rsidRDefault="005B4348" w:rsidP="00BF2A91">
      <w:pPr>
        <w:tabs>
          <w:tab w:val="clear" w:pos="1440"/>
          <w:tab w:val="left" w:pos="0"/>
        </w:tabs>
        <w:autoSpaceDE w:val="0"/>
        <w:autoSpaceDN w:val="0"/>
        <w:spacing w:after="0"/>
      </w:pPr>
      <w:r>
        <w:rPr>
          <w:rFonts w:eastAsiaTheme="minorHAnsi"/>
          <w:szCs w:val="24"/>
        </w:rPr>
        <w:tab/>
      </w:r>
      <w:r>
        <w:rPr>
          <w:rFonts w:eastAsiaTheme="minorHAnsi"/>
          <w:szCs w:val="24"/>
        </w:rPr>
        <w:tab/>
        <w:t xml:space="preserve">PPL argues that when Mr. Mandeville filed for bankruptcy in 2001-2002 his indebtedness to PPL was discharged.  Tr. 36.  However, according to PPL, the </w:t>
      </w:r>
      <w:r>
        <w:t>$8,7</w:t>
      </w:r>
      <w:r w:rsidR="001D516B">
        <w:t>4</w:t>
      </w:r>
      <w:r>
        <w:t>7.</w:t>
      </w:r>
      <w:r w:rsidR="001D516B">
        <w:t>77</w:t>
      </w:r>
      <w:r>
        <w:t xml:space="preserve"> transferred charges all accrued after the bankruptcy filing, and therefore Mr. Mandeville remains responsible for the transferred charges.  </w:t>
      </w:r>
      <w:r>
        <w:rPr>
          <w:i/>
        </w:rPr>
        <w:t>Id</w:t>
      </w:r>
      <w:r>
        <w:t xml:space="preserve">.  </w:t>
      </w:r>
      <w:r w:rsidR="00FD26DC">
        <w:t>PPL submits it is willing to offer Mr. Mandeville a 36-month payment arrangement, under which he would pay $300.00 to restore service and $278.00 monthly plus his current bill.  Tr. 38.</w:t>
      </w:r>
    </w:p>
    <w:p w:rsidR="00FD26DC" w:rsidRDefault="00FD26DC" w:rsidP="00BF2A91">
      <w:pPr>
        <w:tabs>
          <w:tab w:val="clear" w:pos="1440"/>
          <w:tab w:val="left" w:pos="0"/>
        </w:tabs>
        <w:autoSpaceDE w:val="0"/>
        <w:autoSpaceDN w:val="0"/>
        <w:spacing w:after="0"/>
      </w:pPr>
    </w:p>
    <w:p w:rsidR="00FD26DC" w:rsidRDefault="00FD26DC" w:rsidP="00BF2A91">
      <w:pPr>
        <w:tabs>
          <w:tab w:val="clear" w:pos="1440"/>
          <w:tab w:val="left" w:pos="0"/>
        </w:tabs>
        <w:autoSpaceDE w:val="0"/>
        <w:autoSpaceDN w:val="0"/>
        <w:spacing w:after="0"/>
        <w:rPr>
          <w:rFonts w:eastAsiaTheme="minorHAnsi"/>
          <w:szCs w:val="24"/>
        </w:rPr>
      </w:pPr>
      <w:r>
        <w:lastRenderedPageBreak/>
        <w:tab/>
      </w:r>
      <w:r>
        <w:tab/>
        <w:t xml:space="preserve">Mr. Mandeville asserts he cannot afford the payment arrangement offered by PPL based upon his $273.00 monthly Social Security income.  Tr. 14. </w:t>
      </w:r>
    </w:p>
    <w:p w:rsidR="00BF2A91" w:rsidRPr="00BF2A91" w:rsidRDefault="00BF2A91" w:rsidP="00BF2A91">
      <w:pPr>
        <w:tabs>
          <w:tab w:val="clear" w:pos="1440"/>
          <w:tab w:val="left" w:pos="0"/>
        </w:tabs>
        <w:autoSpaceDE w:val="0"/>
        <w:autoSpaceDN w:val="0"/>
        <w:spacing w:after="0"/>
        <w:rPr>
          <w:rFonts w:eastAsiaTheme="minorHAnsi"/>
          <w:szCs w:val="24"/>
        </w:rPr>
      </w:pPr>
    </w:p>
    <w:p w:rsidR="00BF2A91" w:rsidRDefault="00BF2A91" w:rsidP="00BF2A91">
      <w:pPr>
        <w:tabs>
          <w:tab w:val="clear" w:pos="1440"/>
        </w:tabs>
        <w:spacing w:after="0" w:line="240" w:lineRule="auto"/>
        <w:contextualSpacing/>
        <w:rPr>
          <w:rFonts w:eastAsiaTheme="minorHAnsi"/>
          <w:szCs w:val="24"/>
        </w:rPr>
      </w:pPr>
      <w:r w:rsidRPr="00BF2A91">
        <w:rPr>
          <w:rFonts w:eastAsiaTheme="minorHAnsi"/>
          <w:szCs w:val="24"/>
          <w:u w:val="single"/>
        </w:rPr>
        <w:t>Burden of Proof</w:t>
      </w:r>
    </w:p>
    <w:p w:rsidR="00C34439" w:rsidRDefault="00C34439" w:rsidP="00BF2A91">
      <w:pPr>
        <w:tabs>
          <w:tab w:val="clear" w:pos="1440"/>
        </w:tabs>
        <w:spacing w:after="0"/>
        <w:rPr>
          <w:rFonts w:eastAsiaTheme="minorHAnsi"/>
          <w:szCs w:val="24"/>
        </w:rPr>
      </w:pPr>
    </w:p>
    <w:p w:rsidR="00BF2A91" w:rsidRPr="00BF2A91" w:rsidRDefault="00BF2A91" w:rsidP="00BF2A91">
      <w:pPr>
        <w:tabs>
          <w:tab w:val="clear" w:pos="1440"/>
        </w:tabs>
        <w:spacing w:after="0"/>
        <w:rPr>
          <w:rFonts w:eastAsiaTheme="minorHAnsi"/>
          <w:szCs w:val="24"/>
        </w:rPr>
      </w:pPr>
      <w:r w:rsidRPr="00BF2A91">
        <w:rPr>
          <w:rFonts w:eastAsiaTheme="minorHAnsi"/>
          <w:szCs w:val="24"/>
        </w:rPr>
        <w:tab/>
      </w:r>
      <w:r w:rsidRPr="00BF2A91">
        <w:rPr>
          <w:rFonts w:eastAsiaTheme="minorHAnsi"/>
          <w:szCs w:val="24"/>
        </w:rPr>
        <w:tab/>
        <w:t>As the proponent of a rule or order, Complainant in this proceeding bears the burden of proof pursuant to Section 332(a) of the Pennsylvania Public Utility Code (Code).</w:t>
      </w:r>
      <w:r w:rsidRPr="00BF2A91">
        <w:rPr>
          <w:rFonts w:eastAsiaTheme="minorHAnsi"/>
          <w:szCs w:val="24"/>
          <w:vertAlign w:val="superscript"/>
        </w:rPr>
        <w:footnoteReference w:id="5"/>
      </w:r>
      <w:r w:rsidRPr="00BF2A91">
        <w:rPr>
          <w:rFonts w:eastAsiaTheme="minorHAnsi"/>
          <w:szCs w:val="24"/>
        </w:rPr>
        <w:t xml:space="preserve">  To</w:t>
      </w:r>
      <w:r w:rsidR="00C34439">
        <w:rPr>
          <w:rFonts w:eastAsiaTheme="minorHAnsi"/>
          <w:szCs w:val="24"/>
        </w:rPr>
        <w:t xml:space="preserve"> </w:t>
      </w:r>
      <w:r w:rsidRPr="00BF2A91">
        <w:rPr>
          <w:rFonts w:eastAsiaTheme="minorHAnsi"/>
          <w:szCs w:val="24"/>
        </w:rPr>
        <w:t xml:space="preserve">establish a sufficient case and satisfy the burden of proof, Complainant must show that Respondent is responsible or accountable for the problem described in the Complaint, in that the named utility has violated the Code, a regulation or order of the Commission.  </w:t>
      </w:r>
      <w:r w:rsidRPr="00BF2A91">
        <w:rPr>
          <w:rFonts w:eastAsiaTheme="minorHAnsi"/>
          <w:i/>
          <w:szCs w:val="24"/>
        </w:rPr>
        <w:t>Patterson v. Bell Telephone Company of Pennsylvania</w:t>
      </w:r>
      <w:r w:rsidRPr="00BF2A91">
        <w:rPr>
          <w:rFonts w:eastAsiaTheme="minorHAnsi"/>
          <w:szCs w:val="24"/>
        </w:rPr>
        <w:t xml:space="preserve">, 72 Pa. PUC 196 (1990).  Such a showing must be by a preponderance of the evidence.  </w:t>
      </w:r>
      <w:r w:rsidRPr="00BF2A91">
        <w:rPr>
          <w:rFonts w:eastAsiaTheme="minorHAnsi"/>
          <w:i/>
          <w:iCs/>
          <w:szCs w:val="24"/>
        </w:rPr>
        <w:t xml:space="preserve">Samuel J. </w:t>
      </w:r>
      <w:proofErr w:type="spellStart"/>
      <w:r w:rsidRPr="00BF2A91">
        <w:rPr>
          <w:rFonts w:eastAsiaTheme="minorHAnsi"/>
          <w:i/>
          <w:iCs/>
          <w:szCs w:val="24"/>
        </w:rPr>
        <w:t>Lansberry</w:t>
      </w:r>
      <w:proofErr w:type="spellEnd"/>
      <w:r w:rsidRPr="00BF2A91">
        <w:rPr>
          <w:rFonts w:eastAsiaTheme="minorHAnsi"/>
          <w:i/>
          <w:iCs/>
          <w:szCs w:val="24"/>
        </w:rPr>
        <w:t>, Inc. v. Pa. Pub. Util. Comm’n</w:t>
      </w:r>
      <w:r w:rsidRPr="00BF2A91">
        <w:rPr>
          <w:rFonts w:eastAsiaTheme="minorHAnsi"/>
          <w:szCs w:val="24"/>
        </w:rPr>
        <w:t xml:space="preserve">, 578 A.2d 600 (Pa.Cmwlth. 1990), </w:t>
      </w:r>
      <w:proofErr w:type="spellStart"/>
      <w:r w:rsidRPr="00BF2A91">
        <w:rPr>
          <w:rFonts w:eastAsiaTheme="minorHAnsi"/>
          <w:i/>
          <w:szCs w:val="24"/>
        </w:rPr>
        <w:t>alloc</w:t>
      </w:r>
      <w:proofErr w:type="spellEnd"/>
      <w:r w:rsidRPr="00BF2A91">
        <w:rPr>
          <w:rFonts w:eastAsiaTheme="minorHAnsi"/>
          <w:i/>
          <w:szCs w:val="24"/>
        </w:rPr>
        <w:t>. denied,</w:t>
      </w:r>
      <w:r w:rsidRPr="00BF2A91">
        <w:rPr>
          <w:rFonts w:eastAsiaTheme="minorHAnsi"/>
          <w:szCs w:val="24"/>
        </w:rPr>
        <w:t xml:space="preserve"> 529 Pa. 654, 602 A.2d 863 (1992).  That is, Complainant’s evidence must be more convincing, by even the smallest amount, than that presented by Respondent.  </w:t>
      </w:r>
      <w:r w:rsidRPr="00BF2A91">
        <w:rPr>
          <w:rFonts w:eastAsiaTheme="minorHAnsi"/>
          <w:i/>
          <w:szCs w:val="24"/>
        </w:rPr>
        <w:t>Se-Ling Hosiery v. Margulies</w:t>
      </w:r>
      <w:r w:rsidRPr="00BF2A91">
        <w:rPr>
          <w:rFonts w:eastAsiaTheme="minorHAnsi"/>
          <w:szCs w:val="24"/>
        </w:rPr>
        <w:t xml:space="preserve">, 364 Pa. 45, 70 A.2d 854 (1950).  Additionally, the Commission’s decision must be supported by substantial evidence in the record.  More is required than a mere trace of evidence or a suspicion of the existence of a fact sought to be established.  </w:t>
      </w:r>
      <w:r w:rsidRPr="00BF2A91">
        <w:rPr>
          <w:rFonts w:eastAsiaTheme="minorHAnsi"/>
          <w:i/>
          <w:szCs w:val="24"/>
        </w:rPr>
        <w:t xml:space="preserve">Norfolk &amp; Western Ry. Co. v. Pa. Pub. Util. Comm’n, </w:t>
      </w:r>
      <w:r w:rsidRPr="00BF2A91">
        <w:rPr>
          <w:rFonts w:eastAsiaTheme="minorHAnsi"/>
          <w:szCs w:val="24"/>
        </w:rPr>
        <w:t>489 Pa. 109, 413 A.2d 1037 (1980).</w:t>
      </w:r>
    </w:p>
    <w:p w:rsidR="00BF2A91" w:rsidRPr="00BF2A91" w:rsidRDefault="00BF2A91" w:rsidP="00BF2A91">
      <w:pPr>
        <w:tabs>
          <w:tab w:val="clear" w:pos="1440"/>
        </w:tabs>
        <w:spacing w:after="0"/>
        <w:rPr>
          <w:rFonts w:eastAsiaTheme="minorHAnsi"/>
          <w:szCs w:val="24"/>
        </w:rPr>
      </w:pPr>
    </w:p>
    <w:p w:rsidR="00DE71A4" w:rsidRDefault="00BF2A91" w:rsidP="00DE71A4">
      <w:pPr>
        <w:tabs>
          <w:tab w:val="clear" w:pos="1440"/>
        </w:tabs>
        <w:spacing w:after="0"/>
        <w:ind w:firstLine="1440"/>
        <w:rPr>
          <w:rFonts w:ascii="Times New (W1)" w:eastAsiaTheme="minorHAnsi" w:hAnsi="Times New (W1)"/>
          <w:iCs/>
          <w:szCs w:val="24"/>
        </w:rPr>
      </w:pPr>
      <w:r w:rsidRPr="00BF2A91">
        <w:rPr>
          <w:rFonts w:eastAsiaTheme="minorHAnsi"/>
          <w:szCs w:val="24"/>
        </w:rPr>
        <w:t>Upon presentation by Complainant of evidence sufficient to initially satisfy the burden of proof, the burden of going forward with the evidence, to rebut the evidence of Complainant, shifts to Respondent.  If the evidence presented by Respondent is of co-equal weight, Complainant has not satisfied h</w:t>
      </w:r>
      <w:r w:rsidR="007D7920">
        <w:rPr>
          <w:rFonts w:eastAsiaTheme="minorHAnsi"/>
          <w:szCs w:val="24"/>
        </w:rPr>
        <w:t>is</w:t>
      </w:r>
      <w:r w:rsidRPr="00BF2A91">
        <w:rPr>
          <w:rFonts w:eastAsiaTheme="minorHAnsi"/>
          <w:szCs w:val="24"/>
        </w:rPr>
        <w:t xml:space="preserve"> </w:t>
      </w:r>
      <w:r w:rsidRPr="00BF2A91">
        <w:rPr>
          <w:rFonts w:ascii="Times New (W1)" w:eastAsiaTheme="minorHAnsi" w:hAnsi="Times New (W1)"/>
          <w:szCs w:val="24"/>
        </w:rPr>
        <w:t xml:space="preserve">burden of proof.  Complainant now must provide some additional evidence to rebut that of Respondent. </w:t>
      </w:r>
      <w:r w:rsidRPr="00BF2A91">
        <w:rPr>
          <w:rFonts w:ascii="Times New (W1)" w:eastAsiaTheme="minorHAnsi" w:hAnsi="Times New (W1)"/>
          <w:iCs/>
          <w:szCs w:val="24"/>
        </w:rPr>
        <w:t xml:space="preserve"> </w:t>
      </w:r>
      <w:r w:rsidRPr="00BF2A91">
        <w:rPr>
          <w:rFonts w:ascii="Times New (W1)" w:eastAsiaTheme="minorHAnsi" w:hAnsi="Times New (W1)"/>
          <w:i/>
          <w:iCs/>
          <w:szCs w:val="24"/>
        </w:rPr>
        <w:t>Burleson v. Pa. Pub. Util. Comm’n,</w:t>
      </w:r>
      <w:r w:rsidRPr="00BF2A91">
        <w:rPr>
          <w:rFonts w:ascii="Times New (W1)" w:eastAsiaTheme="minorHAnsi" w:hAnsi="Times New (W1)"/>
          <w:iCs/>
          <w:szCs w:val="24"/>
        </w:rPr>
        <w:t xml:space="preserve"> 443 A.2d 1373 (Pa.Cmwlth. 1982), </w:t>
      </w:r>
      <w:r w:rsidRPr="00BF2A91">
        <w:rPr>
          <w:rFonts w:ascii="Times New (W1)" w:eastAsiaTheme="minorHAnsi" w:hAnsi="Times New (W1)"/>
          <w:i/>
          <w:iCs/>
          <w:szCs w:val="24"/>
        </w:rPr>
        <w:t>aff’d,</w:t>
      </w:r>
      <w:r w:rsidRPr="00BF2A91">
        <w:rPr>
          <w:rFonts w:ascii="Times New (W1)" w:eastAsiaTheme="minorHAnsi" w:hAnsi="Times New (W1)"/>
          <w:iCs/>
          <w:szCs w:val="24"/>
        </w:rPr>
        <w:t xml:space="preserve"> 501 Pa. 433, 461 A.2d 1234 (1983).</w:t>
      </w:r>
    </w:p>
    <w:p w:rsidR="00DE71A4" w:rsidRDefault="00DE71A4" w:rsidP="00DE71A4">
      <w:pPr>
        <w:tabs>
          <w:tab w:val="clear" w:pos="1440"/>
        </w:tabs>
        <w:spacing w:after="0"/>
        <w:ind w:firstLine="1440"/>
        <w:rPr>
          <w:rFonts w:ascii="Times New (W1)" w:eastAsiaTheme="minorHAnsi" w:hAnsi="Times New (W1)"/>
          <w:iCs/>
          <w:szCs w:val="24"/>
        </w:rPr>
      </w:pPr>
    </w:p>
    <w:p w:rsidR="00137FA4" w:rsidRDefault="00DE71A4" w:rsidP="00137FA4">
      <w:pPr>
        <w:tabs>
          <w:tab w:val="clear" w:pos="1440"/>
        </w:tabs>
        <w:spacing w:after="0"/>
        <w:ind w:firstLine="1440"/>
        <w:rPr>
          <w:rFonts w:eastAsiaTheme="minorHAnsi"/>
          <w:szCs w:val="24"/>
        </w:rPr>
      </w:pPr>
      <w:r>
        <w:rPr>
          <w:rFonts w:eastAsiaTheme="minorHAnsi"/>
          <w:szCs w:val="24"/>
        </w:rPr>
        <w:t>W</w:t>
      </w:r>
      <w:r w:rsidR="00BF2A91" w:rsidRPr="00BF2A91">
        <w:rPr>
          <w:rFonts w:eastAsiaTheme="minorHAnsi"/>
          <w:szCs w:val="24"/>
        </w:rPr>
        <w:t xml:space="preserve">hile the burden of persuasion may </w:t>
      </w:r>
      <w:r w:rsidR="00BF2A91" w:rsidRPr="00BF2A91">
        <w:rPr>
          <w:rFonts w:eastAsiaTheme="minorHAnsi"/>
          <w:bCs/>
          <w:szCs w:val="24"/>
        </w:rPr>
        <w:t>shift</w:t>
      </w:r>
      <w:r w:rsidR="00BF2A91" w:rsidRPr="00BF2A91">
        <w:rPr>
          <w:rFonts w:eastAsiaTheme="minorHAnsi"/>
          <w:szCs w:val="24"/>
        </w:rPr>
        <w:t xml:space="preserve"> back and forth during a proceeding, the </w:t>
      </w:r>
      <w:r w:rsidR="00BF2A91" w:rsidRPr="00BF2A91">
        <w:rPr>
          <w:rFonts w:eastAsiaTheme="minorHAnsi"/>
          <w:bCs/>
          <w:szCs w:val="24"/>
        </w:rPr>
        <w:t>burden of proof</w:t>
      </w:r>
      <w:r w:rsidR="00BF2A91" w:rsidRPr="00BF2A91">
        <w:rPr>
          <w:rFonts w:eastAsiaTheme="minorHAnsi"/>
          <w:szCs w:val="24"/>
        </w:rPr>
        <w:t xml:space="preserve"> never </w:t>
      </w:r>
      <w:r w:rsidR="00BF2A91" w:rsidRPr="00BF2A91">
        <w:rPr>
          <w:rFonts w:eastAsiaTheme="minorHAnsi"/>
          <w:bCs/>
          <w:szCs w:val="24"/>
        </w:rPr>
        <w:t>shifts.  The burden of proof</w:t>
      </w:r>
      <w:r w:rsidR="00BF2A91" w:rsidRPr="00BF2A91">
        <w:rPr>
          <w:rFonts w:eastAsiaTheme="minorHAnsi"/>
          <w:szCs w:val="24"/>
        </w:rPr>
        <w:t xml:space="preserve"> always remains on the party seeking </w:t>
      </w:r>
      <w:r w:rsidR="00BF2A91" w:rsidRPr="00BF2A91">
        <w:rPr>
          <w:rFonts w:eastAsiaTheme="minorHAnsi"/>
          <w:szCs w:val="24"/>
        </w:rPr>
        <w:lastRenderedPageBreak/>
        <w:t xml:space="preserve">affirmative relief from the Commission.  </w:t>
      </w:r>
      <w:r w:rsidR="00BF2A91" w:rsidRPr="00BF2A91">
        <w:rPr>
          <w:rFonts w:eastAsiaTheme="minorHAnsi"/>
          <w:i/>
          <w:szCs w:val="24"/>
        </w:rPr>
        <w:t xml:space="preserve">Milkie v. Pa. Pub. Util. Comm’n, </w:t>
      </w:r>
      <w:r w:rsidR="00BF2A91" w:rsidRPr="00BF2A91">
        <w:rPr>
          <w:rFonts w:eastAsiaTheme="minorHAnsi"/>
          <w:szCs w:val="24"/>
        </w:rPr>
        <w:t>768 A.2d 1217 (Pa.Cmwlth. 2001).</w:t>
      </w:r>
    </w:p>
    <w:p w:rsidR="00137FA4" w:rsidRDefault="00137FA4" w:rsidP="00137FA4">
      <w:pPr>
        <w:tabs>
          <w:tab w:val="clear" w:pos="1440"/>
        </w:tabs>
        <w:spacing w:after="0"/>
        <w:ind w:firstLine="1440"/>
        <w:rPr>
          <w:rFonts w:eastAsiaTheme="minorHAnsi"/>
          <w:szCs w:val="24"/>
        </w:rPr>
      </w:pPr>
    </w:p>
    <w:p w:rsidR="00BF2A91" w:rsidRDefault="00BF2A91" w:rsidP="00A46345">
      <w:pPr>
        <w:tabs>
          <w:tab w:val="clear" w:pos="1440"/>
        </w:tabs>
        <w:spacing w:after="0"/>
        <w:ind w:firstLine="1440"/>
        <w:rPr>
          <w:rFonts w:eastAsia="Calibri"/>
          <w:szCs w:val="24"/>
        </w:rPr>
      </w:pPr>
      <w:r w:rsidRPr="00BF2A91">
        <w:rPr>
          <w:rFonts w:eastAsiaTheme="minorHAnsi"/>
          <w:szCs w:val="24"/>
        </w:rPr>
        <w:t xml:space="preserve">Therefore, in this proceeding, </w:t>
      </w:r>
      <w:r w:rsidRPr="005E3D7C">
        <w:rPr>
          <w:rFonts w:eastAsiaTheme="minorHAnsi"/>
          <w:szCs w:val="24"/>
        </w:rPr>
        <w:t>M</w:t>
      </w:r>
      <w:r w:rsidR="005E3D7C" w:rsidRPr="005E3D7C">
        <w:rPr>
          <w:rFonts w:eastAsiaTheme="minorHAnsi"/>
          <w:szCs w:val="24"/>
        </w:rPr>
        <w:t>r</w:t>
      </w:r>
      <w:r w:rsidR="005E3D7C">
        <w:rPr>
          <w:rFonts w:eastAsiaTheme="minorHAnsi"/>
          <w:szCs w:val="24"/>
        </w:rPr>
        <w:t>.</w:t>
      </w:r>
      <w:r w:rsidR="005E3D7C" w:rsidRPr="005E3D7C">
        <w:rPr>
          <w:rFonts w:eastAsiaTheme="minorHAnsi"/>
          <w:szCs w:val="24"/>
        </w:rPr>
        <w:t xml:space="preserve"> Mandeville </w:t>
      </w:r>
      <w:r w:rsidRPr="00BF2A91">
        <w:rPr>
          <w:rFonts w:eastAsia="Calibri"/>
          <w:szCs w:val="24"/>
        </w:rPr>
        <w:t>has the burden of establishing that P</w:t>
      </w:r>
      <w:r w:rsidR="005E3D7C">
        <w:rPr>
          <w:rFonts w:eastAsia="Calibri"/>
          <w:szCs w:val="24"/>
        </w:rPr>
        <w:t>PL</w:t>
      </w:r>
      <w:r w:rsidRPr="00BF2A91">
        <w:rPr>
          <w:rFonts w:eastAsia="Calibri"/>
          <w:szCs w:val="24"/>
        </w:rPr>
        <w:t xml:space="preserve"> is </w:t>
      </w:r>
      <w:r w:rsidRPr="00BF2A91">
        <w:rPr>
          <w:rFonts w:eastAsiaTheme="minorHAnsi"/>
          <w:szCs w:val="24"/>
        </w:rPr>
        <w:t>responsible or accountable for the problem described in h</w:t>
      </w:r>
      <w:r w:rsidR="005E3D7C">
        <w:rPr>
          <w:rFonts w:eastAsiaTheme="minorHAnsi"/>
          <w:szCs w:val="24"/>
        </w:rPr>
        <w:t>is</w:t>
      </w:r>
      <w:r w:rsidRPr="00BF2A91">
        <w:rPr>
          <w:rFonts w:eastAsiaTheme="minorHAnsi"/>
          <w:szCs w:val="24"/>
        </w:rPr>
        <w:t xml:space="preserve"> Complaint</w:t>
      </w:r>
      <w:r w:rsidR="007D7920">
        <w:rPr>
          <w:rFonts w:eastAsiaTheme="minorHAnsi"/>
          <w:szCs w:val="24"/>
        </w:rPr>
        <w:t xml:space="preserve"> in order to receive a </w:t>
      </w:r>
      <w:r w:rsidRPr="00BF2A91">
        <w:rPr>
          <w:rFonts w:eastAsia="Calibri"/>
          <w:szCs w:val="24"/>
        </w:rPr>
        <w:t>Commission-ordered payment arrangement</w:t>
      </w:r>
      <w:r w:rsidR="0078517E">
        <w:rPr>
          <w:rFonts w:eastAsia="Calibri"/>
          <w:szCs w:val="24"/>
        </w:rPr>
        <w:t>.</w:t>
      </w:r>
      <w:r w:rsidR="00BD2945">
        <w:rPr>
          <w:rStyle w:val="FootnoteReference"/>
          <w:rFonts w:eastAsia="Calibri"/>
          <w:szCs w:val="24"/>
        </w:rPr>
        <w:footnoteReference w:id="6"/>
      </w:r>
      <w:r w:rsidRPr="00BF2A91">
        <w:rPr>
          <w:rFonts w:eastAsia="Calibri"/>
          <w:szCs w:val="24"/>
        </w:rPr>
        <w:t xml:space="preserve"> </w:t>
      </w:r>
    </w:p>
    <w:p w:rsidR="000F5E14" w:rsidRPr="00BF2A91" w:rsidRDefault="000F5E14" w:rsidP="00A46345">
      <w:pPr>
        <w:tabs>
          <w:tab w:val="clear" w:pos="1440"/>
        </w:tabs>
        <w:spacing w:after="0"/>
        <w:ind w:firstLine="1440"/>
        <w:rPr>
          <w:rFonts w:eastAsia="Calibri"/>
          <w:szCs w:val="24"/>
        </w:rPr>
      </w:pPr>
    </w:p>
    <w:p w:rsidR="00BF2A91" w:rsidRPr="00BF2A91" w:rsidRDefault="00BF2A91" w:rsidP="00BF2A91">
      <w:pPr>
        <w:tabs>
          <w:tab w:val="clear" w:pos="1440"/>
        </w:tabs>
        <w:spacing w:after="0"/>
        <w:rPr>
          <w:rFonts w:eastAsiaTheme="minorHAnsi"/>
          <w:szCs w:val="24"/>
        </w:rPr>
      </w:pPr>
      <w:r w:rsidRPr="00BF2A91">
        <w:rPr>
          <w:rFonts w:eastAsiaTheme="minorHAnsi"/>
          <w:szCs w:val="24"/>
          <w:u w:val="single"/>
        </w:rPr>
        <w:t xml:space="preserve">Section 56.35 </w:t>
      </w:r>
      <w:proofErr w:type="gramStart"/>
      <w:r w:rsidRPr="00BF2A91">
        <w:rPr>
          <w:rFonts w:eastAsiaTheme="minorHAnsi"/>
          <w:szCs w:val="24"/>
          <w:u w:val="single"/>
        </w:rPr>
        <w:t>Issue</w:t>
      </w:r>
      <w:proofErr w:type="gramEnd"/>
      <w:r w:rsidRPr="00BF2A91">
        <w:rPr>
          <w:rFonts w:eastAsiaTheme="minorHAnsi"/>
          <w:szCs w:val="24"/>
          <w:u w:val="single"/>
        </w:rPr>
        <w:t xml:space="preserve"> - Payment of Outstanding Balance</w:t>
      </w:r>
      <w:r w:rsidRPr="00BF2A91">
        <w:rPr>
          <w:rFonts w:eastAsiaTheme="minorHAnsi"/>
          <w:szCs w:val="24"/>
        </w:rPr>
        <w:tab/>
      </w:r>
    </w:p>
    <w:p w:rsidR="00BF2A91" w:rsidRPr="00BF2A91" w:rsidRDefault="00BF2A91" w:rsidP="00BF2A91">
      <w:pPr>
        <w:tabs>
          <w:tab w:val="clear" w:pos="1440"/>
        </w:tabs>
        <w:spacing w:after="0"/>
        <w:rPr>
          <w:rFonts w:eastAsiaTheme="minorHAnsi"/>
          <w:szCs w:val="24"/>
          <w:u w:val="single"/>
        </w:rPr>
      </w:pPr>
    </w:p>
    <w:p w:rsidR="00BF2A91" w:rsidRPr="00BF2A91" w:rsidRDefault="00BF2A91" w:rsidP="00BF2A91">
      <w:pPr>
        <w:tabs>
          <w:tab w:val="clear" w:pos="1440"/>
        </w:tabs>
        <w:spacing w:after="0"/>
        <w:rPr>
          <w:rFonts w:eastAsiaTheme="minorHAnsi"/>
          <w:szCs w:val="24"/>
        </w:rPr>
      </w:pPr>
      <w:r w:rsidRPr="00BF2A91">
        <w:rPr>
          <w:rFonts w:eastAsiaTheme="minorHAnsi"/>
          <w:szCs w:val="24"/>
        </w:rPr>
        <w:tab/>
      </w:r>
      <w:r w:rsidRPr="00BF2A91">
        <w:rPr>
          <w:rFonts w:eastAsiaTheme="minorHAnsi"/>
          <w:szCs w:val="24"/>
        </w:rPr>
        <w:tab/>
        <w:t>Under the Commission’s regulations a utility may require a residential applicant to pay an outstanding balance from a prior service address, in order to receive ser</w:t>
      </w:r>
      <w:r w:rsidR="004F70E9">
        <w:rPr>
          <w:rFonts w:eastAsiaTheme="minorHAnsi"/>
          <w:szCs w:val="24"/>
        </w:rPr>
        <w:t>vice</w:t>
      </w:r>
      <w:r w:rsidRPr="00BF2A91">
        <w:rPr>
          <w:rFonts w:eastAsiaTheme="minorHAnsi"/>
          <w:szCs w:val="24"/>
        </w:rPr>
        <w:t>.  The regulation states as follows:</w:t>
      </w:r>
    </w:p>
    <w:p w:rsidR="00BF2A91" w:rsidRPr="00BF2A91" w:rsidRDefault="00BF2A91" w:rsidP="00A46345">
      <w:pPr>
        <w:tabs>
          <w:tab w:val="clear" w:pos="1440"/>
        </w:tabs>
        <w:spacing w:after="0" w:line="240" w:lineRule="auto"/>
        <w:rPr>
          <w:rFonts w:eastAsiaTheme="minorHAnsi"/>
          <w:szCs w:val="24"/>
        </w:rPr>
      </w:pPr>
    </w:p>
    <w:p w:rsidR="00BF2A91" w:rsidRPr="00BF2A91" w:rsidRDefault="00BF2A91" w:rsidP="00BF2A91">
      <w:pPr>
        <w:tabs>
          <w:tab w:val="clear" w:pos="1440"/>
        </w:tabs>
        <w:autoSpaceDE w:val="0"/>
        <w:autoSpaceDN w:val="0"/>
        <w:spacing w:after="0" w:line="240" w:lineRule="auto"/>
        <w:ind w:firstLine="1440"/>
        <w:rPr>
          <w:rFonts w:ascii="CG Times" w:eastAsiaTheme="minorHAnsi" w:hAnsi="CG Times"/>
          <w:szCs w:val="24"/>
        </w:rPr>
      </w:pPr>
      <w:r w:rsidRPr="00BF2A91">
        <w:rPr>
          <w:rFonts w:ascii="CG Times" w:eastAsiaTheme="minorHAnsi" w:hAnsi="CG Times"/>
          <w:b/>
          <w:szCs w:val="24"/>
        </w:rPr>
        <w:t>§ 56.35  Payment of outstanding balance.</w:t>
      </w:r>
    </w:p>
    <w:p w:rsidR="00BF2A91" w:rsidRPr="00BF2A91" w:rsidRDefault="00BF2A91" w:rsidP="00BF2A91">
      <w:pPr>
        <w:tabs>
          <w:tab w:val="clear" w:pos="1440"/>
        </w:tabs>
        <w:autoSpaceDE w:val="0"/>
        <w:autoSpaceDN w:val="0"/>
        <w:spacing w:after="0" w:line="240" w:lineRule="auto"/>
        <w:ind w:left="1440" w:right="1080"/>
        <w:rPr>
          <w:rFonts w:ascii="CG Times" w:eastAsiaTheme="minorHAnsi" w:hAnsi="CG Times"/>
          <w:szCs w:val="24"/>
        </w:rPr>
      </w:pPr>
    </w:p>
    <w:p w:rsidR="00BF2A91" w:rsidRPr="00BF2A91" w:rsidRDefault="00BF2A91" w:rsidP="00BF2A91">
      <w:pPr>
        <w:tabs>
          <w:tab w:val="clear" w:pos="1440"/>
        </w:tabs>
        <w:spacing w:after="0" w:line="240" w:lineRule="auto"/>
        <w:ind w:left="1440" w:right="1080"/>
        <w:rPr>
          <w:rFonts w:eastAsiaTheme="minorHAnsi"/>
          <w:szCs w:val="24"/>
        </w:rPr>
      </w:pPr>
      <w:r w:rsidRPr="00BF2A91">
        <w:rPr>
          <w:rFonts w:eastAsiaTheme="minorHAnsi"/>
          <w:szCs w:val="24"/>
        </w:rPr>
        <w:t xml:space="preserve">   (a) A public utility may require, as a condition of the furnishing of residential service to an applicant, the payment of any outstanding residential account with the public utility which accrued within the past 4 years for which the applicant is legally responsible and for which the applicant was billed properly.</w:t>
      </w:r>
    </w:p>
    <w:p w:rsidR="00983C35" w:rsidRDefault="00983C35" w:rsidP="00BF2A91">
      <w:pPr>
        <w:tabs>
          <w:tab w:val="clear" w:pos="1440"/>
        </w:tabs>
        <w:spacing w:after="0"/>
        <w:rPr>
          <w:rFonts w:eastAsiaTheme="minorHAnsi"/>
          <w:szCs w:val="24"/>
        </w:rPr>
      </w:pPr>
    </w:p>
    <w:p w:rsidR="00BF2A91" w:rsidRPr="000C7BDF" w:rsidRDefault="00983C35" w:rsidP="00BF2A91">
      <w:pPr>
        <w:tabs>
          <w:tab w:val="clear" w:pos="1440"/>
        </w:tabs>
        <w:spacing w:after="0"/>
        <w:rPr>
          <w:rFonts w:eastAsiaTheme="minorHAnsi"/>
          <w:szCs w:val="24"/>
        </w:rPr>
      </w:pPr>
      <w:r>
        <w:rPr>
          <w:rFonts w:eastAsiaTheme="minorHAnsi"/>
          <w:szCs w:val="24"/>
        </w:rPr>
        <w:t>52 Pa.Code § 56.35.</w:t>
      </w:r>
      <w:r w:rsidR="005E5D60">
        <w:rPr>
          <w:rFonts w:eastAsiaTheme="minorHAnsi"/>
          <w:szCs w:val="24"/>
        </w:rPr>
        <w:t xml:space="preserve">  </w:t>
      </w:r>
      <w:r w:rsidR="00BF2A91" w:rsidRPr="00BF2A91">
        <w:rPr>
          <w:rFonts w:eastAsiaTheme="minorHAnsi"/>
          <w:szCs w:val="24"/>
        </w:rPr>
        <w:t xml:space="preserve">However, conditioning a payment arrangement upon an account balance that is more than four years old </w:t>
      </w:r>
      <w:r w:rsidR="005E5D60">
        <w:rPr>
          <w:rFonts w:eastAsiaTheme="minorHAnsi"/>
          <w:szCs w:val="24"/>
        </w:rPr>
        <w:t xml:space="preserve">in order to receive service </w:t>
      </w:r>
      <w:r w:rsidR="00BF2A91" w:rsidRPr="00BF2A91">
        <w:rPr>
          <w:rFonts w:eastAsiaTheme="minorHAnsi"/>
          <w:szCs w:val="24"/>
        </w:rPr>
        <w:t xml:space="preserve">contravenes Section 56.35. </w:t>
      </w:r>
      <w:r w:rsidR="005E5D60">
        <w:rPr>
          <w:rFonts w:eastAsiaTheme="minorHAnsi"/>
          <w:szCs w:val="24"/>
        </w:rPr>
        <w:t xml:space="preserve"> </w:t>
      </w:r>
      <w:r w:rsidR="000C7BDF">
        <w:rPr>
          <w:rFonts w:eastAsiaTheme="minorHAnsi"/>
          <w:szCs w:val="24"/>
        </w:rPr>
        <w:t>See</w:t>
      </w:r>
      <w:r w:rsidR="00BF2A91" w:rsidRPr="00BF2A91">
        <w:rPr>
          <w:rFonts w:eastAsiaTheme="minorHAnsi"/>
          <w:szCs w:val="24"/>
        </w:rPr>
        <w:t xml:space="preserve"> </w:t>
      </w:r>
      <w:r w:rsidR="00CA378F">
        <w:rPr>
          <w:rFonts w:eastAsiaTheme="minorHAnsi"/>
          <w:szCs w:val="24"/>
        </w:rPr>
        <w:t xml:space="preserve">the Commonwealth Court’s Opinion and Order in </w:t>
      </w:r>
      <w:r w:rsidR="00BF2A91" w:rsidRPr="00BF2A91">
        <w:rPr>
          <w:rFonts w:eastAsiaTheme="minorHAnsi"/>
          <w:i/>
          <w:szCs w:val="24"/>
        </w:rPr>
        <w:t>Duquesne Light Com</w:t>
      </w:r>
      <w:r w:rsidR="00317F7E">
        <w:rPr>
          <w:rFonts w:eastAsiaTheme="minorHAnsi"/>
          <w:i/>
          <w:szCs w:val="24"/>
        </w:rPr>
        <w:t>pany v. Pa. Pub. Util. Comm’n</w:t>
      </w:r>
      <w:r w:rsidR="00BF2A91" w:rsidRPr="00BF2A91">
        <w:rPr>
          <w:rFonts w:eastAsiaTheme="minorHAnsi"/>
          <w:szCs w:val="24"/>
        </w:rPr>
        <w:t>, 2844 C.D. 1998, Filed</w:t>
      </w:r>
      <w:r w:rsidR="00CA378F">
        <w:rPr>
          <w:rFonts w:eastAsiaTheme="minorHAnsi"/>
          <w:szCs w:val="24"/>
        </w:rPr>
        <w:t xml:space="preserve"> </w:t>
      </w:r>
      <w:r w:rsidR="00BF2A91" w:rsidRPr="00BF2A91">
        <w:rPr>
          <w:rFonts w:eastAsiaTheme="minorHAnsi"/>
          <w:szCs w:val="24"/>
        </w:rPr>
        <w:t>July 14, 1999</w:t>
      </w:r>
      <w:r w:rsidR="000C7BDF">
        <w:rPr>
          <w:rFonts w:eastAsiaTheme="minorHAnsi"/>
          <w:szCs w:val="24"/>
        </w:rPr>
        <w:t xml:space="preserve">, affirming </w:t>
      </w:r>
      <w:r w:rsidR="000C7BDF">
        <w:rPr>
          <w:rFonts w:eastAsiaTheme="minorHAnsi"/>
          <w:i/>
          <w:szCs w:val="24"/>
        </w:rPr>
        <w:t>Michelle A</w:t>
      </w:r>
      <w:r w:rsidR="00CA378F">
        <w:rPr>
          <w:rFonts w:eastAsiaTheme="minorHAnsi"/>
          <w:i/>
          <w:szCs w:val="24"/>
        </w:rPr>
        <w:t>.</w:t>
      </w:r>
      <w:r w:rsidR="000C7BDF">
        <w:rPr>
          <w:rFonts w:eastAsiaTheme="minorHAnsi"/>
          <w:i/>
          <w:szCs w:val="24"/>
        </w:rPr>
        <w:t xml:space="preserve"> Mangel v</w:t>
      </w:r>
      <w:r w:rsidR="00BF2A91" w:rsidRPr="00BF2A91">
        <w:rPr>
          <w:rFonts w:eastAsiaTheme="minorHAnsi"/>
          <w:szCs w:val="24"/>
        </w:rPr>
        <w:t>.</w:t>
      </w:r>
      <w:r w:rsidR="000C7BDF">
        <w:rPr>
          <w:rFonts w:eastAsiaTheme="minorHAnsi"/>
          <w:szCs w:val="24"/>
        </w:rPr>
        <w:t xml:space="preserve"> </w:t>
      </w:r>
      <w:r w:rsidR="000C7BDF">
        <w:rPr>
          <w:rFonts w:eastAsiaTheme="minorHAnsi"/>
          <w:i/>
          <w:szCs w:val="24"/>
        </w:rPr>
        <w:t>Duquesne Light Company,</w:t>
      </w:r>
      <w:r w:rsidR="000C7BDF">
        <w:rPr>
          <w:rFonts w:eastAsiaTheme="minorHAnsi"/>
          <w:szCs w:val="24"/>
        </w:rPr>
        <w:t xml:space="preserve"> Docket No. C-00979563</w:t>
      </w:r>
      <w:r w:rsidR="00CA378F">
        <w:rPr>
          <w:rFonts w:eastAsiaTheme="minorHAnsi"/>
          <w:szCs w:val="24"/>
        </w:rPr>
        <w:t xml:space="preserve"> (Opinion and Order Entered September 18, 1998).</w:t>
      </w:r>
    </w:p>
    <w:p w:rsidR="00BF2A91" w:rsidRDefault="00BF2A91" w:rsidP="009A34F0">
      <w:pPr>
        <w:tabs>
          <w:tab w:val="clear" w:pos="1440"/>
        </w:tabs>
        <w:spacing w:after="0"/>
      </w:pPr>
    </w:p>
    <w:p w:rsidR="00F9069D" w:rsidRDefault="00C34439" w:rsidP="0012471A">
      <w:pPr>
        <w:tabs>
          <w:tab w:val="clear" w:pos="1440"/>
          <w:tab w:val="left" w:pos="0"/>
        </w:tabs>
        <w:spacing w:after="0"/>
      </w:pPr>
      <w:r>
        <w:tab/>
      </w:r>
      <w:r>
        <w:tab/>
        <w:t xml:space="preserve">Mr. Mandeville asserts that PPL transferred </w:t>
      </w:r>
      <w:r w:rsidR="00563304">
        <w:t>$8,747.77 to his account soon after he moved to the service address in 2012.  Mr. Mandeville claims this balance was discharge</w:t>
      </w:r>
      <w:r w:rsidR="001C614E">
        <w:t>d</w:t>
      </w:r>
      <w:r w:rsidR="00563304">
        <w:t xml:space="preserve"> in bankruptcy.  PPL claims the $8,747.77 accrued after the bankruptcy, and therefore Mr.</w:t>
      </w:r>
      <w:r w:rsidR="00B13713">
        <w:t> </w:t>
      </w:r>
      <w:r w:rsidR="00563304">
        <w:t xml:space="preserve">Mandeville is responsible for the bill.  There is no documentary evidence of </w:t>
      </w:r>
      <w:r w:rsidR="00563304">
        <w:lastRenderedPageBreak/>
        <w:t>Mr.</w:t>
      </w:r>
      <w:r w:rsidR="00A46345">
        <w:t> </w:t>
      </w:r>
      <w:r w:rsidR="00563304">
        <w:t xml:space="preserve">Mandeville’s bankruptcy filing or discharge.  However, Mr. Mandeville credibly testified that he was living out-of-state for 5 to 6 years before </w:t>
      </w:r>
      <w:r w:rsidR="0012471A">
        <w:t xml:space="preserve">he </w:t>
      </w:r>
      <w:r w:rsidR="00563304">
        <w:t xml:space="preserve">started receiving </w:t>
      </w:r>
      <w:r w:rsidR="0012471A">
        <w:t xml:space="preserve">electric </w:t>
      </w:r>
      <w:r w:rsidR="00563304">
        <w:t xml:space="preserve">service at the service address.  Therefore by necessity </w:t>
      </w:r>
      <w:r w:rsidR="002A6FF8">
        <w:t>th</w:t>
      </w:r>
      <w:r w:rsidR="00CA378F">
        <w:t>e</w:t>
      </w:r>
      <w:r w:rsidR="002A6FF8">
        <w:t xml:space="preserve"> $8,747.77 that PPL transferred to his account on November 1, 2012 accrued more than 4 years prior to the transfer. </w:t>
      </w:r>
      <w:r w:rsidR="00563304">
        <w:t xml:space="preserve"> </w:t>
      </w:r>
      <w:r w:rsidR="002A6FF8">
        <w:t xml:space="preserve">More importantly PPL did not present any evidence as to when the stale charges accrued or at what address.  Tr. </w:t>
      </w:r>
      <w:r w:rsidR="0012471A">
        <w:t xml:space="preserve">45.  </w:t>
      </w:r>
      <w:r w:rsidR="002A6FF8">
        <w:t>Accordingly</w:t>
      </w:r>
      <w:r w:rsidR="005E5D60">
        <w:t>,</w:t>
      </w:r>
      <w:r w:rsidR="002A6FF8">
        <w:t xml:space="preserve"> the transfer </w:t>
      </w:r>
      <w:r w:rsidR="0012471A">
        <w:t xml:space="preserve">of the stale charges </w:t>
      </w:r>
      <w:r w:rsidR="002A6FF8">
        <w:t>was improper</w:t>
      </w:r>
      <w:r w:rsidR="0012471A">
        <w:t xml:space="preserve"> on October 29, 2012 and violated the Code’s Section 56.35</w:t>
      </w:r>
      <w:r w:rsidR="002A6FF8">
        <w:t>.</w:t>
      </w:r>
      <w:r w:rsidR="000345B8">
        <w:t xml:space="preserve">  </w:t>
      </w:r>
      <w:r w:rsidR="0012471A">
        <w:t>PPL</w:t>
      </w:r>
      <w:r w:rsidR="00F9069D">
        <w:t xml:space="preserve"> </w:t>
      </w:r>
      <w:r w:rsidR="0012471A">
        <w:t>violated Section 56.35 when it conditioned the restoration of Mr.</w:t>
      </w:r>
      <w:r w:rsidR="0079268B">
        <w:t> </w:t>
      </w:r>
      <w:r w:rsidR="0012471A">
        <w:t>Mandeville’s service on November 18, 2013</w:t>
      </w:r>
      <w:r w:rsidR="0093160E">
        <w:t>,</w:t>
      </w:r>
      <w:r w:rsidR="0012471A">
        <w:t xml:space="preserve"> under a payment </w:t>
      </w:r>
      <w:r w:rsidR="0093160E">
        <w:t xml:space="preserve">arrangement, </w:t>
      </w:r>
      <w:r w:rsidR="0012471A">
        <w:t xml:space="preserve">the terms of which included the $8,747.77 in charges </w:t>
      </w:r>
      <w:r w:rsidR="0093160E">
        <w:t>that</w:t>
      </w:r>
      <w:r w:rsidR="00F9074F">
        <w:t xml:space="preserve"> had accrued more than four year ago.</w:t>
      </w:r>
      <w:r w:rsidR="0012471A">
        <w:t xml:space="preserve">  Exhibits 1A, 2B.</w:t>
      </w:r>
      <w:r w:rsidR="00F9074F">
        <w:t xml:space="preserve">  </w:t>
      </w:r>
    </w:p>
    <w:p w:rsidR="002A3979" w:rsidRDefault="002A3979" w:rsidP="0012471A">
      <w:pPr>
        <w:tabs>
          <w:tab w:val="clear" w:pos="1440"/>
          <w:tab w:val="left" w:pos="0"/>
        </w:tabs>
        <w:spacing w:after="0"/>
      </w:pPr>
    </w:p>
    <w:p w:rsidR="006D6872" w:rsidRDefault="00F9069D" w:rsidP="0012471A">
      <w:pPr>
        <w:tabs>
          <w:tab w:val="clear" w:pos="1440"/>
          <w:tab w:val="left" w:pos="0"/>
        </w:tabs>
        <w:spacing w:after="0"/>
      </w:pPr>
      <w:r>
        <w:tab/>
      </w:r>
      <w:r>
        <w:tab/>
      </w:r>
      <w:r w:rsidR="00F9074F">
        <w:t xml:space="preserve">Thus a conclusion is required that Mr. Mandeville carried </w:t>
      </w:r>
      <w:r w:rsidR="00983C35">
        <w:t>h</w:t>
      </w:r>
      <w:r w:rsidR="00F9074F">
        <w:t>is burden of proving there are incorrect charges in his bill.</w:t>
      </w:r>
      <w:r w:rsidR="006D6872">
        <w:t xml:space="preserve">  Accordingly in the ordering paragraphs below, PPL will </w:t>
      </w:r>
      <w:r w:rsidR="00AD3543">
        <w:t xml:space="preserve">be </w:t>
      </w:r>
      <w:r w:rsidR="006D6872">
        <w:t xml:space="preserve">directed to remove from his account $8,747.77 in charges plus any late </w:t>
      </w:r>
      <w:r w:rsidR="003339C8">
        <w:t>charges</w:t>
      </w:r>
      <w:r w:rsidR="006D6872">
        <w:t xml:space="preserve"> or penalties and to issue him a corrected bill. </w:t>
      </w:r>
    </w:p>
    <w:p w:rsidR="0012471A" w:rsidRDefault="0012471A" w:rsidP="0012471A">
      <w:pPr>
        <w:tabs>
          <w:tab w:val="clear" w:pos="1440"/>
          <w:tab w:val="left" w:pos="0"/>
        </w:tabs>
        <w:spacing w:after="0"/>
      </w:pPr>
    </w:p>
    <w:p w:rsidR="00BF2A91" w:rsidRPr="00F9069D" w:rsidRDefault="00BF2A91" w:rsidP="00BF2A91">
      <w:pPr>
        <w:tabs>
          <w:tab w:val="clear" w:pos="1440"/>
        </w:tabs>
        <w:spacing w:after="0"/>
        <w:rPr>
          <w:rFonts w:eastAsiaTheme="minorHAnsi"/>
          <w:szCs w:val="24"/>
          <w:u w:val="single"/>
        </w:rPr>
      </w:pPr>
      <w:r w:rsidRPr="00F9069D">
        <w:rPr>
          <w:rFonts w:eastAsiaTheme="minorHAnsi"/>
          <w:szCs w:val="24"/>
          <w:u w:val="single"/>
        </w:rPr>
        <w:t>Payment Arrangements</w:t>
      </w:r>
    </w:p>
    <w:p w:rsidR="00BF2A91" w:rsidRPr="00BF2A91" w:rsidRDefault="00BF2A91" w:rsidP="00BF2A91">
      <w:pPr>
        <w:tabs>
          <w:tab w:val="clear" w:pos="1440"/>
        </w:tabs>
        <w:spacing w:after="0"/>
        <w:rPr>
          <w:rFonts w:eastAsiaTheme="minorHAnsi"/>
          <w:szCs w:val="24"/>
          <w:highlight w:val="yellow"/>
          <w:u w:val="single"/>
        </w:rPr>
      </w:pPr>
    </w:p>
    <w:p w:rsidR="00286F05" w:rsidRDefault="00BF2A91" w:rsidP="00286F05">
      <w:pPr>
        <w:tabs>
          <w:tab w:val="clear" w:pos="1440"/>
        </w:tabs>
        <w:spacing w:after="0"/>
        <w:rPr>
          <w:rFonts w:eastAsiaTheme="minorHAnsi"/>
          <w:szCs w:val="24"/>
        </w:rPr>
      </w:pPr>
      <w:r w:rsidRPr="00BF2A91">
        <w:rPr>
          <w:rFonts w:eastAsiaTheme="minorHAnsi"/>
          <w:szCs w:val="24"/>
        </w:rPr>
        <w:tab/>
      </w:r>
      <w:r w:rsidRPr="00BF2A91">
        <w:rPr>
          <w:rFonts w:eastAsiaTheme="minorHAnsi"/>
          <w:szCs w:val="24"/>
        </w:rPr>
        <w:tab/>
        <w:t>The relief that M</w:t>
      </w:r>
      <w:r w:rsidR="007D7920">
        <w:rPr>
          <w:rFonts w:eastAsiaTheme="minorHAnsi"/>
          <w:szCs w:val="24"/>
        </w:rPr>
        <w:t>r</w:t>
      </w:r>
      <w:r w:rsidRPr="00BF2A91">
        <w:rPr>
          <w:rFonts w:eastAsiaTheme="minorHAnsi"/>
          <w:szCs w:val="24"/>
        </w:rPr>
        <w:t xml:space="preserve">. </w:t>
      </w:r>
      <w:r w:rsidR="007D7920">
        <w:rPr>
          <w:rFonts w:eastAsiaTheme="minorHAnsi"/>
          <w:szCs w:val="24"/>
        </w:rPr>
        <w:t>Mandeville</w:t>
      </w:r>
      <w:r w:rsidRPr="00BF2A91">
        <w:rPr>
          <w:rFonts w:eastAsiaTheme="minorHAnsi"/>
          <w:szCs w:val="24"/>
        </w:rPr>
        <w:t xml:space="preserve"> seeks is a reasonable payment a</w:t>
      </w:r>
      <w:r w:rsidR="00FE22F5">
        <w:rPr>
          <w:rFonts w:eastAsiaTheme="minorHAnsi"/>
          <w:szCs w:val="24"/>
        </w:rPr>
        <w:t>rrangement</w:t>
      </w:r>
      <w:r w:rsidRPr="00BF2A91">
        <w:rPr>
          <w:rFonts w:eastAsiaTheme="minorHAnsi"/>
          <w:szCs w:val="24"/>
        </w:rPr>
        <w:t xml:space="preserve">.  However, </w:t>
      </w:r>
      <w:r w:rsidRPr="00F9069D">
        <w:rPr>
          <w:rFonts w:eastAsiaTheme="minorHAnsi"/>
          <w:szCs w:val="24"/>
        </w:rPr>
        <w:t>a public utility is entitled to full</w:t>
      </w:r>
      <w:r w:rsidRPr="00BF2A91">
        <w:rPr>
          <w:rFonts w:eastAsiaTheme="minorHAnsi"/>
          <w:szCs w:val="24"/>
        </w:rPr>
        <w:t xml:space="preserve"> payment for service provided to customers and all customers are obligated to pay for the utility service provided to them.  Otherwise, a customer’s unpaid bills are included in the utility’s uncollectible expenses and ultimately paid for by other utility customers.  </w:t>
      </w:r>
      <w:r w:rsidRPr="00BF2A91">
        <w:rPr>
          <w:rFonts w:eastAsiaTheme="minorHAnsi"/>
          <w:i/>
          <w:szCs w:val="24"/>
        </w:rPr>
        <w:t>Scaccia v. West Penn Power Co.</w:t>
      </w:r>
      <w:r w:rsidRPr="00BF2A91">
        <w:rPr>
          <w:rFonts w:eastAsiaTheme="minorHAnsi"/>
          <w:szCs w:val="24"/>
        </w:rPr>
        <w:t xml:space="preserve">, 55 Pa. P.U.C. 637 (1982); </w:t>
      </w:r>
      <w:r w:rsidRPr="00BF2A91">
        <w:rPr>
          <w:rFonts w:eastAsiaTheme="minorHAnsi"/>
          <w:i/>
          <w:szCs w:val="24"/>
        </w:rPr>
        <w:t>Mill v. Pa. Pub</w:t>
      </w:r>
      <w:r w:rsidR="00317F7E">
        <w:rPr>
          <w:rFonts w:eastAsiaTheme="minorHAnsi"/>
          <w:i/>
          <w:szCs w:val="24"/>
        </w:rPr>
        <w:t>. Util.</w:t>
      </w:r>
      <w:r w:rsidRPr="00BF2A91">
        <w:rPr>
          <w:rFonts w:eastAsiaTheme="minorHAnsi"/>
          <w:i/>
          <w:szCs w:val="24"/>
        </w:rPr>
        <w:t xml:space="preserve"> Comm’n</w:t>
      </w:r>
      <w:r w:rsidRPr="00BF2A91">
        <w:rPr>
          <w:rFonts w:eastAsiaTheme="minorHAnsi"/>
          <w:szCs w:val="24"/>
        </w:rPr>
        <w:t xml:space="preserve">, 447 A.2d 1100 (1982); </w:t>
      </w:r>
      <w:r w:rsidRPr="00BF2A91">
        <w:rPr>
          <w:rFonts w:eastAsiaTheme="minorHAnsi"/>
          <w:i/>
          <w:szCs w:val="24"/>
        </w:rPr>
        <w:t>Bolt v. Duquesne Light</w:t>
      </w:r>
      <w:r w:rsidR="00E43018">
        <w:rPr>
          <w:rFonts w:eastAsiaTheme="minorHAnsi"/>
          <w:i/>
          <w:szCs w:val="24"/>
        </w:rPr>
        <w:t xml:space="preserve"> </w:t>
      </w:r>
      <w:r w:rsidRPr="00BF2A91">
        <w:rPr>
          <w:rFonts w:eastAsiaTheme="minorHAnsi"/>
          <w:i/>
          <w:szCs w:val="24"/>
        </w:rPr>
        <w:t>Company</w:t>
      </w:r>
      <w:r w:rsidRPr="00BF2A91">
        <w:rPr>
          <w:rFonts w:eastAsiaTheme="minorHAnsi"/>
          <w:szCs w:val="24"/>
        </w:rPr>
        <w:t>, Docket No. Z-8712758 (Order entered April 8, 1988).</w:t>
      </w:r>
      <w:r w:rsidR="00286F05">
        <w:rPr>
          <w:rFonts w:eastAsiaTheme="minorHAnsi"/>
          <w:szCs w:val="24"/>
        </w:rPr>
        <w:t xml:space="preserve">  Although Mr. Mandeville disputed the </w:t>
      </w:r>
      <w:r w:rsidR="00286F05">
        <w:t xml:space="preserve">$8,747.77 in charges improperly transferred to </w:t>
      </w:r>
      <w:r w:rsidR="0078517E">
        <w:t xml:space="preserve">his </w:t>
      </w:r>
      <w:r w:rsidR="00286F05">
        <w:t>account in November 2012, Mr. Mandeville was still required to pay the monthly undisputed charges.</w:t>
      </w:r>
      <w:r w:rsidR="00FE1A04">
        <w:rPr>
          <w:rStyle w:val="FootnoteReference"/>
        </w:rPr>
        <w:footnoteReference w:id="7"/>
      </w:r>
      <w:r w:rsidR="0078517E">
        <w:t xml:space="preserve">  However he failed to make monthly payments on the undisputed charges.</w:t>
      </w:r>
    </w:p>
    <w:p w:rsidR="00E43018" w:rsidRDefault="00E43018" w:rsidP="00E43018">
      <w:pPr>
        <w:tabs>
          <w:tab w:val="clear" w:pos="1440"/>
        </w:tabs>
        <w:spacing w:after="0"/>
        <w:rPr>
          <w:rFonts w:eastAsiaTheme="minorHAnsi"/>
          <w:szCs w:val="24"/>
        </w:rPr>
      </w:pPr>
    </w:p>
    <w:p w:rsidR="00785B3B" w:rsidRDefault="00E43018" w:rsidP="00511F47">
      <w:pPr>
        <w:tabs>
          <w:tab w:val="clear" w:pos="1440"/>
        </w:tabs>
        <w:spacing w:after="0"/>
      </w:pPr>
      <w:r>
        <w:rPr>
          <w:rFonts w:eastAsiaTheme="minorHAnsi"/>
          <w:szCs w:val="24"/>
        </w:rPr>
        <w:lastRenderedPageBreak/>
        <w:tab/>
      </w:r>
      <w:r>
        <w:rPr>
          <w:rFonts w:eastAsiaTheme="minorHAnsi"/>
          <w:szCs w:val="24"/>
        </w:rPr>
        <w:tab/>
      </w:r>
      <w:r w:rsidR="00BF2A91" w:rsidRPr="00BF2A91">
        <w:rPr>
          <w:rFonts w:eastAsiaTheme="minorHAnsi"/>
          <w:szCs w:val="24"/>
        </w:rPr>
        <w:t xml:space="preserve">In the present proceeding, the evidence demonstrates that </w:t>
      </w:r>
      <w:r w:rsidR="00F145BF">
        <w:rPr>
          <w:rFonts w:eastAsiaTheme="minorHAnsi"/>
          <w:szCs w:val="24"/>
        </w:rPr>
        <w:t xml:space="preserve">over the last three years </w:t>
      </w:r>
      <w:r w:rsidR="00BF2A91" w:rsidRPr="00BF2A91">
        <w:rPr>
          <w:rFonts w:eastAsiaTheme="minorHAnsi"/>
          <w:szCs w:val="24"/>
        </w:rPr>
        <w:t>M</w:t>
      </w:r>
      <w:r>
        <w:rPr>
          <w:rFonts w:eastAsiaTheme="minorHAnsi"/>
          <w:szCs w:val="24"/>
        </w:rPr>
        <w:t>r.</w:t>
      </w:r>
      <w:r w:rsidR="00BF2A91" w:rsidRPr="00BF2A91">
        <w:rPr>
          <w:rFonts w:eastAsiaTheme="minorHAnsi"/>
          <w:szCs w:val="24"/>
        </w:rPr>
        <w:t xml:space="preserve"> </w:t>
      </w:r>
      <w:r>
        <w:rPr>
          <w:rFonts w:eastAsiaTheme="minorHAnsi"/>
          <w:szCs w:val="24"/>
        </w:rPr>
        <w:t>Mandeville</w:t>
      </w:r>
      <w:r w:rsidR="00F145BF">
        <w:rPr>
          <w:rFonts w:eastAsiaTheme="minorHAnsi"/>
          <w:szCs w:val="24"/>
        </w:rPr>
        <w:t xml:space="preserve"> made one payment of </w:t>
      </w:r>
      <w:r w:rsidR="00785B3B">
        <w:rPr>
          <w:rFonts w:eastAsiaTheme="minorHAnsi"/>
          <w:szCs w:val="24"/>
        </w:rPr>
        <w:t xml:space="preserve">$500.00 in early 2015.  Tr. 41.  Other payments were made on his account on January 2, 2014, through LIHEAP and CRISIS grants in the amount of </w:t>
      </w:r>
      <w:r w:rsidR="00785B3B">
        <w:t xml:space="preserve">$257.00 and $171.00, respectively.  Exhibits 1A, 2B.  </w:t>
      </w:r>
    </w:p>
    <w:p w:rsidR="00286F05" w:rsidRDefault="00286F05" w:rsidP="00785B3B">
      <w:pPr>
        <w:tabs>
          <w:tab w:val="clear" w:pos="1440"/>
          <w:tab w:val="left" w:pos="0"/>
        </w:tabs>
        <w:spacing w:after="0"/>
      </w:pPr>
    </w:p>
    <w:p w:rsidR="00286F05" w:rsidRPr="00AF6B60" w:rsidRDefault="00286F05" w:rsidP="00286F05">
      <w:pPr>
        <w:spacing w:after="0"/>
        <w:rPr>
          <w:snapToGrid w:val="0"/>
          <w:szCs w:val="24"/>
        </w:rPr>
      </w:pPr>
      <w:r>
        <w:rPr>
          <w:snapToGrid w:val="0"/>
          <w:szCs w:val="24"/>
        </w:rPr>
        <w:tab/>
      </w:r>
      <w:r w:rsidRPr="00AF6B60">
        <w:rPr>
          <w:snapToGrid w:val="0"/>
          <w:szCs w:val="24"/>
        </w:rPr>
        <w:t>When a complainant with a poor payment history seeks a payment plan, the Commission has stated as follows:</w:t>
      </w:r>
    </w:p>
    <w:p w:rsidR="00286F05" w:rsidRPr="00AF6B60" w:rsidRDefault="00286F05" w:rsidP="007D3C65">
      <w:pPr>
        <w:widowControl w:val="0"/>
        <w:tabs>
          <w:tab w:val="clear" w:pos="1440"/>
        </w:tabs>
        <w:autoSpaceDE w:val="0"/>
        <w:autoSpaceDN w:val="0"/>
        <w:spacing w:after="0" w:line="240" w:lineRule="auto"/>
        <w:rPr>
          <w:snapToGrid w:val="0"/>
          <w:szCs w:val="24"/>
        </w:rPr>
      </w:pPr>
    </w:p>
    <w:p w:rsidR="00286F05" w:rsidRDefault="00286F05" w:rsidP="00286F05">
      <w:pPr>
        <w:widowControl w:val="0"/>
        <w:tabs>
          <w:tab w:val="clear" w:pos="1440"/>
        </w:tabs>
        <w:spacing w:after="0" w:line="240" w:lineRule="auto"/>
        <w:ind w:left="1440" w:right="1440"/>
        <w:rPr>
          <w:snapToGrid w:val="0"/>
          <w:szCs w:val="24"/>
        </w:rPr>
      </w:pPr>
      <w:r w:rsidRPr="00AF6B60">
        <w:rPr>
          <w:snapToGrid w:val="0"/>
          <w:szCs w:val="24"/>
        </w:rPr>
        <w:t xml:space="preserve">We believe that the Commission has a responsibility to exercise its authority very judiciously when a utility has lawfully terminated a customer for nonpayment.  Specifically, this Commission should </w:t>
      </w:r>
    </w:p>
    <w:p w:rsidR="00B636E9" w:rsidRDefault="00286F05" w:rsidP="00286F05">
      <w:pPr>
        <w:widowControl w:val="0"/>
        <w:tabs>
          <w:tab w:val="clear" w:pos="1440"/>
        </w:tabs>
        <w:spacing w:after="0" w:line="240" w:lineRule="auto"/>
        <w:ind w:left="1440" w:right="1440"/>
        <w:rPr>
          <w:snapToGrid w:val="0"/>
          <w:szCs w:val="24"/>
        </w:rPr>
      </w:pPr>
      <w:proofErr w:type="gramStart"/>
      <w:r w:rsidRPr="00AF6B60">
        <w:rPr>
          <w:snapToGrid w:val="0"/>
          <w:szCs w:val="24"/>
        </w:rPr>
        <w:t>exercise</w:t>
      </w:r>
      <w:proofErr w:type="gramEnd"/>
      <w:r w:rsidRPr="00AF6B60">
        <w:rPr>
          <w:snapToGrid w:val="0"/>
          <w:szCs w:val="24"/>
        </w:rPr>
        <w:t xml:space="preserve"> its discretion only on behalf of customers who have demonstrated some evidence of good faith efforts to pay their </w:t>
      </w:r>
    </w:p>
    <w:p w:rsidR="00286F05" w:rsidRPr="00AF6B60" w:rsidRDefault="00286F05" w:rsidP="00286F05">
      <w:pPr>
        <w:widowControl w:val="0"/>
        <w:tabs>
          <w:tab w:val="clear" w:pos="1440"/>
        </w:tabs>
        <w:spacing w:after="0" w:line="240" w:lineRule="auto"/>
        <w:ind w:left="1440" w:right="1440"/>
        <w:rPr>
          <w:snapToGrid w:val="0"/>
          <w:szCs w:val="24"/>
        </w:rPr>
      </w:pPr>
      <w:proofErr w:type="gramStart"/>
      <w:r w:rsidRPr="00AF6B60">
        <w:rPr>
          <w:snapToGrid w:val="0"/>
          <w:szCs w:val="24"/>
        </w:rPr>
        <w:t>utility</w:t>
      </w:r>
      <w:proofErr w:type="gramEnd"/>
      <w:r w:rsidRPr="00AF6B60">
        <w:rPr>
          <w:snapToGrid w:val="0"/>
          <w:szCs w:val="24"/>
        </w:rPr>
        <w:t xml:space="preserve"> bills, or who have experienced a significant change of circumstance outside of their control.</w:t>
      </w:r>
    </w:p>
    <w:p w:rsidR="00286F05" w:rsidRPr="00AF6B60" w:rsidRDefault="00286F05" w:rsidP="00286F05">
      <w:pPr>
        <w:widowControl w:val="0"/>
        <w:tabs>
          <w:tab w:val="clear" w:pos="1440"/>
        </w:tabs>
        <w:autoSpaceDE w:val="0"/>
        <w:autoSpaceDN w:val="0"/>
        <w:spacing w:after="0" w:line="240" w:lineRule="auto"/>
        <w:ind w:left="1440" w:right="1440"/>
        <w:rPr>
          <w:snapToGrid w:val="0"/>
          <w:szCs w:val="24"/>
        </w:rPr>
      </w:pPr>
      <w:r w:rsidRPr="00AF6B60">
        <w:rPr>
          <w:snapToGrid w:val="0"/>
          <w:szCs w:val="24"/>
        </w:rPr>
        <w:t xml:space="preserve"> </w:t>
      </w:r>
    </w:p>
    <w:p w:rsidR="00286F05" w:rsidRDefault="00286F05" w:rsidP="00286F05">
      <w:pPr>
        <w:tabs>
          <w:tab w:val="clear" w:pos="1440"/>
        </w:tabs>
        <w:spacing w:after="0"/>
      </w:pPr>
      <w:r w:rsidRPr="006C441A">
        <w:rPr>
          <w:i/>
          <w:szCs w:val="24"/>
        </w:rPr>
        <w:t>George Crawford v</w:t>
      </w:r>
      <w:r>
        <w:rPr>
          <w:i/>
          <w:szCs w:val="24"/>
        </w:rPr>
        <w:t>.</w:t>
      </w:r>
      <w:r w:rsidRPr="006C441A">
        <w:rPr>
          <w:i/>
          <w:szCs w:val="24"/>
        </w:rPr>
        <w:t xml:space="preserve"> National Fuel Gas Distribution Corporation,</w:t>
      </w:r>
      <w:r>
        <w:rPr>
          <w:i/>
          <w:szCs w:val="24"/>
        </w:rPr>
        <w:t xml:space="preserve"> </w:t>
      </w:r>
      <w:r>
        <w:rPr>
          <w:szCs w:val="24"/>
        </w:rPr>
        <w:t>D</w:t>
      </w:r>
      <w:r w:rsidRPr="006C441A">
        <w:rPr>
          <w:szCs w:val="24"/>
        </w:rPr>
        <w:t>ocket No. C-20066348</w:t>
      </w:r>
      <w:r>
        <w:rPr>
          <w:szCs w:val="24"/>
        </w:rPr>
        <w:t>, at 15-16</w:t>
      </w:r>
      <w:r w:rsidRPr="006C441A">
        <w:rPr>
          <w:szCs w:val="24"/>
        </w:rPr>
        <w:t xml:space="preserve"> (Opi</w:t>
      </w:r>
      <w:r>
        <w:rPr>
          <w:szCs w:val="24"/>
        </w:rPr>
        <w:t>n</w:t>
      </w:r>
      <w:r w:rsidRPr="006C441A">
        <w:rPr>
          <w:szCs w:val="24"/>
        </w:rPr>
        <w:t xml:space="preserve">ion and Order entered August 3, 2007). </w:t>
      </w:r>
    </w:p>
    <w:p w:rsidR="00286F05" w:rsidRDefault="00286F05" w:rsidP="00286F05">
      <w:pPr>
        <w:spacing w:after="0"/>
      </w:pPr>
    </w:p>
    <w:p w:rsidR="00286F05" w:rsidRDefault="00286F05" w:rsidP="00286F05">
      <w:pPr>
        <w:spacing w:after="0"/>
      </w:pPr>
      <w:r>
        <w:rPr>
          <w:rFonts w:ascii="Times New (W1)" w:hAnsi="Times New (W1)"/>
          <w:kern w:val="26"/>
        </w:rPr>
        <w:tab/>
        <w:t xml:space="preserve">In addition, </w:t>
      </w:r>
      <w:r w:rsidR="00F9069D">
        <w:rPr>
          <w:rFonts w:ascii="Times New (W1)" w:hAnsi="Times New (W1)"/>
          <w:kern w:val="26"/>
        </w:rPr>
        <w:t xml:space="preserve">Mr. Mandeville defaulted on the payment arrangement that BCS issued to him on </w:t>
      </w:r>
      <w:r w:rsidR="0078517E">
        <w:t>December 4, 2006</w:t>
      </w:r>
      <w:r w:rsidR="00F9069D">
        <w:t>.</w:t>
      </w:r>
      <w:r>
        <w:rPr>
          <w:rFonts w:ascii="Times New (W1)" w:hAnsi="Times New (W1)"/>
          <w:kern w:val="26"/>
        </w:rPr>
        <w:t xml:space="preserve">  Any further Commission directed payment arrangements are possible only with a change in circumstances, as set forth in 66 Pa.C.S. §</w:t>
      </w:r>
      <w:r w:rsidR="002040F2">
        <w:rPr>
          <w:rFonts w:ascii="Times New (W1)" w:hAnsi="Times New (W1)"/>
          <w:kern w:val="26"/>
        </w:rPr>
        <w:t xml:space="preserve"> </w:t>
      </w:r>
      <w:r>
        <w:rPr>
          <w:rFonts w:ascii="Times New (W1)" w:hAnsi="Times New (W1)"/>
          <w:kern w:val="26"/>
        </w:rPr>
        <w:t>1405(d).  Mr.</w:t>
      </w:r>
      <w:r w:rsidR="005E6C69">
        <w:rPr>
          <w:rFonts w:ascii="Times New (W1)" w:hAnsi="Times New (W1)"/>
          <w:kern w:val="26"/>
        </w:rPr>
        <w:t> </w:t>
      </w:r>
      <w:r>
        <w:rPr>
          <w:rFonts w:ascii="Times New (W1)" w:hAnsi="Times New (W1)"/>
          <w:kern w:val="26"/>
        </w:rPr>
        <w:t xml:space="preserve">Mandeville did not demonstrate any change in circumstances. </w:t>
      </w:r>
    </w:p>
    <w:p w:rsidR="00286F05" w:rsidRDefault="00286F05" w:rsidP="00286F05">
      <w:pPr>
        <w:spacing w:after="0"/>
        <w:rPr>
          <w:szCs w:val="24"/>
        </w:rPr>
      </w:pPr>
    </w:p>
    <w:p w:rsidR="00286F05" w:rsidRDefault="00286F05" w:rsidP="00286F05">
      <w:pPr>
        <w:spacing w:after="0"/>
        <w:rPr>
          <w:szCs w:val="24"/>
        </w:rPr>
      </w:pPr>
      <w:r>
        <w:rPr>
          <w:szCs w:val="24"/>
        </w:rPr>
        <w:tab/>
        <w:t xml:space="preserve">Based upon all of the above reasoning, a conclusion is required that the </w:t>
      </w:r>
      <w:r w:rsidR="006D6872">
        <w:rPr>
          <w:szCs w:val="24"/>
        </w:rPr>
        <w:t>Mr.</w:t>
      </w:r>
      <w:r w:rsidR="005E6C69">
        <w:rPr>
          <w:szCs w:val="24"/>
        </w:rPr>
        <w:t> </w:t>
      </w:r>
      <w:r w:rsidR="006D6872">
        <w:rPr>
          <w:szCs w:val="24"/>
        </w:rPr>
        <w:t>Mandeville</w:t>
      </w:r>
      <w:r>
        <w:rPr>
          <w:szCs w:val="24"/>
        </w:rPr>
        <w:t xml:space="preserve"> has not made any good faith effort to make payments on his utility account.  Therefore it is not appropriate to award him a payment arrangement based upon his payment history and prior receipt of a BCS payment arrangement.</w:t>
      </w:r>
    </w:p>
    <w:p w:rsidR="0048710F" w:rsidRDefault="0048710F" w:rsidP="0048710F">
      <w:pPr>
        <w:tabs>
          <w:tab w:val="clear" w:pos="1440"/>
        </w:tabs>
        <w:spacing w:after="0"/>
        <w:rPr>
          <w:rFonts w:eastAsiaTheme="minorHAnsi"/>
          <w:szCs w:val="24"/>
        </w:rPr>
      </w:pPr>
    </w:p>
    <w:p w:rsidR="000074A4" w:rsidRPr="00046A14" w:rsidRDefault="000074A4" w:rsidP="000074A4">
      <w:pPr>
        <w:tabs>
          <w:tab w:val="clear" w:pos="1440"/>
        </w:tabs>
        <w:spacing w:after="0"/>
        <w:jc w:val="both"/>
        <w:rPr>
          <w:rFonts w:eastAsiaTheme="minorHAnsi"/>
          <w:szCs w:val="24"/>
        </w:rPr>
      </w:pPr>
      <w:r w:rsidRPr="00046A14">
        <w:rPr>
          <w:rFonts w:eastAsiaTheme="minorHAnsi"/>
          <w:szCs w:val="24"/>
          <w:u w:val="single"/>
        </w:rPr>
        <w:t xml:space="preserve">Reasonable Service Requirement in </w:t>
      </w:r>
      <w:r>
        <w:rPr>
          <w:rFonts w:eastAsiaTheme="minorHAnsi"/>
          <w:szCs w:val="24"/>
          <w:u w:val="single"/>
        </w:rPr>
        <w:t xml:space="preserve">Billing A Customer for </w:t>
      </w:r>
      <w:r w:rsidRPr="00046A14">
        <w:rPr>
          <w:rFonts w:eastAsiaTheme="minorHAnsi"/>
          <w:szCs w:val="24"/>
          <w:u w:val="single"/>
        </w:rPr>
        <w:t>Service</w:t>
      </w:r>
    </w:p>
    <w:p w:rsidR="000074A4" w:rsidRPr="00046A14" w:rsidRDefault="000074A4" w:rsidP="000074A4">
      <w:pPr>
        <w:tabs>
          <w:tab w:val="clear" w:pos="1440"/>
          <w:tab w:val="left" w:pos="0"/>
        </w:tabs>
        <w:autoSpaceDE w:val="0"/>
        <w:autoSpaceDN w:val="0"/>
        <w:spacing w:after="0"/>
        <w:rPr>
          <w:szCs w:val="24"/>
        </w:rPr>
      </w:pPr>
    </w:p>
    <w:p w:rsidR="000074A4" w:rsidRPr="00046A14" w:rsidRDefault="000074A4" w:rsidP="000074A4">
      <w:pPr>
        <w:tabs>
          <w:tab w:val="clear" w:pos="1440"/>
          <w:tab w:val="left" w:pos="0"/>
        </w:tabs>
        <w:autoSpaceDE w:val="0"/>
        <w:autoSpaceDN w:val="0"/>
        <w:spacing w:after="0"/>
        <w:rPr>
          <w:szCs w:val="24"/>
        </w:rPr>
      </w:pPr>
      <w:r w:rsidRPr="00046A14">
        <w:rPr>
          <w:szCs w:val="24"/>
        </w:rPr>
        <w:tab/>
      </w:r>
      <w:r w:rsidRPr="00046A14">
        <w:rPr>
          <w:szCs w:val="24"/>
        </w:rPr>
        <w:tab/>
        <w:t xml:space="preserve">Public utility companies are required to provide reasonable service to their customers as well as applicants.  In </w:t>
      </w:r>
      <w:r w:rsidRPr="00046A14">
        <w:rPr>
          <w:i/>
          <w:szCs w:val="24"/>
        </w:rPr>
        <w:t>Jerry Prosser</w:t>
      </w:r>
      <w:r w:rsidRPr="00046A14">
        <w:rPr>
          <w:szCs w:val="24"/>
        </w:rPr>
        <w:t xml:space="preserve"> v. </w:t>
      </w:r>
      <w:r w:rsidRPr="00046A14">
        <w:rPr>
          <w:i/>
          <w:szCs w:val="24"/>
        </w:rPr>
        <w:t>Columbia Gas of Penn</w:t>
      </w:r>
      <w:r w:rsidRPr="00046A14">
        <w:rPr>
          <w:szCs w:val="24"/>
        </w:rPr>
        <w:t>s</w:t>
      </w:r>
      <w:r w:rsidRPr="00046A14">
        <w:rPr>
          <w:i/>
          <w:szCs w:val="24"/>
        </w:rPr>
        <w:t>ylvania,</w:t>
      </w:r>
      <w:r w:rsidRPr="00046A14">
        <w:rPr>
          <w:szCs w:val="24"/>
        </w:rPr>
        <w:t xml:space="preserve"> Docket No. </w:t>
      </w:r>
      <w:r w:rsidRPr="00046A14">
        <w:rPr>
          <w:szCs w:val="24"/>
        </w:rPr>
        <w:lastRenderedPageBreak/>
        <w:t>C-20066376, (Opinion and Order entered October 30, 2006), the Commission explained the reasonable service requirement as follows:</w:t>
      </w:r>
      <w:r w:rsidRPr="00046A14">
        <w:rPr>
          <w:szCs w:val="24"/>
          <w:vertAlign w:val="superscript"/>
        </w:rPr>
        <w:footnoteReference w:id="8"/>
      </w:r>
    </w:p>
    <w:p w:rsidR="000074A4" w:rsidRPr="00046A14" w:rsidRDefault="000074A4" w:rsidP="005E6C69">
      <w:pPr>
        <w:tabs>
          <w:tab w:val="clear" w:pos="1440"/>
        </w:tabs>
        <w:spacing w:after="0" w:line="240" w:lineRule="auto"/>
        <w:rPr>
          <w:szCs w:val="24"/>
        </w:rPr>
      </w:pPr>
    </w:p>
    <w:p w:rsidR="000074A4" w:rsidRDefault="000074A4" w:rsidP="000074A4">
      <w:pPr>
        <w:tabs>
          <w:tab w:val="clear" w:pos="1440"/>
        </w:tabs>
        <w:spacing w:after="0" w:line="240" w:lineRule="auto"/>
        <w:ind w:left="1440" w:right="1166"/>
        <w:rPr>
          <w:szCs w:val="24"/>
        </w:rPr>
      </w:pPr>
      <w:r w:rsidRPr="00046A14">
        <w:rPr>
          <w:szCs w:val="24"/>
        </w:rPr>
        <w:tab/>
        <w:t xml:space="preserve">The Public Utility Code imposes a duty on every public utility to furnish and maintain adequate, efficient and reasonable service to the public.  66 Pa. C.S. § 1501.  The statutory definition of “service” is to be broadly construed.  </w:t>
      </w:r>
      <w:r w:rsidRPr="00046A14">
        <w:rPr>
          <w:i/>
          <w:szCs w:val="24"/>
        </w:rPr>
        <w:t xml:space="preserve">County Place Waste Treatment Company, Inc. v. Pennsylvania Public Utility Commission, </w:t>
      </w:r>
      <w:r w:rsidRPr="00046A14">
        <w:rPr>
          <w:szCs w:val="24"/>
        </w:rPr>
        <w:t xml:space="preserve">654 A.2d 72 (Pa. Cmwlth. 1995). </w:t>
      </w:r>
    </w:p>
    <w:p w:rsidR="003D79F5" w:rsidRPr="00046A14" w:rsidRDefault="003D79F5" w:rsidP="000074A4">
      <w:pPr>
        <w:tabs>
          <w:tab w:val="clear" w:pos="1440"/>
        </w:tabs>
        <w:spacing w:after="0" w:line="240" w:lineRule="auto"/>
        <w:ind w:left="1440" w:right="1166"/>
        <w:rPr>
          <w:szCs w:val="24"/>
        </w:rPr>
      </w:pPr>
    </w:p>
    <w:p w:rsidR="000074A4" w:rsidRPr="00046A14" w:rsidRDefault="000074A4" w:rsidP="000074A4">
      <w:pPr>
        <w:tabs>
          <w:tab w:val="clear" w:pos="1440"/>
        </w:tabs>
        <w:spacing w:after="0"/>
        <w:ind w:left="1440"/>
        <w:rPr>
          <w:szCs w:val="24"/>
        </w:rPr>
      </w:pPr>
      <w:r w:rsidRPr="00046A14">
        <w:rPr>
          <w:szCs w:val="24"/>
        </w:rPr>
        <w:tab/>
        <w:t>66 Pa. Code § 102 states, in pertinent part:</w:t>
      </w:r>
    </w:p>
    <w:p w:rsidR="000074A4" w:rsidRPr="00046A14" w:rsidRDefault="000074A4" w:rsidP="000074A4">
      <w:pPr>
        <w:tabs>
          <w:tab w:val="clear" w:pos="1440"/>
        </w:tabs>
        <w:spacing w:after="0" w:line="240" w:lineRule="auto"/>
        <w:ind w:left="2160" w:right="1440"/>
        <w:rPr>
          <w:szCs w:val="24"/>
        </w:rPr>
      </w:pPr>
      <w:r w:rsidRPr="00046A14">
        <w:rPr>
          <w:szCs w:val="24"/>
        </w:rPr>
        <w:tab/>
        <w:t>“Service.”  Used in its broadest and most inclusive sense, includes any and all acts done, rendered, or performed, and any and all things furnished or supplied, and any and all facilities used, furnished, or supplied by public utilities, or contract carriers by motor vehicle, in the performance of their duties under this part to their patrons, employees, other public utilities, and the public, as well as the interchange of facilities between two or more of them…</w:t>
      </w:r>
    </w:p>
    <w:p w:rsidR="000074A4" w:rsidRPr="00046A14" w:rsidRDefault="000074A4" w:rsidP="000074A4">
      <w:pPr>
        <w:tabs>
          <w:tab w:val="clear" w:pos="1440"/>
        </w:tabs>
        <w:spacing w:after="0" w:line="240" w:lineRule="auto"/>
        <w:ind w:left="1440" w:firstLine="720"/>
        <w:rPr>
          <w:sz w:val="26"/>
          <w:szCs w:val="26"/>
        </w:rPr>
      </w:pPr>
    </w:p>
    <w:p w:rsidR="000074A4" w:rsidRPr="00046A14" w:rsidRDefault="000074A4" w:rsidP="000074A4">
      <w:pPr>
        <w:tabs>
          <w:tab w:val="clear" w:pos="1440"/>
        </w:tabs>
        <w:spacing w:after="0"/>
        <w:rPr>
          <w:szCs w:val="24"/>
        </w:rPr>
      </w:pPr>
      <w:r w:rsidRPr="00046A14">
        <w:rPr>
          <w:i/>
          <w:szCs w:val="24"/>
        </w:rPr>
        <w:t>Prosser</w:t>
      </w:r>
      <w:r w:rsidRPr="00046A14">
        <w:rPr>
          <w:szCs w:val="24"/>
        </w:rPr>
        <w:t xml:space="preserve"> at 3.  In accordance with statutory construction, a public utility’s </w:t>
      </w:r>
      <w:r>
        <w:rPr>
          <w:szCs w:val="24"/>
        </w:rPr>
        <w:t>bills</w:t>
      </w:r>
      <w:r w:rsidR="006E08BD">
        <w:rPr>
          <w:szCs w:val="24"/>
        </w:rPr>
        <w:t xml:space="preserve"> </w:t>
      </w:r>
      <w:r>
        <w:rPr>
          <w:szCs w:val="24"/>
        </w:rPr>
        <w:t>to a customer</w:t>
      </w:r>
      <w:r w:rsidR="006E08BD">
        <w:rPr>
          <w:szCs w:val="24"/>
        </w:rPr>
        <w:t xml:space="preserve"> </w:t>
      </w:r>
      <w:r w:rsidRPr="00046A14">
        <w:rPr>
          <w:szCs w:val="24"/>
        </w:rPr>
        <w:t>fall within the broad definition of service, which requires the process to be reasonable.</w:t>
      </w:r>
    </w:p>
    <w:p w:rsidR="000074A4" w:rsidRDefault="000074A4" w:rsidP="0048710F">
      <w:pPr>
        <w:tabs>
          <w:tab w:val="clear" w:pos="1440"/>
        </w:tabs>
        <w:spacing w:after="0"/>
        <w:rPr>
          <w:rFonts w:eastAsiaTheme="minorHAnsi"/>
          <w:szCs w:val="24"/>
        </w:rPr>
      </w:pPr>
    </w:p>
    <w:p w:rsidR="0048710F" w:rsidRPr="0048710F" w:rsidRDefault="0048710F" w:rsidP="0048710F">
      <w:pPr>
        <w:tabs>
          <w:tab w:val="clear" w:pos="1440"/>
        </w:tabs>
        <w:autoSpaceDE w:val="0"/>
        <w:autoSpaceDN w:val="0"/>
        <w:spacing w:after="0"/>
        <w:rPr>
          <w:rFonts w:eastAsiaTheme="minorHAnsi"/>
          <w:szCs w:val="24"/>
          <w:u w:val="single"/>
        </w:rPr>
      </w:pPr>
      <w:r w:rsidRPr="0048710F">
        <w:rPr>
          <w:rFonts w:eastAsiaTheme="minorHAnsi"/>
          <w:szCs w:val="24"/>
          <w:u w:val="single"/>
        </w:rPr>
        <w:t>Civil Penalties</w:t>
      </w:r>
    </w:p>
    <w:p w:rsidR="0048710F" w:rsidRPr="0048710F" w:rsidRDefault="0048710F" w:rsidP="0048710F">
      <w:pPr>
        <w:tabs>
          <w:tab w:val="clear" w:pos="1440"/>
        </w:tabs>
        <w:autoSpaceDE w:val="0"/>
        <w:autoSpaceDN w:val="0"/>
        <w:spacing w:after="0"/>
        <w:rPr>
          <w:rFonts w:eastAsiaTheme="minorHAnsi"/>
          <w:szCs w:val="24"/>
        </w:rPr>
      </w:pPr>
    </w:p>
    <w:p w:rsidR="0048710F" w:rsidRPr="0048710F" w:rsidRDefault="0048710F" w:rsidP="0048710F">
      <w:pPr>
        <w:tabs>
          <w:tab w:val="clear" w:pos="1440"/>
          <w:tab w:val="left" w:pos="0"/>
        </w:tabs>
        <w:autoSpaceDE w:val="0"/>
        <w:autoSpaceDN w:val="0"/>
        <w:spacing w:after="0"/>
        <w:rPr>
          <w:rFonts w:eastAsiaTheme="minorHAnsi"/>
          <w:szCs w:val="24"/>
        </w:rPr>
      </w:pPr>
      <w:r w:rsidRPr="0048710F">
        <w:rPr>
          <w:rFonts w:eastAsiaTheme="minorHAnsi"/>
          <w:szCs w:val="24"/>
        </w:rPr>
        <w:tab/>
      </w:r>
      <w:r w:rsidRPr="0048710F">
        <w:rPr>
          <w:rFonts w:eastAsiaTheme="minorHAnsi"/>
          <w:szCs w:val="24"/>
        </w:rPr>
        <w:tab/>
        <w:t>M</w:t>
      </w:r>
      <w:r w:rsidR="006D6872">
        <w:rPr>
          <w:rFonts w:eastAsiaTheme="minorHAnsi"/>
          <w:szCs w:val="24"/>
        </w:rPr>
        <w:t>r</w:t>
      </w:r>
      <w:r w:rsidRPr="0048710F">
        <w:rPr>
          <w:rFonts w:eastAsiaTheme="minorHAnsi"/>
          <w:szCs w:val="24"/>
        </w:rPr>
        <w:t xml:space="preserve">. </w:t>
      </w:r>
      <w:r w:rsidR="006D6872">
        <w:rPr>
          <w:rFonts w:eastAsiaTheme="minorHAnsi"/>
          <w:szCs w:val="24"/>
        </w:rPr>
        <w:t xml:space="preserve">Mandeville </w:t>
      </w:r>
      <w:r w:rsidRPr="0048710F">
        <w:rPr>
          <w:rFonts w:eastAsiaTheme="minorHAnsi"/>
          <w:szCs w:val="24"/>
        </w:rPr>
        <w:t>carried h</w:t>
      </w:r>
      <w:r w:rsidR="006D6872">
        <w:rPr>
          <w:rFonts w:eastAsiaTheme="minorHAnsi"/>
          <w:szCs w:val="24"/>
        </w:rPr>
        <w:t>is</w:t>
      </w:r>
      <w:r w:rsidRPr="0048710F">
        <w:rPr>
          <w:rFonts w:eastAsiaTheme="minorHAnsi"/>
          <w:szCs w:val="24"/>
        </w:rPr>
        <w:t xml:space="preserve"> burden of proof in establishing that P</w:t>
      </w:r>
      <w:r w:rsidR="006D6872">
        <w:rPr>
          <w:rFonts w:eastAsiaTheme="minorHAnsi"/>
          <w:szCs w:val="24"/>
        </w:rPr>
        <w:t>PL</w:t>
      </w:r>
      <w:r w:rsidRPr="0048710F">
        <w:rPr>
          <w:rFonts w:eastAsiaTheme="minorHAnsi"/>
          <w:szCs w:val="24"/>
        </w:rPr>
        <w:t xml:space="preserve"> violated the Public Utility Code and the Commission’s regulations</w:t>
      </w:r>
      <w:r w:rsidR="006D6872">
        <w:rPr>
          <w:rFonts w:eastAsiaTheme="minorHAnsi"/>
          <w:szCs w:val="24"/>
        </w:rPr>
        <w:t xml:space="preserve"> in billing him for charges that were more than four years old</w:t>
      </w:r>
      <w:r w:rsidR="005E5D60">
        <w:rPr>
          <w:rFonts w:eastAsiaTheme="minorHAnsi"/>
          <w:szCs w:val="24"/>
        </w:rPr>
        <w:t xml:space="preserve"> as a condition to receive service</w:t>
      </w:r>
      <w:r w:rsidR="006D6872">
        <w:rPr>
          <w:rFonts w:eastAsiaTheme="minorHAnsi"/>
          <w:szCs w:val="24"/>
        </w:rPr>
        <w:t>.  PPL</w:t>
      </w:r>
      <w:r w:rsidRPr="0048710F">
        <w:rPr>
          <w:rFonts w:eastAsiaTheme="minorHAnsi"/>
          <w:szCs w:val="24"/>
        </w:rPr>
        <w:t xml:space="preserve"> did not present any evidence rebutting h</w:t>
      </w:r>
      <w:r w:rsidR="006D6872">
        <w:rPr>
          <w:rFonts w:eastAsiaTheme="minorHAnsi"/>
          <w:szCs w:val="24"/>
        </w:rPr>
        <w:t>is</w:t>
      </w:r>
      <w:r w:rsidRPr="0048710F">
        <w:rPr>
          <w:rFonts w:eastAsiaTheme="minorHAnsi"/>
          <w:szCs w:val="24"/>
        </w:rPr>
        <w:t xml:space="preserve"> prima facie case.  Therefore, penalties must be addressed.  Pursuant to Section 3301 of the Code, 66 Pa.C.S. § 3301, the Commission may impose a maximum civil penalty of $1,000 per day for each violation of the Code, its regulations or its orders.  However, certain standards apply when imposing a civil penalty.  </w:t>
      </w:r>
      <w:r w:rsidRPr="0048710F">
        <w:rPr>
          <w:rFonts w:eastAsiaTheme="minorHAnsi"/>
          <w:i/>
          <w:szCs w:val="24"/>
        </w:rPr>
        <w:t>Joseph A.</w:t>
      </w:r>
      <w:r w:rsidRPr="0048710F">
        <w:rPr>
          <w:rFonts w:eastAsiaTheme="minorHAnsi"/>
          <w:szCs w:val="24"/>
        </w:rPr>
        <w:t xml:space="preserve"> </w:t>
      </w:r>
      <w:r w:rsidRPr="0048710F">
        <w:rPr>
          <w:rFonts w:eastAsiaTheme="minorHAnsi"/>
          <w:i/>
          <w:szCs w:val="24"/>
        </w:rPr>
        <w:t>Rosi v. Bell Atlantic-Pa., Inc.</w:t>
      </w:r>
      <w:r w:rsidRPr="0048710F">
        <w:rPr>
          <w:rFonts w:eastAsiaTheme="minorHAnsi"/>
          <w:szCs w:val="24"/>
        </w:rPr>
        <w:t>, 94 PUC 103 (February</w:t>
      </w:r>
      <w:r w:rsidR="00AD29EA">
        <w:rPr>
          <w:rFonts w:eastAsiaTheme="minorHAnsi"/>
          <w:szCs w:val="24"/>
        </w:rPr>
        <w:t> </w:t>
      </w:r>
      <w:r w:rsidRPr="0048710F">
        <w:rPr>
          <w:rFonts w:eastAsiaTheme="minorHAnsi"/>
          <w:szCs w:val="24"/>
        </w:rPr>
        <w:t xml:space="preserve">10, 2000).  </w:t>
      </w:r>
    </w:p>
    <w:p w:rsidR="0048710F" w:rsidRPr="0048710F" w:rsidRDefault="0048710F" w:rsidP="0048710F">
      <w:pPr>
        <w:tabs>
          <w:tab w:val="clear" w:pos="1440"/>
          <w:tab w:val="left" w:pos="0"/>
        </w:tabs>
        <w:autoSpaceDE w:val="0"/>
        <w:autoSpaceDN w:val="0"/>
        <w:spacing w:after="0"/>
        <w:rPr>
          <w:rFonts w:eastAsiaTheme="minorHAnsi"/>
          <w:szCs w:val="24"/>
        </w:rPr>
      </w:pPr>
    </w:p>
    <w:p w:rsidR="0048710F" w:rsidRPr="0048710F" w:rsidRDefault="0048710F" w:rsidP="0048710F">
      <w:pPr>
        <w:tabs>
          <w:tab w:val="clear" w:pos="1440"/>
          <w:tab w:val="left" w:pos="0"/>
        </w:tabs>
        <w:autoSpaceDE w:val="0"/>
        <w:autoSpaceDN w:val="0"/>
        <w:spacing w:after="0"/>
        <w:rPr>
          <w:rFonts w:eastAsiaTheme="minorHAnsi"/>
          <w:szCs w:val="24"/>
        </w:rPr>
      </w:pPr>
      <w:r w:rsidRPr="0048710F">
        <w:rPr>
          <w:rFonts w:eastAsiaTheme="minorHAnsi"/>
          <w:szCs w:val="24"/>
        </w:rPr>
        <w:lastRenderedPageBreak/>
        <w:tab/>
      </w:r>
      <w:r w:rsidRPr="0048710F">
        <w:rPr>
          <w:rFonts w:eastAsiaTheme="minorHAnsi"/>
          <w:szCs w:val="24"/>
        </w:rPr>
        <w:tab/>
        <w:t xml:space="preserve">The </w:t>
      </w:r>
      <w:r w:rsidRPr="0048710F">
        <w:rPr>
          <w:rFonts w:eastAsiaTheme="minorHAnsi"/>
          <w:i/>
          <w:szCs w:val="24"/>
        </w:rPr>
        <w:t xml:space="preserve">Rosi </w:t>
      </w:r>
      <w:r w:rsidRPr="0048710F">
        <w:rPr>
          <w:rFonts w:eastAsiaTheme="minorHAnsi"/>
          <w:szCs w:val="24"/>
        </w:rPr>
        <w:t xml:space="preserve">factors are generic in nature and apply to all violations of the Public Utility Code, as well as Commission regulations and orders, regardless of utility type.  </w:t>
      </w:r>
      <w:r w:rsidRPr="0048710F">
        <w:rPr>
          <w:rFonts w:eastAsiaTheme="minorHAnsi"/>
          <w:i/>
          <w:szCs w:val="24"/>
        </w:rPr>
        <w:t>Pa. Pub. Util. Comm’n v. NCIC Operator Services</w:t>
      </w:r>
      <w:r w:rsidRPr="0048710F">
        <w:rPr>
          <w:rFonts w:eastAsiaTheme="minorHAnsi"/>
          <w:szCs w:val="24"/>
        </w:rPr>
        <w:t>, Docket No. M</w:t>
      </w:r>
      <w:r w:rsidRPr="0048710F">
        <w:rPr>
          <w:rFonts w:eastAsiaTheme="minorHAnsi"/>
          <w:szCs w:val="24"/>
        </w:rPr>
        <w:noBreakHyphen/>
        <w:t xml:space="preserve">00001440 (Order entered December 21, 2000).  The factors and standards first articulated by the Commission in </w:t>
      </w:r>
      <w:r w:rsidRPr="0048710F">
        <w:rPr>
          <w:rFonts w:eastAsiaTheme="minorHAnsi"/>
          <w:i/>
          <w:szCs w:val="24"/>
        </w:rPr>
        <w:t>Rosi</w:t>
      </w:r>
      <w:r w:rsidRPr="0048710F">
        <w:rPr>
          <w:rFonts w:eastAsiaTheme="minorHAnsi"/>
          <w:szCs w:val="24"/>
        </w:rPr>
        <w:t xml:space="preserve"> were published as Policy Statements and Guidelines.  </w:t>
      </w:r>
      <w:r w:rsidRPr="0048710F">
        <w:rPr>
          <w:rFonts w:eastAsiaTheme="minorHAnsi"/>
          <w:i/>
          <w:szCs w:val="24"/>
        </w:rPr>
        <w:t>See</w:t>
      </w:r>
      <w:r w:rsidRPr="0048710F">
        <w:rPr>
          <w:rFonts w:eastAsiaTheme="minorHAnsi"/>
          <w:szCs w:val="24"/>
        </w:rPr>
        <w:t xml:space="preserve"> 52 Pa.Code § 69.1201.  Section 69.1201 applies to both litigated and settled cases involving the calculation of civil penalties.  Section 69.</w:t>
      </w:r>
      <w:r w:rsidR="002040F2">
        <w:rPr>
          <w:rFonts w:eastAsiaTheme="minorHAnsi"/>
          <w:szCs w:val="24"/>
        </w:rPr>
        <w:t>1</w:t>
      </w:r>
      <w:r w:rsidRPr="0048710F">
        <w:rPr>
          <w:rFonts w:eastAsiaTheme="minorHAnsi"/>
          <w:szCs w:val="24"/>
        </w:rPr>
        <w:t>201 in part, provides as follows:</w:t>
      </w:r>
    </w:p>
    <w:p w:rsidR="0048710F" w:rsidRPr="0048710F" w:rsidRDefault="0048710F" w:rsidP="0048710F">
      <w:pPr>
        <w:tabs>
          <w:tab w:val="clear" w:pos="1440"/>
        </w:tabs>
        <w:spacing w:after="0" w:line="240" w:lineRule="auto"/>
        <w:ind w:left="1440" w:right="1440"/>
        <w:rPr>
          <w:rFonts w:eastAsiaTheme="minorHAnsi"/>
          <w:szCs w:val="24"/>
        </w:rPr>
      </w:pPr>
      <w:bookmarkStart w:id="1" w:name="69.1201."/>
    </w:p>
    <w:p w:rsidR="0048710F" w:rsidRPr="0048710F" w:rsidRDefault="0048710F" w:rsidP="0048710F">
      <w:pPr>
        <w:tabs>
          <w:tab w:val="clear" w:pos="1440"/>
        </w:tabs>
        <w:spacing w:after="0" w:line="240" w:lineRule="auto"/>
        <w:ind w:left="1440" w:right="1440"/>
        <w:rPr>
          <w:rFonts w:eastAsiaTheme="minorHAnsi"/>
          <w:szCs w:val="24"/>
        </w:rPr>
      </w:pPr>
      <w:r w:rsidRPr="0048710F">
        <w:rPr>
          <w:rFonts w:eastAsiaTheme="minorHAnsi"/>
          <w:szCs w:val="24"/>
        </w:rPr>
        <w:t xml:space="preserve">(a)  The Commission will consider specific factors and standards in evaluating litigated and settled cases involving violations of 66 Pa.C.S. (relating to Public Utility Code) and this title.  These factors and standards will be utilized by the Commission in determining if a fine for violating a Commission order, regulation or statute is appropriate, as well as if a proposed settlement for a violation is reasonable and approval of the settlement agreement is in the public interest. </w:t>
      </w:r>
    </w:p>
    <w:p w:rsidR="0048710F" w:rsidRPr="0048710F" w:rsidRDefault="0048710F" w:rsidP="0048710F">
      <w:pPr>
        <w:tabs>
          <w:tab w:val="clear" w:pos="1440"/>
        </w:tabs>
        <w:spacing w:after="0" w:line="240" w:lineRule="auto"/>
        <w:ind w:left="1440" w:right="1440"/>
        <w:rPr>
          <w:rFonts w:eastAsiaTheme="minorHAnsi"/>
          <w:szCs w:val="24"/>
        </w:rPr>
      </w:pPr>
    </w:p>
    <w:p w:rsidR="0048710F" w:rsidRPr="0048710F" w:rsidRDefault="0048710F" w:rsidP="0048710F">
      <w:pPr>
        <w:tabs>
          <w:tab w:val="clear" w:pos="1440"/>
        </w:tabs>
        <w:spacing w:after="0" w:line="240" w:lineRule="auto"/>
        <w:ind w:left="1440" w:right="1440"/>
        <w:rPr>
          <w:rFonts w:eastAsiaTheme="minorHAnsi"/>
          <w:szCs w:val="24"/>
        </w:rPr>
      </w:pPr>
      <w:r w:rsidRPr="0048710F">
        <w:rPr>
          <w:rFonts w:eastAsiaTheme="minorHAnsi"/>
          <w:szCs w:val="24"/>
        </w:rPr>
        <w:t>(b)  Many of the same factors and standards may be considered in the evaluation of both litigated and settled cases.  When applied in settled cases, these factors and standards will not be applied in as strict a fashion as in a litigated proceeding. ….</w:t>
      </w:r>
    </w:p>
    <w:p w:rsidR="0048710F" w:rsidRPr="0048710F" w:rsidRDefault="0048710F" w:rsidP="0048710F">
      <w:pPr>
        <w:tabs>
          <w:tab w:val="clear" w:pos="1440"/>
        </w:tabs>
        <w:spacing w:after="0" w:line="240" w:lineRule="auto"/>
        <w:ind w:left="1440" w:right="1440"/>
        <w:rPr>
          <w:rFonts w:eastAsiaTheme="minorHAnsi"/>
          <w:szCs w:val="24"/>
        </w:rPr>
      </w:pPr>
    </w:p>
    <w:p w:rsidR="0048710F" w:rsidRPr="0048710F" w:rsidRDefault="0048710F" w:rsidP="0048710F">
      <w:pPr>
        <w:tabs>
          <w:tab w:val="clear" w:pos="1440"/>
        </w:tabs>
        <w:spacing w:after="0" w:line="240" w:lineRule="auto"/>
        <w:ind w:left="1440" w:right="1440"/>
        <w:rPr>
          <w:rFonts w:eastAsiaTheme="minorHAnsi"/>
          <w:szCs w:val="24"/>
        </w:rPr>
      </w:pPr>
      <w:r w:rsidRPr="0048710F">
        <w:rPr>
          <w:rFonts w:eastAsiaTheme="minorHAnsi"/>
          <w:szCs w:val="24"/>
        </w:rPr>
        <w:t xml:space="preserve">(c)  The factors and standards that will be considered by the Commission include the following: </w:t>
      </w:r>
    </w:p>
    <w:p w:rsidR="0048710F" w:rsidRPr="0048710F" w:rsidRDefault="0048710F" w:rsidP="0048710F">
      <w:pPr>
        <w:tabs>
          <w:tab w:val="clear" w:pos="1440"/>
        </w:tabs>
        <w:spacing w:after="0" w:line="240" w:lineRule="auto"/>
        <w:ind w:left="1440" w:right="1440"/>
        <w:rPr>
          <w:rFonts w:eastAsiaTheme="minorHAnsi"/>
          <w:szCs w:val="24"/>
        </w:rPr>
      </w:pPr>
    </w:p>
    <w:p w:rsidR="0048710F" w:rsidRPr="0048710F" w:rsidRDefault="0048710F" w:rsidP="0048710F">
      <w:pPr>
        <w:tabs>
          <w:tab w:val="clear" w:pos="1440"/>
        </w:tabs>
        <w:spacing w:after="0" w:line="240" w:lineRule="auto"/>
        <w:ind w:left="2160" w:right="1440"/>
        <w:rPr>
          <w:rFonts w:eastAsiaTheme="minorHAnsi"/>
          <w:szCs w:val="24"/>
        </w:rPr>
      </w:pPr>
      <w:r w:rsidRPr="0048710F">
        <w:rPr>
          <w:rFonts w:eastAsiaTheme="minorHAnsi"/>
          <w:szCs w:val="24"/>
        </w:rPr>
        <w:t xml:space="preserve">(1)  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 </w:t>
      </w:r>
    </w:p>
    <w:p w:rsidR="0048710F" w:rsidRPr="0048710F" w:rsidRDefault="0048710F" w:rsidP="0048710F">
      <w:pPr>
        <w:tabs>
          <w:tab w:val="clear" w:pos="1440"/>
        </w:tabs>
        <w:spacing w:after="0" w:line="240" w:lineRule="auto"/>
        <w:ind w:left="2160" w:right="1440"/>
        <w:rPr>
          <w:rFonts w:eastAsiaTheme="minorHAnsi"/>
          <w:szCs w:val="24"/>
        </w:rPr>
      </w:pPr>
    </w:p>
    <w:p w:rsidR="0048710F" w:rsidRPr="0048710F" w:rsidRDefault="0048710F" w:rsidP="0048710F">
      <w:pPr>
        <w:tabs>
          <w:tab w:val="clear" w:pos="1440"/>
        </w:tabs>
        <w:spacing w:after="0" w:line="240" w:lineRule="auto"/>
        <w:ind w:left="2160" w:right="1440"/>
        <w:rPr>
          <w:rFonts w:eastAsiaTheme="minorHAnsi"/>
          <w:szCs w:val="24"/>
        </w:rPr>
      </w:pPr>
      <w:r w:rsidRPr="0048710F">
        <w:rPr>
          <w:rFonts w:eastAsiaTheme="minorHAnsi"/>
          <w:szCs w:val="24"/>
        </w:rPr>
        <w:t xml:space="preserve">(2)  Whether the resulting consequences of the conduct at issue were of a serious nature.  When consequences of a serious nature are involved, such as personal injury or property damage, the consequences may warrant a higher penalty. </w:t>
      </w:r>
    </w:p>
    <w:p w:rsidR="0048710F" w:rsidRPr="0048710F" w:rsidRDefault="0048710F" w:rsidP="0048710F">
      <w:pPr>
        <w:tabs>
          <w:tab w:val="clear" w:pos="1440"/>
        </w:tabs>
        <w:spacing w:after="0" w:line="240" w:lineRule="auto"/>
        <w:ind w:left="2160" w:right="1440"/>
        <w:rPr>
          <w:rFonts w:eastAsiaTheme="minorHAnsi"/>
          <w:szCs w:val="24"/>
        </w:rPr>
      </w:pPr>
    </w:p>
    <w:p w:rsidR="0048710F" w:rsidRPr="0048710F" w:rsidRDefault="0048710F" w:rsidP="0048710F">
      <w:pPr>
        <w:tabs>
          <w:tab w:val="clear" w:pos="1440"/>
        </w:tabs>
        <w:spacing w:after="0" w:line="240" w:lineRule="auto"/>
        <w:ind w:left="2160" w:right="1440"/>
        <w:rPr>
          <w:rFonts w:eastAsiaTheme="minorHAnsi"/>
          <w:szCs w:val="24"/>
        </w:rPr>
      </w:pPr>
      <w:r w:rsidRPr="0048710F">
        <w:rPr>
          <w:rFonts w:eastAsiaTheme="minorHAnsi"/>
          <w:szCs w:val="24"/>
        </w:rPr>
        <w:t xml:space="preserve">(3)  Whether the conduct at issue was deemed intentional or negligent.  This factor may only be considered in evaluating litigated cases.  When conduct has been deemed intentional, the conduct may result in a higher penalty. </w:t>
      </w:r>
    </w:p>
    <w:p w:rsidR="0048710F" w:rsidRPr="0048710F" w:rsidRDefault="0048710F" w:rsidP="0048710F">
      <w:pPr>
        <w:tabs>
          <w:tab w:val="clear" w:pos="1440"/>
        </w:tabs>
        <w:spacing w:after="0" w:line="240" w:lineRule="auto"/>
        <w:ind w:left="2160" w:right="1440"/>
        <w:rPr>
          <w:rFonts w:eastAsiaTheme="minorHAnsi"/>
          <w:szCs w:val="24"/>
        </w:rPr>
      </w:pPr>
    </w:p>
    <w:p w:rsidR="0048710F" w:rsidRPr="0048710F" w:rsidRDefault="0048710F" w:rsidP="0048710F">
      <w:pPr>
        <w:tabs>
          <w:tab w:val="clear" w:pos="1440"/>
        </w:tabs>
        <w:spacing w:after="0" w:line="240" w:lineRule="auto"/>
        <w:ind w:left="2160" w:right="1440"/>
        <w:rPr>
          <w:rFonts w:eastAsiaTheme="minorHAnsi"/>
          <w:szCs w:val="24"/>
        </w:rPr>
      </w:pPr>
      <w:r w:rsidRPr="0048710F">
        <w:rPr>
          <w:rFonts w:eastAsiaTheme="minorHAnsi"/>
          <w:szCs w:val="24"/>
        </w:rPr>
        <w:lastRenderedPageBreak/>
        <w:t>(4)  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w:t>
      </w:r>
    </w:p>
    <w:p w:rsidR="0048710F" w:rsidRPr="0048710F" w:rsidRDefault="0048710F" w:rsidP="0048710F">
      <w:pPr>
        <w:tabs>
          <w:tab w:val="clear" w:pos="1440"/>
        </w:tabs>
        <w:spacing w:after="0" w:line="240" w:lineRule="auto"/>
        <w:ind w:left="2160" w:right="1440"/>
        <w:rPr>
          <w:rFonts w:eastAsiaTheme="minorHAnsi"/>
          <w:szCs w:val="24"/>
        </w:rPr>
      </w:pPr>
      <w:r w:rsidRPr="0048710F">
        <w:rPr>
          <w:rFonts w:eastAsiaTheme="minorHAnsi"/>
          <w:szCs w:val="24"/>
        </w:rPr>
        <w:t xml:space="preserve"> </w:t>
      </w:r>
    </w:p>
    <w:p w:rsidR="0048710F" w:rsidRDefault="0048710F" w:rsidP="0048710F">
      <w:pPr>
        <w:tabs>
          <w:tab w:val="clear" w:pos="1440"/>
        </w:tabs>
        <w:spacing w:after="0" w:line="240" w:lineRule="auto"/>
        <w:ind w:left="2160" w:right="1440"/>
        <w:rPr>
          <w:rFonts w:eastAsiaTheme="minorHAnsi"/>
          <w:szCs w:val="24"/>
        </w:rPr>
      </w:pPr>
      <w:r w:rsidRPr="0048710F">
        <w:rPr>
          <w:rFonts w:eastAsiaTheme="minorHAnsi"/>
          <w:szCs w:val="24"/>
        </w:rPr>
        <w:t xml:space="preserve">(5)  The number of customers affected and the duration of the violation. </w:t>
      </w:r>
    </w:p>
    <w:p w:rsidR="00881164" w:rsidRPr="0048710F" w:rsidRDefault="00881164" w:rsidP="0048710F">
      <w:pPr>
        <w:tabs>
          <w:tab w:val="clear" w:pos="1440"/>
        </w:tabs>
        <w:spacing w:after="0" w:line="240" w:lineRule="auto"/>
        <w:ind w:left="2160" w:right="1440"/>
        <w:rPr>
          <w:rFonts w:eastAsiaTheme="minorHAnsi"/>
          <w:szCs w:val="24"/>
        </w:rPr>
      </w:pPr>
    </w:p>
    <w:p w:rsidR="0048710F" w:rsidRPr="0048710F" w:rsidRDefault="0048710F" w:rsidP="0048710F">
      <w:pPr>
        <w:tabs>
          <w:tab w:val="clear" w:pos="1440"/>
        </w:tabs>
        <w:spacing w:after="0" w:line="240" w:lineRule="auto"/>
        <w:ind w:left="2160" w:right="1440"/>
        <w:rPr>
          <w:rFonts w:eastAsiaTheme="minorHAnsi"/>
          <w:szCs w:val="24"/>
        </w:rPr>
      </w:pPr>
      <w:r w:rsidRPr="0048710F">
        <w:rPr>
          <w:rFonts w:eastAsiaTheme="minorHAnsi"/>
          <w:szCs w:val="24"/>
        </w:rPr>
        <w:t xml:space="preserve">(6)  The compliance history of the regulated entity which committed the violation.  An isolated incident from an otherwise compliant utility may result in a lower penalty, whereas frequent, recurrent violations by a utility may result in a higher penalty. </w:t>
      </w:r>
    </w:p>
    <w:p w:rsidR="0048710F" w:rsidRPr="0048710F" w:rsidRDefault="0048710F" w:rsidP="0048710F">
      <w:pPr>
        <w:tabs>
          <w:tab w:val="clear" w:pos="1440"/>
        </w:tabs>
        <w:spacing w:after="0" w:line="240" w:lineRule="auto"/>
        <w:ind w:left="2160" w:right="1440"/>
        <w:rPr>
          <w:rFonts w:eastAsiaTheme="minorHAnsi"/>
          <w:szCs w:val="24"/>
        </w:rPr>
      </w:pPr>
      <w:r w:rsidRPr="0048710F">
        <w:rPr>
          <w:rFonts w:eastAsiaTheme="minorHAnsi"/>
          <w:szCs w:val="24"/>
        </w:rPr>
        <w:t xml:space="preserve">(7)  Whether the regulated entity cooperated with the Commission’s investigation.  Facts establishing bad faith, active concealment of violations, or attempts to interfere with Commission investigations may result in a higher penalty. </w:t>
      </w:r>
    </w:p>
    <w:p w:rsidR="0048710F" w:rsidRPr="0048710F" w:rsidRDefault="0048710F" w:rsidP="0048710F">
      <w:pPr>
        <w:tabs>
          <w:tab w:val="clear" w:pos="1440"/>
        </w:tabs>
        <w:spacing w:after="0" w:line="240" w:lineRule="auto"/>
        <w:ind w:left="2160" w:right="1440"/>
        <w:rPr>
          <w:rFonts w:eastAsiaTheme="minorHAnsi"/>
          <w:szCs w:val="24"/>
        </w:rPr>
      </w:pPr>
    </w:p>
    <w:p w:rsidR="0048710F" w:rsidRPr="0048710F" w:rsidRDefault="0048710F" w:rsidP="0048710F">
      <w:pPr>
        <w:tabs>
          <w:tab w:val="clear" w:pos="1440"/>
        </w:tabs>
        <w:spacing w:after="0" w:line="240" w:lineRule="auto"/>
        <w:ind w:left="2160" w:right="1440"/>
        <w:rPr>
          <w:rFonts w:eastAsiaTheme="minorHAnsi"/>
          <w:szCs w:val="24"/>
        </w:rPr>
      </w:pPr>
      <w:r w:rsidRPr="0048710F">
        <w:rPr>
          <w:rFonts w:eastAsiaTheme="minorHAnsi"/>
          <w:szCs w:val="24"/>
        </w:rPr>
        <w:t xml:space="preserve">(8)  The amount of the civil penalty or fine necessary to deter future violations.  The size of the utility may be considered to determine an appropriate penalty amount. </w:t>
      </w:r>
    </w:p>
    <w:p w:rsidR="0048710F" w:rsidRPr="0048710F" w:rsidRDefault="0048710F" w:rsidP="0048710F">
      <w:pPr>
        <w:tabs>
          <w:tab w:val="clear" w:pos="1440"/>
        </w:tabs>
        <w:spacing w:after="0" w:line="240" w:lineRule="auto"/>
        <w:ind w:left="2160" w:right="1440"/>
        <w:rPr>
          <w:rFonts w:eastAsiaTheme="minorHAnsi"/>
          <w:szCs w:val="24"/>
        </w:rPr>
      </w:pPr>
    </w:p>
    <w:p w:rsidR="0048710F" w:rsidRPr="0048710F" w:rsidRDefault="0048710F" w:rsidP="0048710F">
      <w:pPr>
        <w:tabs>
          <w:tab w:val="clear" w:pos="1440"/>
        </w:tabs>
        <w:spacing w:after="0" w:line="240" w:lineRule="auto"/>
        <w:ind w:left="1440" w:right="1440"/>
        <w:rPr>
          <w:rFonts w:eastAsiaTheme="minorHAnsi"/>
          <w:szCs w:val="24"/>
        </w:rPr>
      </w:pPr>
      <w:r w:rsidRPr="0048710F">
        <w:rPr>
          <w:rFonts w:eastAsiaTheme="minorHAnsi"/>
          <w:szCs w:val="24"/>
        </w:rPr>
        <w:t>   </w:t>
      </w:r>
      <w:r w:rsidRPr="0048710F">
        <w:rPr>
          <w:rFonts w:eastAsiaTheme="minorHAnsi"/>
          <w:szCs w:val="24"/>
        </w:rPr>
        <w:tab/>
        <w:t xml:space="preserve">(9)  Past Commission decisions in similar situations. </w:t>
      </w:r>
    </w:p>
    <w:p w:rsidR="006D6872" w:rsidRDefault="006D6872" w:rsidP="0048710F">
      <w:pPr>
        <w:tabs>
          <w:tab w:val="clear" w:pos="1440"/>
        </w:tabs>
        <w:spacing w:after="0" w:line="240" w:lineRule="auto"/>
        <w:ind w:left="1440" w:right="1440"/>
        <w:rPr>
          <w:rFonts w:eastAsiaTheme="minorHAnsi"/>
          <w:szCs w:val="24"/>
        </w:rPr>
      </w:pPr>
    </w:p>
    <w:p w:rsidR="0048710F" w:rsidRPr="0048710F" w:rsidRDefault="0048710F" w:rsidP="0048710F">
      <w:pPr>
        <w:tabs>
          <w:tab w:val="clear" w:pos="1440"/>
        </w:tabs>
        <w:spacing w:after="0" w:line="240" w:lineRule="auto"/>
        <w:ind w:left="1440" w:right="1440"/>
        <w:rPr>
          <w:rFonts w:eastAsiaTheme="minorHAnsi"/>
          <w:szCs w:val="24"/>
        </w:rPr>
      </w:pPr>
      <w:r w:rsidRPr="0048710F">
        <w:rPr>
          <w:rFonts w:eastAsiaTheme="minorHAnsi"/>
          <w:szCs w:val="24"/>
        </w:rPr>
        <w:t>   </w:t>
      </w:r>
      <w:r w:rsidRPr="0048710F">
        <w:rPr>
          <w:rFonts w:eastAsiaTheme="minorHAnsi"/>
          <w:szCs w:val="24"/>
        </w:rPr>
        <w:tab/>
        <w:t>(10)  Other relevant factors.</w:t>
      </w:r>
      <w:bookmarkEnd w:id="1"/>
    </w:p>
    <w:p w:rsidR="0048710F" w:rsidRPr="0048710F" w:rsidRDefault="0048710F" w:rsidP="0048710F">
      <w:pPr>
        <w:tabs>
          <w:tab w:val="clear" w:pos="1440"/>
        </w:tabs>
        <w:spacing w:after="0" w:line="240" w:lineRule="auto"/>
        <w:ind w:left="1440" w:right="1440"/>
        <w:rPr>
          <w:rFonts w:eastAsiaTheme="minorHAnsi"/>
          <w:szCs w:val="24"/>
        </w:rPr>
      </w:pPr>
    </w:p>
    <w:p w:rsidR="0048710F" w:rsidRPr="0048710F" w:rsidRDefault="0048710F" w:rsidP="0048710F">
      <w:pPr>
        <w:tabs>
          <w:tab w:val="clear" w:pos="1440"/>
        </w:tabs>
        <w:spacing w:after="0"/>
        <w:rPr>
          <w:rFonts w:eastAsiaTheme="minorHAnsi"/>
          <w:szCs w:val="24"/>
        </w:rPr>
      </w:pPr>
      <w:r w:rsidRPr="0048710F">
        <w:rPr>
          <w:rFonts w:eastAsiaTheme="minorHAnsi"/>
          <w:szCs w:val="24"/>
        </w:rPr>
        <w:t>52 Pa.Code § 69.1201.</w:t>
      </w:r>
    </w:p>
    <w:p w:rsidR="00046A14" w:rsidRPr="00046A14" w:rsidRDefault="00046A14" w:rsidP="00046A14">
      <w:pPr>
        <w:tabs>
          <w:tab w:val="clear" w:pos="1440"/>
        </w:tabs>
        <w:spacing w:after="0"/>
        <w:rPr>
          <w:szCs w:val="24"/>
        </w:rPr>
      </w:pPr>
    </w:p>
    <w:p w:rsidR="0048710F" w:rsidRPr="0048710F" w:rsidRDefault="0048710F" w:rsidP="0048710F">
      <w:pPr>
        <w:tabs>
          <w:tab w:val="clear" w:pos="1440"/>
        </w:tabs>
        <w:autoSpaceDE w:val="0"/>
        <w:autoSpaceDN w:val="0"/>
        <w:spacing w:after="0"/>
        <w:rPr>
          <w:rFonts w:eastAsiaTheme="minorHAnsi"/>
          <w:szCs w:val="24"/>
        </w:rPr>
      </w:pPr>
      <w:r w:rsidRPr="0048710F">
        <w:rPr>
          <w:rFonts w:eastAsiaTheme="minorHAnsi"/>
          <w:szCs w:val="24"/>
        </w:rPr>
        <w:tab/>
      </w:r>
      <w:r w:rsidRPr="0048710F">
        <w:rPr>
          <w:rFonts w:eastAsiaTheme="minorHAnsi"/>
          <w:szCs w:val="24"/>
        </w:rPr>
        <w:tab/>
        <w:t>In light of P</w:t>
      </w:r>
      <w:r w:rsidR="005E5D60">
        <w:rPr>
          <w:rFonts w:eastAsiaTheme="minorHAnsi"/>
          <w:szCs w:val="24"/>
        </w:rPr>
        <w:t>PL</w:t>
      </w:r>
      <w:r w:rsidRPr="0048710F">
        <w:rPr>
          <w:rFonts w:eastAsiaTheme="minorHAnsi"/>
          <w:szCs w:val="24"/>
        </w:rPr>
        <w:t>’s violation</w:t>
      </w:r>
      <w:r w:rsidR="005E5D60">
        <w:rPr>
          <w:rFonts w:eastAsiaTheme="minorHAnsi"/>
          <w:szCs w:val="24"/>
        </w:rPr>
        <w:t xml:space="preserve"> of the Commission’s regulations</w:t>
      </w:r>
      <w:r w:rsidRPr="0048710F">
        <w:rPr>
          <w:rFonts w:eastAsiaTheme="minorHAnsi"/>
          <w:szCs w:val="24"/>
        </w:rPr>
        <w:t xml:space="preserve">, the following determinations are warranted under the </w:t>
      </w:r>
      <w:r w:rsidRPr="0048710F">
        <w:rPr>
          <w:rFonts w:eastAsiaTheme="minorHAnsi"/>
          <w:i/>
          <w:szCs w:val="24"/>
        </w:rPr>
        <w:t>Rosi</w:t>
      </w:r>
      <w:r w:rsidRPr="0048710F">
        <w:rPr>
          <w:rFonts w:eastAsiaTheme="minorHAnsi"/>
          <w:szCs w:val="24"/>
        </w:rPr>
        <w:t xml:space="preserve"> factors and standards:</w:t>
      </w:r>
    </w:p>
    <w:p w:rsidR="0048710F" w:rsidRPr="0048710F" w:rsidRDefault="0048710F" w:rsidP="006F0743">
      <w:pPr>
        <w:tabs>
          <w:tab w:val="clear" w:pos="1440"/>
        </w:tabs>
        <w:autoSpaceDE w:val="0"/>
        <w:autoSpaceDN w:val="0"/>
        <w:spacing w:after="0" w:line="240" w:lineRule="auto"/>
        <w:rPr>
          <w:rFonts w:eastAsiaTheme="minorHAnsi"/>
          <w:szCs w:val="24"/>
        </w:rPr>
      </w:pPr>
    </w:p>
    <w:p w:rsidR="006F0743" w:rsidRDefault="0048710F" w:rsidP="0048710F">
      <w:pPr>
        <w:autoSpaceDE w:val="0"/>
        <w:autoSpaceDN w:val="0"/>
        <w:spacing w:after="0"/>
        <w:rPr>
          <w:rFonts w:eastAsiaTheme="minorHAnsi"/>
          <w:szCs w:val="24"/>
        </w:rPr>
      </w:pPr>
      <w:r w:rsidRPr="0048710F">
        <w:rPr>
          <w:rFonts w:eastAsiaTheme="minorHAnsi"/>
          <w:szCs w:val="24"/>
        </w:rPr>
        <w:tab/>
        <w:t>(1)</w:t>
      </w:r>
      <w:r w:rsidRPr="0048710F">
        <w:rPr>
          <w:rFonts w:eastAsiaTheme="minorHAnsi"/>
          <w:szCs w:val="24"/>
        </w:rPr>
        <w:tab/>
        <w:t>P</w:t>
      </w:r>
      <w:r w:rsidR="000C0D8F">
        <w:rPr>
          <w:rFonts w:eastAsiaTheme="minorHAnsi"/>
          <w:szCs w:val="24"/>
        </w:rPr>
        <w:t>PL</w:t>
      </w:r>
      <w:r w:rsidRPr="0048710F">
        <w:rPr>
          <w:rFonts w:eastAsiaTheme="minorHAnsi"/>
          <w:szCs w:val="24"/>
        </w:rPr>
        <w:t>’s failure to provide M</w:t>
      </w:r>
      <w:r w:rsidR="000C0D8F">
        <w:rPr>
          <w:rFonts w:eastAsiaTheme="minorHAnsi"/>
          <w:szCs w:val="24"/>
        </w:rPr>
        <w:t>r</w:t>
      </w:r>
      <w:r w:rsidRPr="0048710F">
        <w:rPr>
          <w:rFonts w:eastAsiaTheme="minorHAnsi"/>
          <w:szCs w:val="24"/>
        </w:rPr>
        <w:t xml:space="preserve">. </w:t>
      </w:r>
      <w:r w:rsidR="000C0D8F">
        <w:rPr>
          <w:rFonts w:eastAsiaTheme="minorHAnsi"/>
          <w:szCs w:val="24"/>
        </w:rPr>
        <w:t>Mandeville</w:t>
      </w:r>
      <w:r w:rsidRPr="0048710F">
        <w:rPr>
          <w:rFonts w:eastAsiaTheme="minorHAnsi"/>
          <w:szCs w:val="24"/>
        </w:rPr>
        <w:t xml:space="preserve"> reasonable service </w:t>
      </w:r>
      <w:r w:rsidR="000C0D8F">
        <w:rPr>
          <w:rFonts w:eastAsiaTheme="minorHAnsi"/>
          <w:szCs w:val="24"/>
        </w:rPr>
        <w:t xml:space="preserve">properly </w:t>
      </w:r>
      <w:r w:rsidR="006F0743">
        <w:rPr>
          <w:rFonts w:eastAsiaTheme="minorHAnsi"/>
          <w:szCs w:val="24"/>
        </w:rPr>
        <w:br w:type="page"/>
      </w:r>
    </w:p>
    <w:p w:rsidR="0048710F" w:rsidRDefault="000C0D8F" w:rsidP="0048710F">
      <w:pPr>
        <w:autoSpaceDE w:val="0"/>
        <w:autoSpaceDN w:val="0"/>
        <w:spacing w:after="0"/>
        <w:rPr>
          <w:rFonts w:eastAsiaTheme="minorHAnsi"/>
          <w:szCs w:val="24"/>
        </w:rPr>
      </w:pPr>
      <w:proofErr w:type="gramStart"/>
      <w:r>
        <w:rPr>
          <w:rFonts w:eastAsiaTheme="minorHAnsi"/>
          <w:szCs w:val="24"/>
        </w:rPr>
        <w:lastRenderedPageBreak/>
        <w:t>billing</w:t>
      </w:r>
      <w:proofErr w:type="gramEnd"/>
      <w:r>
        <w:rPr>
          <w:rFonts w:eastAsiaTheme="minorHAnsi"/>
          <w:szCs w:val="24"/>
        </w:rPr>
        <w:t xml:space="preserve"> him </w:t>
      </w:r>
      <w:r w:rsidR="0048710F" w:rsidRPr="0048710F">
        <w:rPr>
          <w:rFonts w:eastAsiaTheme="minorHAnsi"/>
          <w:szCs w:val="24"/>
        </w:rPr>
        <w:t>is of a serious nature and warrants a higher penalty</w:t>
      </w:r>
      <w:r>
        <w:rPr>
          <w:rFonts w:eastAsiaTheme="minorHAnsi"/>
          <w:szCs w:val="24"/>
        </w:rPr>
        <w:t>.</w:t>
      </w:r>
      <w:r w:rsidR="0048710F" w:rsidRPr="0048710F">
        <w:rPr>
          <w:rFonts w:eastAsiaTheme="minorHAnsi"/>
          <w:szCs w:val="24"/>
          <w:vertAlign w:val="superscript"/>
        </w:rPr>
        <w:footnoteReference w:id="9"/>
      </w:r>
      <w:r w:rsidR="000D3C29">
        <w:rPr>
          <w:rFonts w:eastAsiaTheme="minorHAnsi"/>
          <w:szCs w:val="24"/>
        </w:rPr>
        <w:t xml:space="preserve">  </w:t>
      </w:r>
      <w:r w:rsidR="000D3C29" w:rsidRPr="0048710F">
        <w:rPr>
          <w:rFonts w:eastAsiaTheme="minorHAnsi"/>
          <w:szCs w:val="24"/>
        </w:rPr>
        <w:t>Therefore, a civil penalty is warranted in the amount of $</w:t>
      </w:r>
      <w:r w:rsidR="000D3C29">
        <w:rPr>
          <w:rFonts w:eastAsiaTheme="minorHAnsi"/>
          <w:szCs w:val="24"/>
        </w:rPr>
        <w:t>5</w:t>
      </w:r>
      <w:r w:rsidR="000D3C29" w:rsidRPr="0048710F">
        <w:rPr>
          <w:rFonts w:eastAsiaTheme="minorHAnsi"/>
          <w:szCs w:val="24"/>
        </w:rPr>
        <w:t>00.00.</w:t>
      </w:r>
    </w:p>
    <w:p w:rsidR="00897E05" w:rsidRPr="0048710F" w:rsidRDefault="00897E05" w:rsidP="0048710F">
      <w:pPr>
        <w:autoSpaceDE w:val="0"/>
        <w:autoSpaceDN w:val="0"/>
        <w:spacing w:after="0"/>
        <w:rPr>
          <w:rFonts w:eastAsiaTheme="minorHAnsi"/>
          <w:szCs w:val="24"/>
        </w:rPr>
      </w:pPr>
    </w:p>
    <w:p w:rsidR="000D3C29" w:rsidRDefault="0048710F" w:rsidP="000D3C29">
      <w:pPr>
        <w:autoSpaceDE w:val="0"/>
        <w:autoSpaceDN w:val="0"/>
        <w:spacing w:after="0"/>
        <w:rPr>
          <w:rFonts w:eastAsiaTheme="minorHAnsi"/>
          <w:szCs w:val="24"/>
        </w:rPr>
      </w:pPr>
      <w:r w:rsidRPr="0048710F">
        <w:rPr>
          <w:rFonts w:eastAsiaTheme="minorHAnsi"/>
          <w:szCs w:val="24"/>
        </w:rPr>
        <w:tab/>
        <w:t>(2)</w:t>
      </w:r>
      <w:r w:rsidRPr="0048710F">
        <w:rPr>
          <w:rFonts w:eastAsiaTheme="minorHAnsi"/>
          <w:szCs w:val="24"/>
        </w:rPr>
        <w:tab/>
        <w:t>P</w:t>
      </w:r>
      <w:r w:rsidR="000C0D8F">
        <w:rPr>
          <w:rFonts w:eastAsiaTheme="minorHAnsi"/>
          <w:szCs w:val="24"/>
        </w:rPr>
        <w:t>PL</w:t>
      </w:r>
      <w:r w:rsidRPr="0048710F">
        <w:rPr>
          <w:rFonts w:eastAsiaTheme="minorHAnsi"/>
          <w:szCs w:val="24"/>
        </w:rPr>
        <w:t xml:space="preserve">’s </w:t>
      </w:r>
      <w:r w:rsidR="000C0D8F">
        <w:rPr>
          <w:rFonts w:eastAsiaTheme="minorHAnsi"/>
          <w:szCs w:val="24"/>
        </w:rPr>
        <w:t>conditioning Mr. Mandeville’s receipt of elect</w:t>
      </w:r>
      <w:r w:rsidR="008D3152">
        <w:rPr>
          <w:rFonts w:eastAsiaTheme="minorHAnsi"/>
          <w:szCs w:val="24"/>
        </w:rPr>
        <w:t>ric service based upon charges t</w:t>
      </w:r>
      <w:r w:rsidR="000C0D8F">
        <w:rPr>
          <w:rFonts w:eastAsiaTheme="minorHAnsi"/>
          <w:szCs w:val="24"/>
        </w:rPr>
        <w:t xml:space="preserve">hat were more than four years old is of </w:t>
      </w:r>
      <w:r w:rsidRPr="0048710F">
        <w:rPr>
          <w:rFonts w:eastAsiaTheme="minorHAnsi"/>
          <w:szCs w:val="24"/>
        </w:rPr>
        <w:t xml:space="preserve">a serious nature and warrant a </w:t>
      </w:r>
      <w:r w:rsidR="000C0D8F">
        <w:rPr>
          <w:rFonts w:eastAsiaTheme="minorHAnsi"/>
          <w:szCs w:val="24"/>
        </w:rPr>
        <w:t xml:space="preserve">higher </w:t>
      </w:r>
      <w:r w:rsidR="000D3C29">
        <w:rPr>
          <w:rFonts w:eastAsiaTheme="minorHAnsi"/>
          <w:szCs w:val="24"/>
        </w:rPr>
        <w:t>p</w:t>
      </w:r>
      <w:r w:rsidR="000C0D8F">
        <w:rPr>
          <w:rFonts w:eastAsiaTheme="minorHAnsi"/>
          <w:szCs w:val="24"/>
        </w:rPr>
        <w:t>enalty</w:t>
      </w:r>
      <w:r w:rsidRPr="0048710F">
        <w:rPr>
          <w:rFonts w:eastAsiaTheme="minorHAnsi"/>
          <w:szCs w:val="24"/>
        </w:rPr>
        <w:t xml:space="preserve">. </w:t>
      </w:r>
      <w:r w:rsidR="000D3C29">
        <w:rPr>
          <w:rFonts w:eastAsiaTheme="minorHAnsi"/>
          <w:szCs w:val="24"/>
        </w:rPr>
        <w:t xml:space="preserve"> </w:t>
      </w:r>
      <w:r w:rsidR="000D3C29" w:rsidRPr="0048710F">
        <w:rPr>
          <w:rFonts w:eastAsiaTheme="minorHAnsi"/>
          <w:szCs w:val="24"/>
        </w:rPr>
        <w:t>Therefore, a civil penalty is warranted in the amount of $</w:t>
      </w:r>
      <w:r w:rsidR="000D3C29">
        <w:rPr>
          <w:rFonts w:eastAsiaTheme="minorHAnsi"/>
          <w:szCs w:val="24"/>
        </w:rPr>
        <w:t>5</w:t>
      </w:r>
      <w:r w:rsidR="000D3C29" w:rsidRPr="0048710F">
        <w:rPr>
          <w:rFonts w:eastAsiaTheme="minorHAnsi"/>
          <w:szCs w:val="24"/>
        </w:rPr>
        <w:t>00.00.</w:t>
      </w:r>
    </w:p>
    <w:p w:rsidR="00364B4E" w:rsidRPr="0048710F" w:rsidRDefault="00364B4E" w:rsidP="000D3C29">
      <w:pPr>
        <w:autoSpaceDE w:val="0"/>
        <w:autoSpaceDN w:val="0"/>
        <w:spacing w:after="0"/>
        <w:rPr>
          <w:rFonts w:eastAsiaTheme="minorHAnsi"/>
          <w:szCs w:val="24"/>
        </w:rPr>
      </w:pPr>
    </w:p>
    <w:p w:rsidR="0048710F" w:rsidRDefault="0048710F" w:rsidP="0048710F">
      <w:pPr>
        <w:tabs>
          <w:tab w:val="clear" w:pos="1440"/>
        </w:tabs>
        <w:autoSpaceDE w:val="0"/>
        <w:autoSpaceDN w:val="0"/>
        <w:spacing w:after="0"/>
        <w:rPr>
          <w:rFonts w:eastAsiaTheme="minorHAnsi"/>
          <w:szCs w:val="24"/>
        </w:rPr>
      </w:pPr>
      <w:r w:rsidRPr="0048710F">
        <w:rPr>
          <w:rFonts w:eastAsiaTheme="minorHAnsi"/>
          <w:szCs w:val="24"/>
        </w:rPr>
        <w:tab/>
      </w:r>
      <w:r w:rsidRPr="0048710F">
        <w:rPr>
          <w:rFonts w:eastAsiaTheme="minorHAnsi"/>
          <w:szCs w:val="24"/>
        </w:rPr>
        <w:tab/>
        <w:t>(3)</w:t>
      </w:r>
      <w:r w:rsidRPr="0048710F">
        <w:rPr>
          <w:rFonts w:eastAsiaTheme="minorHAnsi"/>
          <w:szCs w:val="24"/>
        </w:rPr>
        <w:tab/>
        <w:t>This was a litigated case.  P</w:t>
      </w:r>
      <w:r w:rsidR="000C0D8F">
        <w:rPr>
          <w:rFonts w:eastAsiaTheme="minorHAnsi"/>
          <w:szCs w:val="24"/>
        </w:rPr>
        <w:t>PL</w:t>
      </w:r>
      <w:r w:rsidRPr="0048710F">
        <w:rPr>
          <w:rFonts w:eastAsiaTheme="minorHAnsi"/>
          <w:szCs w:val="24"/>
        </w:rPr>
        <w:t xml:space="preserve">’s inclusion of charges in </w:t>
      </w:r>
      <w:r w:rsidR="000C0D8F">
        <w:rPr>
          <w:rFonts w:eastAsiaTheme="minorHAnsi"/>
          <w:szCs w:val="24"/>
        </w:rPr>
        <w:t xml:space="preserve">a payment arrangement </w:t>
      </w:r>
      <w:r w:rsidRPr="0048710F">
        <w:rPr>
          <w:rFonts w:eastAsiaTheme="minorHAnsi"/>
          <w:szCs w:val="24"/>
        </w:rPr>
        <w:t>that were more than four years old is deemed intentiona</w:t>
      </w:r>
      <w:r w:rsidR="000D3C29">
        <w:rPr>
          <w:rFonts w:eastAsiaTheme="minorHAnsi"/>
          <w:szCs w:val="24"/>
        </w:rPr>
        <w:t>l</w:t>
      </w:r>
      <w:r w:rsidR="000C0D8F">
        <w:rPr>
          <w:rFonts w:eastAsiaTheme="minorHAnsi"/>
          <w:szCs w:val="24"/>
        </w:rPr>
        <w:t xml:space="preserve">.  </w:t>
      </w:r>
      <w:r w:rsidRPr="0048710F">
        <w:rPr>
          <w:rFonts w:eastAsiaTheme="minorHAnsi"/>
          <w:szCs w:val="24"/>
        </w:rPr>
        <w:t>Accordingly, a higher penalty is warranted</w:t>
      </w:r>
      <w:r w:rsidR="000D3C29">
        <w:rPr>
          <w:rFonts w:eastAsiaTheme="minorHAnsi"/>
          <w:szCs w:val="24"/>
        </w:rPr>
        <w:t xml:space="preserve"> in the amount of $500.00</w:t>
      </w:r>
      <w:r w:rsidRPr="0048710F">
        <w:rPr>
          <w:rFonts w:eastAsiaTheme="minorHAnsi"/>
          <w:szCs w:val="24"/>
        </w:rPr>
        <w:t>.</w:t>
      </w:r>
    </w:p>
    <w:p w:rsidR="006F0743" w:rsidRPr="0048710F" w:rsidRDefault="006F0743" w:rsidP="0048710F">
      <w:pPr>
        <w:tabs>
          <w:tab w:val="clear" w:pos="1440"/>
        </w:tabs>
        <w:autoSpaceDE w:val="0"/>
        <w:autoSpaceDN w:val="0"/>
        <w:spacing w:after="0"/>
        <w:rPr>
          <w:rFonts w:eastAsiaTheme="minorHAnsi"/>
          <w:szCs w:val="24"/>
        </w:rPr>
      </w:pPr>
    </w:p>
    <w:p w:rsidR="0048710F" w:rsidRPr="0048710F" w:rsidRDefault="0048710F" w:rsidP="0048710F">
      <w:pPr>
        <w:tabs>
          <w:tab w:val="clear" w:pos="1440"/>
        </w:tabs>
        <w:autoSpaceDE w:val="0"/>
        <w:autoSpaceDN w:val="0"/>
        <w:spacing w:after="0"/>
        <w:rPr>
          <w:rFonts w:eastAsiaTheme="minorHAnsi"/>
          <w:szCs w:val="24"/>
        </w:rPr>
      </w:pPr>
      <w:r w:rsidRPr="0048710F">
        <w:rPr>
          <w:rFonts w:eastAsiaTheme="minorHAnsi"/>
          <w:szCs w:val="24"/>
        </w:rPr>
        <w:tab/>
      </w:r>
      <w:r w:rsidRPr="0048710F">
        <w:rPr>
          <w:rFonts w:eastAsiaTheme="minorHAnsi"/>
          <w:szCs w:val="24"/>
        </w:rPr>
        <w:tab/>
        <w:t>(4)</w:t>
      </w:r>
      <w:r w:rsidRPr="0048710F">
        <w:rPr>
          <w:rFonts w:eastAsiaTheme="minorHAnsi"/>
          <w:szCs w:val="24"/>
        </w:rPr>
        <w:tab/>
        <w:t>There is no evidence that P</w:t>
      </w:r>
      <w:r w:rsidR="000C0D8F">
        <w:rPr>
          <w:rFonts w:eastAsiaTheme="minorHAnsi"/>
          <w:szCs w:val="24"/>
        </w:rPr>
        <w:t>PL</w:t>
      </w:r>
      <w:r w:rsidRPr="0048710F">
        <w:rPr>
          <w:rFonts w:eastAsiaTheme="minorHAnsi"/>
          <w:szCs w:val="24"/>
        </w:rPr>
        <w:t xml:space="preserve"> has made efforts to modify internal practice and procedures to address the conduct at issue and prevent similar conduct in the future.  Therefore, the civil penalties mentioned above are warranted.</w:t>
      </w:r>
    </w:p>
    <w:p w:rsidR="0048710F" w:rsidRPr="0048710F" w:rsidRDefault="0048710F" w:rsidP="0048710F">
      <w:pPr>
        <w:tabs>
          <w:tab w:val="clear" w:pos="1440"/>
        </w:tabs>
        <w:autoSpaceDE w:val="0"/>
        <w:autoSpaceDN w:val="0"/>
        <w:spacing w:after="0"/>
        <w:rPr>
          <w:rFonts w:eastAsiaTheme="minorHAnsi"/>
          <w:szCs w:val="24"/>
        </w:rPr>
      </w:pPr>
    </w:p>
    <w:p w:rsidR="0048710F" w:rsidRPr="0048710F" w:rsidRDefault="0048710F" w:rsidP="0048710F">
      <w:pPr>
        <w:tabs>
          <w:tab w:val="clear" w:pos="1440"/>
        </w:tabs>
        <w:autoSpaceDE w:val="0"/>
        <w:autoSpaceDN w:val="0"/>
        <w:spacing w:after="0"/>
        <w:rPr>
          <w:rFonts w:eastAsiaTheme="minorHAnsi"/>
          <w:szCs w:val="24"/>
        </w:rPr>
      </w:pPr>
      <w:r w:rsidRPr="0048710F">
        <w:rPr>
          <w:rFonts w:eastAsiaTheme="minorHAnsi"/>
          <w:szCs w:val="24"/>
        </w:rPr>
        <w:tab/>
      </w:r>
      <w:r w:rsidRPr="0048710F">
        <w:rPr>
          <w:rFonts w:eastAsiaTheme="minorHAnsi"/>
          <w:szCs w:val="24"/>
        </w:rPr>
        <w:tab/>
        <w:t>(5)</w:t>
      </w:r>
      <w:r w:rsidRPr="0048710F">
        <w:rPr>
          <w:rFonts w:eastAsiaTheme="minorHAnsi"/>
          <w:szCs w:val="24"/>
        </w:rPr>
        <w:tab/>
        <w:t>There is no evidence that other customers were affected by P</w:t>
      </w:r>
      <w:r w:rsidR="000C0D8F">
        <w:rPr>
          <w:rFonts w:eastAsiaTheme="minorHAnsi"/>
          <w:szCs w:val="24"/>
        </w:rPr>
        <w:t>PL</w:t>
      </w:r>
      <w:r w:rsidRPr="0048710F">
        <w:rPr>
          <w:rFonts w:eastAsiaTheme="minorHAnsi"/>
          <w:szCs w:val="24"/>
        </w:rPr>
        <w:t>’s violation of the Code and the Commission’s regulations.  As to the duration of the violations, the evidence establishes that P</w:t>
      </w:r>
      <w:r w:rsidR="000C0D8F">
        <w:rPr>
          <w:rFonts w:eastAsiaTheme="minorHAnsi"/>
          <w:szCs w:val="24"/>
        </w:rPr>
        <w:t>PL</w:t>
      </w:r>
      <w:r w:rsidRPr="0048710F">
        <w:rPr>
          <w:rFonts w:eastAsiaTheme="minorHAnsi"/>
          <w:szCs w:val="24"/>
        </w:rPr>
        <w:t xml:space="preserve">’s </w:t>
      </w:r>
      <w:r w:rsidR="000C0D8F">
        <w:rPr>
          <w:rFonts w:eastAsiaTheme="minorHAnsi"/>
          <w:szCs w:val="24"/>
        </w:rPr>
        <w:t xml:space="preserve">inclusion of the stale charges occurred over more than three years. </w:t>
      </w:r>
      <w:r w:rsidRPr="0048710F">
        <w:rPr>
          <w:rFonts w:eastAsiaTheme="minorHAnsi"/>
          <w:szCs w:val="24"/>
        </w:rPr>
        <w:t>Therefore, a civil penalty for the duration of the violation is warranted in the amount of $</w:t>
      </w:r>
      <w:r w:rsidR="000C0D8F">
        <w:rPr>
          <w:rFonts w:eastAsiaTheme="minorHAnsi"/>
          <w:szCs w:val="24"/>
        </w:rPr>
        <w:t>5</w:t>
      </w:r>
      <w:r w:rsidRPr="0048710F">
        <w:rPr>
          <w:rFonts w:eastAsiaTheme="minorHAnsi"/>
          <w:szCs w:val="24"/>
        </w:rPr>
        <w:t>00.00.</w:t>
      </w:r>
    </w:p>
    <w:p w:rsidR="0048710F" w:rsidRPr="0048710F" w:rsidRDefault="0048710F" w:rsidP="0048710F">
      <w:pPr>
        <w:tabs>
          <w:tab w:val="clear" w:pos="1440"/>
        </w:tabs>
        <w:autoSpaceDE w:val="0"/>
        <w:autoSpaceDN w:val="0"/>
        <w:spacing w:after="0"/>
        <w:rPr>
          <w:rFonts w:eastAsiaTheme="minorHAnsi"/>
          <w:szCs w:val="24"/>
        </w:rPr>
      </w:pPr>
      <w:r w:rsidRPr="0048710F">
        <w:rPr>
          <w:rFonts w:eastAsiaTheme="minorHAnsi"/>
          <w:szCs w:val="24"/>
        </w:rPr>
        <w:tab/>
      </w:r>
      <w:r w:rsidRPr="0048710F">
        <w:rPr>
          <w:rFonts w:eastAsiaTheme="minorHAnsi"/>
          <w:szCs w:val="24"/>
        </w:rPr>
        <w:tab/>
      </w:r>
    </w:p>
    <w:p w:rsidR="0048710F" w:rsidRDefault="0048710F" w:rsidP="0048710F">
      <w:pPr>
        <w:tabs>
          <w:tab w:val="clear" w:pos="1440"/>
        </w:tabs>
        <w:autoSpaceDE w:val="0"/>
        <w:autoSpaceDN w:val="0"/>
        <w:spacing w:after="0"/>
        <w:rPr>
          <w:rFonts w:eastAsiaTheme="minorHAnsi"/>
          <w:szCs w:val="24"/>
        </w:rPr>
      </w:pPr>
      <w:r w:rsidRPr="0048710F">
        <w:rPr>
          <w:rFonts w:eastAsiaTheme="minorHAnsi"/>
          <w:szCs w:val="24"/>
        </w:rPr>
        <w:tab/>
      </w:r>
      <w:r w:rsidRPr="0048710F">
        <w:rPr>
          <w:rFonts w:eastAsiaTheme="minorHAnsi"/>
          <w:szCs w:val="24"/>
        </w:rPr>
        <w:tab/>
        <w:t xml:space="preserve">(6) </w:t>
      </w:r>
      <w:r w:rsidRPr="0048710F">
        <w:rPr>
          <w:rFonts w:eastAsiaTheme="minorHAnsi"/>
          <w:szCs w:val="24"/>
        </w:rPr>
        <w:tab/>
        <w:t>In this case the evidence is silent on P</w:t>
      </w:r>
      <w:r w:rsidR="00A90FE1">
        <w:rPr>
          <w:rFonts w:eastAsiaTheme="minorHAnsi"/>
          <w:szCs w:val="24"/>
        </w:rPr>
        <w:t>PL</w:t>
      </w:r>
      <w:r w:rsidRPr="0048710F">
        <w:rPr>
          <w:rFonts w:eastAsiaTheme="minorHAnsi"/>
          <w:szCs w:val="24"/>
        </w:rPr>
        <w:t>’s compliance history.</w:t>
      </w:r>
    </w:p>
    <w:p w:rsidR="000D3C29" w:rsidRPr="0048710F" w:rsidRDefault="000D3C29" w:rsidP="0048710F">
      <w:pPr>
        <w:tabs>
          <w:tab w:val="clear" w:pos="1440"/>
        </w:tabs>
        <w:autoSpaceDE w:val="0"/>
        <w:autoSpaceDN w:val="0"/>
        <w:spacing w:after="0"/>
        <w:rPr>
          <w:rFonts w:eastAsiaTheme="minorHAnsi"/>
          <w:szCs w:val="24"/>
        </w:rPr>
      </w:pPr>
    </w:p>
    <w:p w:rsidR="0048710F" w:rsidRPr="0048710F" w:rsidRDefault="0048710F" w:rsidP="0048710F">
      <w:pPr>
        <w:tabs>
          <w:tab w:val="clear" w:pos="1440"/>
        </w:tabs>
        <w:autoSpaceDE w:val="0"/>
        <w:autoSpaceDN w:val="0"/>
        <w:spacing w:after="0"/>
        <w:rPr>
          <w:rFonts w:eastAsiaTheme="minorHAnsi"/>
          <w:szCs w:val="24"/>
        </w:rPr>
      </w:pPr>
      <w:r w:rsidRPr="0048710F">
        <w:rPr>
          <w:rFonts w:eastAsiaTheme="minorHAnsi"/>
          <w:szCs w:val="24"/>
        </w:rPr>
        <w:tab/>
      </w:r>
      <w:r w:rsidRPr="0048710F">
        <w:rPr>
          <w:rFonts w:eastAsiaTheme="minorHAnsi"/>
          <w:szCs w:val="24"/>
        </w:rPr>
        <w:tab/>
        <w:t>(7)</w:t>
      </w:r>
      <w:r w:rsidRPr="0048710F">
        <w:rPr>
          <w:rFonts w:eastAsiaTheme="minorHAnsi"/>
          <w:szCs w:val="24"/>
        </w:rPr>
        <w:tab/>
        <w:t>There is insufficient evidence to rule on P</w:t>
      </w:r>
      <w:r w:rsidR="000D3C29">
        <w:rPr>
          <w:rFonts w:eastAsiaTheme="minorHAnsi"/>
          <w:szCs w:val="24"/>
        </w:rPr>
        <w:t>PL</w:t>
      </w:r>
      <w:r w:rsidRPr="0048710F">
        <w:rPr>
          <w:rFonts w:eastAsiaTheme="minorHAnsi"/>
          <w:szCs w:val="24"/>
        </w:rPr>
        <w:t>’s level of cooperation with the Commission’s investigation or to find that P</w:t>
      </w:r>
      <w:r w:rsidR="000D3C29">
        <w:rPr>
          <w:rFonts w:eastAsiaTheme="minorHAnsi"/>
          <w:szCs w:val="24"/>
        </w:rPr>
        <w:t>PL</w:t>
      </w:r>
      <w:r w:rsidRPr="0048710F">
        <w:rPr>
          <w:rFonts w:eastAsiaTheme="minorHAnsi"/>
          <w:szCs w:val="24"/>
        </w:rPr>
        <w:t xml:space="preserve"> acted in bad faith. </w:t>
      </w:r>
    </w:p>
    <w:p w:rsidR="0048710F" w:rsidRPr="0048710F" w:rsidRDefault="0048710F" w:rsidP="0048710F">
      <w:pPr>
        <w:tabs>
          <w:tab w:val="clear" w:pos="1440"/>
        </w:tabs>
        <w:autoSpaceDE w:val="0"/>
        <w:autoSpaceDN w:val="0"/>
        <w:spacing w:after="0"/>
        <w:ind w:left="1440"/>
        <w:rPr>
          <w:rFonts w:eastAsiaTheme="minorHAnsi"/>
          <w:szCs w:val="24"/>
        </w:rPr>
      </w:pPr>
    </w:p>
    <w:p w:rsidR="0048710F" w:rsidRPr="0048710F" w:rsidRDefault="0048710F" w:rsidP="0048710F">
      <w:pPr>
        <w:tabs>
          <w:tab w:val="clear" w:pos="1440"/>
        </w:tabs>
        <w:autoSpaceDE w:val="0"/>
        <w:autoSpaceDN w:val="0"/>
        <w:spacing w:after="0"/>
        <w:rPr>
          <w:rFonts w:eastAsiaTheme="minorHAnsi"/>
          <w:szCs w:val="24"/>
        </w:rPr>
      </w:pPr>
      <w:r w:rsidRPr="0048710F">
        <w:rPr>
          <w:rFonts w:eastAsiaTheme="minorHAnsi"/>
          <w:szCs w:val="24"/>
        </w:rPr>
        <w:lastRenderedPageBreak/>
        <w:t xml:space="preserve"> </w:t>
      </w:r>
      <w:r w:rsidRPr="0048710F">
        <w:rPr>
          <w:rFonts w:eastAsiaTheme="minorHAnsi"/>
          <w:szCs w:val="24"/>
        </w:rPr>
        <w:tab/>
      </w:r>
      <w:r w:rsidRPr="0048710F">
        <w:rPr>
          <w:rFonts w:eastAsiaTheme="minorHAnsi"/>
          <w:szCs w:val="24"/>
        </w:rPr>
        <w:tab/>
        <w:t>(8)</w:t>
      </w:r>
      <w:r w:rsidRPr="0048710F">
        <w:rPr>
          <w:rFonts w:eastAsiaTheme="minorHAnsi"/>
          <w:szCs w:val="24"/>
        </w:rPr>
        <w:tab/>
        <w:t>The civil penalties mentioned above are necessary to deter future violations by P</w:t>
      </w:r>
      <w:r w:rsidR="000D3C29">
        <w:rPr>
          <w:rFonts w:eastAsiaTheme="minorHAnsi"/>
          <w:szCs w:val="24"/>
        </w:rPr>
        <w:t>PL</w:t>
      </w:r>
      <w:r w:rsidRPr="0048710F">
        <w:rPr>
          <w:rFonts w:eastAsiaTheme="minorHAnsi"/>
          <w:szCs w:val="24"/>
        </w:rPr>
        <w:t>.</w:t>
      </w:r>
    </w:p>
    <w:p w:rsidR="0048710F" w:rsidRPr="0048710F" w:rsidRDefault="0048710F" w:rsidP="0048710F">
      <w:pPr>
        <w:tabs>
          <w:tab w:val="clear" w:pos="1440"/>
        </w:tabs>
        <w:autoSpaceDE w:val="0"/>
        <w:autoSpaceDN w:val="0"/>
        <w:spacing w:after="0"/>
        <w:rPr>
          <w:rFonts w:eastAsiaTheme="minorHAnsi"/>
          <w:szCs w:val="24"/>
        </w:rPr>
      </w:pPr>
    </w:p>
    <w:p w:rsidR="0048710F" w:rsidRPr="0048710F" w:rsidRDefault="0048710F" w:rsidP="0048710F">
      <w:pPr>
        <w:tabs>
          <w:tab w:val="clear" w:pos="1440"/>
        </w:tabs>
        <w:autoSpaceDE w:val="0"/>
        <w:autoSpaceDN w:val="0"/>
        <w:spacing w:after="0"/>
        <w:rPr>
          <w:rFonts w:eastAsiaTheme="minorHAnsi"/>
          <w:szCs w:val="24"/>
        </w:rPr>
      </w:pPr>
      <w:r w:rsidRPr="0048710F">
        <w:rPr>
          <w:rFonts w:eastAsiaTheme="minorHAnsi"/>
          <w:szCs w:val="24"/>
        </w:rPr>
        <w:tab/>
      </w:r>
      <w:r w:rsidRPr="0048710F">
        <w:rPr>
          <w:rFonts w:eastAsiaTheme="minorHAnsi"/>
          <w:szCs w:val="24"/>
        </w:rPr>
        <w:tab/>
        <w:t>(9)</w:t>
      </w:r>
      <w:r w:rsidRPr="0048710F">
        <w:rPr>
          <w:rFonts w:eastAsiaTheme="minorHAnsi"/>
          <w:szCs w:val="24"/>
        </w:rPr>
        <w:tab/>
      </w:r>
      <w:r w:rsidR="000D3C29">
        <w:rPr>
          <w:rFonts w:eastAsiaTheme="minorHAnsi"/>
          <w:szCs w:val="24"/>
        </w:rPr>
        <w:t xml:space="preserve">The record is silent on </w:t>
      </w:r>
      <w:r w:rsidRPr="0048710F">
        <w:rPr>
          <w:rFonts w:eastAsiaTheme="minorHAnsi"/>
          <w:szCs w:val="24"/>
        </w:rPr>
        <w:t xml:space="preserve">prior Commission decisions concerning the issues raised in this proceeding.  Accordingly a penalty for this factor is not warranted. </w:t>
      </w:r>
    </w:p>
    <w:p w:rsidR="0048710F" w:rsidRPr="0048710F" w:rsidRDefault="0048710F" w:rsidP="0048710F">
      <w:pPr>
        <w:tabs>
          <w:tab w:val="clear" w:pos="1440"/>
        </w:tabs>
        <w:autoSpaceDE w:val="0"/>
        <w:autoSpaceDN w:val="0"/>
        <w:spacing w:after="0"/>
        <w:rPr>
          <w:rFonts w:eastAsiaTheme="minorHAnsi"/>
          <w:szCs w:val="24"/>
        </w:rPr>
      </w:pPr>
    </w:p>
    <w:p w:rsidR="0048710F" w:rsidRPr="0048710F" w:rsidRDefault="0048710F" w:rsidP="0048710F">
      <w:pPr>
        <w:tabs>
          <w:tab w:val="clear" w:pos="1440"/>
        </w:tabs>
        <w:autoSpaceDE w:val="0"/>
        <w:autoSpaceDN w:val="0"/>
        <w:spacing w:after="0"/>
        <w:rPr>
          <w:rFonts w:eastAsiaTheme="minorHAnsi"/>
          <w:szCs w:val="24"/>
        </w:rPr>
      </w:pPr>
      <w:r w:rsidRPr="0048710F">
        <w:rPr>
          <w:rFonts w:eastAsiaTheme="minorHAnsi"/>
          <w:szCs w:val="24"/>
        </w:rPr>
        <w:tab/>
      </w:r>
      <w:r w:rsidRPr="0048710F">
        <w:rPr>
          <w:rFonts w:eastAsiaTheme="minorHAnsi"/>
          <w:szCs w:val="24"/>
        </w:rPr>
        <w:tab/>
        <w:t>(10)</w:t>
      </w:r>
      <w:r w:rsidRPr="0048710F">
        <w:rPr>
          <w:rFonts w:eastAsiaTheme="minorHAnsi"/>
          <w:szCs w:val="24"/>
        </w:rPr>
        <w:tab/>
        <w:t>Considering the entire record, the above penalties totaling $</w:t>
      </w:r>
      <w:r w:rsidR="000D3C29">
        <w:rPr>
          <w:rFonts w:eastAsiaTheme="minorHAnsi"/>
          <w:szCs w:val="24"/>
        </w:rPr>
        <w:t>2</w:t>
      </w:r>
      <w:r w:rsidRPr="0048710F">
        <w:rPr>
          <w:rFonts w:eastAsiaTheme="minorHAnsi"/>
          <w:szCs w:val="24"/>
        </w:rPr>
        <w:t xml:space="preserve">,000.00 are warranted. </w:t>
      </w:r>
    </w:p>
    <w:p w:rsidR="006D253E" w:rsidRDefault="006D253E" w:rsidP="0048710F">
      <w:pPr>
        <w:tabs>
          <w:tab w:val="clear" w:pos="1440"/>
        </w:tabs>
        <w:autoSpaceDE w:val="0"/>
        <w:autoSpaceDN w:val="0"/>
        <w:spacing w:after="0"/>
        <w:rPr>
          <w:rFonts w:eastAsiaTheme="minorHAnsi"/>
          <w:szCs w:val="24"/>
        </w:rPr>
      </w:pPr>
    </w:p>
    <w:p w:rsidR="0048710F" w:rsidRPr="0048710F" w:rsidRDefault="0048710F" w:rsidP="0048710F">
      <w:pPr>
        <w:tabs>
          <w:tab w:val="clear" w:pos="1440"/>
        </w:tabs>
        <w:autoSpaceDE w:val="0"/>
        <w:autoSpaceDN w:val="0"/>
        <w:spacing w:after="0"/>
        <w:jc w:val="center"/>
        <w:rPr>
          <w:rFonts w:eastAsiaTheme="minorHAnsi"/>
          <w:szCs w:val="24"/>
          <w:u w:val="single"/>
        </w:rPr>
      </w:pPr>
      <w:r w:rsidRPr="0048710F">
        <w:rPr>
          <w:rFonts w:eastAsiaTheme="minorHAnsi"/>
          <w:szCs w:val="24"/>
          <w:u w:val="single"/>
        </w:rPr>
        <w:t>CONCLUSIONS OF LAW</w:t>
      </w:r>
    </w:p>
    <w:p w:rsidR="0048710F" w:rsidRPr="0048710F" w:rsidRDefault="0048710F" w:rsidP="0048710F">
      <w:pPr>
        <w:tabs>
          <w:tab w:val="clear" w:pos="1440"/>
        </w:tabs>
        <w:spacing w:after="0"/>
        <w:rPr>
          <w:rFonts w:eastAsiaTheme="minorHAnsi"/>
          <w:szCs w:val="24"/>
        </w:rPr>
      </w:pPr>
    </w:p>
    <w:p w:rsidR="0048710F" w:rsidRPr="0048710F" w:rsidRDefault="0048710F" w:rsidP="000D3C29">
      <w:pPr>
        <w:numPr>
          <w:ilvl w:val="0"/>
          <w:numId w:val="30"/>
        </w:numPr>
        <w:tabs>
          <w:tab w:val="clear" w:pos="1440"/>
          <w:tab w:val="num" w:pos="0"/>
        </w:tabs>
        <w:autoSpaceDE w:val="0"/>
        <w:autoSpaceDN w:val="0"/>
        <w:spacing w:after="0"/>
        <w:ind w:left="0" w:firstLine="1440"/>
        <w:rPr>
          <w:rFonts w:eastAsiaTheme="minorHAnsi"/>
          <w:szCs w:val="24"/>
        </w:rPr>
      </w:pPr>
      <w:r w:rsidRPr="0048710F">
        <w:rPr>
          <w:rFonts w:eastAsiaTheme="minorHAnsi"/>
          <w:szCs w:val="24"/>
        </w:rPr>
        <w:t>The Commission has jurisdiction over the parties and the subject matter of this proceeding relating to electric and gas service.  66 Pa.C.S. § 701.</w:t>
      </w:r>
    </w:p>
    <w:p w:rsidR="0048710F" w:rsidRPr="0048710F" w:rsidRDefault="0048710F" w:rsidP="000D3C29">
      <w:pPr>
        <w:tabs>
          <w:tab w:val="clear" w:pos="1440"/>
        </w:tabs>
        <w:spacing w:after="0"/>
        <w:rPr>
          <w:rFonts w:eastAsiaTheme="minorHAnsi"/>
          <w:szCs w:val="24"/>
        </w:rPr>
      </w:pPr>
    </w:p>
    <w:p w:rsidR="0048710F" w:rsidRPr="0048710F" w:rsidRDefault="0048710F" w:rsidP="0048710F">
      <w:pPr>
        <w:tabs>
          <w:tab w:val="clear" w:pos="1440"/>
        </w:tabs>
        <w:spacing w:after="0"/>
        <w:rPr>
          <w:rFonts w:eastAsiaTheme="minorHAnsi"/>
          <w:szCs w:val="24"/>
        </w:rPr>
      </w:pPr>
      <w:r w:rsidRPr="0048710F">
        <w:rPr>
          <w:rFonts w:eastAsiaTheme="minorHAnsi"/>
          <w:szCs w:val="24"/>
        </w:rPr>
        <w:tab/>
      </w:r>
      <w:r w:rsidRPr="0048710F">
        <w:rPr>
          <w:rFonts w:eastAsiaTheme="minorHAnsi"/>
          <w:szCs w:val="24"/>
        </w:rPr>
        <w:tab/>
        <w:t>2.</w:t>
      </w:r>
      <w:r w:rsidRPr="0048710F">
        <w:rPr>
          <w:rFonts w:eastAsiaTheme="minorHAnsi"/>
          <w:szCs w:val="24"/>
        </w:rPr>
        <w:tab/>
        <w:t>Complainant carries the burden of proving Respondent has in some manner violated the provisions of the Public Utility Code (Code) or the regulations of the Commissi</w:t>
      </w:r>
      <w:r w:rsidR="00F818E2">
        <w:rPr>
          <w:rFonts w:eastAsiaTheme="minorHAnsi"/>
          <w:szCs w:val="24"/>
        </w:rPr>
        <w:t>on in the course of providing him</w:t>
      </w:r>
      <w:r w:rsidRPr="0048710F">
        <w:rPr>
          <w:rFonts w:eastAsiaTheme="minorHAnsi"/>
          <w:szCs w:val="24"/>
        </w:rPr>
        <w:t xml:space="preserve"> service.  Section 332(a) of the Public Utility Code, 66 Pa.C.S. § 332(a). </w:t>
      </w:r>
    </w:p>
    <w:p w:rsidR="0048710F" w:rsidRPr="0048710F" w:rsidRDefault="0048710F" w:rsidP="0048710F">
      <w:pPr>
        <w:tabs>
          <w:tab w:val="clear" w:pos="1440"/>
        </w:tabs>
        <w:autoSpaceDE w:val="0"/>
        <w:autoSpaceDN w:val="0"/>
        <w:spacing w:after="0"/>
        <w:rPr>
          <w:rFonts w:eastAsiaTheme="minorHAnsi"/>
          <w:szCs w:val="24"/>
        </w:rPr>
      </w:pPr>
      <w:r w:rsidRPr="0048710F">
        <w:rPr>
          <w:rFonts w:eastAsiaTheme="minorHAnsi"/>
          <w:szCs w:val="24"/>
        </w:rPr>
        <w:t xml:space="preserve"> </w:t>
      </w:r>
    </w:p>
    <w:p w:rsidR="0048710F" w:rsidRPr="0048710F" w:rsidRDefault="0048710F" w:rsidP="0048710F">
      <w:pPr>
        <w:tabs>
          <w:tab w:val="clear" w:pos="1440"/>
        </w:tabs>
        <w:spacing w:after="0"/>
        <w:rPr>
          <w:rFonts w:eastAsiaTheme="minorHAnsi"/>
          <w:szCs w:val="24"/>
        </w:rPr>
      </w:pPr>
      <w:r w:rsidRPr="0048710F">
        <w:rPr>
          <w:rFonts w:eastAsiaTheme="minorHAnsi"/>
          <w:szCs w:val="24"/>
        </w:rPr>
        <w:tab/>
      </w:r>
      <w:r w:rsidRPr="0048710F">
        <w:rPr>
          <w:rFonts w:eastAsiaTheme="minorHAnsi"/>
          <w:szCs w:val="24"/>
        </w:rPr>
        <w:tab/>
      </w:r>
      <w:r w:rsidR="00F818E2">
        <w:rPr>
          <w:rFonts w:eastAsiaTheme="minorHAnsi"/>
          <w:szCs w:val="24"/>
        </w:rPr>
        <w:t>3.</w:t>
      </w:r>
      <w:r w:rsidR="00F818E2">
        <w:rPr>
          <w:rFonts w:eastAsiaTheme="minorHAnsi"/>
          <w:szCs w:val="24"/>
        </w:rPr>
        <w:tab/>
        <w:t>Complainant carries</w:t>
      </w:r>
      <w:r w:rsidRPr="0048710F">
        <w:rPr>
          <w:rFonts w:eastAsiaTheme="minorHAnsi"/>
          <w:szCs w:val="24"/>
        </w:rPr>
        <w:t xml:space="preserve"> the burden of proving Respondent violated the Code and Commission regulations and failed to provide Complainant with reasonable customer service relating to </w:t>
      </w:r>
      <w:r w:rsidR="000D3C29">
        <w:rPr>
          <w:rFonts w:eastAsiaTheme="minorHAnsi"/>
          <w:szCs w:val="24"/>
        </w:rPr>
        <w:t xml:space="preserve">the Respondent’s billing practices and </w:t>
      </w:r>
      <w:r w:rsidRPr="0048710F">
        <w:rPr>
          <w:rFonts w:eastAsiaTheme="minorHAnsi"/>
          <w:szCs w:val="24"/>
        </w:rPr>
        <w:t>conditioning the furnishing of service base upon charges that accrued were more than four years ago.  66 Pa.C.S. § 1501.</w:t>
      </w:r>
    </w:p>
    <w:p w:rsidR="0048710F" w:rsidRPr="0048710F" w:rsidRDefault="0048710F" w:rsidP="0048710F">
      <w:pPr>
        <w:tabs>
          <w:tab w:val="clear" w:pos="1440"/>
        </w:tabs>
        <w:spacing w:after="0"/>
        <w:ind w:left="1440" w:right="1080"/>
        <w:rPr>
          <w:rFonts w:eastAsiaTheme="minorHAnsi"/>
          <w:szCs w:val="24"/>
        </w:rPr>
      </w:pPr>
    </w:p>
    <w:p w:rsidR="0048710F" w:rsidRPr="0048710F" w:rsidRDefault="0048710F" w:rsidP="000D3C29">
      <w:pPr>
        <w:tabs>
          <w:tab w:val="clear" w:pos="1440"/>
        </w:tabs>
        <w:spacing w:after="0"/>
        <w:rPr>
          <w:rFonts w:eastAsiaTheme="minorHAnsi" w:cstheme="minorBidi"/>
          <w:szCs w:val="22"/>
        </w:rPr>
      </w:pPr>
      <w:r w:rsidRPr="0048710F">
        <w:rPr>
          <w:rFonts w:eastAsiaTheme="minorHAnsi"/>
          <w:szCs w:val="24"/>
        </w:rPr>
        <w:tab/>
      </w:r>
      <w:r w:rsidRPr="0048710F">
        <w:rPr>
          <w:rFonts w:eastAsiaTheme="minorHAnsi"/>
          <w:szCs w:val="24"/>
        </w:rPr>
        <w:tab/>
        <w:t>4.</w:t>
      </w:r>
      <w:r w:rsidRPr="0048710F">
        <w:rPr>
          <w:rFonts w:eastAsiaTheme="minorHAnsi"/>
          <w:szCs w:val="24"/>
        </w:rPr>
        <w:tab/>
      </w:r>
      <w:r w:rsidRPr="0048710F">
        <w:rPr>
          <w:rFonts w:eastAsiaTheme="minorHAnsi" w:cstheme="minorBidi"/>
          <w:szCs w:val="24"/>
        </w:rPr>
        <w:t>A utility may not condition the furnishing of service to an applicant upon the payment of an outstanding balance that accrued more than four year</w:t>
      </w:r>
      <w:r w:rsidR="00082172">
        <w:rPr>
          <w:rFonts w:eastAsiaTheme="minorHAnsi" w:cstheme="minorBidi"/>
          <w:szCs w:val="24"/>
        </w:rPr>
        <w:t>s</w:t>
      </w:r>
      <w:r w:rsidRPr="0048710F">
        <w:rPr>
          <w:rFonts w:eastAsiaTheme="minorHAnsi" w:cstheme="minorBidi"/>
          <w:szCs w:val="24"/>
        </w:rPr>
        <w:t xml:space="preserve"> ago.  </w:t>
      </w:r>
      <w:r w:rsidRPr="0048710F">
        <w:rPr>
          <w:rFonts w:eastAsiaTheme="minorHAnsi"/>
          <w:i/>
          <w:szCs w:val="24"/>
        </w:rPr>
        <w:t>Michelle A. Mangel v. Duquesne Light</w:t>
      </w:r>
      <w:r w:rsidRPr="0048710F">
        <w:rPr>
          <w:rFonts w:eastAsiaTheme="minorHAnsi"/>
          <w:szCs w:val="24"/>
        </w:rPr>
        <w:t xml:space="preserve"> </w:t>
      </w:r>
      <w:r w:rsidRPr="0048710F">
        <w:rPr>
          <w:rFonts w:eastAsiaTheme="minorHAnsi"/>
          <w:i/>
          <w:szCs w:val="24"/>
        </w:rPr>
        <w:t>Company,</w:t>
      </w:r>
      <w:r w:rsidRPr="0048710F">
        <w:rPr>
          <w:rFonts w:eastAsiaTheme="minorHAnsi"/>
          <w:szCs w:val="24"/>
        </w:rPr>
        <w:t xml:space="preserve"> C-00970563 (Opinion and Order entered September 18, 1998); </w:t>
      </w:r>
      <w:r w:rsidRPr="0048710F">
        <w:rPr>
          <w:rFonts w:eastAsiaTheme="minorHAnsi"/>
          <w:i/>
          <w:szCs w:val="24"/>
        </w:rPr>
        <w:t xml:space="preserve">aff’d. </w:t>
      </w:r>
      <w:r w:rsidRPr="0048710F">
        <w:rPr>
          <w:rFonts w:eastAsiaTheme="minorHAnsi" w:cstheme="minorBidi"/>
          <w:i/>
          <w:szCs w:val="22"/>
        </w:rPr>
        <w:t>Duquesne Light Company v. Pa. Pub. Util. Comm’n</w:t>
      </w:r>
      <w:r w:rsidRPr="0048710F">
        <w:rPr>
          <w:rFonts w:eastAsiaTheme="minorHAnsi" w:cstheme="minorBidi"/>
          <w:szCs w:val="22"/>
        </w:rPr>
        <w:t>, 2844 C.D. 1998, Filed July 14, 1999.</w:t>
      </w:r>
    </w:p>
    <w:p w:rsidR="0048710F" w:rsidRPr="0048710F" w:rsidRDefault="0048710F" w:rsidP="0048710F">
      <w:pPr>
        <w:tabs>
          <w:tab w:val="clear" w:pos="1440"/>
        </w:tabs>
        <w:spacing w:after="0"/>
        <w:rPr>
          <w:rFonts w:eastAsiaTheme="minorHAnsi"/>
          <w:szCs w:val="24"/>
        </w:rPr>
      </w:pPr>
    </w:p>
    <w:p w:rsidR="0048710F" w:rsidRPr="0048710F" w:rsidRDefault="000D3C29" w:rsidP="0048710F">
      <w:pPr>
        <w:tabs>
          <w:tab w:val="clear" w:pos="1440"/>
        </w:tabs>
        <w:spacing w:after="0"/>
        <w:ind w:firstLine="1440"/>
        <w:rPr>
          <w:rFonts w:eastAsiaTheme="minorHAnsi" w:cstheme="minorBidi"/>
          <w:szCs w:val="24"/>
        </w:rPr>
      </w:pPr>
      <w:r>
        <w:rPr>
          <w:rFonts w:eastAsiaTheme="minorHAnsi" w:cstheme="minorBidi"/>
          <w:szCs w:val="24"/>
        </w:rPr>
        <w:lastRenderedPageBreak/>
        <w:t>5</w:t>
      </w:r>
      <w:r w:rsidR="0048710F" w:rsidRPr="0048710F">
        <w:rPr>
          <w:rFonts w:eastAsiaTheme="minorHAnsi" w:cstheme="minorBidi"/>
          <w:szCs w:val="24"/>
        </w:rPr>
        <w:t>.</w:t>
      </w:r>
      <w:r w:rsidR="0048710F" w:rsidRPr="0048710F">
        <w:rPr>
          <w:rFonts w:eastAsiaTheme="minorHAnsi" w:cstheme="minorBidi"/>
          <w:szCs w:val="24"/>
        </w:rPr>
        <w:tab/>
        <w:t xml:space="preserve">The Responsible Utility Customer Protection Act, 66 Pa.C.S. § 1401, </w:t>
      </w:r>
      <w:r w:rsidR="0048710F" w:rsidRPr="0048710F">
        <w:rPr>
          <w:rFonts w:eastAsiaTheme="minorHAnsi" w:cstheme="minorBidi"/>
          <w:i/>
          <w:szCs w:val="24"/>
        </w:rPr>
        <w:t>et</w:t>
      </w:r>
      <w:r w:rsidR="005149FD">
        <w:rPr>
          <w:rFonts w:eastAsiaTheme="minorHAnsi" w:cstheme="minorBidi"/>
          <w:i/>
          <w:szCs w:val="24"/>
        </w:rPr>
        <w:t> </w:t>
      </w:r>
      <w:r w:rsidR="0048710F" w:rsidRPr="0048710F">
        <w:rPr>
          <w:rFonts w:eastAsiaTheme="minorHAnsi" w:cstheme="minorBidi"/>
          <w:i/>
          <w:szCs w:val="24"/>
        </w:rPr>
        <w:t>seq.</w:t>
      </w:r>
      <w:r w:rsidR="0048710F" w:rsidRPr="0048710F">
        <w:rPr>
          <w:rFonts w:eastAsiaTheme="minorHAnsi" w:cstheme="minorBidi"/>
          <w:szCs w:val="24"/>
        </w:rPr>
        <w:t>, applies to this proceeding.</w:t>
      </w:r>
    </w:p>
    <w:p w:rsidR="0048710F" w:rsidRPr="0048710F" w:rsidRDefault="0048710F" w:rsidP="0048710F">
      <w:pPr>
        <w:tabs>
          <w:tab w:val="clear" w:pos="1440"/>
        </w:tabs>
        <w:spacing w:after="0"/>
        <w:ind w:firstLine="1440"/>
        <w:rPr>
          <w:rFonts w:eastAsiaTheme="minorHAnsi" w:cstheme="minorBidi"/>
          <w:szCs w:val="24"/>
        </w:rPr>
      </w:pPr>
    </w:p>
    <w:p w:rsidR="003D2E36" w:rsidRDefault="003D2E36" w:rsidP="003D2E36">
      <w:pPr>
        <w:widowControl w:val="0"/>
        <w:tabs>
          <w:tab w:val="clear" w:pos="1440"/>
        </w:tabs>
        <w:autoSpaceDE w:val="0"/>
        <w:autoSpaceDN w:val="0"/>
        <w:spacing w:after="0"/>
      </w:pPr>
      <w:r>
        <w:rPr>
          <w:rFonts w:eastAsiaTheme="minorHAnsi" w:cstheme="minorBidi"/>
          <w:szCs w:val="24"/>
        </w:rPr>
        <w:tab/>
      </w:r>
      <w:r>
        <w:rPr>
          <w:rFonts w:eastAsiaTheme="minorHAnsi" w:cstheme="minorBidi"/>
          <w:szCs w:val="24"/>
        </w:rPr>
        <w:tab/>
      </w:r>
      <w:r w:rsidR="000D3C29">
        <w:rPr>
          <w:rFonts w:eastAsiaTheme="minorHAnsi" w:cstheme="minorBidi"/>
          <w:szCs w:val="24"/>
        </w:rPr>
        <w:t>6</w:t>
      </w:r>
      <w:r w:rsidR="0048710F" w:rsidRPr="0048710F">
        <w:rPr>
          <w:rFonts w:eastAsiaTheme="minorHAnsi" w:cstheme="minorBidi"/>
          <w:szCs w:val="24"/>
        </w:rPr>
        <w:t xml:space="preserve">. </w:t>
      </w:r>
      <w:r w:rsidR="0048710F" w:rsidRPr="0048710F">
        <w:rPr>
          <w:rFonts w:eastAsiaTheme="minorHAnsi" w:cstheme="minorBidi"/>
          <w:szCs w:val="24"/>
        </w:rPr>
        <w:tab/>
      </w:r>
      <w:r>
        <w:rPr>
          <w:rFonts w:eastAsiaTheme="minorHAnsi" w:cstheme="minorBidi"/>
          <w:szCs w:val="24"/>
        </w:rPr>
        <w:t>T</w:t>
      </w:r>
      <w:r w:rsidRPr="00AF6B60">
        <w:rPr>
          <w:snapToGrid w:val="0"/>
          <w:szCs w:val="24"/>
        </w:rPr>
        <w:t xml:space="preserve">he Commission has a responsibility to exercise its authority very judiciously when </w:t>
      </w:r>
      <w:r>
        <w:rPr>
          <w:snapToGrid w:val="0"/>
          <w:szCs w:val="24"/>
        </w:rPr>
        <w:t xml:space="preserve">granting a customer a payment arrangement and </w:t>
      </w:r>
      <w:r w:rsidRPr="00AF6B60">
        <w:rPr>
          <w:snapToGrid w:val="0"/>
          <w:szCs w:val="24"/>
        </w:rPr>
        <w:t>should exercise its discretion only on behalf of customers who have demonstrated some evidence of good faith efforts to pay their utility bills, or who have experienced a significant change of circumstance outside of their control.</w:t>
      </w:r>
      <w:r>
        <w:rPr>
          <w:snapToGrid w:val="0"/>
          <w:szCs w:val="24"/>
        </w:rPr>
        <w:t xml:space="preserve">  </w:t>
      </w:r>
      <w:r w:rsidRPr="006C441A">
        <w:rPr>
          <w:i/>
          <w:szCs w:val="24"/>
        </w:rPr>
        <w:t>George Crawford v</w:t>
      </w:r>
      <w:r>
        <w:rPr>
          <w:i/>
          <w:szCs w:val="24"/>
        </w:rPr>
        <w:t>.</w:t>
      </w:r>
      <w:r w:rsidRPr="006C441A">
        <w:rPr>
          <w:i/>
          <w:szCs w:val="24"/>
        </w:rPr>
        <w:t xml:space="preserve"> National Fuel Gas Distribution Corporation,</w:t>
      </w:r>
      <w:r>
        <w:rPr>
          <w:i/>
          <w:szCs w:val="24"/>
        </w:rPr>
        <w:t xml:space="preserve"> </w:t>
      </w:r>
      <w:r>
        <w:rPr>
          <w:szCs w:val="24"/>
        </w:rPr>
        <w:t>D</w:t>
      </w:r>
      <w:r w:rsidRPr="006C441A">
        <w:rPr>
          <w:szCs w:val="24"/>
        </w:rPr>
        <w:t>ocket No.</w:t>
      </w:r>
      <w:r w:rsidR="006D253E">
        <w:rPr>
          <w:szCs w:val="24"/>
        </w:rPr>
        <w:br w:type="textWrapping" w:clear="all"/>
      </w:r>
      <w:r w:rsidRPr="006C441A">
        <w:rPr>
          <w:szCs w:val="24"/>
        </w:rPr>
        <w:t>C-20066348</w:t>
      </w:r>
      <w:r>
        <w:rPr>
          <w:szCs w:val="24"/>
        </w:rPr>
        <w:t>, at 15-16</w:t>
      </w:r>
      <w:r w:rsidRPr="006C441A">
        <w:rPr>
          <w:szCs w:val="24"/>
        </w:rPr>
        <w:t xml:space="preserve"> (Opi</w:t>
      </w:r>
      <w:r>
        <w:rPr>
          <w:szCs w:val="24"/>
        </w:rPr>
        <w:t>n</w:t>
      </w:r>
      <w:r w:rsidRPr="006C441A">
        <w:rPr>
          <w:szCs w:val="24"/>
        </w:rPr>
        <w:t xml:space="preserve">ion and Order entered August 3, 2007). </w:t>
      </w:r>
    </w:p>
    <w:p w:rsidR="003D2E36" w:rsidRDefault="003D2E36" w:rsidP="0048710F">
      <w:pPr>
        <w:tabs>
          <w:tab w:val="clear" w:pos="1440"/>
        </w:tabs>
        <w:spacing w:after="0"/>
        <w:ind w:firstLine="1440"/>
        <w:rPr>
          <w:rFonts w:eastAsiaTheme="minorHAnsi" w:cstheme="minorBidi"/>
          <w:spacing w:val="-3"/>
          <w:szCs w:val="24"/>
        </w:rPr>
      </w:pPr>
    </w:p>
    <w:p w:rsidR="0048710F" w:rsidRPr="0048710F" w:rsidRDefault="000D3C29" w:rsidP="003D2E36">
      <w:pPr>
        <w:tabs>
          <w:tab w:val="clear" w:pos="1440"/>
        </w:tabs>
        <w:spacing w:after="0"/>
        <w:ind w:firstLine="1440"/>
        <w:rPr>
          <w:rFonts w:ascii="CG Times" w:eastAsiaTheme="minorHAnsi" w:hAnsi="CG Times" w:cs="CG Times"/>
          <w:szCs w:val="24"/>
        </w:rPr>
      </w:pPr>
      <w:r>
        <w:rPr>
          <w:rFonts w:eastAsiaTheme="minorHAnsi" w:cstheme="minorBidi"/>
          <w:spacing w:val="-3"/>
          <w:szCs w:val="24"/>
        </w:rPr>
        <w:t>7</w:t>
      </w:r>
      <w:r w:rsidR="0048710F" w:rsidRPr="0048710F">
        <w:rPr>
          <w:rFonts w:eastAsiaTheme="minorHAnsi" w:cstheme="minorBidi"/>
          <w:spacing w:val="-3"/>
          <w:szCs w:val="24"/>
        </w:rPr>
        <w:t>.</w:t>
      </w:r>
      <w:r w:rsidR="0048710F" w:rsidRPr="0048710F">
        <w:rPr>
          <w:rFonts w:eastAsiaTheme="minorHAnsi" w:cstheme="minorBidi"/>
          <w:spacing w:val="-3"/>
          <w:szCs w:val="24"/>
        </w:rPr>
        <w:tab/>
      </w:r>
      <w:r w:rsidR="0048710F" w:rsidRPr="0048710F">
        <w:rPr>
          <w:rFonts w:ascii="CG Times" w:eastAsiaTheme="minorHAnsi" w:hAnsi="CG Times" w:cs="CG Times"/>
          <w:szCs w:val="24"/>
        </w:rPr>
        <w:t xml:space="preserve">The Commission is authorized to consider and impose civil monetary penalties against a public utility company.  52 Pa.Code § 1201, </w:t>
      </w:r>
      <w:r w:rsidR="0048710F" w:rsidRPr="0048710F">
        <w:rPr>
          <w:rFonts w:ascii="CG Times" w:eastAsiaTheme="minorHAnsi" w:hAnsi="CG Times" w:cs="CG Times"/>
          <w:i/>
          <w:szCs w:val="24"/>
        </w:rPr>
        <w:t>et seq</w:t>
      </w:r>
      <w:r w:rsidR="0048710F" w:rsidRPr="0048710F">
        <w:rPr>
          <w:rFonts w:ascii="CG Times" w:eastAsiaTheme="minorHAnsi" w:hAnsi="CG Times" w:cs="CG Times"/>
          <w:szCs w:val="24"/>
        </w:rPr>
        <w:t>.</w:t>
      </w:r>
    </w:p>
    <w:p w:rsidR="0048710F" w:rsidRPr="0048710F" w:rsidRDefault="0048710F" w:rsidP="0048710F">
      <w:pPr>
        <w:tabs>
          <w:tab w:val="clear" w:pos="1440"/>
        </w:tabs>
        <w:autoSpaceDE w:val="0"/>
        <w:autoSpaceDN w:val="0"/>
        <w:spacing w:after="0"/>
        <w:rPr>
          <w:rFonts w:ascii="CG Times" w:eastAsiaTheme="minorHAnsi" w:hAnsi="CG Times" w:cs="CG Times"/>
          <w:szCs w:val="24"/>
        </w:rPr>
      </w:pPr>
    </w:p>
    <w:p w:rsidR="008657A8" w:rsidRDefault="0048710F" w:rsidP="0048710F">
      <w:pPr>
        <w:tabs>
          <w:tab w:val="clear" w:pos="1440"/>
        </w:tabs>
        <w:spacing w:after="0"/>
        <w:rPr>
          <w:rFonts w:eastAsiaTheme="minorHAnsi"/>
          <w:szCs w:val="24"/>
        </w:rPr>
      </w:pPr>
      <w:r w:rsidRPr="0048710F">
        <w:rPr>
          <w:rFonts w:eastAsiaTheme="minorHAnsi"/>
          <w:szCs w:val="24"/>
        </w:rPr>
        <w:tab/>
      </w:r>
      <w:r w:rsidRPr="0048710F">
        <w:rPr>
          <w:rFonts w:eastAsiaTheme="minorHAnsi"/>
          <w:szCs w:val="24"/>
        </w:rPr>
        <w:tab/>
      </w:r>
      <w:r w:rsidR="003D2E36">
        <w:rPr>
          <w:rFonts w:eastAsiaTheme="minorHAnsi"/>
          <w:szCs w:val="24"/>
        </w:rPr>
        <w:t>8</w:t>
      </w:r>
      <w:r w:rsidRPr="0048710F">
        <w:rPr>
          <w:rFonts w:eastAsiaTheme="minorHAnsi"/>
          <w:szCs w:val="24"/>
        </w:rPr>
        <w:t>.</w:t>
      </w:r>
      <w:r w:rsidRPr="0048710F">
        <w:rPr>
          <w:rFonts w:eastAsiaTheme="minorHAnsi"/>
          <w:szCs w:val="24"/>
        </w:rPr>
        <w:tab/>
        <w:t xml:space="preserve">The violations of the Public Utility Code and the Commission’s regulations that are of a serious nature warrant a higher penalty.  52 </w:t>
      </w:r>
      <w:proofErr w:type="spellStart"/>
      <w:r w:rsidRPr="0048710F">
        <w:rPr>
          <w:rFonts w:eastAsiaTheme="minorHAnsi"/>
          <w:szCs w:val="24"/>
        </w:rPr>
        <w:t>Pa.Code</w:t>
      </w:r>
      <w:proofErr w:type="spellEnd"/>
      <w:r w:rsidRPr="0048710F">
        <w:rPr>
          <w:rFonts w:eastAsiaTheme="minorHAnsi"/>
          <w:szCs w:val="24"/>
        </w:rPr>
        <w:t xml:space="preserve"> § 69.1201(c</w:t>
      </w:r>
      <w:proofErr w:type="gramStart"/>
      <w:r w:rsidRPr="0048710F">
        <w:rPr>
          <w:rFonts w:eastAsiaTheme="minorHAnsi"/>
          <w:szCs w:val="24"/>
        </w:rPr>
        <w:t>)(</w:t>
      </w:r>
      <w:proofErr w:type="gramEnd"/>
      <w:r w:rsidRPr="0048710F">
        <w:rPr>
          <w:rFonts w:eastAsiaTheme="minorHAnsi"/>
          <w:szCs w:val="24"/>
        </w:rPr>
        <w:t>1).</w:t>
      </w:r>
    </w:p>
    <w:p w:rsidR="006F0743" w:rsidRDefault="006F0743" w:rsidP="0048710F">
      <w:pPr>
        <w:tabs>
          <w:tab w:val="clear" w:pos="1440"/>
        </w:tabs>
        <w:spacing w:after="0"/>
        <w:rPr>
          <w:rFonts w:eastAsiaTheme="minorHAnsi"/>
          <w:szCs w:val="24"/>
        </w:rPr>
      </w:pPr>
    </w:p>
    <w:p w:rsidR="00F9069D" w:rsidRDefault="00F9069D" w:rsidP="00F9069D">
      <w:pPr>
        <w:spacing w:after="0"/>
        <w:jc w:val="center"/>
        <w:rPr>
          <w:szCs w:val="24"/>
          <w:u w:val="single"/>
        </w:rPr>
      </w:pPr>
      <w:r>
        <w:rPr>
          <w:szCs w:val="24"/>
          <w:u w:val="single"/>
        </w:rPr>
        <w:t>O</w:t>
      </w:r>
      <w:r w:rsidRPr="0000035F">
        <w:rPr>
          <w:szCs w:val="24"/>
          <w:u w:val="single"/>
        </w:rPr>
        <w:t>RDER</w:t>
      </w:r>
    </w:p>
    <w:p w:rsidR="006D253E" w:rsidRPr="0000035F" w:rsidRDefault="006D253E" w:rsidP="00F9069D">
      <w:pPr>
        <w:spacing w:after="0"/>
        <w:jc w:val="center"/>
        <w:rPr>
          <w:szCs w:val="24"/>
          <w:u w:val="single"/>
        </w:rPr>
      </w:pPr>
    </w:p>
    <w:p w:rsidR="00F9069D" w:rsidRDefault="00F9069D" w:rsidP="00F9069D">
      <w:pPr>
        <w:spacing w:after="0"/>
        <w:rPr>
          <w:szCs w:val="24"/>
        </w:rPr>
      </w:pPr>
    </w:p>
    <w:p w:rsidR="00F9069D" w:rsidRDefault="00F9069D" w:rsidP="00F9069D">
      <w:pPr>
        <w:spacing w:after="0"/>
        <w:rPr>
          <w:szCs w:val="24"/>
        </w:rPr>
      </w:pPr>
      <w:r>
        <w:rPr>
          <w:szCs w:val="24"/>
        </w:rPr>
        <w:tab/>
        <w:t>THEREFORE,</w:t>
      </w:r>
    </w:p>
    <w:p w:rsidR="00F9069D" w:rsidRDefault="00F9069D" w:rsidP="00F9069D">
      <w:pPr>
        <w:spacing w:after="0"/>
        <w:rPr>
          <w:szCs w:val="24"/>
        </w:rPr>
      </w:pPr>
    </w:p>
    <w:p w:rsidR="00F9069D" w:rsidRDefault="00F9069D" w:rsidP="00F9069D">
      <w:pPr>
        <w:spacing w:after="0"/>
        <w:rPr>
          <w:szCs w:val="24"/>
        </w:rPr>
      </w:pPr>
      <w:r>
        <w:rPr>
          <w:szCs w:val="24"/>
        </w:rPr>
        <w:tab/>
        <w:t>IT IS ORDERED:</w:t>
      </w:r>
    </w:p>
    <w:p w:rsidR="000074A4" w:rsidRDefault="000074A4" w:rsidP="000074A4">
      <w:pPr>
        <w:tabs>
          <w:tab w:val="clear" w:pos="1440"/>
        </w:tabs>
        <w:autoSpaceDE w:val="0"/>
        <w:autoSpaceDN w:val="0"/>
        <w:spacing w:after="0" w:line="240" w:lineRule="auto"/>
        <w:rPr>
          <w:rFonts w:eastAsiaTheme="minorHAnsi"/>
          <w:szCs w:val="24"/>
        </w:rPr>
      </w:pPr>
    </w:p>
    <w:p w:rsidR="0048710F" w:rsidRPr="0048710F" w:rsidRDefault="0048710F" w:rsidP="000074A4">
      <w:pPr>
        <w:numPr>
          <w:ilvl w:val="0"/>
          <w:numId w:val="31"/>
        </w:numPr>
        <w:tabs>
          <w:tab w:val="clear" w:pos="1440"/>
        </w:tabs>
        <w:autoSpaceDE w:val="0"/>
        <w:autoSpaceDN w:val="0"/>
        <w:spacing w:after="0"/>
        <w:ind w:left="0" w:firstLine="1440"/>
        <w:rPr>
          <w:rFonts w:eastAsiaTheme="minorHAnsi"/>
          <w:szCs w:val="24"/>
        </w:rPr>
      </w:pPr>
      <w:r w:rsidRPr="0048710F">
        <w:rPr>
          <w:rFonts w:eastAsiaTheme="minorHAnsi"/>
          <w:szCs w:val="24"/>
        </w:rPr>
        <w:t xml:space="preserve">That the Complaint of </w:t>
      </w:r>
      <w:r w:rsidR="000D3C29">
        <w:rPr>
          <w:rFonts w:eastAsiaTheme="minorHAnsi"/>
          <w:szCs w:val="24"/>
        </w:rPr>
        <w:t xml:space="preserve">George Mandeville </w:t>
      </w:r>
      <w:r w:rsidRPr="0048710F">
        <w:rPr>
          <w:rFonts w:eastAsiaTheme="minorHAnsi"/>
          <w:szCs w:val="24"/>
        </w:rPr>
        <w:t>against P</w:t>
      </w:r>
      <w:r w:rsidR="000D3C29">
        <w:rPr>
          <w:rFonts w:eastAsiaTheme="minorHAnsi"/>
          <w:szCs w:val="24"/>
        </w:rPr>
        <w:t xml:space="preserve">PL </w:t>
      </w:r>
      <w:r w:rsidR="00827676">
        <w:rPr>
          <w:rFonts w:eastAsiaTheme="minorHAnsi"/>
          <w:szCs w:val="24"/>
        </w:rPr>
        <w:t>E</w:t>
      </w:r>
      <w:r w:rsidR="000D3C29">
        <w:rPr>
          <w:rFonts w:eastAsiaTheme="minorHAnsi"/>
          <w:szCs w:val="24"/>
        </w:rPr>
        <w:t>lectric Utilities Corporation</w:t>
      </w:r>
      <w:r w:rsidRPr="0048710F">
        <w:rPr>
          <w:rFonts w:eastAsiaTheme="minorHAnsi"/>
          <w:szCs w:val="24"/>
        </w:rPr>
        <w:t xml:space="preserve"> at Docket No. C-2015-2</w:t>
      </w:r>
      <w:r w:rsidR="000D3C29">
        <w:rPr>
          <w:rFonts w:eastAsiaTheme="minorHAnsi"/>
          <w:szCs w:val="24"/>
        </w:rPr>
        <w:t>512838</w:t>
      </w:r>
      <w:r w:rsidRPr="0048710F">
        <w:rPr>
          <w:rFonts w:eastAsiaTheme="minorHAnsi"/>
          <w:szCs w:val="24"/>
        </w:rPr>
        <w:t xml:space="preserve"> is hereby sustained</w:t>
      </w:r>
      <w:r w:rsidR="003D2E36">
        <w:rPr>
          <w:rFonts w:eastAsiaTheme="minorHAnsi"/>
          <w:szCs w:val="24"/>
        </w:rPr>
        <w:t>, in part, to the extent</w:t>
      </w:r>
      <w:r w:rsidRPr="0048710F">
        <w:rPr>
          <w:rFonts w:eastAsiaTheme="minorHAnsi"/>
          <w:szCs w:val="24"/>
        </w:rPr>
        <w:t xml:space="preserve"> that there are incorrect charges on </w:t>
      </w:r>
      <w:r w:rsidR="003D2E36">
        <w:rPr>
          <w:rFonts w:eastAsiaTheme="minorHAnsi"/>
          <w:szCs w:val="24"/>
        </w:rPr>
        <w:t>Complainant’s</w:t>
      </w:r>
      <w:r w:rsidRPr="0048710F">
        <w:rPr>
          <w:rFonts w:eastAsiaTheme="minorHAnsi"/>
          <w:szCs w:val="24"/>
        </w:rPr>
        <w:t xml:space="preserve"> bill consistent with this Initial Decision.</w:t>
      </w:r>
    </w:p>
    <w:p w:rsidR="0048710F" w:rsidRPr="0048710F" w:rsidRDefault="0048710F" w:rsidP="000074A4">
      <w:pPr>
        <w:tabs>
          <w:tab w:val="clear" w:pos="1440"/>
          <w:tab w:val="num" w:pos="2160"/>
        </w:tabs>
        <w:spacing w:after="0"/>
        <w:rPr>
          <w:rFonts w:eastAsiaTheme="minorHAnsi"/>
          <w:szCs w:val="24"/>
        </w:rPr>
      </w:pPr>
    </w:p>
    <w:p w:rsidR="003D2E36" w:rsidRDefault="003D2E36" w:rsidP="003339C8">
      <w:pPr>
        <w:tabs>
          <w:tab w:val="clear" w:pos="1440"/>
          <w:tab w:val="left" w:pos="0"/>
        </w:tabs>
        <w:spacing w:after="0"/>
        <w:rPr>
          <w:rFonts w:eastAsiaTheme="minorHAnsi"/>
          <w:szCs w:val="24"/>
        </w:rPr>
      </w:pPr>
      <w:r>
        <w:rPr>
          <w:rFonts w:eastAsiaTheme="minorHAnsi"/>
          <w:szCs w:val="24"/>
        </w:rPr>
        <w:tab/>
      </w:r>
      <w:r>
        <w:rPr>
          <w:rFonts w:eastAsiaTheme="minorHAnsi"/>
          <w:szCs w:val="24"/>
        </w:rPr>
        <w:tab/>
      </w:r>
      <w:r w:rsidR="0048710F" w:rsidRPr="0048710F">
        <w:rPr>
          <w:rFonts w:eastAsiaTheme="minorHAnsi"/>
          <w:szCs w:val="24"/>
        </w:rPr>
        <w:t>2.</w:t>
      </w:r>
      <w:r w:rsidR="0048710F" w:rsidRPr="0048710F">
        <w:rPr>
          <w:rFonts w:eastAsiaTheme="minorHAnsi"/>
          <w:szCs w:val="24"/>
        </w:rPr>
        <w:tab/>
      </w:r>
      <w:r w:rsidRPr="0048710F">
        <w:rPr>
          <w:rFonts w:eastAsiaTheme="minorHAnsi"/>
          <w:szCs w:val="24"/>
        </w:rPr>
        <w:t xml:space="preserve">That the Complaint of </w:t>
      </w:r>
      <w:r>
        <w:rPr>
          <w:rFonts w:eastAsiaTheme="minorHAnsi"/>
          <w:szCs w:val="24"/>
        </w:rPr>
        <w:t xml:space="preserve">George Mandeville </w:t>
      </w:r>
      <w:r w:rsidRPr="0048710F">
        <w:rPr>
          <w:rFonts w:eastAsiaTheme="minorHAnsi"/>
          <w:szCs w:val="24"/>
        </w:rPr>
        <w:t>against P</w:t>
      </w:r>
      <w:r>
        <w:rPr>
          <w:rFonts w:eastAsiaTheme="minorHAnsi"/>
          <w:szCs w:val="24"/>
        </w:rPr>
        <w:t xml:space="preserve">PL </w:t>
      </w:r>
      <w:r w:rsidR="00827676">
        <w:rPr>
          <w:rFonts w:eastAsiaTheme="minorHAnsi"/>
          <w:szCs w:val="24"/>
        </w:rPr>
        <w:t>E</w:t>
      </w:r>
      <w:r>
        <w:rPr>
          <w:rFonts w:eastAsiaTheme="minorHAnsi"/>
          <w:szCs w:val="24"/>
        </w:rPr>
        <w:t>lectric Utilities Corporation</w:t>
      </w:r>
      <w:r w:rsidRPr="0048710F">
        <w:rPr>
          <w:rFonts w:eastAsiaTheme="minorHAnsi"/>
          <w:szCs w:val="24"/>
        </w:rPr>
        <w:t xml:space="preserve"> at Docket No. C-2015-2</w:t>
      </w:r>
      <w:r>
        <w:rPr>
          <w:rFonts w:eastAsiaTheme="minorHAnsi"/>
          <w:szCs w:val="24"/>
        </w:rPr>
        <w:t>512838</w:t>
      </w:r>
      <w:r w:rsidRPr="0048710F">
        <w:rPr>
          <w:rFonts w:eastAsiaTheme="minorHAnsi"/>
          <w:szCs w:val="24"/>
        </w:rPr>
        <w:t xml:space="preserve"> is hereby </w:t>
      </w:r>
      <w:r>
        <w:rPr>
          <w:rFonts w:eastAsiaTheme="minorHAnsi"/>
          <w:szCs w:val="24"/>
        </w:rPr>
        <w:t>denied, in part, to the extent</w:t>
      </w:r>
      <w:r w:rsidR="00827676">
        <w:rPr>
          <w:rFonts w:eastAsiaTheme="minorHAnsi"/>
          <w:szCs w:val="24"/>
        </w:rPr>
        <w:t xml:space="preserve"> that </w:t>
      </w:r>
      <w:r>
        <w:rPr>
          <w:rFonts w:eastAsiaTheme="minorHAnsi"/>
          <w:szCs w:val="24"/>
        </w:rPr>
        <w:t>Complainant’s</w:t>
      </w:r>
      <w:r w:rsidRPr="0048710F">
        <w:rPr>
          <w:rFonts w:eastAsiaTheme="minorHAnsi"/>
          <w:szCs w:val="24"/>
        </w:rPr>
        <w:t xml:space="preserve"> </w:t>
      </w:r>
      <w:r w:rsidR="00827676">
        <w:rPr>
          <w:rFonts w:eastAsiaTheme="minorHAnsi"/>
          <w:szCs w:val="24"/>
        </w:rPr>
        <w:t xml:space="preserve">is not entitled to a payment arrangement </w:t>
      </w:r>
      <w:r w:rsidRPr="0048710F">
        <w:rPr>
          <w:rFonts w:eastAsiaTheme="minorHAnsi"/>
          <w:szCs w:val="24"/>
        </w:rPr>
        <w:t>consistent with this Initial Decision</w:t>
      </w:r>
      <w:r w:rsidR="00E1157D">
        <w:rPr>
          <w:rFonts w:eastAsiaTheme="minorHAnsi"/>
          <w:szCs w:val="24"/>
        </w:rPr>
        <w:t>.</w:t>
      </w:r>
    </w:p>
    <w:p w:rsidR="003D2E36" w:rsidRDefault="003D2E36" w:rsidP="003339C8">
      <w:pPr>
        <w:tabs>
          <w:tab w:val="clear" w:pos="1440"/>
          <w:tab w:val="left" w:pos="0"/>
        </w:tabs>
        <w:spacing w:after="0"/>
        <w:rPr>
          <w:rFonts w:eastAsiaTheme="minorHAnsi"/>
          <w:szCs w:val="24"/>
        </w:rPr>
      </w:pPr>
    </w:p>
    <w:p w:rsidR="0048710F" w:rsidRPr="0048710F" w:rsidRDefault="00827676" w:rsidP="003339C8">
      <w:pPr>
        <w:tabs>
          <w:tab w:val="clear" w:pos="1440"/>
          <w:tab w:val="left" w:pos="0"/>
        </w:tabs>
        <w:spacing w:after="0"/>
        <w:rPr>
          <w:rFonts w:eastAsiaTheme="minorHAnsi"/>
          <w:szCs w:val="24"/>
        </w:rPr>
      </w:pPr>
      <w:r>
        <w:rPr>
          <w:rFonts w:eastAsiaTheme="minorHAnsi"/>
          <w:szCs w:val="24"/>
        </w:rPr>
        <w:lastRenderedPageBreak/>
        <w:tab/>
      </w:r>
      <w:r>
        <w:rPr>
          <w:rFonts w:eastAsiaTheme="minorHAnsi"/>
          <w:szCs w:val="24"/>
        </w:rPr>
        <w:tab/>
        <w:t>3.</w:t>
      </w:r>
      <w:r>
        <w:rPr>
          <w:rFonts w:eastAsiaTheme="minorHAnsi"/>
          <w:szCs w:val="24"/>
        </w:rPr>
        <w:tab/>
        <w:t>That Res</w:t>
      </w:r>
      <w:r w:rsidR="0048710F" w:rsidRPr="0048710F">
        <w:rPr>
          <w:rFonts w:eastAsiaTheme="minorHAnsi"/>
          <w:szCs w:val="24"/>
        </w:rPr>
        <w:t>pondent P</w:t>
      </w:r>
      <w:r>
        <w:rPr>
          <w:rFonts w:eastAsiaTheme="minorHAnsi"/>
          <w:szCs w:val="24"/>
        </w:rPr>
        <w:t xml:space="preserve">PL Electric Utilities Corporation </w:t>
      </w:r>
      <w:r w:rsidR="0048710F" w:rsidRPr="0048710F">
        <w:rPr>
          <w:rFonts w:eastAsiaTheme="minorHAnsi"/>
          <w:szCs w:val="24"/>
        </w:rPr>
        <w:t xml:space="preserve">shall compute Complainant’s outstanding balance </w:t>
      </w:r>
      <w:r w:rsidR="003339C8">
        <w:rPr>
          <w:rFonts w:eastAsiaTheme="minorHAnsi"/>
          <w:szCs w:val="24"/>
        </w:rPr>
        <w:t xml:space="preserve">by removing </w:t>
      </w:r>
      <w:r w:rsidR="003339C8">
        <w:t xml:space="preserve">$8,747.77 in charges plus any late charges or penalties and issue him a corrected bill as to the remainder of the </w:t>
      </w:r>
      <w:r w:rsidR="0048710F" w:rsidRPr="0048710F">
        <w:rPr>
          <w:rFonts w:eastAsiaTheme="minorHAnsi"/>
          <w:szCs w:val="24"/>
        </w:rPr>
        <w:t xml:space="preserve">upon unpaid charges.  </w:t>
      </w:r>
    </w:p>
    <w:p w:rsidR="0048710F" w:rsidRPr="0048710F" w:rsidRDefault="0048710F" w:rsidP="0048710F">
      <w:pPr>
        <w:tabs>
          <w:tab w:val="clear" w:pos="1440"/>
          <w:tab w:val="num" w:pos="2160"/>
        </w:tabs>
        <w:autoSpaceDE w:val="0"/>
        <w:autoSpaceDN w:val="0"/>
        <w:spacing w:after="0"/>
        <w:ind w:firstLine="1440"/>
        <w:rPr>
          <w:rFonts w:eastAsiaTheme="minorHAnsi"/>
          <w:szCs w:val="24"/>
        </w:rPr>
      </w:pPr>
    </w:p>
    <w:p w:rsidR="00827676" w:rsidRDefault="0048710F" w:rsidP="0048710F">
      <w:pPr>
        <w:tabs>
          <w:tab w:val="clear" w:pos="1440"/>
          <w:tab w:val="num" w:pos="2160"/>
        </w:tabs>
        <w:autoSpaceDE w:val="0"/>
        <w:autoSpaceDN w:val="0"/>
        <w:spacing w:after="0"/>
        <w:ind w:firstLine="1440"/>
        <w:rPr>
          <w:rFonts w:eastAsiaTheme="minorHAnsi"/>
          <w:szCs w:val="24"/>
        </w:rPr>
      </w:pPr>
      <w:r w:rsidRPr="0048710F">
        <w:rPr>
          <w:rFonts w:eastAsiaTheme="minorHAnsi"/>
          <w:szCs w:val="24"/>
        </w:rPr>
        <w:t>4.</w:t>
      </w:r>
      <w:r w:rsidRPr="0048710F">
        <w:rPr>
          <w:rFonts w:eastAsiaTheme="minorHAnsi"/>
          <w:szCs w:val="24"/>
        </w:rPr>
        <w:tab/>
        <w:t>That within thirty days of the Commission’s Final Order in this matter, Respondent shall file with the Commission’s Secretary’s Bureau at Docket No. C-2015-2</w:t>
      </w:r>
      <w:r w:rsidR="003339C8">
        <w:rPr>
          <w:rFonts w:eastAsiaTheme="minorHAnsi"/>
          <w:szCs w:val="24"/>
        </w:rPr>
        <w:t>512838</w:t>
      </w:r>
      <w:r w:rsidRPr="0048710F">
        <w:rPr>
          <w:rFonts w:eastAsiaTheme="minorHAnsi"/>
          <w:szCs w:val="24"/>
        </w:rPr>
        <w:t xml:space="preserve"> and serve Complainant an account statement of the unpaid charges</w:t>
      </w:r>
      <w:r w:rsidR="00827676">
        <w:rPr>
          <w:rFonts w:eastAsiaTheme="minorHAnsi"/>
          <w:szCs w:val="24"/>
        </w:rPr>
        <w:t xml:space="preserve"> minus </w:t>
      </w:r>
      <w:r w:rsidR="00C76886">
        <w:rPr>
          <w:rFonts w:eastAsiaTheme="minorHAnsi"/>
          <w:szCs w:val="24"/>
        </w:rPr>
        <w:t xml:space="preserve">$8,747.77 and </w:t>
      </w:r>
      <w:r w:rsidR="00827676">
        <w:rPr>
          <w:rFonts w:eastAsiaTheme="minorHAnsi"/>
          <w:szCs w:val="24"/>
        </w:rPr>
        <w:t>any late charges or penalties.</w:t>
      </w:r>
    </w:p>
    <w:p w:rsidR="00E1157D" w:rsidRDefault="00E1157D" w:rsidP="0048710F">
      <w:pPr>
        <w:tabs>
          <w:tab w:val="clear" w:pos="1440"/>
          <w:tab w:val="num" w:pos="2160"/>
        </w:tabs>
        <w:autoSpaceDE w:val="0"/>
        <w:autoSpaceDN w:val="0"/>
        <w:spacing w:after="0"/>
        <w:ind w:firstLine="1440"/>
        <w:rPr>
          <w:rFonts w:eastAsiaTheme="minorHAnsi"/>
          <w:szCs w:val="24"/>
        </w:rPr>
      </w:pPr>
    </w:p>
    <w:p w:rsidR="0048710F" w:rsidRPr="0048710F" w:rsidRDefault="0048710F" w:rsidP="0048710F">
      <w:pPr>
        <w:tabs>
          <w:tab w:val="clear" w:pos="1440"/>
          <w:tab w:val="num" w:pos="2160"/>
        </w:tabs>
        <w:autoSpaceDE w:val="0"/>
        <w:autoSpaceDN w:val="0"/>
        <w:spacing w:after="0"/>
        <w:ind w:firstLine="1440"/>
        <w:rPr>
          <w:rFonts w:eastAsiaTheme="minorHAnsi"/>
          <w:szCs w:val="24"/>
        </w:rPr>
      </w:pPr>
      <w:r w:rsidRPr="0048710F">
        <w:rPr>
          <w:rFonts w:eastAsiaTheme="minorHAnsi"/>
          <w:szCs w:val="24"/>
        </w:rPr>
        <w:t>5.</w:t>
      </w:r>
      <w:r w:rsidRPr="0048710F">
        <w:rPr>
          <w:rFonts w:eastAsiaTheme="minorHAnsi"/>
          <w:szCs w:val="24"/>
        </w:rPr>
        <w:tab/>
        <w:t xml:space="preserve">That Respondent </w:t>
      </w:r>
      <w:r w:rsidR="003D2E36">
        <w:rPr>
          <w:rFonts w:eastAsiaTheme="minorHAnsi"/>
          <w:szCs w:val="24"/>
        </w:rPr>
        <w:t>PPL Electric Utilities Corporation</w:t>
      </w:r>
      <w:r w:rsidRPr="0048710F">
        <w:rPr>
          <w:rFonts w:eastAsiaTheme="minorHAnsi"/>
          <w:szCs w:val="24"/>
        </w:rPr>
        <w:t xml:space="preserve"> is hereby assessed a penalty of </w:t>
      </w:r>
      <w:r w:rsidR="003D2E36">
        <w:rPr>
          <w:rFonts w:eastAsiaTheme="minorHAnsi"/>
          <w:szCs w:val="24"/>
        </w:rPr>
        <w:t>Two</w:t>
      </w:r>
      <w:r w:rsidRPr="0048710F">
        <w:rPr>
          <w:rFonts w:eastAsiaTheme="minorHAnsi"/>
          <w:szCs w:val="24"/>
        </w:rPr>
        <w:t xml:space="preserve"> Thousand Dollars ($</w:t>
      </w:r>
      <w:r w:rsidR="003D2E36">
        <w:rPr>
          <w:rFonts w:eastAsiaTheme="minorHAnsi"/>
          <w:szCs w:val="24"/>
        </w:rPr>
        <w:t>2</w:t>
      </w:r>
      <w:r w:rsidRPr="0048710F">
        <w:rPr>
          <w:rFonts w:eastAsiaTheme="minorHAnsi"/>
          <w:szCs w:val="24"/>
        </w:rPr>
        <w:t xml:space="preserve">,000.00) because Respondent failed to provide Complainant reasonable service in improperly including four year old charges </w:t>
      </w:r>
      <w:r w:rsidR="003D2E36">
        <w:rPr>
          <w:rFonts w:eastAsiaTheme="minorHAnsi"/>
          <w:szCs w:val="24"/>
        </w:rPr>
        <w:t xml:space="preserve">in a payment </w:t>
      </w:r>
      <w:r w:rsidR="00F818E2">
        <w:rPr>
          <w:rFonts w:eastAsiaTheme="minorHAnsi"/>
          <w:szCs w:val="24"/>
        </w:rPr>
        <w:t xml:space="preserve">arrangement </w:t>
      </w:r>
      <w:r w:rsidR="003D2E36">
        <w:rPr>
          <w:rFonts w:eastAsiaTheme="minorHAnsi"/>
          <w:szCs w:val="24"/>
        </w:rPr>
        <w:t>as a condition providing him service</w:t>
      </w:r>
      <w:r w:rsidR="00C76886">
        <w:rPr>
          <w:rFonts w:eastAsiaTheme="minorHAnsi"/>
          <w:szCs w:val="24"/>
        </w:rPr>
        <w:t xml:space="preserve"> and in improperly billing for charges that were more than four years old</w:t>
      </w:r>
      <w:r w:rsidR="003D2E36">
        <w:rPr>
          <w:rFonts w:eastAsiaTheme="minorHAnsi"/>
          <w:szCs w:val="24"/>
        </w:rPr>
        <w:t xml:space="preserve"> </w:t>
      </w:r>
      <w:r w:rsidRPr="0048710F">
        <w:rPr>
          <w:rFonts w:eastAsiaTheme="minorHAnsi"/>
          <w:szCs w:val="24"/>
        </w:rPr>
        <w:t>thereby</w:t>
      </w:r>
      <w:r w:rsidR="00EA4C7E">
        <w:rPr>
          <w:rFonts w:eastAsiaTheme="minorHAnsi"/>
          <w:szCs w:val="24"/>
        </w:rPr>
        <w:t>,</w:t>
      </w:r>
      <w:r w:rsidRPr="0048710F">
        <w:rPr>
          <w:rFonts w:eastAsiaTheme="minorHAnsi"/>
          <w:szCs w:val="24"/>
        </w:rPr>
        <w:t xml:space="preserve"> violating the Commission’s regulations.</w:t>
      </w:r>
    </w:p>
    <w:p w:rsidR="0048710F" w:rsidRPr="0048710F" w:rsidRDefault="0048710F" w:rsidP="0048710F">
      <w:pPr>
        <w:tabs>
          <w:tab w:val="clear" w:pos="1440"/>
          <w:tab w:val="num" w:pos="2160"/>
        </w:tabs>
        <w:autoSpaceDE w:val="0"/>
        <w:autoSpaceDN w:val="0"/>
        <w:spacing w:after="0"/>
        <w:ind w:firstLine="1440"/>
        <w:rPr>
          <w:rFonts w:eastAsiaTheme="minorHAnsi"/>
          <w:szCs w:val="24"/>
        </w:rPr>
      </w:pPr>
    </w:p>
    <w:p w:rsidR="0048710F" w:rsidRPr="0048710F" w:rsidRDefault="0048710F" w:rsidP="0048710F">
      <w:pPr>
        <w:tabs>
          <w:tab w:val="clear" w:pos="1440"/>
          <w:tab w:val="num" w:pos="2160"/>
        </w:tabs>
        <w:autoSpaceDE w:val="0"/>
        <w:autoSpaceDN w:val="0"/>
        <w:spacing w:after="0"/>
        <w:ind w:firstLine="1440"/>
        <w:rPr>
          <w:rFonts w:eastAsiaTheme="minorHAnsi"/>
          <w:szCs w:val="24"/>
        </w:rPr>
      </w:pPr>
      <w:r w:rsidRPr="0048710F">
        <w:rPr>
          <w:rFonts w:eastAsiaTheme="minorHAnsi"/>
          <w:szCs w:val="24"/>
        </w:rPr>
        <w:t>6.</w:t>
      </w:r>
      <w:r w:rsidRPr="0048710F">
        <w:rPr>
          <w:rFonts w:eastAsiaTheme="minorHAnsi"/>
          <w:szCs w:val="24"/>
        </w:rPr>
        <w:tab/>
        <w:t>That Respondent P</w:t>
      </w:r>
      <w:r w:rsidR="00827676">
        <w:rPr>
          <w:rFonts w:eastAsiaTheme="minorHAnsi"/>
          <w:szCs w:val="24"/>
        </w:rPr>
        <w:t>PL Electric Utilities Corporation</w:t>
      </w:r>
      <w:r w:rsidRPr="0048710F">
        <w:rPr>
          <w:rFonts w:eastAsiaTheme="minorHAnsi"/>
          <w:szCs w:val="24"/>
        </w:rPr>
        <w:t xml:space="preserve">, within thirty days of the entry of the Commission’s Final Order in this case, shall pay a civil penalty in the amount of </w:t>
      </w:r>
      <w:r w:rsidR="003D2E36">
        <w:rPr>
          <w:rFonts w:eastAsiaTheme="minorHAnsi"/>
          <w:szCs w:val="24"/>
        </w:rPr>
        <w:t>Two</w:t>
      </w:r>
      <w:r w:rsidRPr="0048710F">
        <w:rPr>
          <w:rFonts w:eastAsiaTheme="minorHAnsi"/>
          <w:szCs w:val="24"/>
        </w:rPr>
        <w:t xml:space="preserve"> Thousand Dollars ($</w:t>
      </w:r>
      <w:r w:rsidR="003D2E36">
        <w:rPr>
          <w:rFonts w:eastAsiaTheme="minorHAnsi"/>
          <w:szCs w:val="24"/>
        </w:rPr>
        <w:t>2</w:t>
      </w:r>
      <w:r w:rsidRPr="0048710F">
        <w:rPr>
          <w:rFonts w:eastAsiaTheme="minorHAnsi"/>
          <w:szCs w:val="24"/>
        </w:rPr>
        <w:t>,000.00) by sending a certified check or money order payable to the Commonwealth of Pennsylvania addressed to:</w:t>
      </w:r>
    </w:p>
    <w:p w:rsidR="0048710F" w:rsidRPr="0048710F" w:rsidRDefault="0048710F" w:rsidP="0048710F">
      <w:pPr>
        <w:tabs>
          <w:tab w:val="clear" w:pos="1440"/>
        </w:tabs>
        <w:autoSpaceDE w:val="0"/>
        <w:autoSpaceDN w:val="0"/>
        <w:spacing w:after="0" w:line="240" w:lineRule="auto"/>
        <w:ind w:firstLine="2160"/>
        <w:rPr>
          <w:rFonts w:eastAsiaTheme="minorHAnsi"/>
          <w:szCs w:val="24"/>
        </w:rPr>
      </w:pPr>
    </w:p>
    <w:p w:rsidR="0048710F" w:rsidRPr="0048710F" w:rsidRDefault="0048710F" w:rsidP="0048710F">
      <w:pPr>
        <w:tabs>
          <w:tab w:val="clear" w:pos="1440"/>
        </w:tabs>
        <w:autoSpaceDE w:val="0"/>
        <w:autoSpaceDN w:val="0"/>
        <w:spacing w:after="0" w:line="240" w:lineRule="auto"/>
        <w:ind w:firstLine="2160"/>
        <w:rPr>
          <w:rFonts w:eastAsiaTheme="minorHAnsi"/>
          <w:szCs w:val="24"/>
        </w:rPr>
      </w:pPr>
      <w:r w:rsidRPr="0048710F">
        <w:rPr>
          <w:rFonts w:eastAsiaTheme="minorHAnsi"/>
          <w:szCs w:val="24"/>
        </w:rPr>
        <w:t>Secretary</w:t>
      </w:r>
      <w:r w:rsidRPr="0048710F">
        <w:rPr>
          <w:rFonts w:eastAsiaTheme="minorHAnsi"/>
          <w:szCs w:val="24"/>
        </w:rPr>
        <w:tab/>
      </w:r>
    </w:p>
    <w:p w:rsidR="0048710F" w:rsidRPr="0048710F" w:rsidRDefault="0048710F" w:rsidP="0048710F">
      <w:pPr>
        <w:tabs>
          <w:tab w:val="clear" w:pos="1440"/>
        </w:tabs>
        <w:autoSpaceDE w:val="0"/>
        <w:autoSpaceDN w:val="0"/>
        <w:spacing w:after="0" w:line="240" w:lineRule="auto"/>
        <w:ind w:firstLine="2160"/>
        <w:rPr>
          <w:rFonts w:eastAsiaTheme="minorHAnsi"/>
          <w:szCs w:val="24"/>
        </w:rPr>
      </w:pPr>
      <w:r w:rsidRPr="0048710F">
        <w:rPr>
          <w:rFonts w:eastAsiaTheme="minorHAnsi"/>
          <w:szCs w:val="24"/>
        </w:rPr>
        <w:t>Pennsylvania Public Utility Commission</w:t>
      </w:r>
    </w:p>
    <w:p w:rsidR="0048710F" w:rsidRPr="0048710F" w:rsidRDefault="0048710F" w:rsidP="0048710F">
      <w:pPr>
        <w:tabs>
          <w:tab w:val="clear" w:pos="1440"/>
          <w:tab w:val="num" w:pos="2160"/>
        </w:tabs>
        <w:autoSpaceDE w:val="0"/>
        <w:autoSpaceDN w:val="0"/>
        <w:spacing w:after="0" w:line="240" w:lineRule="auto"/>
        <w:ind w:firstLine="1440"/>
        <w:rPr>
          <w:rFonts w:eastAsiaTheme="minorHAnsi"/>
          <w:szCs w:val="24"/>
        </w:rPr>
      </w:pPr>
      <w:r w:rsidRPr="0048710F">
        <w:rPr>
          <w:rFonts w:eastAsiaTheme="minorHAnsi"/>
          <w:szCs w:val="24"/>
        </w:rPr>
        <w:tab/>
        <w:t>P.O. Box 3265</w:t>
      </w:r>
    </w:p>
    <w:p w:rsidR="0048710F" w:rsidRPr="0048710F" w:rsidRDefault="0048710F" w:rsidP="0048710F">
      <w:pPr>
        <w:tabs>
          <w:tab w:val="clear" w:pos="1440"/>
          <w:tab w:val="num" w:pos="2160"/>
        </w:tabs>
        <w:autoSpaceDE w:val="0"/>
        <w:autoSpaceDN w:val="0"/>
        <w:spacing w:after="0" w:line="240" w:lineRule="auto"/>
        <w:ind w:firstLine="1440"/>
        <w:rPr>
          <w:rFonts w:eastAsiaTheme="minorHAnsi"/>
          <w:szCs w:val="24"/>
        </w:rPr>
      </w:pPr>
      <w:r w:rsidRPr="0048710F">
        <w:rPr>
          <w:rFonts w:eastAsiaTheme="minorHAnsi"/>
          <w:szCs w:val="24"/>
        </w:rPr>
        <w:tab/>
        <w:t>Harrisburg, PA 17105-3265</w:t>
      </w:r>
      <w:r w:rsidRPr="0048710F">
        <w:rPr>
          <w:rFonts w:eastAsiaTheme="minorHAnsi"/>
          <w:szCs w:val="24"/>
        </w:rPr>
        <w:tab/>
        <w:t xml:space="preserve"> </w:t>
      </w:r>
    </w:p>
    <w:p w:rsidR="0048710F" w:rsidRPr="0048710F" w:rsidRDefault="0048710F" w:rsidP="0048710F">
      <w:pPr>
        <w:tabs>
          <w:tab w:val="clear" w:pos="1440"/>
          <w:tab w:val="num" w:pos="2160"/>
        </w:tabs>
        <w:autoSpaceDE w:val="0"/>
        <w:autoSpaceDN w:val="0"/>
        <w:spacing w:after="0"/>
        <w:ind w:firstLine="1440"/>
        <w:rPr>
          <w:rFonts w:eastAsiaTheme="minorHAnsi"/>
          <w:szCs w:val="24"/>
        </w:rPr>
      </w:pPr>
    </w:p>
    <w:p w:rsidR="0048710F" w:rsidRPr="0048710F" w:rsidRDefault="0048710F" w:rsidP="0048710F">
      <w:pPr>
        <w:tabs>
          <w:tab w:val="clear" w:pos="1440"/>
          <w:tab w:val="num" w:pos="2160"/>
        </w:tabs>
        <w:autoSpaceDE w:val="0"/>
        <w:autoSpaceDN w:val="0"/>
        <w:spacing w:after="0"/>
        <w:ind w:firstLine="1440"/>
        <w:rPr>
          <w:rFonts w:eastAsiaTheme="minorHAnsi"/>
          <w:szCs w:val="24"/>
        </w:rPr>
      </w:pPr>
      <w:r w:rsidRPr="0048710F">
        <w:rPr>
          <w:rFonts w:eastAsiaTheme="minorHAnsi"/>
          <w:szCs w:val="24"/>
        </w:rPr>
        <w:t>7.</w:t>
      </w:r>
      <w:r w:rsidRPr="0048710F">
        <w:rPr>
          <w:rFonts w:eastAsiaTheme="minorHAnsi"/>
          <w:szCs w:val="24"/>
        </w:rPr>
        <w:tab/>
        <w:t>That P</w:t>
      </w:r>
      <w:r w:rsidR="003D2E36">
        <w:rPr>
          <w:rFonts w:eastAsiaTheme="minorHAnsi"/>
          <w:szCs w:val="24"/>
        </w:rPr>
        <w:t xml:space="preserve">PL </w:t>
      </w:r>
      <w:r w:rsidRPr="0048710F">
        <w:rPr>
          <w:rFonts w:eastAsiaTheme="minorHAnsi"/>
          <w:szCs w:val="24"/>
        </w:rPr>
        <w:t>E</w:t>
      </w:r>
      <w:r w:rsidR="00827676">
        <w:rPr>
          <w:rFonts w:eastAsiaTheme="minorHAnsi"/>
          <w:szCs w:val="24"/>
        </w:rPr>
        <w:t>lectric Utilities Corporation</w:t>
      </w:r>
      <w:r w:rsidRPr="0048710F">
        <w:rPr>
          <w:rFonts w:eastAsiaTheme="minorHAnsi"/>
          <w:szCs w:val="24"/>
        </w:rPr>
        <w:t xml:space="preserve"> shall cease and desist from further violations of the Public Utility Code, 66 Pa.C.S. § 101, </w:t>
      </w:r>
      <w:r w:rsidRPr="0048710F">
        <w:rPr>
          <w:rFonts w:eastAsiaTheme="minorHAnsi"/>
          <w:i/>
          <w:szCs w:val="24"/>
        </w:rPr>
        <w:t>et seq</w:t>
      </w:r>
      <w:r w:rsidRPr="0048710F">
        <w:rPr>
          <w:rFonts w:eastAsiaTheme="minorHAnsi"/>
          <w:szCs w:val="24"/>
        </w:rPr>
        <w:t>. and the Commission’s regulations.</w:t>
      </w:r>
    </w:p>
    <w:p w:rsidR="006F0743" w:rsidRDefault="006F0743" w:rsidP="0048710F">
      <w:pPr>
        <w:tabs>
          <w:tab w:val="clear" w:pos="1440"/>
          <w:tab w:val="num" w:pos="2160"/>
        </w:tabs>
        <w:autoSpaceDE w:val="0"/>
        <w:autoSpaceDN w:val="0"/>
        <w:spacing w:after="0"/>
        <w:ind w:firstLine="1440"/>
        <w:rPr>
          <w:rFonts w:eastAsiaTheme="minorHAnsi"/>
          <w:szCs w:val="24"/>
        </w:rPr>
      </w:pPr>
      <w:r>
        <w:rPr>
          <w:rFonts w:eastAsiaTheme="minorHAnsi"/>
          <w:szCs w:val="24"/>
        </w:rPr>
        <w:br w:type="page"/>
      </w:r>
    </w:p>
    <w:p w:rsidR="0048710F" w:rsidRPr="0048710F" w:rsidRDefault="0048710F" w:rsidP="0048710F">
      <w:pPr>
        <w:tabs>
          <w:tab w:val="clear" w:pos="1440"/>
          <w:tab w:val="num" w:pos="2160"/>
        </w:tabs>
        <w:autoSpaceDE w:val="0"/>
        <w:autoSpaceDN w:val="0"/>
        <w:spacing w:after="0"/>
        <w:ind w:firstLine="1440"/>
        <w:rPr>
          <w:rFonts w:eastAsiaTheme="minorHAnsi"/>
          <w:szCs w:val="24"/>
        </w:rPr>
      </w:pPr>
      <w:r w:rsidRPr="0048710F">
        <w:rPr>
          <w:rFonts w:eastAsiaTheme="minorHAnsi"/>
          <w:szCs w:val="24"/>
        </w:rPr>
        <w:lastRenderedPageBreak/>
        <w:t>8.</w:t>
      </w:r>
      <w:r w:rsidRPr="0048710F">
        <w:rPr>
          <w:rFonts w:eastAsiaTheme="minorHAnsi"/>
          <w:szCs w:val="24"/>
        </w:rPr>
        <w:tab/>
        <w:t>That the Secretary’s Bureau shall mark Docket No. C-2015-2</w:t>
      </w:r>
      <w:r w:rsidR="00053A54">
        <w:rPr>
          <w:rFonts w:eastAsiaTheme="minorHAnsi"/>
          <w:szCs w:val="24"/>
        </w:rPr>
        <w:t xml:space="preserve">512838 </w:t>
      </w:r>
      <w:r w:rsidRPr="0048710F">
        <w:rPr>
          <w:rFonts w:eastAsiaTheme="minorHAnsi"/>
          <w:szCs w:val="24"/>
        </w:rPr>
        <w:t>closed.</w:t>
      </w:r>
    </w:p>
    <w:p w:rsidR="0048710F" w:rsidRPr="0048710F" w:rsidRDefault="0048710F" w:rsidP="0048710F">
      <w:pPr>
        <w:tabs>
          <w:tab w:val="clear" w:pos="1440"/>
          <w:tab w:val="num" w:pos="2160"/>
        </w:tabs>
        <w:autoSpaceDE w:val="0"/>
        <w:autoSpaceDN w:val="0"/>
        <w:spacing w:after="0"/>
        <w:rPr>
          <w:rFonts w:eastAsiaTheme="minorHAnsi"/>
          <w:szCs w:val="24"/>
        </w:rPr>
      </w:pPr>
    </w:p>
    <w:p w:rsidR="0048710F" w:rsidRPr="0048710F" w:rsidRDefault="0048710F" w:rsidP="0048710F">
      <w:pPr>
        <w:spacing w:after="0"/>
        <w:rPr>
          <w:szCs w:val="24"/>
        </w:rPr>
      </w:pPr>
    </w:p>
    <w:p w:rsidR="0048710F" w:rsidRPr="0048710F" w:rsidRDefault="0048710F" w:rsidP="0048710F">
      <w:pPr>
        <w:keepLines/>
        <w:widowControl w:val="0"/>
        <w:tabs>
          <w:tab w:val="clear" w:pos="1440"/>
          <w:tab w:val="left" w:pos="5040"/>
        </w:tabs>
        <w:autoSpaceDE w:val="0"/>
        <w:autoSpaceDN w:val="0"/>
        <w:adjustRightInd w:val="0"/>
        <w:spacing w:after="0" w:line="240" w:lineRule="auto"/>
        <w:jc w:val="both"/>
        <w:rPr>
          <w:snapToGrid w:val="0"/>
          <w:szCs w:val="24"/>
        </w:rPr>
      </w:pPr>
      <w:r w:rsidRPr="0048710F">
        <w:rPr>
          <w:snapToGrid w:val="0"/>
          <w:szCs w:val="24"/>
        </w:rPr>
        <w:t xml:space="preserve">Date:  </w:t>
      </w:r>
      <w:r w:rsidR="00827676" w:rsidRPr="00827676">
        <w:rPr>
          <w:snapToGrid w:val="0"/>
          <w:szCs w:val="24"/>
          <w:u w:val="single"/>
        </w:rPr>
        <w:t>May 13</w:t>
      </w:r>
      <w:r w:rsidRPr="00827676">
        <w:rPr>
          <w:snapToGrid w:val="0"/>
          <w:szCs w:val="24"/>
          <w:u w:val="single"/>
        </w:rPr>
        <w:t>,</w:t>
      </w:r>
      <w:r w:rsidRPr="0048710F">
        <w:rPr>
          <w:snapToGrid w:val="0"/>
          <w:szCs w:val="24"/>
          <w:u w:val="single"/>
        </w:rPr>
        <w:t xml:space="preserve"> 201</w:t>
      </w:r>
      <w:r w:rsidR="00827676">
        <w:rPr>
          <w:snapToGrid w:val="0"/>
          <w:szCs w:val="24"/>
          <w:u w:val="single"/>
        </w:rPr>
        <w:t>6</w:t>
      </w:r>
      <w:r w:rsidRPr="0048710F">
        <w:rPr>
          <w:snapToGrid w:val="0"/>
          <w:szCs w:val="24"/>
        </w:rPr>
        <w:tab/>
      </w:r>
      <w:r w:rsidRPr="0048710F">
        <w:rPr>
          <w:snapToGrid w:val="0"/>
          <w:szCs w:val="24"/>
          <w:u w:val="single"/>
        </w:rPr>
        <w:t xml:space="preserve">                           /s/</w:t>
      </w:r>
      <w:r w:rsidRPr="0048710F">
        <w:rPr>
          <w:snapToGrid w:val="0"/>
          <w:szCs w:val="24"/>
          <w:u w:val="single"/>
        </w:rPr>
        <w:tab/>
      </w:r>
      <w:r w:rsidRPr="0048710F">
        <w:rPr>
          <w:snapToGrid w:val="0"/>
          <w:szCs w:val="24"/>
          <w:u w:val="single"/>
        </w:rPr>
        <w:tab/>
      </w:r>
      <w:r w:rsidRPr="0048710F">
        <w:rPr>
          <w:snapToGrid w:val="0"/>
          <w:szCs w:val="24"/>
          <w:u w:val="single"/>
        </w:rPr>
        <w:tab/>
      </w:r>
      <w:r w:rsidRPr="0048710F">
        <w:rPr>
          <w:snapToGrid w:val="0"/>
          <w:szCs w:val="24"/>
          <w:u w:val="single"/>
        </w:rPr>
        <w:tab/>
      </w:r>
      <w:r w:rsidRPr="0048710F">
        <w:rPr>
          <w:snapToGrid w:val="0"/>
          <w:szCs w:val="24"/>
        </w:rPr>
        <w:tab/>
        <w:t>Conrad A. Johnson</w:t>
      </w:r>
    </w:p>
    <w:p w:rsidR="0048710F" w:rsidRPr="0048710F" w:rsidRDefault="0048710F" w:rsidP="0048710F">
      <w:pPr>
        <w:keepLines/>
        <w:widowControl w:val="0"/>
        <w:tabs>
          <w:tab w:val="clear" w:pos="1440"/>
        </w:tabs>
        <w:autoSpaceDE w:val="0"/>
        <w:autoSpaceDN w:val="0"/>
        <w:adjustRightInd w:val="0"/>
        <w:spacing w:after="0" w:line="240" w:lineRule="auto"/>
        <w:jc w:val="both"/>
        <w:rPr>
          <w:snapToGrid w:val="0"/>
          <w:szCs w:val="24"/>
        </w:rPr>
      </w:pPr>
      <w:r w:rsidRPr="0048710F">
        <w:rPr>
          <w:snapToGrid w:val="0"/>
          <w:szCs w:val="24"/>
        </w:rPr>
        <w:tab/>
      </w:r>
      <w:r w:rsidRPr="0048710F">
        <w:rPr>
          <w:snapToGrid w:val="0"/>
          <w:szCs w:val="24"/>
        </w:rPr>
        <w:tab/>
      </w:r>
      <w:r w:rsidRPr="0048710F">
        <w:rPr>
          <w:snapToGrid w:val="0"/>
          <w:szCs w:val="24"/>
        </w:rPr>
        <w:tab/>
      </w:r>
      <w:r w:rsidRPr="0048710F">
        <w:rPr>
          <w:snapToGrid w:val="0"/>
          <w:szCs w:val="24"/>
        </w:rPr>
        <w:tab/>
      </w:r>
      <w:r w:rsidRPr="0048710F">
        <w:rPr>
          <w:snapToGrid w:val="0"/>
          <w:szCs w:val="24"/>
        </w:rPr>
        <w:tab/>
      </w:r>
      <w:r w:rsidRPr="0048710F">
        <w:rPr>
          <w:snapToGrid w:val="0"/>
          <w:szCs w:val="24"/>
        </w:rPr>
        <w:tab/>
      </w:r>
      <w:r w:rsidRPr="0048710F">
        <w:rPr>
          <w:snapToGrid w:val="0"/>
          <w:szCs w:val="24"/>
        </w:rPr>
        <w:tab/>
        <w:t>Administrative Law Judge</w:t>
      </w:r>
    </w:p>
    <w:p w:rsidR="000074A4" w:rsidRDefault="000074A4" w:rsidP="007B3F23">
      <w:pPr>
        <w:keepLines/>
        <w:widowControl w:val="0"/>
        <w:tabs>
          <w:tab w:val="clear" w:pos="1440"/>
        </w:tabs>
        <w:autoSpaceDE w:val="0"/>
        <w:autoSpaceDN w:val="0"/>
        <w:adjustRightInd w:val="0"/>
        <w:spacing w:after="0" w:line="240" w:lineRule="auto"/>
        <w:jc w:val="both"/>
        <w:rPr>
          <w:snapToGrid w:val="0"/>
          <w:szCs w:val="24"/>
        </w:rPr>
      </w:pPr>
    </w:p>
    <w:sectPr w:rsidR="000074A4" w:rsidSect="007728AB">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412" w:rsidRDefault="009B2412" w:rsidP="007728AB">
      <w:pPr>
        <w:spacing w:after="0" w:line="240" w:lineRule="auto"/>
      </w:pPr>
      <w:r>
        <w:separator/>
      </w:r>
    </w:p>
  </w:endnote>
  <w:endnote w:type="continuationSeparator" w:id="0">
    <w:p w:rsidR="009B2412" w:rsidRDefault="009B2412" w:rsidP="00772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1239402"/>
      <w:docPartObj>
        <w:docPartGallery w:val="Page Numbers (Bottom of Page)"/>
        <w:docPartUnique/>
      </w:docPartObj>
    </w:sdtPr>
    <w:sdtEndPr>
      <w:rPr>
        <w:noProof/>
        <w:sz w:val="20"/>
      </w:rPr>
    </w:sdtEndPr>
    <w:sdtContent>
      <w:p w:rsidR="007728AB" w:rsidRPr="006A5B49" w:rsidRDefault="007728AB">
        <w:pPr>
          <w:pStyle w:val="Footer"/>
          <w:jc w:val="center"/>
          <w:rPr>
            <w:sz w:val="20"/>
          </w:rPr>
        </w:pPr>
        <w:r w:rsidRPr="008A7D44">
          <w:rPr>
            <w:sz w:val="20"/>
          </w:rPr>
          <w:fldChar w:fldCharType="begin"/>
        </w:r>
        <w:r w:rsidRPr="008A7D44">
          <w:rPr>
            <w:sz w:val="20"/>
          </w:rPr>
          <w:instrText xml:space="preserve"> PAGE   \* MERGEFORMAT </w:instrText>
        </w:r>
        <w:r w:rsidRPr="008A7D44">
          <w:rPr>
            <w:sz w:val="20"/>
          </w:rPr>
          <w:fldChar w:fldCharType="separate"/>
        </w:r>
        <w:r w:rsidR="00176BAB">
          <w:rPr>
            <w:noProof/>
            <w:sz w:val="20"/>
          </w:rPr>
          <w:t>6</w:t>
        </w:r>
        <w:r w:rsidRPr="008A7D44">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412" w:rsidRDefault="009B2412" w:rsidP="007728AB">
      <w:pPr>
        <w:spacing w:after="0" w:line="240" w:lineRule="auto"/>
      </w:pPr>
      <w:r>
        <w:separator/>
      </w:r>
    </w:p>
  </w:footnote>
  <w:footnote w:type="continuationSeparator" w:id="0">
    <w:p w:rsidR="009B2412" w:rsidRDefault="009B2412" w:rsidP="007728AB">
      <w:pPr>
        <w:spacing w:after="0" w:line="240" w:lineRule="auto"/>
      </w:pPr>
      <w:r>
        <w:continuationSeparator/>
      </w:r>
    </w:p>
  </w:footnote>
  <w:footnote w:id="1">
    <w:p w:rsidR="00F42F0B" w:rsidRPr="00F42F0B" w:rsidRDefault="00F42F0B">
      <w:pPr>
        <w:pStyle w:val="FootnoteText"/>
        <w:rPr>
          <w:caps/>
        </w:rPr>
      </w:pPr>
      <w:r>
        <w:rPr>
          <w:rStyle w:val="FootnoteReference"/>
        </w:rPr>
        <w:footnoteRef/>
      </w:r>
      <w:r w:rsidR="00423E99">
        <w:tab/>
      </w:r>
      <w:r>
        <w:t xml:space="preserve">On April 14, 2014, the Commission’s Bureau of Consumer Services (BCS) dismissed Mr. Mandeville’s informal complaint alleging incorrect billing charges at </w:t>
      </w:r>
      <w:r w:rsidRPr="00F42F0B">
        <w:t xml:space="preserve">BCS No. </w:t>
      </w:r>
      <w:r w:rsidRPr="00F42F0B">
        <w:rPr>
          <w:rStyle w:val="lbldata1"/>
          <w:b w:val="0"/>
          <w:color w:val="auto"/>
          <w:sz w:val="20"/>
          <w:szCs w:val="20"/>
        </w:rPr>
        <w:t xml:space="preserve">3225098. </w:t>
      </w:r>
      <w:r w:rsidR="00C43F71">
        <w:rPr>
          <w:rStyle w:val="lbldata1"/>
          <w:b w:val="0"/>
          <w:color w:val="auto"/>
          <w:sz w:val="20"/>
          <w:szCs w:val="20"/>
        </w:rPr>
        <w:t xml:space="preserve"> </w:t>
      </w:r>
      <w:r w:rsidRPr="00F42F0B">
        <w:rPr>
          <w:rStyle w:val="lbldata1"/>
          <w:b w:val="0"/>
          <w:caps w:val="0"/>
          <w:color w:val="auto"/>
          <w:sz w:val="20"/>
          <w:szCs w:val="20"/>
        </w:rPr>
        <w:t>BCS also denied</w:t>
      </w:r>
      <w:r>
        <w:t xml:space="preserve"> his request for a payment arrangement</w:t>
      </w:r>
      <w:r w:rsidR="00C43F71">
        <w:t>,</w:t>
      </w:r>
      <w:r w:rsidRPr="00F42F0B">
        <w:rPr>
          <w:rStyle w:val="lbldata1"/>
          <w:b w:val="0"/>
          <w:caps w:val="0"/>
          <w:color w:val="auto"/>
          <w:sz w:val="20"/>
          <w:szCs w:val="20"/>
        </w:rPr>
        <w:t xml:space="preserve"> h</w:t>
      </w:r>
      <w:r>
        <w:rPr>
          <w:rStyle w:val="lbldata1"/>
          <w:b w:val="0"/>
          <w:caps w:val="0"/>
          <w:color w:val="auto"/>
          <w:sz w:val="20"/>
          <w:szCs w:val="20"/>
        </w:rPr>
        <w:t xml:space="preserve">aving found </w:t>
      </w:r>
      <w:r w:rsidR="00C43F71">
        <w:rPr>
          <w:rStyle w:val="lbldata1"/>
          <w:b w:val="0"/>
          <w:caps w:val="0"/>
          <w:color w:val="auto"/>
          <w:sz w:val="20"/>
          <w:szCs w:val="20"/>
        </w:rPr>
        <w:t xml:space="preserve">that </w:t>
      </w:r>
      <w:r>
        <w:rPr>
          <w:rStyle w:val="lbldata1"/>
          <w:b w:val="0"/>
          <w:caps w:val="0"/>
          <w:color w:val="auto"/>
          <w:sz w:val="20"/>
          <w:szCs w:val="20"/>
        </w:rPr>
        <w:t>under the Commission</w:t>
      </w:r>
      <w:r w:rsidR="00C43F71">
        <w:rPr>
          <w:rStyle w:val="lbldata1"/>
          <w:b w:val="0"/>
          <w:caps w:val="0"/>
          <w:color w:val="auto"/>
          <w:sz w:val="20"/>
          <w:szCs w:val="20"/>
        </w:rPr>
        <w:t>’s regulations</w:t>
      </w:r>
      <w:r>
        <w:rPr>
          <w:rStyle w:val="lbldata1"/>
          <w:b w:val="0"/>
          <w:caps w:val="0"/>
          <w:color w:val="auto"/>
          <w:sz w:val="20"/>
          <w:szCs w:val="20"/>
        </w:rPr>
        <w:t xml:space="preserve"> he was not eligible</w:t>
      </w:r>
      <w:r w:rsidR="00C43F71">
        <w:rPr>
          <w:rStyle w:val="lbldata1"/>
          <w:b w:val="0"/>
          <w:caps w:val="0"/>
          <w:color w:val="auto"/>
          <w:sz w:val="20"/>
          <w:szCs w:val="20"/>
        </w:rPr>
        <w:t xml:space="preserve"> </w:t>
      </w:r>
      <w:r>
        <w:rPr>
          <w:rStyle w:val="lbldata1"/>
          <w:b w:val="0"/>
          <w:caps w:val="0"/>
          <w:color w:val="auto"/>
          <w:sz w:val="20"/>
          <w:szCs w:val="20"/>
        </w:rPr>
        <w:t>for a</w:t>
      </w:r>
      <w:r w:rsidR="00BD3518">
        <w:rPr>
          <w:rStyle w:val="lbldata1"/>
          <w:b w:val="0"/>
          <w:caps w:val="0"/>
          <w:color w:val="auto"/>
          <w:sz w:val="20"/>
          <w:szCs w:val="20"/>
        </w:rPr>
        <w:t>nother</w:t>
      </w:r>
      <w:r>
        <w:rPr>
          <w:rStyle w:val="lbldata1"/>
          <w:b w:val="0"/>
          <w:caps w:val="0"/>
          <w:color w:val="auto"/>
          <w:sz w:val="20"/>
          <w:szCs w:val="20"/>
        </w:rPr>
        <w:t xml:space="preserve"> payment </w:t>
      </w:r>
      <w:r w:rsidR="00C43F71">
        <w:rPr>
          <w:rStyle w:val="lbldata1"/>
          <w:b w:val="0"/>
          <w:caps w:val="0"/>
          <w:color w:val="auto"/>
          <w:sz w:val="20"/>
          <w:szCs w:val="20"/>
        </w:rPr>
        <w:t>arrangement.</w:t>
      </w:r>
      <w:r w:rsidR="00E86748">
        <w:rPr>
          <w:rStyle w:val="lbldata1"/>
          <w:b w:val="0"/>
          <w:caps w:val="0"/>
          <w:color w:val="auto"/>
          <w:sz w:val="20"/>
          <w:szCs w:val="20"/>
        </w:rPr>
        <w:t xml:space="preserve"> </w:t>
      </w:r>
      <w:r w:rsidR="00C02BCE">
        <w:rPr>
          <w:rStyle w:val="lbldata1"/>
          <w:b w:val="0"/>
          <w:caps w:val="0"/>
          <w:color w:val="auto"/>
          <w:sz w:val="20"/>
          <w:szCs w:val="20"/>
        </w:rPr>
        <w:t xml:space="preserve"> See PPL Exhibit 2B. </w:t>
      </w:r>
      <w:r w:rsidR="00E86748">
        <w:rPr>
          <w:rStyle w:val="lbldata1"/>
          <w:b w:val="0"/>
          <w:caps w:val="0"/>
          <w:color w:val="auto"/>
          <w:sz w:val="20"/>
          <w:szCs w:val="20"/>
        </w:rPr>
        <w:t xml:space="preserve"> Mr. Mandeville did not seek timely review of BCS’s decision.</w:t>
      </w:r>
    </w:p>
  </w:footnote>
  <w:footnote w:id="2">
    <w:p w:rsidR="008528E6" w:rsidRDefault="008528E6">
      <w:pPr>
        <w:pStyle w:val="FootnoteText"/>
      </w:pPr>
      <w:r>
        <w:rPr>
          <w:rStyle w:val="FootnoteReference"/>
        </w:rPr>
        <w:footnoteRef/>
      </w:r>
      <w:r w:rsidR="00423E99">
        <w:tab/>
      </w:r>
      <w:proofErr w:type="gramStart"/>
      <w:r>
        <w:t>Transcript (Tr.) Tr. 42.</w:t>
      </w:r>
      <w:proofErr w:type="gramEnd"/>
    </w:p>
  </w:footnote>
  <w:footnote w:id="3">
    <w:p w:rsidR="00D55420" w:rsidRDefault="00D55420">
      <w:pPr>
        <w:pStyle w:val="FootnoteText"/>
      </w:pPr>
      <w:r>
        <w:rPr>
          <w:rStyle w:val="FootnoteReference"/>
        </w:rPr>
        <w:footnoteRef/>
      </w:r>
      <w:r w:rsidR="00AA7C9D">
        <w:tab/>
      </w:r>
      <w:r w:rsidR="00D83B3C">
        <w:t xml:space="preserve">After the record </w:t>
      </w:r>
      <w:r w:rsidR="00FF736F">
        <w:t>i</w:t>
      </w:r>
      <w:r w:rsidR="00D83B3C">
        <w:t>s closed but before a final decision is issued, a</w:t>
      </w:r>
      <w:r>
        <w:t xml:space="preserve"> party may petition to reopen the record </w:t>
      </w:r>
      <w:r w:rsidR="00FF736F">
        <w:t xml:space="preserve">for the taking </w:t>
      </w:r>
      <w:r w:rsidR="00AE4C6C">
        <w:t>of</w:t>
      </w:r>
      <w:r w:rsidR="00990CAA">
        <w:t xml:space="preserve"> </w:t>
      </w:r>
      <w:r w:rsidR="00FF736F">
        <w:t>additional evidence</w:t>
      </w:r>
      <w:r w:rsidR="00990CAA">
        <w:t xml:space="preserve">. </w:t>
      </w:r>
      <w:r w:rsidR="00FF736F">
        <w:t xml:space="preserve"> </w:t>
      </w:r>
      <w:r w:rsidR="00990CAA">
        <w:t xml:space="preserve">The petition must set forth fact requiring the reopening of the proceeding, including allegations of </w:t>
      </w:r>
      <w:r w:rsidRPr="00D55420">
        <w:t xml:space="preserve">material changes of fact or of law </w:t>
      </w:r>
      <w:r w:rsidR="00990CAA">
        <w:t xml:space="preserve">that </w:t>
      </w:r>
      <w:r w:rsidRPr="00D55420">
        <w:t xml:space="preserve">have occurred since the conclusion of the hearing. </w:t>
      </w:r>
      <w:r w:rsidR="00D83B3C">
        <w:t xml:space="preserve"> </w:t>
      </w:r>
      <w:r w:rsidRPr="00D55420">
        <w:t>52</w:t>
      </w:r>
      <w:r w:rsidR="00AA7C9D">
        <w:t> </w:t>
      </w:r>
      <w:r w:rsidRPr="00D55420">
        <w:t>Pa.Code § 5.571</w:t>
      </w:r>
      <w:r>
        <w:t>.</w:t>
      </w:r>
      <w:r w:rsidR="008F5336">
        <w:t xml:space="preserve"> </w:t>
      </w:r>
    </w:p>
  </w:footnote>
  <w:footnote w:id="4">
    <w:p w:rsidR="00990CAA" w:rsidRDefault="00990CAA">
      <w:pPr>
        <w:pStyle w:val="FootnoteText"/>
      </w:pPr>
    </w:p>
    <w:p w:rsidR="00990CAA" w:rsidRDefault="00990CAA">
      <w:pPr>
        <w:pStyle w:val="FootnoteText"/>
      </w:pPr>
      <w:r>
        <w:rPr>
          <w:rStyle w:val="FootnoteReference"/>
        </w:rPr>
        <w:footnoteRef/>
      </w:r>
      <w:r w:rsidR="00AA7C9D">
        <w:tab/>
      </w:r>
      <w:r>
        <w:t xml:space="preserve">Respondent’s January 28, 2016 and February 26, 2016 letters </w:t>
      </w:r>
      <w:r w:rsidR="001330EE">
        <w:t xml:space="preserve">were </w:t>
      </w:r>
      <w:r>
        <w:t>attached to the Interim Order as Attachment A and B, respectively.</w:t>
      </w:r>
    </w:p>
    <w:p w:rsidR="00990CAA" w:rsidRDefault="00990CAA">
      <w:pPr>
        <w:pStyle w:val="FootnoteText"/>
      </w:pPr>
    </w:p>
  </w:footnote>
  <w:footnote w:id="5">
    <w:p w:rsidR="00BF2A91" w:rsidRDefault="00BF2A91" w:rsidP="00C34439">
      <w:pPr>
        <w:pStyle w:val="FootnoteText"/>
        <w:spacing w:after="0" w:line="360" w:lineRule="auto"/>
      </w:pPr>
      <w:r>
        <w:rPr>
          <w:rStyle w:val="FootnoteReference"/>
        </w:rPr>
        <w:footnoteRef/>
      </w:r>
      <w:r>
        <w:tab/>
      </w:r>
      <w:r w:rsidRPr="00761084">
        <w:t>66 Pa.C.S. § 332(a).</w:t>
      </w:r>
    </w:p>
  </w:footnote>
  <w:footnote w:id="6">
    <w:p w:rsidR="00BD2945" w:rsidRDefault="00BD2945">
      <w:pPr>
        <w:pStyle w:val="FootnoteText"/>
      </w:pPr>
      <w:r>
        <w:rPr>
          <w:rStyle w:val="FootnoteReference"/>
        </w:rPr>
        <w:footnoteRef/>
      </w:r>
      <w:r>
        <w:t xml:space="preserve"> </w:t>
      </w:r>
      <w:r>
        <w:tab/>
        <w:t xml:space="preserve">Although Mr. Mandeville claims he did not receive bills from PPL in </w:t>
      </w:r>
      <w:r w:rsidR="00BD2F8E">
        <w:t>M</w:t>
      </w:r>
      <w:r>
        <w:t>arch and April 2013 (Findings of Fact 17, 19), he did not raise this issue in his Complaint, no</w:t>
      </w:r>
      <w:r w:rsidR="0078517E">
        <w:t>r</w:t>
      </w:r>
      <w:r>
        <w:t xml:space="preserve"> present any testimony or evidence concerning the non-receipt of his bills in 2013.  Thus this issue is not considered any further in this decision.</w:t>
      </w:r>
    </w:p>
  </w:footnote>
  <w:footnote w:id="7">
    <w:p w:rsidR="00FE1A04" w:rsidRDefault="00FE1A04">
      <w:pPr>
        <w:pStyle w:val="FootnoteText"/>
      </w:pPr>
      <w:r>
        <w:rPr>
          <w:rStyle w:val="FootnoteReference"/>
        </w:rPr>
        <w:footnoteRef/>
      </w:r>
      <w:r w:rsidR="00511F47">
        <w:t xml:space="preserve"> </w:t>
      </w:r>
      <w:r w:rsidR="00511F47">
        <w:tab/>
      </w:r>
      <w:r>
        <w:t>Section 1410(2) of the Code provides, “Pending the outcome of a formal or informal complaint filed with the commission, a customer shall be obligated to pay that portion of the bill which is not in dispute and subsequent bill</w:t>
      </w:r>
      <w:r w:rsidR="00AD3543">
        <w:t>s</w:t>
      </w:r>
      <w:r>
        <w:t xml:space="preserve"> which are not in dispute.  66 Pa.C.S. § 1410(2).</w:t>
      </w:r>
    </w:p>
  </w:footnote>
  <w:footnote w:id="8">
    <w:p w:rsidR="000074A4" w:rsidRPr="00C15010" w:rsidRDefault="000074A4" w:rsidP="000074A4">
      <w:pPr>
        <w:pStyle w:val="FootnoteText"/>
      </w:pPr>
      <w:r w:rsidRPr="00C15010">
        <w:rPr>
          <w:rStyle w:val="FootnoteReference"/>
        </w:rPr>
        <w:footnoteRef/>
      </w:r>
      <w:r w:rsidRPr="00C15010">
        <w:t xml:space="preserve"> </w:t>
      </w:r>
      <w:r>
        <w:tab/>
        <w:t xml:space="preserve">In </w:t>
      </w:r>
      <w:r>
        <w:rPr>
          <w:i/>
        </w:rPr>
        <w:t>Prosser</w:t>
      </w:r>
      <w:r>
        <w:t xml:space="preserve"> the presiding officer dismissed the complaint on preliminary objections for lack of jurisdiction over complainant’s negligence claim.  The Commission reversed and remanded for consideration of the reasonableness of service issue. </w:t>
      </w:r>
    </w:p>
  </w:footnote>
  <w:footnote w:id="9">
    <w:p w:rsidR="0048710F" w:rsidRPr="006F3FB0" w:rsidRDefault="0048710F" w:rsidP="00C876FF">
      <w:pPr>
        <w:pStyle w:val="FootnoteText"/>
      </w:pPr>
      <w:r w:rsidRPr="006F3FB0">
        <w:rPr>
          <w:rStyle w:val="FootnoteReference"/>
        </w:rPr>
        <w:footnoteRef/>
      </w:r>
      <w:r w:rsidRPr="006F3FB0">
        <w:t xml:space="preserve"> </w:t>
      </w:r>
      <w:r w:rsidRPr="006F3FB0">
        <w:tab/>
        <w:t xml:space="preserve">If the violation is intentional, the Commission should start with the presumption that the penalty will be in the range of $500.00 to $1,000.00 per day.  If the violation is negligent, the Commission should start with the presumption that the penalty will be in the range of zero dollars to $500.00 per day.  … [T]he Commission retains broad discretion in determining a total civil penalty amount that is reasonable on an individual case basis.  See </w:t>
      </w:r>
      <w:r w:rsidRPr="006F3FB0">
        <w:rPr>
          <w:i/>
        </w:rPr>
        <w:t>Rosi,</w:t>
      </w:r>
      <w:r w:rsidRPr="006F3FB0">
        <w:t xml:space="preserve"> cited above. </w:t>
      </w:r>
    </w:p>
    <w:p w:rsidR="0048710F" w:rsidRDefault="0048710F" w:rsidP="0048710F">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48C139E"/>
    <w:lvl w:ilvl="0">
      <w:start w:val="1"/>
      <w:numFmt w:val="decimal"/>
      <w:lvlText w:val="%1."/>
      <w:lvlJc w:val="left"/>
      <w:pPr>
        <w:tabs>
          <w:tab w:val="num" w:pos="1710"/>
        </w:tabs>
        <w:ind w:left="1710" w:hanging="360"/>
      </w:pPr>
    </w:lvl>
  </w:abstractNum>
  <w:abstractNum w:abstractNumId="1">
    <w:nsid w:val="FFFFFF7D"/>
    <w:multiLevelType w:val="singleLevel"/>
    <w:tmpl w:val="EC7CD818"/>
    <w:lvl w:ilvl="0">
      <w:start w:val="1"/>
      <w:numFmt w:val="decimal"/>
      <w:lvlText w:val="%1."/>
      <w:lvlJc w:val="left"/>
      <w:pPr>
        <w:tabs>
          <w:tab w:val="num" w:pos="1440"/>
        </w:tabs>
        <w:ind w:left="1440" w:hanging="360"/>
      </w:pPr>
    </w:lvl>
  </w:abstractNum>
  <w:abstractNum w:abstractNumId="2">
    <w:nsid w:val="FFFFFF7E"/>
    <w:multiLevelType w:val="singleLevel"/>
    <w:tmpl w:val="5A9ECD52"/>
    <w:lvl w:ilvl="0">
      <w:start w:val="1"/>
      <w:numFmt w:val="decimal"/>
      <w:lvlText w:val="%1."/>
      <w:lvlJc w:val="left"/>
      <w:pPr>
        <w:tabs>
          <w:tab w:val="num" w:pos="1080"/>
        </w:tabs>
        <w:ind w:left="1080" w:hanging="360"/>
      </w:pPr>
    </w:lvl>
  </w:abstractNum>
  <w:abstractNum w:abstractNumId="3">
    <w:nsid w:val="FFFFFF7F"/>
    <w:multiLevelType w:val="singleLevel"/>
    <w:tmpl w:val="7CA8B1EC"/>
    <w:lvl w:ilvl="0">
      <w:start w:val="1"/>
      <w:numFmt w:val="decimal"/>
      <w:lvlText w:val="%1."/>
      <w:lvlJc w:val="left"/>
      <w:pPr>
        <w:tabs>
          <w:tab w:val="num" w:pos="720"/>
        </w:tabs>
        <w:ind w:left="720" w:hanging="360"/>
      </w:pPr>
    </w:lvl>
  </w:abstractNum>
  <w:abstractNum w:abstractNumId="4">
    <w:nsid w:val="FFFFFF80"/>
    <w:multiLevelType w:val="singleLevel"/>
    <w:tmpl w:val="AF7821B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B68ED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526E9C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48C025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246B476"/>
    <w:lvl w:ilvl="0">
      <w:start w:val="1"/>
      <w:numFmt w:val="decimal"/>
      <w:lvlText w:val="%1."/>
      <w:lvlJc w:val="left"/>
      <w:pPr>
        <w:tabs>
          <w:tab w:val="num" w:pos="360"/>
        </w:tabs>
        <w:ind w:left="360" w:hanging="360"/>
      </w:pPr>
    </w:lvl>
  </w:abstractNum>
  <w:abstractNum w:abstractNumId="9">
    <w:nsid w:val="FFFFFF89"/>
    <w:multiLevelType w:val="singleLevel"/>
    <w:tmpl w:val="9ED28E06"/>
    <w:lvl w:ilvl="0">
      <w:start w:val="1"/>
      <w:numFmt w:val="bullet"/>
      <w:lvlText w:val=""/>
      <w:lvlJc w:val="left"/>
      <w:pPr>
        <w:tabs>
          <w:tab w:val="num" w:pos="360"/>
        </w:tabs>
        <w:ind w:left="360" w:hanging="360"/>
      </w:pPr>
      <w:rPr>
        <w:rFonts w:ascii="Symbol" w:hAnsi="Symbol" w:hint="default"/>
      </w:rPr>
    </w:lvl>
  </w:abstractNum>
  <w:abstractNum w:abstractNumId="1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4BC560F"/>
    <w:multiLevelType w:val="hybridMultilevel"/>
    <w:tmpl w:val="E3F4833A"/>
    <w:lvl w:ilvl="0" w:tplc="DDFED8A6">
      <w:start w:val="5"/>
      <w:numFmt w:val="decimal"/>
      <w:pStyle w:val="ListParagraph"/>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7041F4"/>
    <w:multiLevelType w:val="hybridMultilevel"/>
    <w:tmpl w:val="04520B9A"/>
    <w:lvl w:ilvl="0" w:tplc="716257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3C136E7B"/>
    <w:multiLevelType w:val="hybridMultilevel"/>
    <w:tmpl w:val="B11C131C"/>
    <w:lvl w:ilvl="0" w:tplc="8C200902">
      <w:start w:val="5"/>
      <w:numFmt w:val="decimal"/>
      <w:lvlText w:val="%1."/>
      <w:lvlJc w:val="left"/>
      <w:pPr>
        <w:ind w:left="189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B095837"/>
    <w:multiLevelType w:val="hybridMultilevel"/>
    <w:tmpl w:val="3B660806"/>
    <w:lvl w:ilvl="0" w:tplc="11F677DC">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1AB38B1"/>
    <w:multiLevelType w:val="hybridMultilevel"/>
    <w:tmpl w:val="743A561A"/>
    <w:lvl w:ilvl="0" w:tplc="2A5C74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63C24CBA"/>
    <w:multiLevelType w:val="hybridMultilevel"/>
    <w:tmpl w:val="A3E4E388"/>
    <w:lvl w:ilvl="0" w:tplc="8E4ECB8C">
      <w:start w:val="1"/>
      <w:numFmt w:val="decimal"/>
      <w:lvlText w:val="%1."/>
      <w:lvlJc w:val="left"/>
      <w:pPr>
        <w:ind w:left="180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E00225"/>
    <w:multiLevelType w:val="hybridMultilevel"/>
    <w:tmpl w:val="5F86F888"/>
    <w:lvl w:ilvl="0" w:tplc="ADDE9A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BDC2B81"/>
    <w:multiLevelType w:val="hybridMultilevel"/>
    <w:tmpl w:val="8BD016BA"/>
    <w:lvl w:ilvl="0" w:tplc="259C5126">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7"/>
  </w:num>
  <w:num w:numId="2">
    <w:abstractNumId w:val="19"/>
  </w:num>
  <w:num w:numId="3">
    <w:abstractNumId w:val="26"/>
  </w:num>
  <w:num w:numId="4">
    <w:abstractNumId w:val="29"/>
  </w:num>
  <w:num w:numId="5">
    <w:abstractNumId w:val="16"/>
  </w:num>
  <w:num w:numId="6">
    <w:abstractNumId w:val="15"/>
  </w:num>
  <w:num w:numId="7">
    <w:abstractNumId w:val="14"/>
  </w:num>
  <w:num w:numId="8">
    <w:abstractNumId w:val="28"/>
  </w:num>
  <w:num w:numId="9">
    <w:abstractNumId w:val="12"/>
  </w:num>
  <w:num w:numId="10">
    <w:abstractNumId w:val="22"/>
  </w:num>
  <w:num w:numId="11">
    <w:abstractNumId w:val="25"/>
  </w:num>
  <w:num w:numId="12">
    <w:abstractNumId w:val="18"/>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7"/>
  </w:num>
  <w:num w:numId="24">
    <w:abstractNumId w:val="24"/>
  </w:num>
  <w:num w:numId="25">
    <w:abstractNumId w:val="23"/>
  </w:num>
  <w:num w:numId="26">
    <w:abstractNumId w:val="13"/>
  </w:num>
  <w:num w:numId="27">
    <w:abstractNumId w:val="17"/>
    <w:lvlOverride w:ilvl="0">
      <w:startOverride w:val="1"/>
    </w:lvlOverride>
  </w:num>
  <w:num w:numId="28">
    <w:abstractNumId w:val="21"/>
  </w:num>
  <w:num w:numId="29">
    <w:abstractNumId w:val="11"/>
  </w:num>
  <w:num w:numId="30">
    <w:abstractNumId w:val="10"/>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564"/>
    <w:rsid w:val="0000035F"/>
    <w:rsid w:val="000037C3"/>
    <w:rsid w:val="00004C37"/>
    <w:rsid w:val="000074A4"/>
    <w:rsid w:val="00011946"/>
    <w:rsid w:val="00021D0D"/>
    <w:rsid w:val="00022FF7"/>
    <w:rsid w:val="000243F1"/>
    <w:rsid w:val="0003431D"/>
    <w:rsid w:val="000345B8"/>
    <w:rsid w:val="00037DAB"/>
    <w:rsid w:val="00043D5D"/>
    <w:rsid w:val="00043D85"/>
    <w:rsid w:val="00046A14"/>
    <w:rsid w:val="00051283"/>
    <w:rsid w:val="00053A54"/>
    <w:rsid w:val="0006793C"/>
    <w:rsid w:val="00077E32"/>
    <w:rsid w:val="00082172"/>
    <w:rsid w:val="00084FDD"/>
    <w:rsid w:val="00085E50"/>
    <w:rsid w:val="000917AE"/>
    <w:rsid w:val="00092155"/>
    <w:rsid w:val="00094822"/>
    <w:rsid w:val="000A002E"/>
    <w:rsid w:val="000A0C4E"/>
    <w:rsid w:val="000A0FF6"/>
    <w:rsid w:val="000A487D"/>
    <w:rsid w:val="000B1B2A"/>
    <w:rsid w:val="000B57F1"/>
    <w:rsid w:val="000B7966"/>
    <w:rsid w:val="000C05E9"/>
    <w:rsid w:val="000C0D8F"/>
    <w:rsid w:val="000C7BDF"/>
    <w:rsid w:val="000D134B"/>
    <w:rsid w:val="000D3C29"/>
    <w:rsid w:val="000E5965"/>
    <w:rsid w:val="000F5E14"/>
    <w:rsid w:val="00102E5D"/>
    <w:rsid w:val="0011458B"/>
    <w:rsid w:val="00114DD5"/>
    <w:rsid w:val="00123FB9"/>
    <w:rsid w:val="00124606"/>
    <w:rsid w:val="0012471A"/>
    <w:rsid w:val="001330EE"/>
    <w:rsid w:val="00133B4E"/>
    <w:rsid w:val="001359B2"/>
    <w:rsid w:val="00137FA4"/>
    <w:rsid w:val="001416DF"/>
    <w:rsid w:val="001417A8"/>
    <w:rsid w:val="0014518D"/>
    <w:rsid w:val="00145F34"/>
    <w:rsid w:val="0014706C"/>
    <w:rsid w:val="001476D8"/>
    <w:rsid w:val="001526F2"/>
    <w:rsid w:val="00160080"/>
    <w:rsid w:val="001600C2"/>
    <w:rsid w:val="00172F63"/>
    <w:rsid w:val="00176BAB"/>
    <w:rsid w:val="0017794A"/>
    <w:rsid w:val="001832FE"/>
    <w:rsid w:val="00185CDD"/>
    <w:rsid w:val="0019767C"/>
    <w:rsid w:val="001A15BE"/>
    <w:rsid w:val="001B1CBA"/>
    <w:rsid w:val="001B372F"/>
    <w:rsid w:val="001C0479"/>
    <w:rsid w:val="001C614E"/>
    <w:rsid w:val="001D516B"/>
    <w:rsid w:val="001D7A6D"/>
    <w:rsid w:val="001E0A66"/>
    <w:rsid w:val="001E0D0D"/>
    <w:rsid w:val="001E19BC"/>
    <w:rsid w:val="001F076D"/>
    <w:rsid w:val="00200214"/>
    <w:rsid w:val="002021C2"/>
    <w:rsid w:val="002040F2"/>
    <w:rsid w:val="002070A8"/>
    <w:rsid w:val="0020726A"/>
    <w:rsid w:val="00213167"/>
    <w:rsid w:val="00220836"/>
    <w:rsid w:val="002244E7"/>
    <w:rsid w:val="002352CA"/>
    <w:rsid w:val="00235664"/>
    <w:rsid w:val="00235731"/>
    <w:rsid w:val="00240029"/>
    <w:rsid w:val="00241337"/>
    <w:rsid w:val="00241B44"/>
    <w:rsid w:val="002512F9"/>
    <w:rsid w:val="00256DBA"/>
    <w:rsid w:val="00260944"/>
    <w:rsid w:val="00263E73"/>
    <w:rsid w:val="0028034B"/>
    <w:rsid w:val="00286F05"/>
    <w:rsid w:val="00291FF7"/>
    <w:rsid w:val="002A0B5A"/>
    <w:rsid w:val="002A238C"/>
    <w:rsid w:val="002A2741"/>
    <w:rsid w:val="002A3979"/>
    <w:rsid w:val="002A521C"/>
    <w:rsid w:val="002A6FF8"/>
    <w:rsid w:val="002A75E0"/>
    <w:rsid w:val="002B1AB3"/>
    <w:rsid w:val="002B3426"/>
    <w:rsid w:val="002B7B5C"/>
    <w:rsid w:val="002D2F2F"/>
    <w:rsid w:val="002D6E1E"/>
    <w:rsid w:val="002E637E"/>
    <w:rsid w:val="002F1112"/>
    <w:rsid w:val="002F3FBD"/>
    <w:rsid w:val="00302496"/>
    <w:rsid w:val="0030415B"/>
    <w:rsid w:val="00306B06"/>
    <w:rsid w:val="00307358"/>
    <w:rsid w:val="0031017E"/>
    <w:rsid w:val="00317F7E"/>
    <w:rsid w:val="00321D82"/>
    <w:rsid w:val="0032763E"/>
    <w:rsid w:val="003339C8"/>
    <w:rsid w:val="00335EE4"/>
    <w:rsid w:val="0033733E"/>
    <w:rsid w:val="0033747F"/>
    <w:rsid w:val="003433E7"/>
    <w:rsid w:val="00344659"/>
    <w:rsid w:val="003521F5"/>
    <w:rsid w:val="00353AA1"/>
    <w:rsid w:val="0035660F"/>
    <w:rsid w:val="00364B4E"/>
    <w:rsid w:val="0036648F"/>
    <w:rsid w:val="00371754"/>
    <w:rsid w:val="003744E6"/>
    <w:rsid w:val="00374693"/>
    <w:rsid w:val="00382E04"/>
    <w:rsid w:val="00387DCB"/>
    <w:rsid w:val="00393C92"/>
    <w:rsid w:val="003956A0"/>
    <w:rsid w:val="003A4EF4"/>
    <w:rsid w:val="003A7AB5"/>
    <w:rsid w:val="003B0EDC"/>
    <w:rsid w:val="003B2240"/>
    <w:rsid w:val="003B3906"/>
    <w:rsid w:val="003B43BD"/>
    <w:rsid w:val="003B6C1A"/>
    <w:rsid w:val="003C16E1"/>
    <w:rsid w:val="003C1E2E"/>
    <w:rsid w:val="003C6E33"/>
    <w:rsid w:val="003D04C2"/>
    <w:rsid w:val="003D2E36"/>
    <w:rsid w:val="003D79F5"/>
    <w:rsid w:val="003E10F7"/>
    <w:rsid w:val="003E4186"/>
    <w:rsid w:val="00400929"/>
    <w:rsid w:val="00406AC2"/>
    <w:rsid w:val="004075BF"/>
    <w:rsid w:val="004160B9"/>
    <w:rsid w:val="004169E8"/>
    <w:rsid w:val="00420022"/>
    <w:rsid w:val="00423E99"/>
    <w:rsid w:val="004249EF"/>
    <w:rsid w:val="00430886"/>
    <w:rsid w:val="00430927"/>
    <w:rsid w:val="00432554"/>
    <w:rsid w:val="00432F59"/>
    <w:rsid w:val="004409AE"/>
    <w:rsid w:val="00450A60"/>
    <w:rsid w:val="004534B6"/>
    <w:rsid w:val="004535CB"/>
    <w:rsid w:val="004557E2"/>
    <w:rsid w:val="00457DAF"/>
    <w:rsid w:val="0046676C"/>
    <w:rsid w:val="00471476"/>
    <w:rsid w:val="00474BE1"/>
    <w:rsid w:val="004761D3"/>
    <w:rsid w:val="00476816"/>
    <w:rsid w:val="00477EB8"/>
    <w:rsid w:val="0048710F"/>
    <w:rsid w:val="004A093B"/>
    <w:rsid w:val="004A1674"/>
    <w:rsid w:val="004A5DC2"/>
    <w:rsid w:val="004A784A"/>
    <w:rsid w:val="004B5DDC"/>
    <w:rsid w:val="004C34A2"/>
    <w:rsid w:val="004C7F50"/>
    <w:rsid w:val="004D236C"/>
    <w:rsid w:val="004D46E9"/>
    <w:rsid w:val="004D523C"/>
    <w:rsid w:val="004D5F29"/>
    <w:rsid w:val="004D63CE"/>
    <w:rsid w:val="004E03D9"/>
    <w:rsid w:val="004E1375"/>
    <w:rsid w:val="004E7310"/>
    <w:rsid w:val="004F270E"/>
    <w:rsid w:val="004F70E9"/>
    <w:rsid w:val="00500A0A"/>
    <w:rsid w:val="00504CDB"/>
    <w:rsid w:val="00505779"/>
    <w:rsid w:val="005110AA"/>
    <w:rsid w:val="00511F47"/>
    <w:rsid w:val="005149FD"/>
    <w:rsid w:val="00514D01"/>
    <w:rsid w:val="005203A9"/>
    <w:rsid w:val="00550C44"/>
    <w:rsid w:val="00553F20"/>
    <w:rsid w:val="00563304"/>
    <w:rsid w:val="00575A1E"/>
    <w:rsid w:val="00576DAB"/>
    <w:rsid w:val="005776F0"/>
    <w:rsid w:val="0057771E"/>
    <w:rsid w:val="00580D2C"/>
    <w:rsid w:val="00583FEC"/>
    <w:rsid w:val="00585494"/>
    <w:rsid w:val="0059084B"/>
    <w:rsid w:val="005A0E2B"/>
    <w:rsid w:val="005A2ABA"/>
    <w:rsid w:val="005A49E2"/>
    <w:rsid w:val="005A74F0"/>
    <w:rsid w:val="005B2CAE"/>
    <w:rsid w:val="005B4348"/>
    <w:rsid w:val="005C1624"/>
    <w:rsid w:val="005D0C99"/>
    <w:rsid w:val="005D0EE7"/>
    <w:rsid w:val="005E3D7C"/>
    <w:rsid w:val="005E4044"/>
    <w:rsid w:val="005E5D60"/>
    <w:rsid w:val="005E6C69"/>
    <w:rsid w:val="005F2659"/>
    <w:rsid w:val="00603A44"/>
    <w:rsid w:val="006128B4"/>
    <w:rsid w:val="0061775F"/>
    <w:rsid w:val="00624425"/>
    <w:rsid w:val="00627967"/>
    <w:rsid w:val="00634C12"/>
    <w:rsid w:val="00634CCF"/>
    <w:rsid w:val="006374C2"/>
    <w:rsid w:val="00646A9E"/>
    <w:rsid w:val="00650608"/>
    <w:rsid w:val="0065757B"/>
    <w:rsid w:val="0066261B"/>
    <w:rsid w:val="00674349"/>
    <w:rsid w:val="0068098F"/>
    <w:rsid w:val="006904AF"/>
    <w:rsid w:val="00694105"/>
    <w:rsid w:val="00694F66"/>
    <w:rsid w:val="00696CBC"/>
    <w:rsid w:val="006A3F9D"/>
    <w:rsid w:val="006A5B49"/>
    <w:rsid w:val="006B61B0"/>
    <w:rsid w:val="006D0BAD"/>
    <w:rsid w:val="006D253E"/>
    <w:rsid w:val="006D2D27"/>
    <w:rsid w:val="006D4188"/>
    <w:rsid w:val="006D6872"/>
    <w:rsid w:val="006E08BD"/>
    <w:rsid w:val="006E482C"/>
    <w:rsid w:val="006F0329"/>
    <w:rsid w:val="006F0743"/>
    <w:rsid w:val="006F2846"/>
    <w:rsid w:val="00704BEE"/>
    <w:rsid w:val="007063A1"/>
    <w:rsid w:val="00712E58"/>
    <w:rsid w:val="00714327"/>
    <w:rsid w:val="00715E72"/>
    <w:rsid w:val="00721DAD"/>
    <w:rsid w:val="00722A74"/>
    <w:rsid w:val="00725D73"/>
    <w:rsid w:val="007444EF"/>
    <w:rsid w:val="00750FA6"/>
    <w:rsid w:val="007546A4"/>
    <w:rsid w:val="00755F55"/>
    <w:rsid w:val="007577A4"/>
    <w:rsid w:val="0076600F"/>
    <w:rsid w:val="007728AB"/>
    <w:rsid w:val="00772D5B"/>
    <w:rsid w:val="00776701"/>
    <w:rsid w:val="00782C21"/>
    <w:rsid w:val="00782E00"/>
    <w:rsid w:val="00784586"/>
    <w:rsid w:val="0078517E"/>
    <w:rsid w:val="00785B3B"/>
    <w:rsid w:val="0079268B"/>
    <w:rsid w:val="00792796"/>
    <w:rsid w:val="00792D59"/>
    <w:rsid w:val="0079387E"/>
    <w:rsid w:val="00794961"/>
    <w:rsid w:val="007A59D2"/>
    <w:rsid w:val="007A5C47"/>
    <w:rsid w:val="007B3F23"/>
    <w:rsid w:val="007C0B46"/>
    <w:rsid w:val="007D1276"/>
    <w:rsid w:val="007D3C65"/>
    <w:rsid w:val="007D7920"/>
    <w:rsid w:val="007E09CC"/>
    <w:rsid w:val="007E6779"/>
    <w:rsid w:val="007F797C"/>
    <w:rsid w:val="00801469"/>
    <w:rsid w:val="00802860"/>
    <w:rsid w:val="00803D07"/>
    <w:rsid w:val="00803ED6"/>
    <w:rsid w:val="00807AFD"/>
    <w:rsid w:val="0081304B"/>
    <w:rsid w:val="00816105"/>
    <w:rsid w:val="00816814"/>
    <w:rsid w:val="00821396"/>
    <w:rsid w:val="00822349"/>
    <w:rsid w:val="00824444"/>
    <w:rsid w:val="00825B4E"/>
    <w:rsid w:val="00827676"/>
    <w:rsid w:val="00827E1A"/>
    <w:rsid w:val="00841DC8"/>
    <w:rsid w:val="00841F85"/>
    <w:rsid w:val="00851C54"/>
    <w:rsid w:val="008528E6"/>
    <w:rsid w:val="008529D2"/>
    <w:rsid w:val="00855E35"/>
    <w:rsid w:val="00863348"/>
    <w:rsid w:val="008657A8"/>
    <w:rsid w:val="00867AC1"/>
    <w:rsid w:val="00871661"/>
    <w:rsid w:val="00881164"/>
    <w:rsid w:val="00885AED"/>
    <w:rsid w:val="00895D92"/>
    <w:rsid w:val="00896C92"/>
    <w:rsid w:val="00897E05"/>
    <w:rsid w:val="008A4607"/>
    <w:rsid w:val="008A5CE2"/>
    <w:rsid w:val="008A7D44"/>
    <w:rsid w:val="008B2E19"/>
    <w:rsid w:val="008B33CC"/>
    <w:rsid w:val="008B3CC8"/>
    <w:rsid w:val="008B5EE4"/>
    <w:rsid w:val="008B68B6"/>
    <w:rsid w:val="008D3152"/>
    <w:rsid w:val="008E68B5"/>
    <w:rsid w:val="008F3564"/>
    <w:rsid w:val="008F5302"/>
    <w:rsid w:val="008F5336"/>
    <w:rsid w:val="008F5DDB"/>
    <w:rsid w:val="009046BF"/>
    <w:rsid w:val="00904F36"/>
    <w:rsid w:val="0090510B"/>
    <w:rsid w:val="009060A5"/>
    <w:rsid w:val="0091469B"/>
    <w:rsid w:val="00915F1C"/>
    <w:rsid w:val="0091770C"/>
    <w:rsid w:val="00917852"/>
    <w:rsid w:val="00922D6A"/>
    <w:rsid w:val="00926E05"/>
    <w:rsid w:val="0093160E"/>
    <w:rsid w:val="00943389"/>
    <w:rsid w:val="0095218F"/>
    <w:rsid w:val="00952313"/>
    <w:rsid w:val="009636F6"/>
    <w:rsid w:val="009662BD"/>
    <w:rsid w:val="009718E5"/>
    <w:rsid w:val="00973B25"/>
    <w:rsid w:val="00983C35"/>
    <w:rsid w:val="00990CAA"/>
    <w:rsid w:val="00992FD6"/>
    <w:rsid w:val="00994910"/>
    <w:rsid w:val="0099522F"/>
    <w:rsid w:val="009A34F0"/>
    <w:rsid w:val="009B2412"/>
    <w:rsid w:val="009B6725"/>
    <w:rsid w:val="009D20FA"/>
    <w:rsid w:val="009D2408"/>
    <w:rsid w:val="009D62C5"/>
    <w:rsid w:val="009D75DB"/>
    <w:rsid w:val="009E3415"/>
    <w:rsid w:val="009F1770"/>
    <w:rsid w:val="009F309E"/>
    <w:rsid w:val="00A2042C"/>
    <w:rsid w:val="00A24ECF"/>
    <w:rsid w:val="00A2757A"/>
    <w:rsid w:val="00A46345"/>
    <w:rsid w:val="00A50DF8"/>
    <w:rsid w:val="00A52DFE"/>
    <w:rsid w:val="00A67D8F"/>
    <w:rsid w:val="00A8152C"/>
    <w:rsid w:val="00A82881"/>
    <w:rsid w:val="00A90FE1"/>
    <w:rsid w:val="00AA2EC5"/>
    <w:rsid w:val="00AA7C9D"/>
    <w:rsid w:val="00AB192B"/>
    <w:rsid w:val="00AB4C73"/>
    <w:rsid w:val="00AB718F"/>
    <w:rsid w:val="00AD1F49"/>
    <w:rsid w:val="00AD29EA"/>
    <w:rsid w:val="00AD3543"/>
    <w:rsid w:val="00AD4007"/>
    <w:rsid w:val="00AE4C6C"/>
    <w:rsid w:val="00AE6F47"/>
    <w:rsid w:val="00AE736B"/>
    <w:rsid w:val="00AF47BD"/>
    <w:rsid w:val="00AF4CBD"/>
    <w:rsid w:val="00B13713"/>
    <w:rsid w:val="00B304E4"/>
    <w:rsid w:val="00B341C7"/>
    <w:rsid w:val="00B42DD5"/>
    <w:rsid w:val="00B57954"/>
    <w:rsid w:val="00B636E9"/>
    <w:rsid w:val="00B741A0"/>
    <w:rsid w:val="00B769F4"/>
    <w:rsid w:val="00B80AAF"/>
    <w:rsid w:val="00B84C46"/>
    <w:rsid w:val="00B93E13"/>
    <w:rsid w:val="00BA48E5"/>
    <w:rsid w:val="00BB6835"/>
    <w:rsid w:val="00BC30C4"/>
    <w:rsid w:val="00BC46D3"/>
    <w:rsid w:val="00BC6504"/>
    <w:rsid w:val="00BC6B21"/>
    <w:rsid w:val="00BD2945"/>
    <w:rsid w:val="00BD2F8E"/>
    <w:rsid w:val="00BD3518"/>
    <w:rsid w:val="00BE22A3"/>
    <w:rsid w:val="00BE4F94"/>
    <w:rsid w:val="00BE76CD"/>
    <w:rsid w:val="00BF2A91"/>
    <w:rsid w:val="00C00304"/>
    <w:rsid w:val="00C00909"/>
    <w:rsid w:val="00C00E6A"/>
    <w:rsid w:val="00C02BCE"/>
    <w:rsid w:val="00C04FC0"/>
    <w:rsid w:val="00C07916"/>
    <w:rsid w:val="00C15A64"/>
    <w:rsid w:val="00C17A33"/>
    <w:rsid w:val="00C21503"/>
    <w:rsid w:val="00C245DF"/>
    <w:rsid w:val="00C27405"/>
    <w:rsid w:val="00C34439"/>
    <w:rsid w:val="00C37C0A"/>
    <w:rsid w:val="00C43F71"/>
    <w:rsid w:val="00C50A6D"/>
    <w:rsid w:val="00C51699"/>
    <w:rsid w:val="00C578BF"/>
    <w:rsid w:val="00C665A0"/>
    <w:rsid w:val="00C70C91"/>
    <w:rsid w:val="00C74985"/>
    <w:rsid w:val="00C76886"/>
    <w:rsid w:val="00C82E05"/>
    <w:rsid w:val="00C876FF"/>
    <w:rsid w:val="00C87E57"/>
    <w:rsid w:val="00C9184C"/>
    <w:rsid w:val="00C95B11"/>
    <w:rsid w:val="00CA0E95"/>
    <w:rsid w:val="00CA378F"/>
    <w:rsid w:val="00CC3764"/>
    <w:rsid w:val="00CC39F3"/>
    <w:rsid w:val="00CC4D5C"/>
    <w:rsid w:val="00CC755F"/>
    <w:rsid w:val="00CD01EA"/>
    <w:rsid w:val="00CE5D7E"/>
    <w:rsid w:val="00D022D3"/>
    <w:rsid w:val="00D120F1"/>
    <w:rsid w:val="00D24CB4"/>
    <w:rsid w:val="00D26FB6"/>
    <w:rsid w:val="00D340C5"/>
    <w:rsid w:val="00D41C1E"/>
    <w:rsid w:val="00D42913"/>
    <w:rsid w:val="00D477EF"/>
    <w:rsid w:val="00D55420"/>
    <w:rsid w:val="00D63697"/>
    <w:rsid w:val="00D63810"/>
    <w:rsid w:val="00D6780F"/>
    <w:rsid w:val="00D80086"/>
    <w:rsid w:val="00D83B3C"/>
    <w:rsid w:val="00D874D7"/>
    <w:rsid w:val="00D877C3"/>
    <w:rsid w:val="00D87A65"/>
    <w:rsid w:val="00D93A14"/>
    <w:rsid w:val="00DA1FCA"/>
    <w:rsid w:val="00DA6894"/>
    <w:rsid w:val="00DC3C91"/>
    <w:rsid w:val="00DD5C37"/>
    <w:rsid w:val="00DE05D0"/>
    <w:rsid w:val="00DE086E"/>
    <w:rsid w:val="00DE151D"/>
    <w:rsid w:val="00DE32D2"/>
    <w:rsid w:val="00DE4405"/>
    <w:rsid w:val="00DE71A4"/>
    <w:rsid w:val="00E03031"/>
    <w:rsid w:val="00E1157D"/>
    <w:rsid w:val="00E15BA2"/>
    <w:rsid w:val="00E17FB6"/>
    <w:rsid w:val="00E40492"/>
    <w:rsid w:val="00E43018"/>
    <w:rsid w:val="00E44475"/>
    <w:rsid w:val="00E461FC"/>
    <w:rsid w:val="00E60357"/>
    <w:rsid w:val="00E72E1E"/>
    <w:rsid w:val="00E86653"/>
    <w:rsid w:val="00E86748"/>
    <w:rsid w:val="00E930CC"/>
    <w:rsid w:val="00E936A9"/>
    <w:rsid w:val="00EA0E65"/>
    <w:rsid w:val="00EA4C7E"/>
    <w:rsid w:val="00EA7770"/>
    <w:rsid w:val="00EC1CBA"/>
    <w:rsid w:val="00EC1D95"/>
    <w:rsid w:val="00EC5B6D"/>
    <w:rsid w:val="00EC67E9"/>
    <w:rsid w:val="00EF6800"/>
    <w:rsid w:val="00F12610"/>
    <w:rsid w:val="00F13882"/>
    <w:rsid w:val="00F13B94"/>
    <w:rsid w:val="00F145BF"/>
    <w:rsid w:val="00F14B83"/>
    <w:rsid w:val="00F16554"/>
    <w:rsid w:val="00F212D2"/>
    <w:rsid w:val="00F22BD1"/>
    <w:rsid w:val="00F272B3"/>
    <w:rsid w:val="00F40FF4"/>
    <w:rsid w:val="00F42F0B"/>
    <w:rsid w:val="00F478C0"/>
    <w:rsid w:val="00F544E1"/>
    <w:rsid w:val="00F54FED"/>
    <w:rsid w:val="00F5619A"/>
    <w:rsid w:val="00F61190"/>
    <w:rsid w:val="00F6248B"/>
    <w:rsid w:val="00F65C95"/>
    <w:rsid w:val="00F75F7F"/>
    <w:rsid w:val="00F8182F"/>
    <w:rsid w:val="00F818E2"/>
    <w:rsid w:val="00F83696"/>
    <w:rsid w:val="00F8670D"/>
    <w:rsid w:val="00F9069D"/>
    <w:rsid w:val="00F9074F"/>
    <w:rsid w:val="00F90786"/>
    <w:rsid w:val="00F96876"/>
    <w:rsid w:val="00FB07FB"/>
    <w:rsid w:val="00FB348E"/>
    <w:rsid w:val="00FB43E8"/>
    <w:rsid w:val="00FC33A9"/>
    <w:rsid w:val="00FC4874"/>
    <w:rsid w:val="00FD20B1"/>
    <w:rsid w:val="00FD26DC"/>
    <w:rsid w:val="00FD5C10"/>
    <w:rsid w:val="00FD5FE8"/>
    <w:rsid w:val="00FE1A04"/>
    <w:rsid w:val="00FE1CA3"/>
    <w:rsid w:val="00FE22F5"/>
    <w:rsid w:val="00FE510F"/>
    <w:rsid w:val="00FE5B3A"/>
    <w:rsid w:val="00FF3606"/>
    <w:rsid w:val="00FF7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F54FED"/>
    <w:pPr>
      <w:numPr>
        <w:numId w:val="29"/>
      </w:numPr>
      <w:tabs>
        <w:tab w:val="clear" w:pos="1440"/>
        <w:tab w:val="left" w:pos="0"/>
      </w:tabs>
      <w:spacing w:after="0"/>
      <w:ind w:left="0" w:firstLine="1440"/>
    </w:pPr>
  </w:style>
  <w:style w:type="paragraph" w:styleId="FootnoteText">
    <w:name w:val="footnote text"/>
    <w:aliases w:val="Car"/>
    <w:link w:val="FootnoteTextChar"/>
    <w:uiPriority w:val="99"/>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uiPriority w:val="99"/>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7728AB"/>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7728AB"/>
    <w:rPr>
      <w:rFonts w:ascii="Times New Roman" w:hAnsi="Times New Roman" w:cs="Times New Roman"/>
      <w:sz w:val="24"/>
      <w:szCs w:val="20"/>
    </w:rPr>
  </w:style>
  <w:style w:type="paragraph" w:styleId="Footer">
    <w:name w:val="footer"/>
    <w:basedOn w:val="Normal"/>
    <w:link w:val="FooterChar"/>
    <w:uiPriority w:val="99"/>
    <w:unhideWhenUsed/>
    <w:rsid w:val="007728AB"/>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7728AB"/>
    <w:rPr>
      <w:rFonts w:ascii="Times New Roman" w:hAnsi="Times New Roman" w:cs="Times New Roman"/>
      <w:sz w:val="24"/>
      <w:szCs w:val="20"/>
    </w:rPr>
  </w:style>
  <w:style w:type="character" w:styleId="FootnoteReference">
    <w:name w:val="footnote reference"/>
    <w:basedOn w:val="DefaultParagraphFont"/>
    <w:unhideWhenUsed/>
    <w:rsid w:val="00D26FB6"/>
    <w:rPr>
      <w:vertAlign w:val="superscript"/>
    </w:rPr>
  </w:style>
  <w:style w:type="paragraph" w:styleId="BalloonText">
    <w:name w:val="Balloon Text"/>
    <w:basedOn w:val="Normal"/>
    <w:link w:val="BalloonTextChar"/>
    <w:uiPriority w:val="99"/>
    <w:semiHidden/>
    <w:unhideWhenUsed/>
    <w:rsid w:val="00C918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84C"/>
    <w:rPr>
      <w:rFonts w:ascii="Tahoma" w:hAnsi="Tahoma" w:cs="Tahoma"/>
      <w:sz w:val="16"/>
      <w:szCs w:val="16"/>
    </w:rPr>
  </w:style>
  <w:style w:type="character" w:styleId="Hyperlink">
    <w:name w:val="Hyperlink"/>
    <w:basedOn w:val="DefaultParagraphFont"/>
    <w:uiPriority w:val="99"/>
    <w:semiHidden/>
    <w:unhideWhenUsed/>
    <w:rsid w:val="00EA0E65"/>
    <w:rPr>
      <w:strike w:val="0"/>
      <w:dstrike w:val="0"/>
      <w:color w:val="145DA4"/>
      <w:u w:val="none"/>
      <w:effect w:val="none"/>
    </w:rPr>
  </w:style>
  <w:style w:type="character" w:customStyle="1" w:styleId="cosearchterm3">
    <w:name w:val="co_searchterm3"/>
    <w:basedOn w:val="DefaultParagraphFont"/>
    <w:rsid w:val="00EA0E65"/>
    <w:rPr>
      <w:b/>
      <w:bCs/>
      <w:color w:val="252525"/>
    </w:rPr>
  </w:style>
  <w:style w:type="character" w:customStyle="1" w:styleId="lbldata1">
    <w:name w:val="lbldata1"/>
    <w:basedOn w:val="DefaultParagraphFont"/>
    <w:rsid w:val="00F42F0B"/>
    <w:rPr>
      <w:b/>
      <w:bCs/>
      <w:caps/>
      <w:color w:val="808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E58"/>
    <w:pPr>
      <w:tabs>
        <w:tab w:val="left" w:pos="1440"/>
      </w:tabs>
      <w:spacing w:after="120" w:line="360" w:lineRule="auto"/>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F54FED"/>
    <w:pPr>
      <w:numPr>
        <w:numId w:val="29"/>
      </w:numPr>
      <w:tabs>
        <w:tab w:val="clear" w:pos="1440"/>
        <w:tab w:val="left" w:pos="0"/>
      </w:tabs>
      <w:spacing w:after="0"/>
      <w:ind w:left="0" w:firstLine="1440"/>
    </w:pPr>
  </w:style>
  <w:style w:type="paragraph" w:styleId="FootnoteText">
    <w:name w:val="footnote text"/>
    <w:aliases w:val="Car"/>
    <w:link w:val="FootnoteTextChar"/>
    <w:uiPriority w:val="99"/>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uiPriority w:val="99"/>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7728AB"/>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7728AB"/>
    <w:rPr>
      <w:rFonts w:ascii="Times New Roman" w:hAnsi="Times New Roman" w:cs="Times New Roman"/>
      <w:sz w:val="24"/>
      <w:szCs w:val="20"/>
    </w:rPr>
  </w:style>
  <w:style w:type="paragraph" w:styleId="Footer">
    <w:name w:val="footer"/>
    <w:basedOn w:val="Normal"/>
    <w:link w:val="FooterChar"/>
    <w:uiPriority w:val="99"/>
    <w:unhideWhenUsed/>
    <w:rsid w:val="007728AB"/>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7728AB"/>
    <w:rPr>
      <w:rFonts w:ascii="Times New Roman" w:hAnsi="Times New Roman" w:cs="Times New Roman"/>
      <w:sz w:val="24"/>
      <w:szCs w:val="20"/>
    </w:rPr>
  </w:style>
  <w:style w:type="character" w:styleId="FootnoteReference">
    <w:name w:val="footnote reference"/>
    <w:basedOn w:val="DefaultParagraphFont"/>
    <w:unhideWhenUsed/>
    <w:rsid w:val="00D26FB6"/>
    <w:rPr>
      <w:vertAlign w:val="superscript"/>
    </w:rPr>
  </w:style>
  <w:style w:type="paragraph" w:styleId="BalloonText">
    <w:name w:val="Balloon Text"/>
    <w:basedOn w:val="Normal"/>
    <w:link w:val="BalloonTextChar"/>
    <w:uiPriority w:val="99"/>
    <w:semiHidden/>
    <w:unhideWhenUsed/>
    <w:rsid w:val="00C918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84C"/>
    <w:rPr>
      <w:rFonts w:ascii="Tahoma" w:hAnsi="Tahoma" w:cs="Tahoma"/>
      <w:sz w:val="16"/>
      <w:szCs w:val="16"/>
    </w:rPr>
  </w:style>
  <w:style w:type="character" w:styleId="Hyperlink">
    <w:name w:val="Hyperlink"/>
    <w:basedOn w:val="DefaultParagraphFont"/>
    <w:uiPriority w:val="99"/>
    <w:semiHidden/>
    <w:unhideWhenUsed/>
    <w:rsid w:val="00EA0E65"/>
    <w:rPr>
      <w:strike w:val="0"/>
      <w:dstrike w:val="0"/>
      <w:color w:val="145DA4"/>
      <w:u w:val="none"/>
      <w:effect w:val="none"/>
    </w:rPr>
  </w:style>
  <w:style w:type="character" w:customStyle="1" w:styleId="cosearchterm3">
    <w:name w:val="co_searchterm3"/>
    <w:basedOn w:val="DefaultParagraphFont"/>
    <w:rsid w:val="00EA0E65"/>
    <w:rPr>
      <w:b/>
      <w:bCs/>
      <w:color w:val="252525"/>
    </w:rPr>
  </w:style>
  <w:style w:type="character" w:customStyle="1" w:styleId="lbldata1">
    <w:name w:val="lbldata1"/>
    <w:basedOn w:val="DefaultParagraphFont"/>
    <w:rsid w:val="00F42F0B"/>
    <w:rPr>
      <w:b/>
      <w:bCs/>
      <w:caps/>
      <w:color w:val="808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058663">
      <w:bodyDiv w:val="1"/>
      <w:marLeft w:val="0"/>
      <w:marRight w:val="0"/>
      <w:marTop w:val="0"/>
      <w:marBottom w:val="0"/>
      <w:divBdr>
        <w:top w:val="none" w:sz="0" w:space="0" w:color="auto"/>
        <w:left w:val="none" w:sz="0" w:space="0" w:color="auto"/>
        <w:bottom w:val="none" w:sz="0" w:space="0" w:color="auto"/>
        <w:right w:val="none" w:sz="0" w:space="0" w:color="auto"/>
      </w:divBdr>
      <w:divsChild>
        <w:div w:id="1363093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031D0-C675-4F4D-ACAF-6DAB1CDDD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21</Pages>
  <Words>5025</Words>
  <Characters>28644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33602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Blanton, Leah</cp:lastModifiedBy>
  <cp:revision>83</cp:revision>
  <cp:lastPrinted>2016-06-28T19:50:00Z</cp:lastPrinted>
  <dcterms:created xsi:type="dcterms:W3CDTF">2016-05-12T18:37:00Z</dcterms:created>
  <dcterms:modified xsi:type="dcterms:W3CDTF">2016-06-28T19:52:00Z</dcterms:modified>
</cp:coreProperties>
</file>