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B8E" w:rsidRDefault="005B2B8E" w:rsidP="00170539">
      <w:pPr>
        <w:pStyle w:val="Title"/>
        <w:tabs>
          <w:tab w:val="clear" w:pos="360"/>
          <w:tab w:val="left" w:pos="0"/>
        </w:tabs>
      </w:pPr>
      <w:r>
        <w:t>BEFORE THE</w:t>
      </w:r>
    </w:p>
    <w:p w:rsidR="005B2B8E" w:rsidRDefault="005B2B8E" w:rsidP="00170539">
      <w:pPr>
        <w:tabs>
          <w:tab w:val="left" w:pos="0"/>
        </w:tabs>
        <w:spacing w:after="0" w:line="233" w:lineRule="auto"/>
        <w:jc w:val="center"/>
        <w:rPr>
          <w:b/>
        </w:rPr>
      </w:pPr>
      <w:r>
        <w:rPr>
          <w:b/>
        </w:rPr>
        <w:t>PENNSYLVANIA PUBLIC UTILITY COMMISSION</w:t>
      </w:r>
    </w:p>
    <w:p w:rsidR="004A37DD" w:rsidRDefault="004A37DD" w:rsidP="00170539">
      <w:pPr>
        <w:tabs>
          <w:tab w:val="left" w:pos="0"/>
        </w:tabs>
        <w:spacing w:after="0" w:line="240" w:lineRule="auto"/>
        <w:jc w:val="center"/>
        <w:rPr>
          <w:b/>
        </w:rPr>
      </w:pPr>
    </w:p>
    <w:p w:rsidR="005B2B8E" w:rsidRDefault="005B2B8E" w:rsidP="00170539">
      <w:pPr>
        <w:tabs>
          <w:tab w:val="left" w:pos="0"/>
        </w:tabs>
        <w:spacing w:after="0" w:line="240" w:lineRule="auto"/>
        <w:jc w:val="both"/>
        <w:rPr>
          <w:b/>
        </w:rPr>
      </w:pPr>
    </w:p>
    <w:p w:rsidR="0046390D" w:rsidRDefault="0046390D" w:rsidP="00170539">
      <w:pPr>
        <w:tabs>
          <w:tab w:val="left" w:pos="0"/>
        </w:tabs>
        <w:spacing w:after="0" w:line="240" w:lineRule="auto"/>
        <w:jc w:val="both"/>
        <w:rPr>
          <w:b/>
        </w:rPr>
      </w:pPr>
    </w:p>
    <w:p w:rsidR="005B2B8E" w:rsidRDefault="005B2B8E" w:rsidP="00170539">
      <w:pPr>
        <w:tabs>
          <w:tab w:val="left" w:pos="0"/>
        </w:tabs>
        <w:spacing w:after="0" w:line="240" w:lineRule="auto"/>
        <w:jc w:val="both"/>
        <w:rPr>
          <w:b/>
        </w:rPr>
      </w:pPr>
      <w:r>
        <w:t xml:space="preserve">Deree J. Norman </w:t>
      </w:r>
      <w:r>
        <w:tab/>
      </w:r>
      <w:r>
        <w:tab/>
      </w:r>
      <w:r>
        <w:tab/>
      </w:r>
      <w:r>
        <w:tab/>
      </w:r>
      <w:r>
        <w:tab/>
      </w:r>
      <w:r w:rsidRPr="00560DC5">
        <w:t>:</w:t>
      </w:r>
    </w:p>
    <w:p w:rsidR="005B2B8E" w:rsidRPr="00560DC5" w:rsidRDefault="005B2B8E" w:rsidP="00170539">
      <w:pPr>
        <w:tabs>
          <w:tab w:val="left" w:pos="0"/>
        </w:tabs>
        <w:spacing w:after="0" w:line="240" w:lineRule="auto"/>
        <w:jc w:val="both"/>
      </w:pPr>
      <w:r>
        <w:rPr>
          <w:b/>
        </w:rPr>
        <w:tab/>
      </w:r>
      <w:r>
        <w:rPr>
          <w:b/>
        </w:rPr>
        <w:tab/>
      </w:r>
      <w:r>
        <w:rPr>
          <w:b/>
        </w:rPr>
        <w:tab/>
      </w:r>
      <w:r>
        <w:rPr>
          <w:b/>
        </w:rPr>
        <w:tab/>
      </w:r>
      <w:r>
        <w:rPr>
          <w:b/>
        </w:rPr>
        <w:tab/>
      </w:r>
      <w:r>
        <w:rPr>
          <w:b/>
        </w:rPr>
        <w:tab/>
      </w:r>
      <w:r w:rsidRPr="00560DC5">
        <w:t>:</w:t>
      </w:r>
    </w:p>
    <w:p w:rsidR="005B2B8E" w:rsidRPr="003B279A" w:rsidRDefault="005B2B8E" w:rsidP="00170539">
      <w:pPr>
        <w:tabs>
          <w:tab w:val="left" w:pos="0"/>
          <w:tab w:val="left" w:pos="720"/>
        </w:tabs>
        <w:spacing w:after="0" w:line="240" w:lineRule="auto"/>
        <w:jc w:val="both"/>
      </w:pPr>
      <w:r>
        <w:tab/>
        <w:t>v.</w:t>
      </w:r>
      <w:r>
        <w:tab/>
      </w:r>
      <w:r>
        <w:tab/>
      </w:r>
      <w:r>
        <w:tab/>
      </w:r>
      <w:r>
        <w:tab/>
      </w:r>
      <w:r>
        <w:tab/>
      </w:r>
      <w:r>
        <w:tab/>
      </w:r>
      <w:r w:rsidRPr="00560DC5">
        <w:t>:</w:t>
      </w:r>
      <w:r>
        <w:rPr>
          <w:b/>
        </w:rPr>
        <w:tab/>
      </w:r>
      <w:r>
        <w:rPr>
          <w:b/>
        </w:rPr>
        <w:tab/>
      </w:r>
      <w:r>
        <w:t>C</w:t>
      </w:r>
      <w:r w:rsidRPr="003B279A">
        <w:t>-20</w:t>
      </w:r>
      <w:r>
        <w:t>15</w:t>
      </w:r>
      <w:r w:rsidRPr="003B279A">
        <w:t>-</w:t>
      </w:r>
      <w:r>
        <w:t>2472605</w:t>
      </w:r>
    </w:p>
    <w:p w:rsidR="005B2B8E" w:rsidRPr="00560DC5" w:rsidRDefault="005B2B8E" w:rsidP="00170539">
      <w:pPr>
        <w:tabs>
          <w:tab w:val="left" w:pos="0"/>
        </w:tabs>
        <w:spacing w:after="0" w:line="240" w:lineRule="auto"/>
        <w:jc w:val="both"/>
      </w:pPr>
      <w:r>
        <w:tab/>
      </w:r>
      <w:r>
        <w:tab/>
      </w:r>
      <w:r>
        <w:tab/>
      </w:r>
      <w:r>
        <w:tab/>
      </w:r>
      <w:r>
        <w:tab/>
      </w:r>
      <w:r>
        <w:tab/>
      </w:r>
      <w:r w:rsidRPr="00560DC5">
        <w:t>:</w:t>
      </w:r>
    </w:p>
    <w:p w:rsidR="005B2B8E" w:rsidRDefault="004A37DD" w:rsidP="00170539">
      <w:pPr>
        <w:tabs>
          <w:tab w:val="left" w:pos="0"/>
        </w:tabs>
        <w:spacing w:after="0" w:line="240" w:lineRule="auto"/>
        <w:jc w:val="both"/>
      </w:pPr>
      <w:r>
        <w:t>PECO Energy Company</w:t>
      </w:r>
      <w:r w:rsidR="005B2B8E">
        <w:tab/>
      </w:r>
      <w:r w:rsidR="005B2B8E">
        <w:tab/>
      </w:r>
      <w:r w:rsidR="005B2B8E">
        <w:tab/>
      </w:r>
      <w:r>
        <w:tab/>
      </w:r>
      <w:r w:rsidR="005B2B8E" w:rsidRPr="00560DC5">
        <w:t>:</w:t>
      </w:r>
    </w:p>
    <w:p w:rsidR="005B2B8E" w:rsidRDefault="005B2B8E" w:rsidP="00170539">
      <w:pPr>
        <w:tabs>
          <w:tab w:val="left" w:pos="0"/>
        </w:tabs>
        <w:spacing w:after="0" w:line="240" w:lineRule="auto"/>
        <w:jc w:val="both"/>
      </w:pPr>
      <w:r>
        <w:tab/>
      </w:r>
      <w:r>
        <w:tab/>
      </w:r>
    </w:p>
    <w:p w:rsidR="00792796" w:rsidRDefault="00792796" w:rsidP="00170539">
      <w:pPr>
        <w:spacing w:after="0" w:line="240" w:lineRule="auto"/>
      </w:pPr>
    </w:p>
    <w:p w:rsidR="0046390D" w:rsidRDefault="0046390D" w:rsidP="00170539">
      <w:pPr>
        <w:spacing w:after="0" w:line="240" w:lineRule="auto"/>
      </w:pPr>
    </w:p>
    <w:p w:rsidR="0080307A" w:rsidRPr="00CA1F57" w:rsidRDefault="002979DD" w:rsidP="00170539">
      <w:pPr>
        <w:spacing w:after="0" w:line="240" w:lineRule="auto"/>
        <w:jc w:val="center"/>
        <w:rPr>
          <w:b/>
          <w:u w:val="single"/>
        </w:rPr>
      </w:pPr>
      <w:r w:rsidRPr="00CA1F57">
        <w:rPr>
          <w:b/>
          <w:u w:val="single"/>
        </w:rPr>
        <w:t>INITIAL DECISION</w:t>
      </w:r>
    </w:p>
    <w:p w:rsidR="0080307A" w:rsidRDefault="0080307A" w:rsidP="00170539">
      <w:pPr>
        <w:spacing w:after="0" w:line="240" w:lineRule="auto"/>
      </w:pPr>
    </w:p>
    <w:p w:rsidR="00CA1F57" w:rsidRDefault="00CA1F57" w:rsidP="00170539">
      <w:pPr>
        <w:spacing w:after="0" w:line="240" w:lineRule="auto"/>
      </w:pPr>
    </w:p>
    <w:p w:rsidR="002979DD" w:rsidRDefault="002979DD" w:rsidP="005E1B85">
      <w:pPr>
        <w:spacing w:after="0" w:line="240" w:lineRule="auto"/>
        <w:jc w:val="center"/>
      </w:pPr>
      <w:r>
        <w:t>Before</w:t>
      </w:r>
    </w:p>
    <w:p w:rsidR="002979DD" w:rsidRDefault="002979DD" w:rsidP="005E1B85">
      <w:pPr>
        <w:spacing w:after="0" w:line="240" w:lineRule="auto"/>
        <w:jc w:val="center"/>
      </w:pPr>
      <w:r>
        <w:t>Mary D. Long</w:t>
      </w:r>
    </w:p>
    <w:p w:rsidR="002979DD" w:rsidRDefault="002979DD" w:rsidP="005E1B85">
      <w:pPr>
        <w:spacing w:after="0" w:line="240" w:lineRule="auto"/>
        <w:jc w:val="center"/>
      </w:pPr>
      <w:r>
        <w:t>Administrative Law Judge</w:t>
      </w:r>
    </w:p>
    <w:p w:rsidR="002979DD" w:rsidRDefault="002979DD" w:rsidP="00170539">
      <w:pPr>
        <w:spacing w:after="0" w:line="240" w:lineRule="auto"/>
      </w:pPr>
    </w:p>
    <w:p w:rsidR="00CA1F57" w:rsidRDefault="00CA1F57" w:rsidP="00170539">
      <w:pPr>
        <w:spacing w:after="0" w:line="240" w:lineRule="auto"/>
      </w:pPr>
    </w:p>
    <w:p w:rsidR="002979DD" w:rsidRPr="002152A5" w:rsidRDefault="002979DD" w:rsidP="00082EBC">
      <w:pPr>
        <w:spacing w:after="0"/>
        <w:jc w:val="center"/>
        <w:rPr>
          <w:u w:val="single"/>
        </w:rPr>
      </w:pPr>
      <w:r w:rsidRPr="002152A5">
        <w:rPr>
          <w:u w:val="single"/>
        </w:rPr>
        <w:t>INTRODUCTION</w:t>
      </w:r>
    </w:p>
    <w:p w:rsidR="002979DD" w:rsidRDefault="002979DD" w:rsidP="00EB16E0">
      <w:pPr>
        <w:spacing w:after="0"/>
      </w:pPr>
    </w:p>
    <w:p w:rsidR="00EB16E0" w:rsidRDefault="00EB16E0" w:rsidP="00EB16E0">
      <w:r>
        <w:tab/>
        <w:t>A customer who filed a formal complaint against an electric utility claiming that his bills were too high failed to sustain his burden of proof.  The public utility also did not violate the Commission’s regulations by render</w:t>
      </w:r>
      <w:r w:rsidR="00E72BF4">
        <w:t>ing</w:t>
      </w:r>
      <w:r>
        <w:t xml:space="preserve"> its monthly bills at different intervals, when each bill month was between 26 and 35 days.</w:t>
      </w:r>
    </w:p>
    <w:p w:rsidR="002152A5" w:rsidRDefault="002152A5" w:rsidP="00170539">
      <w:pPr>
        <w:spacing w:after="0" w:line="240" w:lineRule="auto"/>
      </w:pPr>
    </w:p>
    <w:p w:rsidR="002979DD" w:rsidRPr="002979DD" w:rsidRDefault="002979DD" w:rsidP="00CA1F57">
      <w:pPr>
        <w:spacing w:after="0"/>
        <w:jc w:val="center"/>
        <w:rPr>
          <w:u w:val="single"/>
        </w:rPr>
      </w:pPr>
      <w:r w:rsidRPr="002979DD">
        <w:rPr>
          <w:u w:val="single"/>
        </w:rPr>
        <w:t>HISTORY OF THE PROCEEDINGS</w:t>
      </w:r>
    </w:p>
    <w:p w:rsidR="0046390D" w:rsidRDefault="0046390D" w:rsidP="003A62C5">
      <w:pPr>
        <w:spacing w:after="0"/>
      </w:pPr>
    </w:p>
    <w:p w:rsidR="0080307A" w:rsidRDefault="0080307A" w:rsidP="00170539">
      <w:pPr>
        <w:spacing w:after="0"/>
      </w:pPr>
      <w:r>
        <w:tab/>
        <w:t xml:space="preserve">On March 18, 2015, Deree J. Norman (Complainant) filed a formal complaint against PECO Energy Company (PECO), which alleges that his smart meter is not registering his usage correctly and that there are incorrect charges on his bill.  PECO filed an answer on April 6, 2015.  By hearing notice dated May 14, </w:t>
      </w:r>
      <w:proofErr w:type="gramStart"/>
      <w:r>
        <w:t>2015,</w:t>
      </w:r>
      <w:proofErr w:type="gramEnd"/>
      <w:r>
        <w:t xml:space="preserve"> this matter was assigned to me and scheduled for an evidentiary hearing on Monday, June 29, 2015.</w:t>
      </w:r>
    </w:p>
    <w:p w:rsidR="004D36BE" w:rsidRDefault="004D36BE" w:rsidP="00170539">
      <w:pPr>
        <w:spacing w:after="0"/>
      </w:pPr>
    </w:p>
    <w:p w:rsidR="007A3CDE" w:rsidRDefault="007A3CDE" w:rsidP="007A3CDE">
      <w:pPr>
        <w:spacing w:after="0"/>
      </w:pPr>
      <w:r>
        <w:tab/>
        <w:t xml:space="preserve">On May 22, 2015, PECO filed a motion for a continuance, stating that neither of its employees who could testify regarding the high bill investigation were available on that date.  </w:t>
      </w:r>
      <w:r>
        <w:lastRenderedPageBreak/>
        <w:t xml:space="preserve">One was unavailable due to a pre-planned vacation.  The other had been hospitalized and would not be ready to return by June 29, 2015.  On May 28, 2015, the Complainant filed a written response objecting to the continuance unless PECO presented “a legitimate business and or legal reason” to support the request.  He expressed concern that any continuance not </w:t>
      </w:r>
      <w:proofErr w:type="gramStart"/>
      <w:r>
        <w:t>be</w:t>
      </w:r>
      <w:proofErr w:type="gramEnd"/>
      <w:r>
        <w:t xml:space="preserve"> merely to delay the hearing of his dispute with PECO.  By order dated June 1, 2015, the continuance was granted because the unavailability of an important witness constituted “good cause” which merits a continuance of these proceedings in accordance with the Commission’s regulations.  </w:t>
      </w:r>
    </w:p>
    <w:p w:rsidR="003A62C5" w:rsidRDefault="003A62C5" w:rsidP="007A3CDE">
      <w:pPr>
        <w:spacing w:after="0"/>
      </w:pPr>
    </w:p>
    <w:p w:rsidR="004D36BE" w:rsidRDefault="007A3CDE" w:rsidP="007A3CDE">
      <w:pPr>
        <w:spacing w:after="0"/>
      </w:pPr>
      <w:r>
        <w:tab/>
        <w:t xml:space="preserve">On June 11, 2015, the Complainant filed a motion for sanctions based on alleged violations of 18 Pa.C.S. § 4904.  The basis of his motion is that PECO’s counsel “intentionally presented fraudulent statements to this Commission in its Motion for a Continuance.”  By order dated June 19, 2015, the motion for sanctions was denied.  The hearing was rescheduled for September 3, 2015.  </w:t>
      </w:r>
    </w:p>
    <w:p w:rsidR="003A62C5" w:rsidRDefault="003A62C5" w:rsidP="007A3CDE">
      <w:pPr>
        <w:spacing w:after="0"/>
      </w:pPr>
    </w:p>
    <w:p w:rsidR="005B2B8E" w:rsidRDefault="007A3CDE" w:rsidP="00170539">
      <w:pPr>
        <w:spacing w:after="0"/>
      </w:pPr>
      <w:r>
        <w:tab/>
        <w:t>By attachment to a letter dated August 24, 2015, the Complainant informed me that PECO had sent a 10-day shut off notice because the Complainant had not permitted access to his meter.</w:t>
      </w:r>
    </w:p>
    <w:p w:rsidR="003A62C5" w:rsidRDefault="003A62C5" w:rsidP="00170539">
      <w:pPr>
        <w:spacing w:after="0"/>
      </w:pPr>
    </w:p>
    <w:p w:rsidR="00B11CB1" w:rsidRDefault="00B11CB1" w:rsidP="00B11CB1">
      <w:pPr>
        <w:spacing w:after="0"/>
      </w:pPr>
      <w:r>
        <w:tab/>
        <w:t>The day before the</w:t>
      </w:r>
      <w:r w:rsidR="007A3CDE">
        <w:t xml:space="preserve"> September 3, 2015 </w:t>
      </w:r>
      <w:r>
        <w:t xml:space="preserve">hearing I received correspondence </w:t>
      </w:r>
      <w:r w:rsidR="007A3CDE">
        <w:t xml:space="preserve">by fax </w:t>
      </w:r>
      <w:r>
        <w:t>from the Complainant stating that he wished to work with PECO toward a possible resolution of the complaint and he requested that the September 3, 2015 hearing be continued.</w:t>
      </w:r>
    </w:p>
    <w:p w:rsidR="0008024B" w:rsidRDefault="0008024B" w:rsidP="00B11CB1">
      <w:pPr>
        <w:spacing w:after="0"/>
      </w:pPr>
    </w:p>
    <w:p w:rsidR="00256FA5" w:rsidRDefault="00B11CB1" w:rsidP="00B11CB1">
      <w:pPr>
        <w:spacing w:after="0"/>
      </w:pPr>
      <w:r>
        <w:tab/>
        <w:t>The hearing convened as scheduled.  The Complainant appeared and was self-represented.  PECO appeared and was represented by counsel, Shawane L. Lee.  The hearing was converted to a prehearing conference</w:t>
      </w:r>
      <w:r w:rsidR="00605769">
        <w:t>,</w:t>
      </w:r>
      <w:r>
        <w:t xml:space="preserve"> and the Complainant expressed a desire to hire an independent engineer to advise him.  Therefore, he requested that the hearing be continued.  PECO did not object. </w:t>
      </w:r>
      <w:r w:rsidR="007A3CDE">
        <w:t xml:space="preserve"> PECO also advised that the shut-off notice had been sent in error and was related to the replacement of the Complainant’s current meter with a smart meter.</w:t>
      </w:r>
      <w:r w:rsidR="0029524F">
        <w:rPr>
          <w:rStyle w:val="FootnoteReference"/>
        </w:rPr>
        <w:footnoteReference w:id="1"/>
      </w:r>
      <w:r w:rsidR="007A3CDE">
        <w:t xml:space="preserve">  </w:t>
      </w:r>
      <w:r>
        <w:t xml:space="preserve"> The Complainant’s request for a continuance was granted</w:t>
      </w:r>
      <w:r w:rsidR="00605769">
        <w:t>,</w:t>
      </w:r>
      <w:r>
        <w:t xml:space="preserve"> and the hearing was rescheduled for October 29, 2015.</w:t>
      </w:r>
    </w:p>
    <w:p w:rsidR="00694AF1" w:rsidRDefault="00B11CB1" w:rsidP="00B11CB1">
      <w:pPr>
        <w:spacing w:after="0"/>
      </w:pPr>
      <w:r>
        <w:lastRenderedPageBreak/>
        <w:tab/>
      </w:r>
      <w:r w:rsidR="001437CA">
        <w:t xml:space="preserve">On October 29, 2015, the </w:t>
      </w:r>
      <w:r>
        <w:t>Complainant appeared</w:t>
      </w:r>
      <w:r w:rsidR="001437CA">
        <w:t xml:space="preserve">, </w:t>
      </w:r>
      <w:r>
        <w:t>representing himself.  PECO appeared and was represented by Attorney Lee.  The Complainant notified me that he had filed a motion to compel answers to interrogatories on October 26, 2015, but had not provided a copy to me.  The Complainant and PECO were permitted to present oral argument on the motion.  However, without having the</w:t>
      </w:r>
      <w:r w:rsidR="004946D1">
        <w:t xml:space="preserve"> motion to review, I could not offer a ruling at the hearing.  The Complainant was directed to provide me with a copy of his motion, which he did on October 30, 2015.  PECO was permitted an opportunity to respond to the motion in writing.  PECO’s response was received on November 2, 2015.</w:t>
      </w:r>
      <w:r w:rsidR="00694AF1">
        <w:t xml:space="preserve">  By interim order dated November 6, 2015, the motion was denied.  </w:t>
      </w:r>
    </w:p>
    <w:p w:rsidR="0098624F" w:rsidRDefault="0098624F" w:rsidP="00B11CB1">
      <w:pPr>
        <w:spacing w:after="0"/>
      </w:pPr>
    </w:p>
    <w:p w:rsidR="0098624F" w:rsidRDefault="0098624F" w:rsidP="00B11CB1">
      <w:pPr>
        <w:spacing w:after="0"/>
      </w:pPr>
      <w:r>
        <w:tab/>
        <w:t>At the October 29, 2015 hearing the Complainant testified on his own behalf.</w:t>
      </w:r>
      <w:r w:rsidR="00CD65EE">
        <w:t xml:space="preserve">  The Complainant also presented the testimony of Mary McQuilken, a PECO </w:t>
      </w:r>
      <w:r w:rsidR="00183470">
        <w:t xml:space="preserve">high bill field </w:t>
      </w:r>
      <w:r w:rsidR="00CD65EE">
        <w:t>technician</w:t>
      </w:r>
      <w:r w:rsidR="00605769">
        <w:t xml:space="preserve">, </w:t>
      </w:r>
      <w:r w:rsidR="00E35DC7">
        <w:t xml:space="preserve">and Thomas </w:t>
      </w:r>
      <w:proofErr w:type="spellStart"/>
      <w:r w:rsidR="00E35DC7">
        <w:t>Lerro</w:t>
      </w:r>
      <w:proofErr w:type="spellEnd"/>
      <w:r w:rsidR="00E35DC7">
        <w:t>, a field foreman for the high bill investigation group</w:t>
      </w:r>
      <w:r w:rsidR="00CD65EE">
        <w:t xml:space="preserve">. </w:t>
      </w:r>
      <w:r>
        <w:t xml:space="preserve"> Six exhibits were admitted into the record for the Complainant. </w:t>
      </w:r>
      <w:r w:rsidR="00293606">
        <w:t xml:space="preserve"> </w:t>
      </w:r>
      <w:r>
        <w:t xml:space="preserve">PECO presented the testimony of </w:t>
      </w:r>
      <w:r w:rsidR="000A2681">
        <w:t>one witness</w:t>
      </w:r>
      <w:r>
        <w:t xml:space="preserve">, </w:t>
      </w:r>
      <w:r w:rsidRPr="000A2681">
        <w:t>M</w:t>
      </w:r>
      <w:r w:rsidR="000A2681" w:rsidRPr="000A2681">
        <w:t>s.</w:t>
      </w:r>
      <w:r w:rsidR="00293606">
        <w:t> </w:t>
      </w:r>
      <w:proofErr w:type="spellStart"/>
      <w:r w:rsidRPr="000A2681">
        <w:t>McQuilken</w:t>
      </w:r>
      <w:proofErr w:type="spellEnd"/>
      <w:r w:rsidRPr="000A2681">
        <w:t>.  Five exhibits were admitted into the record on behalf of PECO.</w:t>
      </w:r>
    </w:p>
    <w:p w:rsidR="00694AF1" w:rsidRDefault="00694AF1" w:rsidP="00B11CB1">
      <w:pPr>
        <w:spacing w:after="0"/>
      </w:pPr>
    </w:p>
    <w:p w:rsidR="0098624F" w:rsidRDefault="00694AF1" w:rsidP="00694AF1">
      <w:pPr>
        <w:spacing w:after="0"/>
      </w:pPr>
      <w:r>
        <w:tab/>
        <w:t>A further day of hearing was scheduled for January 21, 2016.  The hearing convened as scheduled and both parties appeared</w:t>
      </w:r>
      <w:r w:rsidR="00C500F3">
        <w:t>.  PECO offered the additional testimony of Mr.</w:t>
      </w:r>
      <w:r w:rsidR="00293606">
        <w:t> </w:t>
      </w:r>
      <w:proofErr w:type="spellStart"/>
      <w:r w:rsidR="00C500F3">
        <w:t>Lerro</w:t>
      </w:r>
      <w:proofErr w:type="spellEnd"/>
      <w:r w:rsidR="00C500F3">
        <w:t xml:space="preserve"> and also testimony of Teresa Ferrier and Richard King.  PECO offered five additional exhibits which were admitted into the record.   </w:t>
      </w:r>
    </w:p>
    <w:p w:rsidR="001437CA" w:rsidRDefault="001437CA" w:rsidP="00694AF1">
      <w:pPr>
        <w:spacing w:after="0"/>
      </w:pPr>
    </w:p>
    <w:p w:rsidR="002979DD" w:rsidRDefault="00C500F3" w:rsidP="002979DD">
      <w:pPr>
        <w:spacing w:after="0"/>
      </w:pPr>
      <w:r>
        <w:tab/>
        <w:t xml:space="preserve">On January 14, 2016, </w:t>
      </w:r>
      <w:r w:rsidR="001437CA">
        <w:t xml:space="preserve">before the scheduled hearing, </w:t>
      </w:r>
      <w:r>
        <w:t xml:space="preserve">the Complainant filed a document entitled Motion for Judgment on the Pleadings.  </w:t>
      </w:r>
      <w:r w:rsidR="00694AF1">
        <w:t>At the conclusion of the hearing, I instructed the parties that the Complainant’s Motion for Judgment on the Pleadings would be considered a partial final brief</w:t>
      </w:r>
      <w:r w:rsidR="00292945">
        <w:t xml:space="preserve"> inasmuch as it included a discussion of the evidentiary record</w:t>
      </w:r>
      <w:r>
        <w:t xml:space="preserve"> and was therefore not an appropriate motion for judgement on the pleadings</w:t>
      </w:r>
      <w:r w:rsidR="00292945">
        <w:t>.</w:t>
      </w:r>
      <w:r w:rsidR="00576A6C">
        <w:t xml:space="preserve">  The Complainant was provided with an opportunity to file a supplemental brief </w:t>
      </w:r>
      <w:r w:rsidR="00773C8D">
        <w:t>and include</w:t>
      </w:r>
      <w:r w:rsidR="00576A6C">
        <w:t xml:space="preserve"> any additional argument based on the evidence in the record he may wish to present.</w:t>
      </w:r>
      <w:r w:rsidR="0043260C">
        <w:rPr>
          <w:rStyle w:val="FootnoteReference"/>
        </w:rPr>
        <w:footnoteReference w:id="2"/>
      </w:r>
      <w:r w:rsidR="00576A6C">
        <w:t xml:space="preserve">  PECO filed a responsive brief.  </w:t>
      </w:r>
      <w:r w:rsidR="00576A6C">
        <w:lastRenderedPageBreak/>
        <w:t>Following the receipt of the transcripts and briefs the record was closed by order dated April 5, 2016.</w:t>
      </w:r>
    </w:p>
    <w:p w:rsidR="003A62C5" w:rsidRDefault="003A62C5" w:rsidP="0005792E">
      <w:pPr>
        <w:spacing w:after="0"/>
        <w:jc w:val="center"/>
        <w:rPr>
          <w:u w:val="single"/>
        </w:rPr>
      </w:pPr>
    </w:p>
    <w:p w:rsidR="002979DD" w:rsidRDefault="002979DD" w:rsidP="0005792E">
      <w:pPr>
        <w:spacing w:after="0"/>
        <w:jc w:val="center"/>
        <w:rPr>
          <w:u w:val="single"/>
        </w:rPr>
      </w:pPr>
      <w:r w:rsidRPr="0005792E">
        <w:rPr>
          <w:u w:val="single"/>
        </w:rPr>
        <w:t>FINDINGS OF FACT</w:t>
      </w:r>
    </w:p>
    <w:p w:rsidR="00104E3E" w:rsidRPr="0005792E" w:rsidRDefault="00104E3E" w:rsidP="0005792E">
      <w:pPr>
        <w:spacing w:after="0"/>
        <w:jc w:val="center"/>
        <w:rPr>
          <w:u w:val="single"/>
        </w:rPr>
      </w:pPr>
    </w:p>
    <w:p w:rsidR="00061E9D" w:rsidRDefault="00F86694" w:rsidP="002E36E7">
      <w:pPr>
        <w:pStyle w:val="ListParagraph"/>
      </w:pPr>
      <w:r>
        <w:t xml:space="preserve"> </w:t>
      </w:r>
      <w:r w:rsidR="00BB5FBB">
        <w:t>The Complainant, Deree J. Norman, resides at 5367 Thomas Avenue, Philadelphia, Pennsylvania where he receives electricity service from PECO.  (N.T. 47)</w:t>
      </w:r>
    </w:p>
    <w:p w:rsidR="003A62C5" w:rsidRDefault="003A62C5" w:rsidP="00813FD7">
      <w:pPr>
        <w:spacing w:after="0"/>
        <w:ind w:left="1440"/>
      </w:pPr>
    </w:p>
    <w:p w:rsidR="00F86694" w:rsidRDefault="00F86694" w:rsidP="002E36E7">
      <w:pPr>
        <w:pStyle w:val="ListParagraph"/>
      </w:pPr>
      <w:r>
        <w:t xml:space="preserve"> </w:t>
      </w:r>
      <w:r w:rsidR="00BB5FBB">
        <w:t>PECO is a jurisdictional public utility.</w:t>
      </w:r>
    </w:p>
    <w:p w:rsidR="003A62C5" w:rsidRDefault="003A62C5" w:rsidP="00813FD7">
      <w:pPr>
        <w:spacing w:after="0"/>
        <w:ind w:left="1440"/>
      </w:pPr>
    </w:p>
    <w:p w:rsidR="00DB3098" w:rsidRDefault="00DB3098" w:rsidP="002E36E7">
      <w:pPr>
        <w:pStyle w:val="ListParagraph"/>
      </w:pPr>
      <w:r>
        <w:t>The Complainant has lived at the service address since 2004 or 2005 (N.T. 57)</w:t>
      </w:r>
    </w:p>
    <w:p w:rsidR="003A62C5" w:rsidRDefault="003A62C5" w:rsidP="00813FD7">
      <w:pPr>
        <w:spacing w:after="0"/>
        <w:ind w:left="1440"/>
      </w:pPr>
    </w:p>
    <w:p w:rsidR="00F86694" w:rsidRDefault="00F86694" w:rsidP="002E36E7">
      <w:pPr>
        <w:pStyle w:val="ListParagraph"/>
      </w:pPr>
      <w:r>
        <w:t xml:space="preserve"> </w:t>
      </w:r>
      <w:r w:rsidR="00DB3098">
        <w:t>The Complainant lives alone.  (N.T. 56)</w:t>
      </w:r>
    </w:p>
    <w:p w:rsidR="003A62C5" w:rsidRDefault="003A62C5" w:rsidP="00813FD7">
      <w:pPr>
        <w:spacing w:after="0"/>
        <w:ind w:left="1440"/>
      </w:pPr>
    </w:p>
    <w:p w:rsidR="00DB3098" w:rsidRDefault="00DB3098" w:rsidP="002E36E7">
      <w:pPr>
        <w:pStyle w:val="ListParagraph"/>
      </w:pPr>
      <w:r>
        <w:t>The Complainant’s home is a row</w:t>
      </w:r>
      <w:r w:rsidR="0026779D">
        <w:t xml:space="preserve"> home</w:t>
      </w:r>
      <w:r>
        <w:t>.  (N.T. 57-58)</w:t>
      </w:r>
    </w:p>
    <w:p w:rsidR="003A62C5" w:rsidRDefault="003A62C5" w:rsidP="00813FD7">
      <w:pPr>
        <w:spacing w:after="0"/>
        <w:ind w:left="1440"/>
      </w:pPr>
    </w:p>
    <w:p w:rsidR="00DB3098" w:rsidRDefault="00DB3098" w:rsidP="002E36E7">
      <w:pPr>
        <w:pStyle w:val="ListParagraph"/>
      </w:pPr>
      <w:r>
        <w:t>The Complainant’s electrical appliances include two televisions, one laptop, one vacuum cleaner, one toaster, one can opener, one George Foreman grill, one refrigerator/freezer, one range, one nebulizer, one C-Pap machine, one air purifier, one air conditioner, one steam mop, two DVD players, one lamp, seven light bulbs, a circular saw, two radios, one iron, one heating pad, one hair dryer, two sewing machines, one digital TV converter box, and some strands of Christmas lights.  (N.T. 58-59)</w:t>
      </w:r>
    </w:p>
    <w:p w:rsidR="003A62C5" w:rsidRDefault="003A62C5" w:rsidP="00813FD7">
      <w:pPr>
        <w:spacing w:after="0"/>
        <w:ind w:left="1440"/>
      </w:pPr>
    </w:p>
    <w:p w:rsidR="00CD65EE" w:rsidRDefault="00CD65EE" w:rsidP="002E36E7">
      <w:pPr>
        <w:pStyle w:val="ListParagraph"/>
      </w:pPr>
      <w:r>
        <w:t>The Complainant also has three ceiling fans with light fixtures.  (N.T. 79)</w:t>
      </w:r>
    </w:p>
    <w:p w:rsidR="003A62C5" w:rsidRDefault="003A62C5" w:rsidP="00813FD7">
      <w:pPr>
        <w:spacing w:after="0"/>
        <w:ind w:left="1440"/>
      </w:pPr>
    </w:p>
    <w:p w:rsidR="00DB3098" w:rsidRDefault="00DB3098" w:rsidP="002E36E7">
      <w:pPr>
        <w:pStyle w:val="ListParagraph"/>
      </w:pPr>
      <w:r>
        <w:t>The Complainant’s home was heated by gas, but in 2009 the gas was disconnected due to a gas leak</w:t>
      </w:r>
      <w:r w:rsidR="00A0272F">
        <w:t xml:space="preserve"> and has not been used since</w:t>
      </w:r>
      <w:r>
        <w:t>.  (N.T. 59)</w:t>
      </w:r>
    </w:p>
    <w:p w:rsidR="00B73D42" w:rsidRDefault="00B73D42" w:rsidP="00C76654">
      <w:pPr>
        <w:spacing w:after="0"/>
        <w:ind w:left="1440"/>
      </w:pPr>
    </w:p>
    <w:p w:rsidR="00E46224" w:rsidRDefault="00487A0F" w:rsidP="002E36E7">
      <w:pPr>
        <w:pStyle w:val="ListParagraph"/>
      </w:pPr>
      <w:r>
        <w:t>The meter at the service address is an AMR meter identified by meter number 107316622.  (N.</w:t>
      </w:r>
      <w:r w:rsidRPr="00E46224">
        <w:t>T. 147; Ex. C</w:t>
      </w:r>
      <w:r>
        <w:t>-14)</w:t>
      </w:r>
      <w:r w:rsidR="00E46224" w:rsidRPr="00E46224">
        <w:t xml:space="preserve"> </w:t>
      </w:r>
    </w:p>
    <w:p w:rsidR="00E46224" w:rsidRDefault="00E46224" w:rsidP="002E36E7">
      <w:pPr>
        <w:pStyle w:val="ListParagraph"/>
      </w:pPr>
      <w:r>
        <w:lastRenderedPageBreak/>
        <w:t xml:space="preserve">The meter installed at the service address is an AMR meter which does not have the ability to receive communication from PECO; it can only send information to PECO.  (N.T. 85; 213; 232-33) </w:t>
      </w:r>
    </w:p>
    <w:p w:rsidR="003A62C5" w:rsidRDefault="003A62C5" w:rsidP="00813FD7">
      <w:pPr>
        <w:spacing w:after="0"/>
        <w:ind w:left="1440"/>
      </w:pPr>
    </w:p>
    <w:p w:rsidR="00487A0F" w:rsidRDefault="00983CBF" w:rsidP="002E36E7">
      <w:pPr>
        <w:pStyle w:val="ListParagraph"/>
      </w:pPr>
      <w:r>
        <w:t>Readings from the Complainant’s AMR meter are transmitted to PECO daily.  (N.T. 201)</w:t>
      </w:r>
    </w:p>
    <w:p w:rsidR="003A62C5" w:rsidRDefault="003A62C5" w:rsidP="00813FD7">
      <w:pPr>
        <w:spacing w:after="0"/>
        <w:ind w:left="1440"/>
      </w:pPr>
    </w:p>
    <w:p w:rsidR="00FC34AF" w:rsidRDefault="00FC34AF" w:rsidP="002E36E7">
      <w:pPr>
        <w:pStyle w:val="ListParagraph"/>
      </w:pPr>
      <w:r>
        <w:t xml:space="preserve">The meter on the house communicates with the </w:t>
      </w:r>
      <w:r w:rsidR="00A16720">
        <w:t>“</w:t>
      </w:r>
      <w:r>
        <w:t>MCC</w:t>
      </w:r>
      <w:r w:rsidR="00A16720">
        <w:t>”</w:t>
      </w:r>
      <w:r>
        <w:t>, which is a device on a pole within a neighborhood of properties.  (N.T 203)</w:t>
      </w:r>
    </w:p>
    <w:p w:rsidR="003A62C5" w:rsidRDefault="003A62C5" w:rsidP="00813FD7">
      <w:pPr>
        <w:spacing w:after="0"/>
        <w:ind w:left="1440"/>
      </w:pPr>
    </w:p>
    <w:p w:rsidR="00FC34AF" w:rsidRDefault="00FC34AF" w:rsidP="002E36E7">
      <w:pPr>
        <w:pStyle w:val="ListParagraph"/>
      </w:pPr>
      <w:r>
        <w:t>At midnight the MCC transfers the meter readings to PECO’s customer information system, known as CIMS.  (N.T 203-204)</w:t>
      </w:r>
    </w:p>
    <w:p w:rsidR="003A62C5" w:rsidRDefault="003A62C5" w:rsidP="00813FD7">
      <w:pPr>
        <w:spacing w:after="0"/>
        <w:ind w:left="1440"/>
      </w:pPr>
    </w:p>
    <w:p w:rsidR="00983CBF" w:rsidRDefault="00983CBF" w:rsidP="002E36E7">
      <w:pPr>
        <w:pStyle w:val="ListParagraph"/>
      </w:pPr>
      <w:r>
        <w:t>PECO has not yet installed an AMI or “smart meter” at the Complainant’s service address.  (N.T. 213)</w:t>
      </w:r>
    </w:p>
    <w:p w:rsidR="003A62C5" w:rsidRDefault="003A62C5" w:rsidP="00813FD7">
      <w:pPr>
        <w:spacing w:after="0"/>
        <w:ind w:left="1440"/>
      </w:pPr>
    </w:p>
    <w:p w:rsidR="00983CBF" w:rsidRDefault="00983CBF" w:rsidP="002E36E7">
      <w:pPr>
        <w:pStyle w:val="ListParagraph"/>
      </w:pPr>
      <w:r>
        <w:t>Only actual data is transmitted to PECO from the Complainant’s meter; no statistical data is transmitted to PECO from the Complainant’s AMR meter.  (N.T. 213-14)</w:t>
      </w:r>
    </w:p>
    <w:p w:rsidR="003A62C5" w:rsidRDefault="003A62C5" w:rsidP="00813FD7">
      <w:pPr>
        <w:spacing w:after="0"/>
        <w:ind w:left="1440"/>
      </w:pPr>
    </w:p>
    <w:p w:rsidR="00FC34AF" w:rsidRDefault="00FC34AF" w:rsidP="002E36E7">
      <w:pPr>
        <w:pStyle w:val="ListParagraph"/>
      </w:pPr>
      <w:r>
        <w:t>None of the Complainant’s bills were based on estimated meter readings; all the meter readings were actual readings.  (N.T. 205)</w:t>
      </w:r>
    </w:p>
    <w:p w:rsidR="003A62C5" w:rsidRDefault="003A62C5" w:rsidP="00813FD7">
      <w:pPr>
        <w:spacing w:after="0"/>
        <w:ind w:left="1440"/>
      </w:pPr>
    </w:p>
    <w:p w:rsidR="0063243E" w:rsidRDefault="00403266" w:rsidP="002E36E7">
      <w:pPr>
        <w:pStyle w:val="ListParagraph"/>
      </w:pPr>
      <w:r>
        <w:t>Mary McQuilken, a PECO high bill field technician</w:t>
      </w:r>
      <w:r w:rsidR="00605769">
        <w:t>,</w:t>
      </w:r>
      <w:r>
        <w:t xml:space="preserve"> visited the service address in August 2011.  (N.T. 82</w:t>
      </w:r>
      <w:r w:rsidR="005956AF">
        <w:t>; Ex. P-10</w:t>
      </w:r>
      <w:r>
        <w:t>)</w:t>
      </w:r>
    </w:p>
    <w:p w:rsidR="003A62C5" w:rsidRDefault="003A62C5" w:rsidP="00813FD7">
      <w:pPr>
        <w:spacing w:after="0"/>
        <w:ind w:left="1440"/>
      </w:pPr>
    </w:p>
    <w:p w:rsidR="0063243E" w:rsidRDefault="0063243E" w:rsidP="002E36E7">
      <w:pPr>
        <w:pStyle w:val="ListParagraph"/>
      </w:pPr>
      <w:r>
        <w:t>Ms. McQuilken read the meter and calculated the Complainant’s average daily usage from the Complainant’s last bill reading.  (N.T. 84)</w:t>
      </w:r>
    </w:p>
    <w:p w:rsidR="003A62C5" w:rsidRDefault="003A62C5" w:rsidP="00813FD7">
      <w:pPr>
        <w:spacing w:after="0"/>
        <w:ind w:left="1440"/>
      </w:pPr>
    </w:p>
    <w:p w:rsidR="00403266" w:rsidRDefault="0063243E" w:rsidP="002E36E7">
      <w:pPr>
        <w:pStyle w:val="ListParagraph"/>
      </w:pPr>
      <w:r>
        <w:t xml:space="preserve">Ms. McQuilken clocked the meter using a stopwatch to measure how many watts are flowing through the meter. </w:t>
      </w:r>
      <w:r w:rsidR="002B245A">
        <w:t xml:space="preserve"> </w:t>
      </w:r>
      <w:r>
        <w:t>(N.T. 132-33)</w:t>
      </w:r>
    </w:p>
    <w:p w:rsidR="003F3AC5" w:rsidRDefault="003F3AC5" w:rsidP="00813FD7">
      <w:pPr>
        <w:spacing w:after="0"/>
        <w:ind w:left="1440"/>
      </w:pPr>
    </w:p>
    <w:p w:rsidR="005956AF" w:rsidRDefault="00403266" w:rsidP="002E36E7">
      <w:pPr>
        <w:pStyle w:val="ListParagraph"/>
      </w:pPr>
      <w:r>
        <w:lastRenderedPageBreak/>
        <w:t>Ms. McQuilken inventoried</w:t>
      </w:r>
      <w:r w:rsidR="00983CBF">
        <w:t xml:space="preserve"> some of</w:t>
      </w:r>
      <w:r>
        <w:t xml:space="preserve"> the appliances that she could see during her visit</w:t>
      </w:r>
      <w:r w:rsidR="00F84B28">
        <w:t>, but did not perform a complete inventory</w:t>
      </w:r>
      <w:r>
        <w:t xml:space="preserve">. </w:t>
      </w:r>
      <w:r w:rsidR="002B245A">
        <w:t xml:space="preserve"> </w:t>
      </w:r>
      <w:r>
        <w:t>(N.T. 82</w:t>
      </w:r>
      <w:r w:rsidR="00F84B28">
        <w:t>; 134</w:t>
      </w:r>
      <w:r>
        <w:t>)</w:t>
      </w:r>
    </w:p>
    <w:p w:rsidR="003A62C5" w:rsidRDefault="003A62C5" w:rsidP="00813FD7">
      <w:pPr>
        <w:spacing w:after="0"/>
        <w:ind w:left="1440"/>
      </w:pPr>
    </w:p>
    <w:p w:rsidR="001F42C6" w:rsidRDefault="00403266" w:rsidP="002E36E7">
      <w:pPr>
        <w:pStyle w:val="ListParagraph"/>
      </w:pPr>
      <w:r>
        <w:t>Ms. McQuilken asked to see the kerosene heaters that the Complainant said he used to heat his home during the winter, but he told her that they had been sent out for service.  (N.T. 84; see also N.T. 75-76)</w:t>
      </w:r>
    </w:p>
    <w:p w:rsidR="003A62C5" w:rsidRDefault="003A62C5" w:rsidP="00813FD7">
      <w:pPr>
        <w:spacing w:after="0"/>
        <w:ind w:left="1440"/>
      </w:pPr>
    </w:p>
    <w:p w:rsidR="00BF168D" w:rsidRDefault="00BF168D" w:rsidP="002E36E7">
      <w:pPr>
        <w:pStyle w:val="ListParagraph"/>
      </w:pPr>
      <w:r>
        <w:t>Ms. McQuilken and Mr. Lerro visited the service address on September</w:t>
      </w:r>
      <w:r w:rsidR="003A62C5">
        <w:t> </w:t>
      </w:r>
      <w:r>
        <w:t>24, 2015 for the purpose of a high bill investigation.  (N.T. 139; Ex. P-12)</w:t>
      </w:r>
    </w:p>
    <w:p w:rsidR="003A62C5" w:rsidRDefault="003A62C5" w:rsidP="00813FD7">
      <w:pPr>
        <w:spacing w:after="0"/>
        <w:ind w:left="1440"/>
      </w:pPr>
    </w:p>
    <w:p w:rsidR="002F012D" w:rsidRDefault="002F012D" w:rsidP="002E36E7">
      <w:pPr>
        <w:pStyle w:val="ListParagraph"/>
      </w:pPr>
      <w:r>
        <w:t xml:space="preserve">Ms. McQuilken and Mr. Lerro were accompanied </w:t>
      </w:r>
      <w:r w:rsidRPr="006F0DC4">
        <w:t>by Mike</w:t>
      </w:r>
      <w:r w:rsidR="006F0DC4">
        <w:t xml:space="preserve"> Janiszewski</w:t>
      </w:r>
      <w:r>
        <w:t xml:space="preserve">, an electrician hired by the Complainant. </w:t>
      </w:r>
      <w:r w:rsidR="002B245A">
        <w:t xml:space="preserve"> </w:t>
      </w:r>
      <w:r>
        <w:t xml:space="preserve">(N.T. </w:t>
      </w:r>
      <w:r w:rsidR="006F0DC4">
        <w:t xml:space="preserve">78; </w:t>
      </w:r>
      <w:r>
        <w:t>139</w:t>
      </w:r>
      <w:r w:rsidR="006E52BF">
        <w:t>; 186)</w:t>
      </w:r>
    </w:p>
    <w:p w:rsidR="003A62C5" w:rsidRDefault="003A62C5" w:rsidP="00813FD7">
      <w:pPr>
        <w:spacing w:after="0"/>
        <w:ind w:left="1440"/>
      </w:pPr>
    </w:p>
    <w:p w:rsidR="002F012D" w:rsidRDefault="002F012D" w:rsidP="002E36E7">
      <w:pPr>
        <w:pStyle w:val="ListParagraph"/>
      </w:pPr>
      <w:r>
        <w:t>Ms. McQuilken, along with Mr. Lerro and Mr</w:t>
      </w:r>
      <w:r w:rsidR="00896399">
        <w:t>. Janiszewski,</w:t>
      </w:r>
      <w:r>
        <w:t xml:space="preserve"> went from room to room to list every appliance that they saw.  (N.T. 139)</w:t>
      </w:r>
    </w:p>
    <w:p w:rsidR="003A62C5" w:rsidRDefault="003A62C5" w:rsidP="00813FD7">
      <w:pPr>
        <w:spacing w:after="0"/>
        <w:ind w:left="1440"/>
      </w:pPr>
    </w:p>
    <w:p w:rsidR="002F012D" w:rsidRDefault="002F012D" w:rsidP="002E36E7">
      <w:pPr>
        <w:pStyle w:val="ListParagraph"/>
      </w:pPr>
      <w:r>
        <w:t xml:space="preserve">In addition to a pass load test, Ms. McQuilken performed an actual meter test </w:t>
      </w:r>
      <w:r w:rsidR="00896399">
        <w:t xml:space="preserve">to verify the accuracy of the meter, </w:t>
      </w:r>
      <w:r>
        <w:t>which involved pulling the meter out of the meter board,</w:t>
      </w:r>
      <w:r w:rsidR="002B245A">
        <w:t xml:space="preserve"> and </w:t>
      </w:r>
      <w:r>
        <w:t xml:space="preserve">placing a tester in the unit. </w:t>
      </w:r>
      <w:r w:rsidR="00760930">
        <w:t xml:space="preserve"> </w:t>
      </w:r>
      <w:r>
        <w:t>(N.T. 140</w:t>
      </w:r>
      <w:r w:rsidR="008A498B">
        <w:t>, 148</w:t>
      </w:r>
      <w:r w:rsidR="00896399">
        <w:t>; 187</w:t>
      </w:r>
      <w:r>
        <w:t>)</w:t>
      </w:r>
    </w:p>
    <w:p w:rsidR="003A62C5" w:rsidRDefault="003A62C5" w:rsidP="00813FD7">
      <w:pPr>
        <w:spacing w:after="0"/>
        <w:ind w:left="1440"/>
      </w:pPr>
    </w:p>
    <w:p w:rsidR="00983CBF" w:rsidRDefault="008A498B" w:rsidP="002E36E7">
      <w:pPr>
        <w:pStyle w:val="ListParagraph"/>
      </w:pPr>
      <w:r>
        <w:t>The actual meter test indicated that the meter was operating properly. (N.T. 149; Ex. P-13)</w:t>
      </w:r>
    </w:p>
    <w:p w:rsidR="003A62C5" w:rsidRDefault="003A62C5" w:rsidP="00813FD7">
      <w:pPr>
        <w:spacing w:after="0"/>
        <w:ind w:left="1440"/>
      </w:pPr>
    </w:p>
    <w:p w:rsidR="00896399" w:rsidRDefault="00896399" w:rsidP="002E36E7">
      <w:pPr>
        <w:pStyle w:val="ListParagraph"/>
      </w:pPr>
      <w:r>
        <w:t>There was no foreign wi</w:t>
      </w:r>
      <w:r w:rsidR="002B245A">
        <w:t>r</w:t>
      </w:r>
      <w:r>
        <w:t>ing at the property.  (N.T. 188)</w:t>
      </w:r>
    </w:p>
    <w:p w:rsidR="003A62C5" w:rsidRDefault="003A62C5" w:rsidP="00813FD7">
      <w:pPr>
        <w:spacing w:after="0"/>
        <w:ind w:left="1440"/>
      </w:pPr>
    </w:p>
    <w:p w:rsidR="00983CBF" w:rsidRDefault="00983CBF" w:rsidP="002E36E7">
      <w:pPr>
        <w:pStyle w:val="ListParagraph"/>
      </w:pPr>
      <w:r>
        <w:t>The appliance usage used on the PECO utility report is an estimate of a potential average that could be used at the property based on national averages.  (N.T. 94; Exs. P-10-11)</w:t>
      </w:r>
    </w:p>
    <w:p w:rsidR="0041075B" w:rsidRDefault="0041075B" w:rsidP="002E36E7">
      <w:pPr>
        <w:spacing w:after="0"/>
      </w:pPr>
    </w:p>
    <w:p w:rsidR="000A1D13" w:rsidRDefault="000A1D13" w:rsidP="002E36E7">
      <w:pPr>
        <w:pStyle w:val="ListParagraph"/>
      </w:pPr>
      <w:r>
        <w:t>Ms. McQuilken calculated that the potential winter use based on the appliances that she saw was 717 k</w:t>
      </w:r>
      <w:r w:rsidR="00A16720">
        <w:t>Wh</w:t>
      </w:r>
      <w:r w:rsidR="008267EE">
        <w:t>s</w:t>
      </w:r>
      <w:r>
        <w:t xml:space="preserve"> per month.  (N.T. 142; Ex. P-12)</w:t>
      </w:r>
    </w:p>
    <w:p w:rsidR="006C2CCA" w:rsidRDefault="000A1D13" w:rsidP="002E36E7">
      <w:pPr>
        <w:pStyle w:val="ListParagraph"/>
      </w:pPr>
      <w:r>
        <w:lastRenderedPageBreak/>
        <w:t>Ms. McQuilken calculated that the potential summer use based on the appliances that she saw was 677 k</w:t>
      </w:r>
      <w:r w:rsidR="00D544F0">
        <w:t>W</w:t>
      </w:r>
      <w:bookmarkStart w:id="0" w:name="_GoBack"/>
      <w:bookmarkEnd w:id="0"/>
      <w:r>
        <w:t>hs per month.  (N.T. 143; Ex. P-13)</w:t>
      </w:r>
      <w:r w:rsidR="006C2CCA">
        <w:t xml:space="preserve"> </w:t>
      </w:r>
    </w:p>
    <w:p w:rsidR="003A62C5" w:rsidRDefault="003A62C5" w:rsidP="00813FD7">
      <w:pPr>
        <w:spacing w:after="0"/>
        <w:ind w:left="1440"/>
      </w:pPr>
    </w:p>
    <w:p w:rsidR="00B45F4C" w:rsidRDefault="00B45F4C" w:rsidP="002E36E7">
      <w:pPr>
        <w:pStyle w:val="ListParagraph"/>
      </w:pPr>
      <w:r>
        <w:t xml:space="preserve">The Complainant’s consumption </w:t>
      </w:r>
      <w:r w:rsidR="00605769">
        <w:t xml:space="preserve">in kWh </w:t>
      </w:r>
      <w:r>
        <w:t>during the winter of 2010-2011</w:t>
      </w:r>
      <w:r w:rsidR="00B5710C">
        <w:rPr>
          <w:rStyle w:val="FootnoteReference"/>
        </w:rPr>
        <w:footnoteReference w:id="3"/>
      </w:r>
      <w:r>
        <w:t xml:space="preserve"> was:</w:t>
      </w:r>
    </w:p>
    <w:p w:rsidR="001E3BC0" w:rsidRDefault="001E3BC0" w:rsidP="002E36E7">
      <w:pPr>
        <w:ind w:left="1440"/>
      </w:pPr>
    </w:p>
    <w:tbl>
      <w:tblPr>
        <w:tblW w:w="364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720"/>
      </w:tblGrid>
      <w:tr w:rsidR="00B45F4C" w:rsidRPr="00B45F4C" w:rsidTr="00B45F4C">
        <w:trPr>
          <w:trHeight w:val="315"/>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Sept</w:t>
            </w:r>
          </w:p>
        </w:tc>
        <w:tc>
          <w:tcPr>
            <w:tcW w:w="1720" w:type="dxa"/>
            <w:shd w:val="clear" w:color="auto" w:fill="auto"/>
            <w:noWrap/>
            <w:vAlign w:val="bottom"/>
            <w:hideMark/>
          </w:tcPr>
          <w:p w:rsidR="00B45F4C" w:rsidRPr="00B45F4C" w:rsidRDefault="00B45F4C" w:rsidP="00B45F4C">
            <w:pPr>
              <w:tabs>
                <w:tab w:val="clear" w:pos="1440"/>
              </w:tabs>
              <w:spacing w:after="0" w:line="240" w:lineRule="auto"/>
              <w:jc w:val="right"/>
              <w:rPr>
                <w:color w:val="000000"/>
                <w:sz w:val="22"/>
                <w:szCs w:val="22"/>
              </w:rPr>
            </w:pPr>
            <w:r w:rsidRPr="00B45F4C">
              <w:rPr>
                <w:color w:val="000000"/>
                <w:sz w:val="22"/>
                <w:szCs w:val="22"/>
              </w:rPr>
              <w:t>378</w:t>
            </w:r>
          </w:p>
        </w:tc>
      </w:tr>
      <w:tr w:rsidR="00B45F4C" w:rsidRPr="00B45F4C" w:rsidTr="00B45F4C">
        <w:trPr>
          <w:trHeight w:val="300"/>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Oct</w:t>
            </w:r>
          </w:p>
        </w:tc>
        <w:tc>
          <w:tcPr>
            <w:tcW w:w="1720" w:type="dxa"/>
            <w:shd w:val="clear" w:color="auto" w:fill="auto"/>
            <w:noWrap/>
            <w:vAlign w:val="bottom"/>
            <w:hideMark/>
          </w:tcPr>
          <w:p w:rsidR="00B45F4C" w:rsidRPr="00B45F4C" w:rsidRDefault="00B45F4C" w:rsidP="00B45F4C">
            <w:pPr>
              <w:tabs>
                <w:tab w:val="clear" w:pos="1440"/>
              </w:tabs>
              <w:spacing w:after="0" w:line="240" w:lineRule="auto"/>
              <w:jc w:val="right"/>
              <w:rPr>
                <w:color w:val="000000"/>
                <w:sz w:val="22"/>
                <w:szCs w:val="22"/>
              </w:rPr>
            </w:pPr>
            <w:r w:rsidRPr="00B45F4C">
              <w:rPr>
                <w:color w:val="000000"/>
                <w:sz w:val="22"/>
                <w:szCs w:val="22"/>
              </w:rPr>
              <w:t>169</w:t>
            </w:r>
          </w:p>
        </w:tc>
      </w:tr>
      <w:tr w:rsidR="00B45F4C" w:rsidRPr="00B45F4C" w:rsidTr="00B45F4C">
        <w:trPr>
          <w:trHeight w:val="300"/>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Nov</w:t>
            </w:r>
          </w:p>
        </w:tc>
        <w:tc>
          <w:tcPr>
            <w:tcW w:w="1720" w:type="dxa"/>
            <w:shd w:val="clear" w:color="auto" w:fill="auto"/>
            <w:noWrap/>
            <w:vAlign w:val="bottom"/>
            <w:hideMark/>
          </w:tcPr>
          <w:p w:rsidR="00B45F4C" w:rsidRPr="00B45F4C" w:rsidRDefault="00B45F4C" w:rsidP="00B45F4C">
            <w:pPr>
              <w:tabs>
                <w:tab w:val="clear" w:pos="1440"/>
              </w:tabs>
              <w:spacing w:after="0" w:line="240" w:lineRule="auto"/>
              <w:jc w:val="right"/>
              <w:rPr>
                <w:color w:val="000000"/>
                <w:sz w:val="22"/>
                <w:szCs w:val="22"/>
              </w:rPr>
            </w:pPr>
            <w:r w:rsidRPr="00B45F4C">
              <w:rPr>
                <w:color w:val="000000"/>
                <w:sz w:val="22"/>
                <w:szCs w:val="22"/>
              </w:rPr>
              <w:t>282</w:t>
            </w:r>
          </w:p>
        </w:tc>
      </w:tr>
      <w:tr w:rsidR="00B45F4C" w:rsidRPr="00B45F4C" w:rsidTr="00B45F4C">
        <w:trPr>
          <w:trHeight w:val="300"/>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Dec</w:t>
            </w:r>
          </w:p>
        </w:tc>
        <w:tc>
          <w:tcPr>
            <w:tcW w:w="1720" w:type="dxa"/>
            <w:shd w:val="clear" w:color="auto" w:fill="auto"/>
            <w:noWrap/>
            <w:vAlign w:val="bottom"/>
            <w:hideMark/>
          </w:tcPr>
          <w:p w:rsidR="00B45F4C" w:rsidRPr="00B45F4C" w:rsidRDefault="00B45F4C" w:rsidP="00B45F4C">
            <w:pPr>
              <w:tabs>
                <w:tab w:val="clear" w:pos="1440"/>
              </w:tabs>
              <w:spacing w:after="0" w:line="240" w:lineRule="auto"/>
              <w:jc w:val="right"/>
              <w:rPr>
                <w:color w:val="000000"/>
                <w:sz w:val="22"/>
                <w:szCs w:val="22"/>
              </w:rPr>
            </w:pPr>
            <w:r w:rsidRPr="00B45F4C">
              <w:rPr>
                <w:color w:val="000000"/>
                <w:sz w:val="22"/>
                <w:szCs w:val="22"/>
              </w:rPr>
              <w:t>1084</w:t>
            </w:r>
          </w:p>
        </w:tc>
      </w:tr>
      <w:tr w:rsidR="00B45F4C" w:rsidRPr="00B45F4C" w:rsidTr="00B45F4C">
        <w:trPr>
          <w:trHeight w:val="300"/>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Jan</w:t>
            </w:r>
          </w:p>
        </w:tc>
        <w:tc>
          <w:tcPr>
            <w:tcW w:w="1720" w:type="dxa"/>
            <w:shd w:val="clear" w:color="auto" w:fill="auto"/>
            <w:noWrap/>
            <w:vAlign w:val="bottom"/>
            <w:hideMark/>
          </w:tcPr>
          <w:p w:rsidR="00B45F4C" w:rsidRPr="00B45F4C" w:rsidRDefault="00B45F4C" w:rsidP="00B45F4C">
            <w:pPr>
              <w:tabs>
                <w:tab w:val="clear" w:pos="1440"/>
              </w:tabs>
              <w:spacing w:after="0" w:line="240" w:lineRule="auto"/>
              <w:jc w:val="right"/>
              <w:rPr>
                <w:color w:val="000000"/>
                <w:sz w:val="22"/>
                <w:szCs w:val="22"/>
              </w:rPr>
            </w:pPr>
            <w:r w:rsidRPr="00B45F4C">
              <w:rPr>
                <w:color w:val="000000"/>
                <w:sz w:val="22"/>
                <w:szCs w:val="22"/>
              </w:rPr>
              <w:t>982</w:t>
            </w:r>
          </w:p>
        </w:tc>
      </w:tr>
      <w:tr w:rsidR="00B45F4C" w:rsidRPr="00B45F4C" w:rsidTr="00B45F4C">
        <w:trPr>
          <w:trHeight w:val="300"/>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Feb</w:t>
            </w:r>
          </w:p>
        </w:tc>
        <w:tc>
          <w:tcPr>
            <w:tcW w:w="1720" w:type="dxa"/>
            <w:shd w:val="clear" w:color="auto" w:fill="auto"/>
            <w:noWrap/>
            <w:vAlign w:val="bottom"/>
            <w:hideMark/>
          </w:tcPr>
          <w:p w:rsidR="00B45F4C" w:rsidRPr="00B45F4C" w:rsidRDefault="00B45F4C" w:rsidP="00B45F4C">
            <w:pPr>
              <w:tabs>
                <w:tab w:val="clear" w:pos="1440"/>
              </w:tabs>
              <w:spacing w:after="0" w:line="240" w:lineRule="auto"/>
              <w:jc w:val="right"/>
              <w:rPr>
                <w:color w:val="000000"/>
                <w:sz w:val="22"/>
                <w:szCs w:val="22"/>
              </w:rPr>
            </w:pPr>
            <w:r w:rsidRPr="00B45F4C">
              <w:rPr>
                <w:color w:val="000000"/>
                <w:sz w:val="22"/>
                <w:szCs w:val="22"/>
              </w:rPr>
              <w:t>585</w:t>
            </w:r>
          </w:p>
        </w:tc>
      </w:tr>
      <w:tr w:rsidR="00B45F4C" w:rsidRPr="00B45F4C" w:rsidTr="00B45F4C">
        <w:trPr>
          <w:trHeight w:val="300"/>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 </w:t>
            </w:r>
          </w:p>
        </w:tc>
        <w:tc>
          <w:tcPr>
            <w:tcW w:w="17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p>
        </w:tc>
      </w:tr>
      <w:tr w:rsidR="00B45F4C" w:rsidRPr="00B45F4C" w:rsidTr="00B45F4C">
        <w:trPr>
          <w:trHeight w:val="300"/>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Total</w:t>
            </w:r>
          </w:p>
        </w:tc>
        <w:tc>
          <w:tcPr>
            <w:tcW w:w="1720" w:type="dxa"/>
            <w:shd w:val="clear" w:color="auto" w:fill="auto"/>
            <w:noWrap/>
            <w:vAlign w:val="bottom"/>
            <w:hideMark/>
          </w:tcPr>
          <w:p w:rsidR="00B45F4C" w:rsidRPr="00B45F4C" w:rsidRDefault="00B45F4C" w:rsidP="00B45F4C">
            <w:pPr>
              <w:tabs>
                <w:tab w:val="clear" w:pos="1440"/>
              </w:tabs>
              <w:spacing w:after="0" w:line="240" w:lineRule="auto"/>
              <w:jc w:val="right"/>
              <w:rPr>
                <w:color w:val="000000"/>
                <w:sz w:val="22"/>
                <w:szCs w:val="22"/>
              </w:rPr>
            </w:pPr>
            <w:r w:rsidRPr="00B45F4C">
              <w:rPr>
                <w:color w:val="000000"/>
                <w:sz w:val="22"/>
                <w:szCs w:val="22"/>
              </w:rPr>
              <w:t>3480</w:t>
            </w:r>
          </w:p>
        </w:tc>
      </w:tr>
    </w:tbl>
    <w:p w:rsidR="003A62C5" w:rsidRDefault="003A62C5" w:rsidP="003A62C5"/>
    <w:p w:rsidR="003A62C5" w:rsidRDefault="003A62C5" w:rsidP="002E798E">
      <w:pPr>
        <w:ind w:firstLine="1440"/>
      </w:pPr>
      <w:r>
        <w:t>32.</w:t>
      </w:r>
      <w:r>
        <w:tab/>
      </w:r>
      <w:r w:rsidR="00B45F4C">
        <w:t>The Complai</w:t>
      </w:r>
      <w:r>
        <w:t>na</w:t>
      </w:r>
      <w:r w:rsidR="00B45F4C">
        <w:t xml:space="preserve">nt’s consumption </w:t>
      </w:r>
      <w:r w:rsidR="00605769">
        <w:t xml:space="preserve">in kWh </w:t>
      </w:r>
      <w:r w:rsidR="00B45F4C">
        <w:t>during the winter of 2011-2012</w:t>
      </w:r>
      <w:r w:rsidR="00B5710C">
        <w:rPr>
          <w:rStyle w:val="FootnoteReference"/>
        </w:rPr>
        <w:footnoteReference w:id="4"/>
      </w:r>
      <w:r w:rsidR="00B45F4C">
        <w:t xml:space="preserve"> was: </w:t>
      </w:r>
    </w:p>
    <w:p w:rsidR="001E3BC0" w:rsidRDefault="001E3BC0" w:rsidP="002E798E">
      <w:pPr>
        <w:ind w:firstLine="1440"/>
      </w:pPr>
    </w:p>
    <w:tbl>
      <w:tblPr>
        <w:tblW w:w="364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720"/>
      </w:tblGrid>
      <w:tr w:rsidR="00B45F4C" w:rsidRPr="00B45F4C" w:rsidTr="00B45F4C">
        <w:trPr>
          <w:trHeight w:val="315"/>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Sept</w:t>
            </w:r>
          </w:p>
        </w:tc>
        <w:tc>
          <w:tcPr>
            <w:tcW w:w="1720" w:type="dxa"/>
            <w:shd w:val="clear" w:color="auto" w:fill="auto"/>
            <w:noWrap/>
            <w:vAlign w:val="bottom"/>
            <w:hideMark/>
          </w:tcPr>
          <w:p w:rsidR="00B45F4C" w:rsidRPr="00B45F4C" w:rsidRDefault="00B45F4C" w:rsidP="00B45F4C">
            <w:pPr>
              <w:tabs>
                <w:tab w:val="clear" w:pos="1440"/>
              </w:tabs>
              <w:spacing w:after="0" w:line="240" w:lineRule="auto"/>
              <w:jc w:val="right"/>
              <w:rPr>
                <w:color w:val="000000"/>
                <w:sz w:val="22"/>
                <w:szCs w:val="22"/>
              </w:rPr>
            </w:pPr>
            <w:r w:rsidRPr="00B45F4C">
              <w:rPr>
                <w:color w:val="000000"/>
                <w:sz w:val="22"/>
                <w:szCs w:val="22"/>
              </w:rPr>
              <w:t>166</w:t>
            </w:r>
          </w:p>
        </w:tc>
      </w:tr>
      <w:tr w:rsidR="00B45F4C" w:rsidRPr="00B45F4C" w:rsidTr="00B45F4C">
        <w:trPr>
          <w:trHeight w:val="300"/>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Oct</w:t>
            </w:r>
          </w:p>
        </w:tc>
        <w:tc>
          <w:tcPr>
            <w:tcW w:w="1720" w:type="dxa"/>
            <w:shd w:val="clear" w:color="auto" w:fill="auto"/>
            <w:noWrap/>
            <w:vAlign w:val="bottom"/>
            <w:hideMark/>
          </w:tcPr>
          <w:p w:rsidR="00B45F4C" w:rsidRPr="00B45F4C" w:rsidRDefault="00B45F4C" w:rsidP="00B45F4C">
            <w:pPr>
              <w:tabs>
                <w:tab w:val="clear" w:pos="1440"/>
              </w:tabs>
              <w:spacing w:after="0" w:line="240" w:lineRule="auto"/>
              <w:jc w:val="right"/>
              <w:rPr>
                <w:color w:val="000000"/>
                <w:sz w:val="22"/>
                <w:szCs w:val="22"/>
              </w:rPr>
            </w:pPr>
            <w:r w:rsidRPr="00B45F4C">
              <w:rPr>
                <w:color w:val="000000"/>
                <w:sz w:val="22"/>
                <w:szCs w:val="22"/>
              </w:rPr>
              <w:t>143</w:t>
            </w:r>
          </w:p>
        </w:tc>
      </w:tr>
      <w:tr w:rsidR="00B45F4C" w:rsidRPr="00B45F4C" w:rsidTr="00B45F4C">
        <w:trPr>
          <w:trHeight w:val="300"/>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Nov</w:t>
            </w:r>
          </w:p>
        </w:tc>
        <w:tc>
          <w:tcPr>
            <w:tcW w:w="1720" w:type="dxa"/>
            <w:shd w:val="clear" w:color="auto" w:fill="auto"/>
            <w:noWrap/>
            <w:vAlign w:val="bottom"/>
            <w:hideMark/>
          </w:tcPr>
          <w:p w:rsidR="00B45F4C" w:rsidRPr="00B45F4C" w:rsidRDefault="00B45F4C" w:rsidP="00B45F4C">
            <w:pPr>
              <w:tabs>
                <w:tab w:val="clear" w:pos="1440"/>
              </w:tabs>
              <w:spacing w:after="0" w:line="240" w:lineRule="auto"/>
              <w:jc w:val="right"/>
              <w:rPr>
                <w:color w:val="000000"/>
                <w:sz w:val="22"/>
                <w:szCs w:val="22"/>
              </w:rPr>
            </w:pPr>
            <w:r w:rsidRPr="00B45F4C">
              <w:rPr>
                <w:color w:val="000000"/>
                <w:sz w:val="22"/>
                <w:szCs w:val="22"/>
              </w:rPr>
              <w:t>150</w:t>
            </w:r>
          </w:p>
        </w:tc>
      </w:tr>
      <w:tr w:rsidR="00B45F4C" w:rsidRPr="00B45F4C" w:rsidTr="00B45F4C">
        <w:trPr>
          <w:trHeight w:val="300"/>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Dec</w:t>
            </w:r>
          </w:p>
        </w:tc>
        <w:tc>
          <w:tcPr>
            <w:tcW w:w="1720" w:type="dxa"/>
            <w:shd w:val="clear" w:color="auto" w:fill="auto"/>
            <w:noWrap/>
            <w:vAlign w:val="bottom"/>
            <w:hideMark/>
          </w:tcPr>
          <w:p w:rsidR="00B45F4C" w:rsidRPr="00B45F4C" w:rsidRDefault="00B45F4C" w:rsidP="00B45F4C">
            <w:pPr>
              <w:tabs>
                <w:tab w:val="clear" w:pos="1440"/>
              </w:tabs>
              <w:spacing w:after="0" w:line="240" w:lineRule="auto"/>
              <w:jc w:val="right"/>
              <w:rPr>
                <w:color w:val="000000"/>
                <w:sz w:val="22"/>
                <w:szCs w:val="22"/>
              </w:rPr>
            </w:pPr>
            <w:r w:rsidRPr="00B45F4C">
              <w:rPr>
                <w:color w:val="000000"/>
                <w:sz w:val="22"/>
                <w:szCs w:val="22"/>
              </w:rPr>
              <w:t>142</w:t>
            </w:r>
          </w:p>
        </w:tc>
      </w:tr>
      <w:tr w:rsidR="00B45F4C" w:rsidRPr="00B45F4C" w:rsidTr="00B45F4C">
        <w:trPr>
          <w:trHeight w:val="300"/>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Jan</w:t>
            </w:r>
          </w:p>
        </w:tc>
        <w:tc>
          <w:tcPr>
            <w:tcW w:w="1720" w:type="dxa"/>
            <w:shd w:val="clear" w:color="auto" w:fill="auto"/>
            <w:noWrap/>
            <w:vAlign w:val="bottom"/>
            <w:hideMark/>
          </w:tcPr>
          <w:p w:rsidR="00B45F4C" w:rsidRPr="00B45F4C" w:rsidRDefault="00B45F4C" w:rsidP="00B45F4C">
            <w:pPr>
              <w:tabs>
                <w:tab w:val="clear" w:pos="1440"/>
              </w:tabs>
              <w:spacing w:after="0" w:line="240" w:lineRule="auto"/>
              <w:jc w:val="right"/>
              <w:rPr>
                <w:color w:val="000000"/>
                <w:sz w:val="22"/>
                <w:szCs w:val="22"/>
              </w:rPr>
            </w:pPr>
            <w:r w:rsidRPr="00B45F4C">
              <w:rPr>
                <w:color w:val="000000"/>
                <w:sz w:val="22"/>
                <w:szCs w:val="22"/>
              </w:rPr>
              <w:t>141</w:t>
            </w:r>
          </w:p>
        </w:tc>
      </w:tr>
      <w:tr w:rsidR="00B45F4C" w:rsidRPr="00B45F4C" w:rsidTr="00B45F4C">
        <w:trPr>
          <w:trHeight w:val="300"/>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Feb</w:t>
            </w:r>
          </w:p>
        </w:tc>
        <w:tc>
          <w:tcPr>
            <w:tcW w:w="1720" w:type="dxa"/>
            <w:shd w:val="clear" w:color="auto" w:fill="auto"/>
            <w:noWrap/>
            <w:vAlign w:val="bottom"/>
            <w:hideMark/>
          </w:tcPr>
          <w:p w:rsidR="00B45F4C" w:rsidRPr="00B45F4C" w:rsidRDefault="00B45F4C" w:rsidP="00B45F4C">
            <w:pPr>
              <w:tabs>
                <w:tab w:val="clear" w:pos="1440"/>
              </w:tabs>
              <w:spacing w:after="0" w:line="240" w:lineRule="auto"/>
              <w:jc w:val="right"/>
              <w:rPr>
                <w:color w:val="000000"/>
                <w:sz w:val="22"/>
                <w:szCs w:val="22"/>
              </w:rPr>
            </w:pPr>
            <w:r w:rsidRPr="00B45F4C">
              <w:rPr>
                <w:color w:val="000000"/>
                <w:sz w:val="22"/>
                <w:szCs w:val="22"/>
              </w:rPr>
              <w:t>124</w:t>
            </w:r>
          </w:p>
        </w:tc>
      </w:tr>
      <w:tr w:rsidR="00B45F4C" w:rsidRPr="00B45F4C" w:rsidTr="00B45F4C">
        <w:trPr>
          <w:trHeight w:val="300"/>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 </w:t>
            </w:r>
          </w:p>
        </w:tc>
        <w:tc>
          <w:tcPr>
            <w:tcW w:w="17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p>
        </w:tc>
      </w:tr>
      <w:tr w:rsidR="00B45F4C" w:rsidRPr="00B45F4C" w:rsidTr="00B45F4C">
        <w:trPr>
          <w:trHeight w:val="300"/>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Total</w:t>
            </w:r>
          </w:p>
        </w:tc>
        <w:tc>
          <w:tcPr>
            <w:tcW w:w="1720" w:type="dxa"/>
            <w:shd w:val="clear" w:color="auto" w:fill="auto"/>
            <w:noWrap/>
            <w:vAlign w:val="bottom"/>
            <w:hideMark/>
          </w:tcPr>
          <w:p w:rsidR="00B45F4C" w:rsidRPr="00B45F4C" w:rsidRDefault="00B45F4C" w:rsidP="00B45F4C">
            <w:pPr>
              <w:tabs>
                <w:tab w:val="clear" w:pos="1440"/>
              </w:tabs>
              <w:spacing w:after="0" w:line="240" w:lineRule="auto"/>
              <w:jc w:val="right"/>
              <w:rPr>
                <w:color w:val="000000"/>
                <w:sz w:val="22"/>
                <w:szCs w:val="22"/>
              </w:rPr>
            </w:pPr>
            <w:r w:rsidRPr="00B45F4C">
              <w:rPr>
                <w:color w:val="000000"/>
                <w:sz w:val="22"/>
                <w:szCs w:val="22"/>
              </w:rPr>
              <w:t>866</w:t>
            </w:r>
          </w:p>
        </w:tc>
      </w:tr>
    </w:tbl>
    <w:p w:rsidR="00605769" w:rsidRDefault="00605769" w:rsidP="00DE3D1C">
      <w:pPr>
        <w:spacing w:after="0"/>
        <w:ind w:left="418" w:firstLine="1022"/>
      </w:pPr>
    </w:p>
    <w:p w:rsidR="002E798E" w:rsidRDefault="002E798E" w:rsidP="00DE3D1C">
      <w:pPr>
        <w:spacing w:after="0"/>
        <w:ind w:left="418" w:firstLine="1022"/>
      </w:pPr>
    </w:p>
    <w:p w:rsidR="00637042" w:rsidRDefault="00637042" w:rsidP="00DE3D1C">
      <w:pPr>
        <w:spacing w:after="0"/>
        <w:ind w:left="418" w:firstLine="1022"/>
      </w:pPr>
    </w:p>
    <w:p w:rsidR="00637042" w:rsidRDefault="00637042" w:rsidP="00DE3D1C">
      <w:pPr>
        <w:spacing w:after="0"/>
        <w:ind w:left="418" w:firstLine="1022"/>
      </w:pPr>
    </w:p>
    <w:p w:rsidR="00637042" w:rsidRDefault="00637042" w:rsidP="00DE3D1C">
      <w:pPr>
        <w:spacing w:after="0"/>
        <w:ind w:left="418" w:firstLine="1022"/>
      </w:pPr>
    </w:p>
    <w:p w:rsidR="00B45F4C" w:rsidRDefault="003A62C5" w:rsidP="00F25877">
      <w:pPr>
        <w:spacing w:after="0"/>
        <w:ind w:firstLine="1440"/>
      </w:pPr>
      <w:r>
        <w:lastRenderedPageBreak/>
        <w:t>33.</w:t>
      </w:r>
      <w:r>
        <w:tab/>
      </w:r>
      <w:r w:rsidR="00B45F4C">
        <w:t xml:space="preserve">The Complainant’s consumption </w:t>
      </w:r>
      <w:r w:rsidR="00605769">
        <w:t xml:space="preserve">in kWh </w:t>
      </w:r>
      <w:r w:rsidR="00B45F4C">
        <w:t>during the winter of 2012-2013</w:t>
      </w:r>
      <w:r w:rsidR="00B5710C">
        <w:rPr>
          <w:rStyle w:val="FootnoteReference"/>
        </w:rPr>
        <w:footnoteReference w:id="5"/>
      </w:r>
      <w:r w:rsidR="00B45F4C">
        <w:t xml:space="preserve"> was:</w:t>
      </w:r>
    </w:p>
    <w:p w:rsidR="001E3BC0" w:rsidRDefault="001E3BC0" w:rsidP="00DE3D1C">
      <w:pPr>
        <w:spacing w:after="0"/>
        <w:ind w:left="418" w:firstLine="1022"/>
      </w:pPr>
    </w:p>
    <w:tbl>
      <w:tblPr>
        <w:tblW w:w="364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720"/>
      </w:tblGrid>
      <w:tr w:rsidR="00B45F4C" w:rsidRPr="00B45F4C" w:rsidTr="00B45F4C">
        <w:trPr>
          <w:trHeight w:val="315"/>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Sept</w:t>
            </w:r>
          </w:p>
        </w:tc>
        <w:tc>
          <w:tcPr>
            <w:tcW w:w="1720" w:type="dxa"/>
            <w:shd w:val="clear" w:color="auto" w:fill="auto"/>
            <w:noWrap/>
            <w:vAlign w:val="bottom"/>
            <w:hideMark/>
          </w:tcPr>
          <w:p w:rsidR="00B45F4C" w:rsidRPr="00B45F4C" w:rsidRDefault="00B45F4C" w:rsidP="00B45F4C">
            <w:pPr>
              <w:tabs>
                <w:tab w:val="clear" w:pos="1440"/>
              </w:tabs>
              <w:spacing w:after="0" w:line="240" w:lineRule="auto"/>
              <w:jc w:val="right"/>
              <w:rPr>
                <w:color w:val="000000"/>
                <w:sz w:val="22"/>
                <w:szCs w:val="22"/>
              </w:rPr>
            </w:pPr>
            <w:r w:rsidRPr="00B45F4C">
              <w:rPr>
                <w:color w:val="000000"/>
                <w:sz w:val="22"/>
                <w:szCs w:val="22"/>
              </w:rPr>
              <w:t>121</w:t>
            </w:r>
          </w:p>
        </w:tc>
      </w:tr>
      <w:tr w:rsidR="00B45F4C" w:rsidRPr="00B45F4C" w:rsidTr="00B45F4C">
        <w:trPr>
          <w:trHeight w:val="300"/>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Oct</w:t>
            </w:r>
          </w:p>
        </w:tc>
        <w:tc>
          <w:tcPr>
            <w:tcW w:w="1720" w:type="dxa"/>
            <w:shd w:val="clear" w:color="auto" w:fill="auto"/>
            <w:noWrap/>
            <w:vAlign w:val="bottom"/>
            <w:hideMark/>
          </w:tcPr>
          <w:p w:rsidR="00B45F4C" w:rsidRPr="00B45F4C" w:rsidRDefault="00B45F4C" w:rsidP="00B45F4C">
            <w:pPr>
              <w:tabs>
                <w:tab w:val="clear" w:pos="1440"/>
              </w:tabs>
              <w:spacing w:after="0" w:line="240" w:lineRule="auto"/>
              <w:jc w:val="right"/>
              <w:rPr>
                <w:color w:val="000000"/>
                <w:sz w:val="22"/>
                <w:szCs w:val="22"/>
              </w:rPr>
            </w:pPr>
            <w:r w:rsidRPr="00B45F4C">
              <w:rPr>
                <w:color w:val="000000"/>
                <w:sz w:val="22"/>
                <w:szCs w:val="22"/>
              </w:rPr>
              <w:t>126</w:t>
            </w:r>
          </w:p>
        </w:tc>
      </w:tr>
      <w:tr w:rsidR="00B45F4C" w:rsidRPr="00B45F4C" w:rsidTr="00B45F4C">
        <w:trPr>
          <w:trHeight w:val="300"/>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Nov</w:t>
            </w:r>
          </w:p>
        </w:tc>
        <w:tc>
          <w:tcPr>
            <w:tcW w:w="1720" w:type="dxa"/>
            <w:shd w:val="clear" w:color="auto" w:fill="auto"/>
            <w:noWrap/>
            <w:vAlign w:val="bottom"/>
            <w:hideMark/>
          </w:tcPr>
          <w:p w:rsidR="00B45F4C" w:rsidRPr="00B45F4C" w:rsidRDefault="00B45F4C" w:rsidP="00B45F4C">
            <w:pPr>
              <w:tabs>
                <w:tab w:val="clear" w:pos="1440"/>
              </w:tabs>
              <w:spacing w:after="0" w:line="240" w:lineRule="auto"/>
              <w:jc w:val="right"/>
              <w:rPr>
                <w:color w:val="000000"/>
                <w:sz w:val="22"/>
                <w:szCs w:val="22"/>
              </w:rPr>
            </w:pPr>
            <w:r w:rsidRPr="00B45F4C">
              <w:rPr>
                <w:color w:val="000000"/>
                <w:sz w:val="22"/>
                <w:szCs w:val="22"/>
              </w:rPr>
              <w:t>192</w:t>
            </w:r>
          </w:p>
        </w:tc>
      </w:tr>
      <w:tr w:rsidR="00B45F4C" w:rsidRPr="00B45F4C" w:rsidTr="00B45F4C">
        <w:trPr>
          <w:trHeight w:val="300"/>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Dec</w:t>
            </w:r>
          </w:p>
        </w:tc>
        <w:tc>
          <w:tcPr>
            <w:tcW w:w="1720" w:type="dxa"/>
            <w:shd w:val="clear" w:color="auto" w:fill="auto"/>
            <w:noWrap/>
            <w:vAlign w:val="bottom"/>
            <w:hideMark/>
          </w:tcPr>
          <w:p w:rsidR="00B45F4C" w:rsidRPr="00B45F4C" w:rsidRDefault="00B45F4C" w:rsidP="00B45F4C">
            <w:pPr>
              <w:tabs>
                <w:tab w:val="clear" w:pos="1440"/>
              </w:tabs>
              <w:spacing w:after="0" w:line="240" w:lineRule="auto"/>
              <w:jc w:val="right"/>
              <w:rPr>
                <w:color w:val="000000"/>
                <w:sz w:val="22"/>
                <w:szCs w:val="22"/>
              </w:rPr>
            </w:pPr>
            <w:r w:rsidRPr="00B45F4C">
              <w:rPr>
                <w:color w:val="000000"/>
                <w:sz w:val="22"/>
                <w:szCs w:val="22"/>
              </w:rPr>
              <w:t>255</w:t>
            </w:r>
          </w:p>
        </w:tc>
      </w:tr>
      <w:tr w:rsidR="00B45F4C" w:rsidRPr="00B45F4C" w:rsidTr="00B45F4C">
        <w:trPr>
          <w:trHeight w:val="300"/>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Jan</w:t>
            </w:r>
          </w:p>
        </w:tc>
        <w:tc>
          <w:tcPr>
            <w:tcW w:w="1720" w:type="dxa"/>
            <w:shd w:val="clear" w:color="auto" w:fill="auto"/>
            <w:noWrap/>
            <w:vAlign w:val="bottom"/>
            <w:hideMark/>
          </w:tcPr>
          <w:p w:rsidR="00B45F4C" w:rsidRPr="00B45F4C" w:rsidRDefault="00B45F4C" w:rsidP="00B45F4C">
            <w:pPr>
              <w:tabs>
                <w:tab w:val="clear" w:pos="1440"/>
              </w:tabs>
              <w:spacing w:after="0" w:line="240" w:lineRule="auto"/>
              <w:jc w:val="right"/>
              <w:rPr>
                <w:color w:val="000000"/>
                <w:sz w:val="22"/>
                <w:szCs w:val="22"/>
              </w:rPr>
            </w:pPr>
            <w:r w:rsidRPr="00B45F4C">
              <w:rPr>
                <w:color w:val="000000"/>
                <w:sz w:val="22"/>
                <w:szCs w:val="22"/>
              </w:rPr>
              <w:t>301</w:t>
            </w:r>
          </w:p>
        </w:tc>
      </w:tr>
      <w:tr w:rsidR="00B45F4C" w:rsidRPr="00B45F4C" w:rsidTr="00B45F4C">
        <w:trPr>
          <w:trHeight w:val="300"/>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Feb</w:t>
            </w:r>
          </w:p>
        </w:tc>
        <w:tc>
          <w:tcPr>
            <w:tcW w:w="1720" w:type="dxa"/>
            <w:shd w:val="clear" w:color="auto" w:fill="auto"/>
            <w:noWrap/>
            <w:vAlign w:val="bottom"/>
            <w:hideMark/>
          </w:tcPr>
          <w:p w:rsidR="00B45F4C" w:rsidRPr="00B45F4C" w:rsidRDefault="00B45F4C" w:rsidP="00B45F4C">
            <w:pPr>
              <w:tabs>
                <w:tab w:val="clear" w:pos="1440"/>
              </w:tabs>
              <w:spacing w:after="0" w:line="240" w:lineRule="auto"/>
              <w:jc w:val="right"/>
              <w:rPr>
                <w:color w:val="000000"/>
                <w:sz w:val="22"/>
                <w:szCs w:val="22"/>
              </w:rPr>
            </w:pPr>
            <w:r w:rsidRPr="00B45F4C">
              <w:rPr>
                <w:color w:val="000000"/>
                <w:sz w:val="22"/>
                <w:szCs w:val="22"/>
              </w:rPr>
              <w:t>310</w:t>
            </w:r>
          </w:p>
        </w:tc>
      </w:tr>
      <w:tr w:rsidR="00B45F4C" w:rsidRPr="00B45F4C" w:rsidTr="00B45F4C">
        <w:trPr>
          <w:trHeight w:val="300"/>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 </w:t>
            </w:r>
          </w:p>
        </w:tc>
        <w:tc>
          <w:tcPr>
            <w:tcW w:w="17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p>
        </w:tc>
      </w:tr>
      <w:tr w:rsidR="00B45F4C" w:rsidRPr="00B45F4C" w:rsidTr="00B45F4C">
        <w:trPr>
          <w:trHeight w:val="300"/>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Total</w:t>
            </w:r>
          </w:p>
        </w:tc>
        <w:tc>
          <w:tcPr>
            <w:tcW w:w="1720" w:type="dxa"/>
            <w:shd w:val="clear" w:color="auto" w:fill="auto"/>
            <w:noWrap/>
            <w:vAlign w:val="bottom"/>
            <w:hideMark/>
          </w:tcPr>
          <w:p w:rsidR="00B45F4C" w:rsidRPr="00B45F4C" w:rsidRDefault="00B45F4C" w:rsidP="00B45F4C">
            <w:pPr>
              <w:tabs>
                <w:tab w:val="clear" w:pos="1440"/>
              </w:tabs>
              <w:spacing w:after="0" w:line="240" w:lineRule="auto"/>
              <w:jc w:val="right"/>
              <w:rPr>
                <w:color w:val="000000"/>
                <w:sz w:val="22"/>
                <w:szCs w:val="22"/>
              </w:rPr>
            </w:pPr>
            <w:r w:rsidRPr="00B45F4C">
              <w:rPr>
                <w:color w:val="000000"/>
                <w:sz w:val="22"/>
                <w:szCs w:val="22"/>
              </w:rPr>
              <w:t>1305</w:t>
            </w:r>
          </w:p>
        </w:tc>
      </w:tr>
    </w:tbl>
    <w:p w:rsidR="00DE3D1C" w:rsidRDefault="00DE3D1C" w:rsidP="00ED77E2">
      <w:pPr>
        <w:ind w:left="1440"/>
      </w:pPr>
    </w:p>
    <w:p w:rsidR="00B45F4C" w:rsidRDefault="00DE3D1C" w:rsidP="00605769">
      <w:pPr>
        <w:ind w:firstLine="1440"/>
      </w:pPr>
      <w:r>
        <w:t>34.</w:t>
      </w:r>
      <w:r>
        <w:tab/>
      </w:r>
      <w:r w:rsidR="00B45F4C">
        <w:t xml:space="preserve">The Complainant’s consumption </w:t>
      </w:r>
      <w:r w:rsidR="00605769">
        <w:t xml:space="preserve">in kWh </w:t>
      </w:r>
      <w:r w:rsidR="00B45F4C">
        <w:t>during winter of 2013-2014</w:t>
      </w:r>
      <w:r w:rsidR="00B5710C">
        <w:rPr>
          <w:rStyle w:val="FootnoteReference"/>
        </w:rPr>
        <w:footnoteReference w:id="6"/>
      </w:r>
      <w:r w:rsidR="00B45F4C">
        <w:t xml:space="preserve"> was: </w:t>
      </w:r>
    </w:p>
    <w:p w:rsidR="00DE3D1C" w:rsidRDefault="00DE3D1C" w:rsidP="003F3AC5">
      <w:pPr>
        <w:spacing w:after="0"/>
        <w:ind w:left="1440"/>
      </w:pPr>
    </w:p>
    <w:tbl>
      <w:tblPr>
        <w:tblW w:w="364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720"/>
      </w:tblGrid>
      <w:tr w:rsidR="00B45F4C" w:rsidRPr="00B45F4C" w:rsidTr="00B45F4C">
        <w:trPr>
          <w:trHeight w:val="315"/>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Sept</w:t>
            </w:r>
          </w:p>
        </w:tc>
        <w:tc>
          <w:tcPr>
            <w:tcW w:w="1720" w:type="dxa"/>
            <w:shd w:val="clear" w:color="auto" w:fill="auto"/>
            <w:noWrap/>
            <w:vAlign w:val="bottom"/>
            <w:hideMark/>
          </w:tcPr>
          <w:p w:rsidR="00B45F4C" w:rsidRPr="00B45F4C" w:rsidRDefault="00B45F4C" w:rsidP="00B45F4C">
            <w:pPr>
              <w:tabs>
                <w:tab w:val="clear" w:pos="1440"/>
              </w:tabs>
              <w:spacing w:after="0" w:line="240" w:lineRule="auto"/>
              <w:jc w:val="right"/>
              <w:rPr>
                <w:color w:val="000000"/>
                <w:sz w:val="22"/>
                <w:szCs w:val="22"/>
              </w:rPr>
            </w:pPr>
            <w:r w:rsidRPr="00B45F4C">
              <w:rPr>
                <w:color w:val="000000"/>
                <w:sz w:val="22"/>
                <w:szCs w:val="22"/>
              </w:rPr>
              <w:t>221</w:t>
            </w:r>
          </w:p>
        </w:tc>
      </w:tr>
      <w:tr w:rsidR="00B45F4C" w:rsidRPr="00B45F4C" w:rsidTr="00B45F4C">
        <w:trPr>
          <w:trHeight w:val="300"/>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Oct</w:t>
            </w:r>
          </w:p>
        </w:tc>
        <w:tc>
          <w:tcPr>
            <w:tcW w:w="1720" w:type="dxa"/>
            <w:shd w:val="clear" w:color="auto" w:fill="auto"/>
            <w:noWrap/>
            <w:vAlign w:val="bottom"/>
            <w:hideMark/>
          </w:tcPr>
          <w:p w:rsidR="00B45F4C" w:rsidRPr="00B45F4C" w:rsidRDefault="00B45F4C" w:rsidP="00B45F4C">
            <w:pPr>
              <w:tabs>
                <w:tab w:val="clear" w:pos="1440"/>
              </w:tabs>
              <w:spacing w:after="0" w:line="240" w:lineRule="auto"/>
              <w:jc w:val="right"/>
              <w:rPr>
                <w:color w:val="000000"/>
                <w:sz w:val="22"/>
                <w:szCs w:val="22"/>
              </w:rPr>
            </w:pPr>
            <w:r w:rsidRPr="00B45F4C">
              <w:rPr>
                <w:color w:val="000000"/>
                <w:sz w:val="22"/>
                <w:szCs w:val="22"/>
              </w:rPr>
              <w:t>484</w:t>
            </w:r>
          </w:p>
        </w:tc>
      </w:tr>
      <w:tr w:rsidR="00B45F4C" w:rsidRPr="00B45F4C" w:rsidTr="00B45F4C">
        <w:trPr>
          <w:trHeight w:val="300"/>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Nov</w:t>
            </w:r>
          </w:p>
        </w:tc>
        <w:tc>
          <w:tcPr>
            <w:tcW w:w="1720" w:type="dxa"/>
            <w:shd w:val="clear" w:color="auto" w:fill="auto"/>
            <w:noWrap/>
            <w:vAlign w:val="bottom"/>
            <w:hideMark/>
          </w:tcPr>
          <w:p w:rsidR="00B45F4C" w:rsidRPr="00B45F4C" w:rsidRDefault="00B45F4C" w:rsidP="00B45F4C">
            <w:pPr>
              <w:tabs>
                <w:tab w:val="clear" w:pos="1440"/>
              </w:tabs>
              <w:spacing w:after="0" w:line="240" w:lineRule="auto"/>
              <w:jc w:val="right"/>
              <w:rPr>
                <w:color w:val="000000"/>
                <w:sz w:val="22"/>
                <w:szCs w:val="22"/>
              </w:rPr>
            </w:pPr>
            <w:r w:rsidRPr="00B45F4C">
              <w:rPr>
                <w:color w:val="000000"/>
                <w:sz w:val="22"/>
                <w:szCs w:val="22"/>
              </w:rPr>
              <w:t>1245</w:t>
            </w:r>
          </w:p>
        </w:tc>
      </w:tr>
      <w:tr w:rsidR="00B45F4C" w:rsidRPr="00B45F4C" w:rsidTr="00B45F4C">
        <w:trPr>
          <w:trHeight w:val="300"/>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Dec</w:t>
            </w:r>
          </w:p>
        </w:tc>
        <w:tc>
          <w:tcPr>
            <w:tcW w:w="1720" w:type="dxa"/>
            <w:shd w:val="clear" w:color="auto" w:fill="auto"/>
            <w:noWrap/>
            <w:vAlign w:val="bottom"/>
            <w:hideMark/>
          </w:tcPr>
          <w:p w:rsidR="00B45F4C" w:rsidRPr="00B45F4C" w:rsidRDefault="00B45F4C" w:rsidP="00B45F4C">
            <w:pPr>
              <w:tabs>
                <w:tab w:val="clear" w:pos="1440"/>
              </w:tabs>
              <w:spacing w:after="0" w:line="240" w:lineRule="auto"/>
              <w:jc w:val="right"/>
              <w:rPr>
                <w:color w:val="000000"/>
                <w:sz w:val="22"/>
                <w:szCs w:val="22"/>
              </w:rPr>
            </w:pPr>
            <w:r w:rsidRPr="00B45F4C">
              <w:rPr>
                <w:color w:val="000000"/>
                <w:sz w:val="22"/>
                <w:szCs w:val="22"/>
              </w:rPr>
              <w:t>1505</w:t>
            </w:r>
          </w:p>
        </w:tc>
      </w:tr>
      <w:tr w:rsidR="00B45F4C" w:rsidRPr="00B45F4C" w:rsidTr="00B45F4C">
        <w:trPr>
          <w:trHeight w:val="300"/>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Jan</w:t>
            </w:r>
          </w:p>
        </w:tc>
        <w:tc>
          <w:tcPr>
            <w:tcW w:w="1720" w:type="dxa"/>
            <w:shd w:val="clear" w:color="auto" w:fill="auto"/>
            <w:noWrap/>
            <w:vAlign w:val="bottom"/>
            <w:hideMark/>
          </w:tcPr>
          <w:p w:rsidR="00B45F4C" w:rsidRPr="00B45F4C" w:rsidRDefault="00B45F4C" w:rsidP="00B45F4C">
            <w:pPr>
              <w:tabs>
                <w:tab w:val="clear" w:pos="1440"/>
              </w:tabs>
              <w:spacing w:after="0" w:line="240" w:lineRule="auto"/>
              <w:jc w:val="right"/>
              <w:rPr>
                <w:color w:val="000000"/>
                <w:sz w:val="22"/>
                <w:szCs w:val="22"/>
              </w:rPr>
            </w:pPr>
            <w:r w:rsidRPr="00B45F4C">
              <w:rPr>
                <w:color w:val="000000"/>
                <w:sz w:val="22"/>
                <w:szCs w:val="22"/>
              </w:rPr>
              <w:t>1273</w:t>
            </w:r>
          </w:p>
        </w:tc>
      </w:tr>
      <w:tr w:rsidR="00B45F4C" w:rsidRPr="00B45F4C" w:rsidTr="00B45F4C">
        <w:trPr>
          <w:trHeight w:val="300"/>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Feb</w:t>
            </w:r>
          </w:p>
        </w:tc>
        <w:tc>
          <w:tcPr>
            <w:tcW w:w="1720" w:type="dxa"/>
            <w:shd w:val="clear" w:color="auto" w:fill="auto"/>
            <w:noWrap/>
            <w:vAlign w:val="bottom"/>
            <w:hideMark/>
          </w:tcPr>
          <w:p w:rsidR="00B45F4C" w:rsidRPr="00B45F4C" w:rsidRDefault="00B45F4C" w:rsidP="00B45F4C">
            <w:pPr>
              <w:tabs>
                <w:tab w:val="clear" w:pos="1440"/>
              </w:tabs>
              <w:spacing w:after="0" w:line="240" w:lineRule="auto"/>
              <w:jc w:val="right"/>
              <w:rPr>
                <w:color w:val="000000"/>
                <w:sz w:val="22"/>
                <w:szCs w:val="22"/>
              </w:rPr>
            </w:pPr>
            <w:r w:rsidRPr="00B45F4C">
              <w:rPr>
                <w:color w:val="000000"/>
                <w:sz w:val="22"/>
                <w:szCs w:val="22"/>
              </w:rPr>
              <w:t>973</w:t>
            </w:r>
          </w:p>
        </w:tc>
      </w:tr>
      <w:tr w:rsidR="00B45F4C" w:rsidRPr="00B45F4C" w:rsidTr="00B45F4C">
        <w:trPr>
          <w:trHeight w:val="300"/>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 </w:t>
            </w:r>
          </w:p>
        </w:tc>
        <w:tc>
          <w:tcPr>
            <w:tcW w:w="17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p>
        </w:tc>
      </w:tr>
      <w:tr w:rsidR="00B45F4C" w:rsidRPr="00B45F4C" w:rsidTr="00B45F4C">
        <w:trPr>
          <w:trHeight w:val="300"/>
          <w:jc w:val="center"/>
        </w:trPr>
        <w:tc>
          <w:tcPr>
            <w:tcW w:w="1920" w:type="dxa"/>
            <w:shd w:val="clear" w:color="auto" w:fill="auto"/>
            <w:noWrap/>
            <w:vAlign w:val="bottom"/>
            <w:hideMark/>
          </w:tcPr>
          <w:p w:rsidR="00B45F4C" w:rsidRPr="00B45F4C" w:rsidRDefault="00B45F4C" w:rsidP="00B45F4C">
            <w:pPr>
              <w:tabs>
                <w:tab w:val="clear" w:pos="1440"/>
              </w:tabs>
              <w:spacing w:after="0" w:line="240" w:lineRule="auto"/>
              <w:rPr>
                <w:color w:val="000000"/>
                <w:sz w:val="22"/>
                <w:szCs w:val="22"/>
              </w:rPr>
            </w:pPr>
            <w:r w:rsidRPr="00B45F4C">
              <w:rPr>
                <w:color w:val="000000"/>
                <w:sz w:val="22"/>
                <w:szCs w:val="22"/>
              </w:rPr>
              <w:t>Total</w:t>
            </w:r>
          </w:p>
        </w:tc>
        <w:tc>
          <w:tcPr>
            <w:tcW w:w="1720" w:type="dxa"/>
            <w:shd w:val="clear" w:color="auto" w:fill="auto"/>
            <w:noWrap/>
            <w:vAlign w:val="bottom"/>
            <w:hideMark/>
          </w:tcPr>
          <w:p w:rsidR="00B45F4C" w:rsidRPr="00B45F4C" w:rsidRDefault="00B45F4C" w:rsidP="00B45F4C">
            <w:pPr>
              <w:tabs>
                <w:tab w:val="clear" w:pos="1440"/>
              </w:tabs>
              <w:spacing w:after="0" w:line="240" w:lineRule="auto"/>
              <w:jc w:val="right"/>
              <w:rPr>
                <w:color w:val="000000"/>
                <w:sz w:val="22"/>
                <w:szCs w:val="22"/>
              </w:rPr>
            </w:pPr>
            <w:r w:rsidRPr="00B45F4C">
              <w:rPr>
                <w:color w:val="000000"/>
                <w:sz w:val="22"/>
                <w:szCs w:val="22"/>
              </w:rPr>
              <w:t>5701</w:t>
            </w:r>
          </w:p>
        </w:tc>
      </w:tr>
    </w:tbl>
    <w:p w:rsidR="003F3AC5" w:rsidRDefault="003F3AC5" w:rsidP="00BB1646">
      <w:pPr>
        <w:ind w:left="1440"/>
      </w:pPr>
    </w:p>
    <w:p w:rsidR="00E62B1A" w:rsidRDefault="00E62B1A" w:rsidP="00BB1646">
      <w:pPr>
        <w:ind w:left="1440"/>
      </w:pPr>
    </w:p>
    <w:p w:rsidR="00E62B1A" w:rsidRDefault="00E62B1A" w:rsidP="00BB1646">
      <w:pPr>
        <w:ind w:left="1440"/>
      </w:pPr>
    </w:p>
    <w:p w:rsidR="00E62B1A" w:rsidRDefault="00E62B1A" w:rsidP="00BB1646">
      <w:pPr>
        <w:ind w:left="1440"/>
      </w:pPr>
    </w:p>
    <w:p w:rsidR="00E62B1A" w:rsidRDefault="00E62B1A" w:rsidP="00BB1646">
      <w:pPr>
        <w:ind w:left="1440"/>
      </w:pPr>
    </w:p>
    <w:p w:rsidR="00E62B1A" w:rsidRDefault="00E62B1A" w:rsidP="00BB1646">
      <w:pPr>
        <w:ind w:left="1440"/>
      </w:pPr>
    </w:p>
    <w:p w:rsidR="006C2CCA" w:rsidRDefault="003F3AC5" w:rsidP="00F25877">
      <w:pPr>
        <w:ind w:firstLine="1440"/>
      </w:pPr>
      <w:r>
        <w:lastRenderedPageBreak/>
        <w:t>35.</w:t>
      </w:r>
      <w:r>
        <w:tab/>
      </w:r>
      <w:r w:rsidR="006C2CCA">
        <w:t xml:space="preserve">The Complainant’s consumption </w:t>
      </w:r>
      <w:r w:rsidR="00605769">
        <w:t xml:space="preserve">in kWh </w:t>
      </w:r>
      <w:r w:rsidR="006C2CCA">
        <w:t>during the winter of 2014-2015</w:t>
      </w:r>
      <w:r w:rsidR="0096677E">
        <w:rPr>
          <w:rStyle w:val="FootnoteReference"/>
        </w:rPr>
        <w:footnoteReference w:id="7"/>
      </w:r>
      <w:r w:rsidR="006C2CCA">
        <w:t xml:space="preserve"> was:</w:t>
      </w:r>
    </w:p>
    <w:p w:rsidR="003F3AC5" w:rsidRDefault="003F3AC5" w:rsidP="003F3AC5">
      <w:pPr>
        <w:spacing w:after="0"/>
        <w:ind w:left="418" w:firstLine="1022"/>
      </w:pPr>
    </w:p>
    <w:tbl>
      <w:tblPr>
        <w:tblW w:w="364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720"/>
      </w:tblGrid>
      <w:tr w:rsidR="006C2CCA" w:rsidRPr="006C2CCA" w:rsidTr="0096677E">
        <w:trPr>
          <w:trHeight w:val="315"/>
          <w:jc w:val="center"/>
        </w:trPr>
        <w:tc>
          <w:tcPr>
            <w:tcW w:w="1920" w:type="dxa"/>
            <w:shd w:val="clear" w:color="auto" w:fill="auto"/>
            <w:noWrap/>
            <w:vAlign w:val="bottom"/>
            <w:hideMark/>
          </w:tcPr>
          <w:p w:rsidR="006C2CCA" w:rsidRPr="006C2CCA" w:rsidRDefault="006C2CCA" w:rsidP="006C2CCA">
            <w:pPr>
              <w:tabs>
                <w:tab w:val="clear" w:pos="1440"/>
              </w:tabs>
              <w:spacing w:after="0" w:line="240" w:lineRule="auto"/>
              <w:rPr>
                <w:color w:val="000000"/>
                <w:sz w:val="22"/>
                <w:szCs w:val="22"/>
              </w:rPr>
            </w:pPr>
            <w:r w:rsidRPr="006C2CCA">
              <w:rPr>
                <w:color w:val="000000"/>
                <w:sz w:val="22"/>
                <w:szCs w:val="22"/>
              </w:rPr>
              <w:t>Sept</w:t>
            </w:r>
          </w:p>
        </w:tc>
        <w:tc>
          <w:tcPr>
            <w:tcW w:w="1720" w:type="dxa"/>
            <w:shd w:val="clear" w:color="auto" w:fill="auto"/>
            <w:noWrap/>
            <w:vAlign w:val="bottom"/>
            <w:hideMark/>
          </w:tcPr>
          <w:p w:rsidR="006C2CCA" w:rsidRPr="006C2CCA" w:rsidRDefault="006C2CCA" w:rsidP="006C2CCA">
            <w:pPr>
              <w:tabs>
                <w:tab w:val="clear" w:pos="1440"/>
              </w:tabs>
              <w:spacing w:after="0" w:line="240" w:lineRule="auto"/>
              <w:jc w:val="right"/>
              <w:rPr>
                <w:color w:val="000000"/>
                <w:sz w:val="22"/>
                <w:szCs w:val="22"/>
              </w:rPr>
            </w:pPr>
            <w:r w:rsidRPr="006C2CCA">
              <w:rPr>
                <w:color w:val="000000"/>
                <w:sz w:val="22"/>
                <w:szCs w:val="22"/>
              </w:rPr>
              <w:t>194</w:t>
            </w:r>
          </w:p>
        </w:tc>
      </w:tr>
      <w:tr w:rsidR="006C2CCA" w:rsidRPr="006C2CCA" w:rsidTr="0096677E">
        <w:trPr>
          <w:trHeight w:val="300"/>
          <w:jc w:val="center"/>
        </w:trPr>
        <w:tc>
          <w:tcPr>
            <w:tcW w:w="1920" w:type="dxa"/>
            <w:shd w:val="clear" w:color="auto" w:fill="auto"/>
            <w:noWrap/>
            <w:vAlign w:val="bottom"/>
            <w:hideMark/>
          </w:tcPr>
          <w:p w:rsidR="006C2CCA" w:rsidRPr="006C2CCA" w:rsidRDefault="006C2CCA" w:rsidP="006C2CCA">
            <w:pPr>
              <w:tabs>
                <w:tab w:val="clear" w:pos="1440"/>
              </w:tabs>
              <w:spacing w:after="0" w:line="240" w:lineRule="auto"/>
              <w:rPr>
                <w:color w:val="000000"/>
                <w:sz w:val="22"/>
                <w:szCs w:val="22"/>
              </w:rPr>
            </w:pPr>
            <w:r w:rsidRPr="006C2CCA">
              <w:rPr>
                <w:color w:val="000000"/>
                <w:sz w:val="22"/>
                <w:szCs w:val="22"/>
              </w:rPr>
              <w:t>Oct</w:t>
            </w:r>
          </w:p>
        </w:tc>
        <w:tc>
          <w:tcPr>
            <w:tcW w:w="1720" w:type="dxa"/>
            <w:shd w:val="clear" w:color="auto" w:fill="auto"/>
            <w:noWrap/>
            <w:vAlign w:val="bottom"/>
            <w:hideMark/>
          </w:tcPr>
          <w:p w:rsidR="006C2CCA" w:rsidRPr="006C2CCA" w:rsidRDefault="006C2CCA" w:rsidP="006C2CCA">
            <w:pPr>
              <w:tabs>
                <w:tab w:val="clear" w:pos="1440"/>
              </w:tabs>
              <w:spacing w:after="0" w:line="240" w:lineRule="auto"/>
              <w:jc w:val="right"/>
              <w:rPr>
                <w:color w:val="000000"/>
                <w:sz w:val="22"/>
                <w:szCs w:val="22"/>
              </w:rPr>
            </w:pPr>
            <w:r w:rsidRPr="006C2CCA">
              <w:rPr>
                <w:color w:val="000000"/>
                <w:sz w:val="22"/>
                <w:szCs w:val="22"/>
              </w:rPr>
              <w:t>117</w:t>
            </w:r>
          </w:p>
        </w:tc>
      </w:tr>
      <w:tr w:rsidR="006C2CCA" w:rsidRPr="006C2CCA" w:rsidTr="0096677E">
        <w:trPr>
          <w:trHeight w:val="300"/>
          <w:jc w:val="center"/>
        </w:trPr>
        <w:tc>
          <w:tcPr>
            <w:tcW w:w="1920" w:type="dxa"/>
            <w:shd w:val="clear" w:color="auto" w:fill="auto"/>
            <w:noWrap/>
            <w:vAlign w:val="bottom"/>
            <w:hideMark/>
          </w:tcPr>
          <w:p w:rsidR="006C2CCA" w:rsidRPr="006C2CCA" w:rsidRDefault="006C2CCA" w:rsidP="006C2CCA">
            <w:pPr>
              <w:tabs>
                <w:tab w:val="clear" w:pos="1440"/>
              </w:tabs>
              <w:spacing w:after="0" w:line="240" w:lineRule="auto"/>
              <w:rPr>
                <w:color w:val="000000"/>
                <w:sz w:val="22"/>
                <w:szCs w:val="22"/>
              </w:rPr>
            </w:pPr>
            <w:r w:rsidRPr="006C2CCA">
              <w:rPr>
                <w:color w:val="000000"/>
                <w:sz w:val="22"/>
                <w:szCs w:val="22"/>
              </w:rPr>
              <w:t>Nov</w:t>
            </w:r>
          </w:p>
        </w:tc>
        <w:tc>
          <w:tcPr>
            <w:tcW w:w="1720" w:type="dxa"/>
            <w:shd w:val="clear" w:color="auto" w:fill="auto"/>
            <w:noWrap/>
            <w:vAlign w:val="bottom"/>
            <w:hideMark/>
          </w:tcPr>
          <w:p w:rsidR="006C2CCA" w:rsidRPr="006C2CCA" w:rsidRDefault="006C2CCA" w:rsidP="006C2CCA">
            <w:pPr>
              <w:tabs>
                <w:tab w:val="clear" w:pos="1440"/>
              </w:tabs>
              <w:spacing w:after="0" w:line="240" w:lineRule="auto"/>
              <w:jc w:val="right"/>
              <w:rPr>
                <w:color w:val="000000"/>
                <w:sz w:val="22"/>
                <w:szCs w:val="22"/>
              </w:rPr>
            </w:pPr>
            <w:r w:rsidRPr="006C2CCA">
              <w:rPr>
                <w:color w:val="000000"/>
                <w:sz w:val="22"/>
                <w:szCs w:val="22"/>
              </w:rPr>
              <w:t>455</w:t>
            </w:r>
          </w:p>
        </w:tc>
      </w:tr>
      <w:tr w:rsidR="006C2CCA" w:rsidRPr="006C2CCA" w:rsidTr="0096677E">
        <w:trPr>
          <w:trHeight w:val="300"/>
          <w:jc w:val="center"/>
        </w:trPr>
        <w:tc>
          <w:tcPr>
            <w:tcW w:w="1920" w:type="dxa"/>
            <w:shd w:val="clear" w:color="auto" w:fill="auto"/>
            <w:noWrap/>
            <w:vAlign w:val="bottom"/>
            <w:hideMark/>
          </w:tcPr>
          <w:p w:rsidR="006C2CCA" w:rsidRPr="006C2CCA" w:rsidRDefault="006C2CCA" w:rsidP="006C2CCA">
            <w:pPr>
              <w:tabs>
                <w:tab w:val="clear" w:pos="1440"/>
              </w:tabs>
              <w:spacing w:after="0" w:line="240" w:lineRule="auto"/>
              <w:rPr>
                <w:color w:val="000000"/>
                <w:sz w:val="22"/>
                <w:szCs w:val="22"/>
              </w:rPr>
            </w:pPr>
            <w:r w:rsidRPr="006C2CCA">
              <w:rPr>
                <w:color w:val="000000"/>
                <w:sz w:val="22"/>
                <w:szCs w:val="22"/>
              </w:rPr>
              <w:t>Dec</w:t>
            </w:r>
          </w:p>
        </w:tc>
        <w:tc>
          <w:tcPr>
            <w:tcW w:w="1720" w:type="dxa"/>
            <w:shd w:val="clear" w:color="auto" w:fill="auto"/>
            <w:noWrap/>
            <w:vAlign w:val="bottom"/>
            <w:hideMark/>
          </w:tcPr>
          <w:p w:rsidR="006C2CCA" w:rsidRPr="006C2CCA" w:rsidRDefault="006C2CCA" w:rsidP="006C2CCA">
            <w:pPr>
              <w:tabs>
                <w:tab w:val="clear" w:pos="1440"/>
              </w:tabs>
              <w:spacing w:after="0" w:line="240" w:lineRule="auto"/>
              <w:jc w:val="right"/>
              <w:rPr>
                <w:color w:val="000000"/>
                <w:sz w:val="22"/>
                <w:szCs w:val="22"/>
              </w:rPr>
            </w:pPr>
            <w:r w:rsidRPr="006C2CCA">
              <w:rPr>
                <w:color w:val="000000"/>
                <w:sz w:val="22"/>
                <w:szCs w:val="22"/>
              </w:rPr>
              <w:t>632</w:t>
            </w:r>
          </w:p>
        </w:tc>
      </w:tr>
      <w:tr w:rsidR="006C2CCA" w:rsidRPr="006C2CCA" w:rsidTr="0096677E">
        <w:trPr>
          <w:trHeight w:val="300"/>
          <w:jc w:val="center"/>
        </w:trPr>
        <w:tc>
          <w:tcPr>
            <w:tcW w:w="1920" w:type="dxa"/>
            <w:shd w:val="clear" w:color="auto" w:fill="auto"/>
            <w:noWrap/>
            <w:vAlign w:val="bottom"/>
            <w:hideMark/>
          </w:tcPr>
          <w:p w:rsidR="006C2CCA" w:rsidRPr="006C2CCA" w:rsidRDefault="006C2CCA" w:rsidP="006C2CCA">
            <w:pPr>
              <w:tabs>
                <w:tab w:val="clear" w:pos="1440"/>
              </w:tabs>
              <w:spacing w:after="0" w:line="240" w:lineRule="auto"/>
              <w:rPr>
                <w:color w:val="000000"/>
                <w:sz w:val="22"/>
                <w:szCs w:val="22"/>
              </w:rPr>
            </w:pPr>
            <w:r w:rsidRPr="006C2CCA">
              <w:rPr>
                <w:color w:val="000000"/>
                <w:sz w:val="22"/>
                <w:szCs w:val="22"/>
              </w:rPr>
              <w:t>Jan</w:t>
            </w:r>
          </w:p>
        </w:tc>
        <w:tc>
          <w:tcPr>
            <w:tcW w:w="1720" w:type="dxa"/>
            <w:shd w:val="clear" w:color="auto" w:fill="auto"/>
            <w:noWrap/>
            <w:vAlign w:val="bottom"/>
            <w:hideMark/>
          </w:tcPr>
          <w:p w:rsidR="006C2CCA" w:rsidRPr="006C2CCA" w:rsidRDefault="006C2CCA" w:rsidP="006C2CCA">
            <w:pPr>
              <w:tabs>
                <w:tab w:val="clear" w:pos="1440"/>
              </w:tabs>
              <w:spacing w:after="0" w:line="240" w:lineRule="auto"/>
              <w:jc w:val="right"/>
              <w:rPr>
                <w:color w:val="000000"/>
                <w:sz w:val="22"/>
                <w:szCs w:val="22"/>
              </w:rPr>
            </w:pPr>
            <w:r w:rsidRPr="006C2CCA">
              <w:rPr>
                <w:color w:val="000000"/>
                <w:sz w:val="22"/>
                <w:szCs w:val="22"/>
              </w:rPr>
              <w:t>690</w:t>
            </w:r>
          </w:p>
        </w:tc>
      </w:tr>
      <w:tr w:rsidR="006C2CCA" w:rsidRPr="006C2CCA" w:rsidTr="0096677E">
        <w:trPr>
          <w:trHeight w:val="300"/>
          <w:jc w:val="center"/>
        </w:trPr>
        <w:tc>
          <w:tcPr>
            <w:tcW w:w="1920" w:type="dxa"/>
            <w:shd w:val="clear" w:color="auto" w:fill="auto"/>
            <w:noWrap/>
            <w:vAlign w:val="bottom"/>
            <w:hideMark/>
          </w:tcPr>
          <w:p w:rsidR="006C2CCA" w:rsidRPr="006C2CCA" w:rsidRDefault="006C2CCA" w:rsidP="006C2CCA">
            <w:pPr>
              <w:tabs>
                <w:tab w:val="clear" w:pos="1440"/>
              </w:tabs>
              <w:spacing w:after="0" w:line="240" w:lineRule="auto"/>
              <w:rPr>
                <w:color w:val="000000"/>
                <w:sz w:val="22"/>
                <w:szCs w:val="22"/>
              </w:rPr>
            </w:pPr>
            <w:r w:rsidRPr="006C2CCA">
              <w:rPr>
                <w:color w:val="000000"/>
                <w:sz w:val="22"/>
                <w:szCs w:val="22"/>
              </w:rPr>
              <w:t>Feb</w:t>
            </w:r>
          </w:p>
        </w:tc>
        <w:tc>
          <w:tcPr>
            <w:tcW w:w="1720" w:type="dxa"/>
            <w:shd w:val="clear" w:color="auto" w:fill="auto"/>
            <w:noWrap/>
            <w:vAlign w:val="bottom"/>
            <w:hideMark/>
          </w:tcPr>
          <w:p w:rsidR="006C2CCA" w:rsidRPr="006C2CCA" w:rsidRDefault="006C2CCA" w:rsidP="006C2CCA">
            <w:pPr>
              <w:tabs>
                <w:tab w:val="clear" w:pos="1440"/>
              </w:tabs>
              <w:spacing w:after="0" w:line="240" w:lineRule="auto"/>
              <w:jc w:val="right"/>
              <w:rPr>
                <w:color w:val="000000"/>
                <w:sz w:val="22"/>
                <w:szCs w:val="22"/>
              </w:rPr>
            </w:pPr>
            <w:r w:rsidRPr="006C2CCA">
              <w:rPr>
                <w:color w:val="000000"/>
                <w:sz w:val="22"/>
                <w:szCs w:val="22"/>
              </w:rPr>
              <w:t>540</w:t>
            </w:r>
          </w:p>
        </w:tc>
      </w:tr>
      <w:tr w:rsidR="006C2CCA" w:rsidRPr="006C2CCA" w:rsidTr="0096677E">
        <w:trPr>
          <w:trHeight w:val="300"/>
          <w:jc w:val="center"/>
        </w:trPr>
        <w:tc>
          <w:tcPr>
            <w:tcW w:w="1920" w:type="dxa"/>
            <w:shd w:val="clear" w:color="auto" w:fill="auto"/>
            <w:noWrap/>
            <w:vAlign w:val="bottom"/>
            <w:hideMark/>
          </w:tcPr>
          <w:p w:rsidR="006C2CCA" w:rsidRPr="006C2CCA" w:rsidRDefault="006C2CCA" w:rsidP="006C2CCA">
            <w:pPr>
              <w:tabs>
                <w:tab w:val="clear" w:pos="1440"/>
              </w:tabs>
              <w:spacing w:after="0" w:line="240" w:lineRule="auto"/>
              <w:rPr>
                <w:color w:val="000000"/>
                <w:sz w:val="22"/>
                <w:szCs w:val="22"/>
              </w:rPr>
            </w:pPr>
            <w:r w:rsidRPr="006C2CCA">
              <w:rPr>
                <w:color w:val="000000"/>
                <w:sz w:val="22"/>
                <w:szCs w:val="22"/>
              </w:rPr>
              <w:t> </w:t>
            </w:r>
          </w:p>
        </w:tc>
        <w:tc>
          <w:tcPr>
            <w:tcW w:w="1720" w:type="dxa"/>
            <w:shd w:val="clear" w:color="auto" w:fill="auto"/>
            <w:noWrap/>
            <w:vAlign w:val="bottom"/>
            <w:hideMark/>
          </w:tcPr>
          <w:p w:rsidR="006C2CCA" w:rsidRPr="006C2CCA" w:rsidRDefault="006C2CCA" w:rsidP="006C2CCA">
            <w:pPr>
              <w:tabs>
                <w:tab w:val="clear" w:pos="1440"/>
              </w:tabs>
              <w:spacing w:after="0" w:line="240" w:lineRule="auto"/>
              <w:rPr>
                <w:color w:val="000000"/>
                <w:sz w:val="22"/>
                <w:szCs w:val="22"/>
              </w:rPr>
            </w:pPr>
            <w:r w:rsidRPr="006C2CCA">
              <w:rPr>
                <w:color w:val="000000"/>
                <w:sz w:val="22"/>
                <w:szCs w:val="22"/>
              </w:rPr>
              <w:t> </w:t>
            </w:r>
          </w:p>
        </w:tc>
      </w:tr>
      <w:tr w:rsidR="006C2CCA" w:rsidRPr="006C2CCA" w:rsidTr="0096677E">
        <w:trPr>
          <w:trHeight w:val="300"/>
          <w:jc w:val="center"/>
        </w:trPr>
        <w:tc>
          <w:tcPr>
            <w:tcW w:w="1920" w:type="dxa"/>
            <w:shd w:val="clear" w:color="auto" w:fill="auto"/>
            <w:noWrap/>
            <w:vAlign w:val="bottom"/>
            <w:hideMark/>
          </w:tcPr>
          <w:p w:rsidR="006C2CCA" w:rsidRPr="006C2CCA" w:rsidRDefault="006C2CCA" w:rsidP="006C2CCA">
            <w:pPr>
              <w:tabs>
                <w:tab w:val="clear" w:pos="1440"/>
              </w:tabs>
              <w:spacing w:after="0" w:line="240" w:lineRule="auto"/>
              <w:rPr>
                <w:color w:val="000000"/>
                <w:sz w:val="22"/>
                <w:szCs w:val="22"/>
              </w:rPr>
            </w:pPr>
            <w:r w:rsidRPr="006C2CCA">
              <w:rPr>
                <w:color w:val="000000"/>
                <w:sz w:val="22"/>
                <w:szCs w:val="22"/>
              </w:rPr>
              <w:t>Total</w:t>
            </w:r>
          </w:p>
        </w:tc>
        <w:tc>
          <w:tcPr>
            <w:tcW w:w="1720" w:type="dxa"/>
            <w:shd w:val="clear" w:color="auto" w:fill="auto"/>
            <w:noWrap/>
            <w:vAlign w:val="bottom"/>
            <w:hideMark/>
          </w:tcPr>
          <w:p w:rsidR="006C2CCA" w:rsidRPr="006C2CCA" w:rsidRDefault="006C2CCA" w:rsidP="006C2CCA">
            <w:pPr>
              <w:tabs>
                <w:tab w:val="clear" w:pos="1440"/>
              </w:tabs>
              <w:spacing w:after="0" w:line="240" w:lineRule="auto"/>
              <w:jc w:val="right"/>
              <w:rPr>
                <w:color w:val="000000"/>
                <w:sz w:val="22"/>
                <w:szCs w:val="22"/>
              </w:rPr>
            </w:pPr>
            <w:r w:rsidRPr="006C2CCA">
              <w:rPr>
                <w:color w:val="000000"/>
                <w:sz w:val="22"/>
                <w:szCs w:val="22"/>
              </w:rPr>
              <w:t>2628</w:t>
            </w:r>
          </w:p>
        </w:tc>
      </w:tr>
    </w:tbl>
    <w:p w:rsidR="00605769" w:rsidRDefault="00605769" w:rsidP="00BB1646">
      <w:pPr>
        <w:tabs>
          <w:tab w:val="clear" w:pos="1440"/>
          <w:tab w:val="left" w:pos="0"/>
        </w:tabs>
        <w:spacing w:after="0"/>
        <w:ind w:firstLine="1440"/>
      </w:pPr>
    </w:p>
    <w:p w:rsidR="006D54E1" w:rsidRDefault="006D54E1" w:rsidP="00BB1646">
      <w:pPr>
        <w:tabs>
          <w:tab w:val="clear" w:pos="1440"/>
          <w:tab w:val="left" w:pos="0"/>
        </w:tabs>
        <w:spacing w:after="0"/>
        <w:ind w:firstLine="1440"/>
      </w:pPr>
    </w:p>
    <w:p w:rsidR="006C2CCA" w:rsidRDefault="00E92DAD" w:rsidP="00BB1646">
      <w:pPr>
        <w:tabs>
          <w:tab w:val="clear" w:pos="1440"/>
          <w:tab w:val="left" w:pos="0"/>
        </w:tabs>
        <w:spacing w:after="0"/>
        <w:ind w:firstLine="1440"/>
      </w:pPr>
      <w:r>
        <w:t>3</w:t>
      </w:r>
      <w:r w:rsidR="00BB1646">
        <w:t>6</w:t>
      </w:r>
      <w:r>
        <w:t>.</w:t>
      </w:r>
      <w:r>
        <w:tab/>
      </w:r>
      <w:r w:rsidR="00F86694">
        <w:t xml:space="preserve"> </w:t>
      </w:r>
      <w:r w:rsidR="006C2CCA">
        <w:t xml:space="preserve"> </w:t>
      </w:r>
      <w:r w:rsidR="000F2E54">
        <w:t xml:space="preserve">  </w:t>
      </w:r>
      <w:r w:rsidR="000F2E54" w:rsidRPr="000F2E54">
        <w:t>The Complainant's usage for the winter of 2015 was consistent with the potential usage calculated by Ms. McQuilken.  (N.T. 144-45)</w:t>
      </w:r>
    </w:p>
    <w:p w:rsidR="00BB1646" w:rsidRDefault="00BB1646" w:rsidP="00BB1646">
      <w:pPr>
        <w:tabs>
          <w:tab w:val="clear" w:pos="1440"/>
          <w:tab w:val="left" w:pos="0"/>
        </w:tabs>
        <w:spacing w:after="0"/>
        <w:ind w:firstLine="1440"/>
      </w:pPr>
    </w:p>
    <w:p w:rsidR="002A10EC" w:rsidRDefault="00ED77E2" w:rsidP="00BB1646">
      <w:pPr>
        <w:tabs>
          <w:tab w:val="clear" w:pos="1440"/>
          <w:tab w:val="left" w:pos="0"/>
        </w:tabs>
        <w:spacing w:after="0"/>
        <w:ind w:firstLine="1440"/>
      </w:pPr>
      <w:r>
        <w:t>3</w:t>
      </w:r>
      <w:r w:rsidR="00BB1646">
        <w:t>7</w:t>
      </w:r>
      <w:r>
        <w:t>.</w:t>
      </w:r>
      <w:r>
        <w:tab/>
      </w:r>
      <w:r w:rsidR="002A10EC">
        <w:t>Christmas lights and space heaters are high consumption generators.  (N.T. 211)</w:t>
      </w:r>
    </w:p>
    <w:p w:rsidR="00BB1646" w:rsidRDefault="00BB1646" w:rsidP="00BB1646">
      <w:pPr>
        <w:spacing w:after="0"/>
        <w:ind w:left="1440"/>
      </w:pPr>
    </w:p>
    <w:p w:rsidR="002A10EC" w:rsidRDefault="00BB1646" w:rsidP="00BB1646">
      <w:pPr>
        <w:tabs>
          <w:tab w:val="clear" w:pos="1440"/>
          <w:tab w:val="left" w:pos="0"/>
        </w:tabs>
        <w:spacing w:after="0"/>
        <w:ind w:left="-90" w:firstLine="1530"/>
      </w:pPr>
      <w:r>
        <w:t>38.</w:t>
      </w:r>
      <w:r>
        <w:tab/>
      </w:r>
      <w:r w:rsidR="002A10EC">
        <w:t xml:space="preserve">The seasonal usage pattern at the Complainant’s service address is variable.  </w:t>
      </w:r>
      <w:proofErr w:type="gramStart"/>
      <w:r w:rsidR="002A10EC">
        <w:t>(N.T. 206; Exs.</w:t>
      </w:r>
      <w:proofErr w:type="gramEnd"/>
      <w:r w:rsidR="002A10EC">
        <w:t xml:space="preserve"> C-10; P-15)</w:t>
      </w:r>
    </w:p>
    <w:p w:rsidR="00BB1646" w:rsidRDefault="00BB1646" w:rsidP="00BB1646">
      <w:pPr>
        <w:spacing w:after="0"/>
        <w:ind w:left="1440"/>
      </w:pPr>
    </w:p>
    <w:p w:rsidR="00F86694" w:rsidRDefault="00BB1646" w:rsidP="00BB1646">
      <w:pPr>
        <w:tabs>
          <w:tab w:val="clear" w:pos="1440"/>
        </w:tabs>
        <w:spacing w:after="0"/>
        <w:ind w:firstLine="1440"/>
      </w:pPr>
      <w:r>
        <w:t>39.</w:t>
      </w:r>
      <w:r>
        <w:tab/>
      </w:r>
      <w:r w:rsidR="00A259CC">
        <w:t xml:space="preserve">All of the billing cycles for Complainant’s bills for the periods </w:t>
      </w:r>
      <w:proofErr w:type="gramStart"/>
      <w:r w:rsidR="00A259CC">
        <w:t>between October 2010 through October 2015</w:t>
      </w:r>
      <w:proofErr w:type="gramEnd"/>
      <w:r w:rsidR="00A259CC">
        <w:t xml:space="preserve"> were between 26 and 35 days in length.  (</w:t>
      </w:r>
      <w:r w:rsidR="00B604B5">
        <w:t xml:space="preserve">N.T. 219-20; </w:t>
      </w:r>
      <w:r w:rsidR="00A259CC">
        <w:t>Ex. C-9; Ex. P-15)</w:t>
      </w:r>
      <w:r w:rsidR="00F86694">
        <w:t xml:space="preserve"> </w:t>
      </w:r>
    </w:p>
    <w:p w:rsidR="00BB1646" w:rsidRDefault="00BB1646" w:rsidP="00BB1646">
      <w:pPr>
        <w:tabs>
          <w:tab w:val="clear" w:pos="1440"/>
        </w:tabs>
        <w:spacing w:after="0"/>
        <w:ind w:firstLine="1440"/>
      </w:pPr>
    </w:p>
    <w:p w:rsidR="00F86694" w:rsidRDefault="00F86694" w:rsidP="00BB1646">
      <w:pPr>
        <w:spacing w:after="0"/>
        <w:ind w:left="60"/>
        <w:jc w:val="center"/>
        <w:rPr>
          <w:u w:val="single"/>
        </w:rPr>
      </w:pPr>
      <w:r w:rsidRPr="00F86694">
        <w:rPr>
          <w:u w:val="single"/>
        </w:rPr>
        <w:t>DISCUSSION</w:t>
      </w:r>
    </w:p>
    <w:p w:rsidR="00BB1646" w:rsidRPr="00F86694" w:rsidRDefault="00BB1646" w:rsidP="00BB1646">
      <w:pPr>
        <w:spacing w:after="0"/>
        <w:ind w:left="60"/>
        <w:jc w:val="center"/>
        <w:rPr>
          <w:u w:val="single"/>
        </w:rPr>
      </w:pPr>
    </w:p>
    <w:p w:rsidR="00F86694" w:rsidRDefault="00F86694" w:rsidP="00557E74">
      <w:pPr>
        <w:spacing w:after="0"/>
      </w:pPr>
      <w:r>
        <w:tab/>
      </w:r>
      <w:r w:rsidRPr="00AC7009">
        <w:t xml:space="preserve">Section 701 of the Public Utility Code (Code), provides that any person may complain, in writing, about any act or thing done or omitted to be done by a public utility in violation, or claimed violation, of any law which the Commission has the jurisdiction to </w:t>
      </w:r>
      <w:r w:rsidRPr="00AC7009">
        <w:lastRenderedPageBreak/>
        <w:t>administer, or of any regulation or order of the Commission.</w:t>
      </w:r>
      <w:r w:rsidRPr="00AC7009">
        <w:rPr>
          <w:vertAlign w:val="superscript"/>
        </w:rPr>
        <w:footnoteReference w:id="8"/>
      </w:r>
      <w:r w:rsidRPr="00AC7009">
        <w:t xml:space="preserve">  A person seeking affirmative relief from the Commission has the burden of proof.</w:t>
      </w:r>
      <w:r w:rsidRPr="00AC7009">
        <w:rPr>
          <w:vertAlign w:val="superscript"/>
        </w:rPr>
        <w:footnoteReference w:id="9"/>
      </w:r>
    </w:p>
    <w:p w:rsidR="00557E74" w:rsidRDefault="00557E74" w:rsidP="00557E74">
      <w:pPr>
        <w:spacing w:after="0"/>
      </w:pPr>
    </w:p>
    <w:p w:rsidR="006558A0" w:rsidRDefault="006558A0" w:rsidP="00605769">
      <w:pPr>
        <w:spacing w:after="0"/>
      </w:pPr>
      <w:r>
        <w:tab/>
      </w:r>
      <w:r w:rsidRPr="00AC7009">
        <w:t>In this matter, the Complainant is the party seeking affirmative relief from the Commission; therefore, he has the burden of proof.  This means that he must establish a material fact by a preponderance of the evidence, and must show that the company has violated the Public Utility Code or Commission regulations.</w:t>
      </w:r>
      <w:r w:rsidRPr="00AC7009">
        <w:rPr>
          <w:vertAlign w:val="superscript"/>
        </w:rPr>
        <w:footnoteReference w:id="10"/>
      </w:r>
      <w:r w:rsidRPr="00AC7009">
        <w:t xml:space="preserve"> </w:t>
      </w:r>
      <w:r w:rsidR="002B245A">
        <w:t xml:space="preserve"> </w:t>
      </w:r>
      <w:r>
        <w:t>Specifically, it is the Complainant’s burden to demonstrate that his bills are incorrect because his consumption is not properly recorded or is falsely recorded by presenting facts to support his argument.</w:t>
      </w:r>
    </w:p>
    <w:p w:rsidR="00605769" w:rsidRDefault="00605769" w:rsidP="00605769">
      <w:pPr>
        <w:spacing w:after="0"/>
      </w:pPr>
    </w:p>
    <w:p w:rsidR="006558A0" w:rsidRDefault="006558A0" w:rsidP="00557E74">
      <w:pPr>
        <w:spacing w:after="0"/>
      </w:pPr>
      <w:r>
        <w:tab/>
        <w:t>The</w:t>
      </w:r>
      <w:r w:rsidRPr="00ED2E14">
        <w:t xml:space="preserve"> Complainant’s burden of proof is governed by </w:t>
      </w:r>
      <w:r w:rsidRPr="004C1836">
        <w:rPr>
          <w:i/>
        </w:rPr>
        <w:t>Wald</w:t>
      </w:r>
      <w:r>
        <w:rPr>
          <w:i/>
        </w:rPr>
        <w:t xml:space="preserve">ron v. Philadelphia Electric </w:t>
      </w:r>
      <w:proofErr w:type="gramStart"/>
      <w:r>
        <w:rPr>
          <w:i/>
        </w:rPr>
        <w:t>Co.</w:t>
      </w:r>
      <w:r w:rsidRPr="00CB39AB">
        <w:rPr>
          <w:rStyle w:val="FootnoteReference"/>
        </w:rPr>
        <w:footnoteReference w:id="11"/>
      </w:r>
      <w:r w:rsidRPr="00CB39AB">
        <w:t xml:space="preserve"> </w:t>
      </w:r>
      <w:r w:rsidRPr="00ED2E14">
        <w:t xml:space="preserve"> In</w:t>
      </w:r>
      <w:proofErr w:type="gramEnd"/>
      <w:r w:rsidRPr="00ED2E14">
        <w:t xml:space="preserve"> </w:t>
      </w:r>
      <w:r w:rsidRPr="004C1836">
        <w:rPr>
          <w:i/>
        </w:rPr>
        <w:t>Waldron</w:t>
      </w:r>
      <w:r w:rsidRPr="00ED2E14">
        <w:t xml:space="preserve">, the Commission concluded that a complainant may establish a </w:t>
      </w:r>
      <w:r w:rsidRPr="004C1836">
        <w:rPr>
          <w:i/>
        </w:rPr>
        <w:t>prima facie</w:t>
      </w:r>
      <w:r w:rsidRPr="00ED2E14">
        <w:t xml:space="preserve"> case by showing that:  (1) the number of occupants of the household has not changed; (2)</w:t>
      </w:r>
      <w:r w:rsidR="002B22B6">
        <w:t> </w:t>
      </w:r>
      <w:r w:rsidRPr="00ED2E14">
        <w:t xml:space="preserve">the potential for energy utilization is low; and (3) the prior billing history shows no previous abnormalities.  </w:t>
      </w:r>
    </w:p>
    <w:p w:rsidR="00557E74" w:rsidRPr="00ED2E14" w:rsidRDefault="00557E74" w:rsidP="00557E74">
      <w:pPr>
        <w:spacing w:after="0"/>
      </w:pPr>
    </w:p>
    <w:p w:rsidR="006558A0" w:rsidRDefault="006558A0" w:rsidP="00557E74">
      <w:pPr>
        <w:spacing w:after="0"/>
      </w:pPr>
      <w:r>
        <w:tab/>
      </w:r>
      <w:r w:rsidRPr="00ED2E14">
        <w:t xml:space="preserve">The Commonwealth Court broadened the Commission’s ruling in </w:t>
      </w:r>
      <w:r w:rsidRPr="004C1836">
        <w:rPr>
          <w:i/>
        </w:rPr>
        <w:t>Waldron</w:t>
      </w:r>
      <w:r w:rsidRPr="00ED2E14">
        <w:t xml:space="preserve"> in </w:t>
      </w:r>
      <w:r w:rsidRPr="004C1836">
        <w:rPr>
          <w:i/>
        </w:rPr>
        <w:t>Milkie v. P</w:t>
      </w:r>
      <w:r w:rsidR="00557E74">
        <w:rPr>
          <w:i/>
        </w:rPr>
        <w:t>a. Pub. Util. Comm’n</w:t>
      </w:r>
      <w:r w:rsidRPr="00254B7C">
        <w:t>.</w:t>
      </w:r>
      <w:r w:rsidRPr="00254B7C">
        <w:rPr>
          <w:rStyle w:val="FootnoteReference"/>
        </w:rPr>
        <w:footnoteReference w:id="12"/>
      </w:r>
      <w:r w:rsidRPr="00254B7C">
        <w:t xml:space="preserve">  The</w:t>
      </w:r>
      <w:r w:rsidRPr="00ED2E14">
        <w:t xml:space="preserve"> Commonwealth Court held that the Commission’s requirement that the </w:t>
      </w:r>
      <w:r w:rsidR="002B245A">
        <w:t>c</w:t>
      </w:r>
      <w:r w:rsidRPr="00ED2E14">
        <w:t xml:space="preserve">omplainant must establish certain specific elements in order to make out a </w:t>
      </w:r>
      <w:r w:rsidRPr="00ED2E14">
        <w:rPr>
          <w:i/>
        </w:rPr>
        <w:t>prima facie</w:t>
      </w:r>
      <w:r w:rsidRPr="00ED2E14">
        <w:t xml:space="preserve"> case was too restrictive.  The Commonwealth Court ruled that even where the utility has presented evidence that it has tested the customer’s meter and found it to be accurate; the customer may prove his or her case by circumstantial evidence that the metered usage exceeded actual usage.  The Commission may consider the billing history of the account, any change in usage pattern or any other relevant facts or circumstances that come to light during the </w:t>
      </w:r>
      <w:r w:rsidRPr="00ED2E14">
        <w:lastRenderedPageBreak/>
        <w:t>proceeding.</w:t>
      </w:r>
      <w:r>
        <w:rPr>
          <w:rStyle w:val="FootnoteReference"/>
        </w:rPr>
        <w:footnoteReference w:id="13"/>
      </w:r>
      <w:r w:rsidRPr="00ED2E14">
        <w:t xml:space="preserve">  </w:t>
      </w:r>
      <w:r>
        <w:t>Further, the Commission has also held that in response to a high bill complaint, the accuracy of a meter test alone is not conclusive evidence and does not by itself mandate a finding against a complaint and in favor of a utility.</w:t>
      </w:r>
      <w:r>
        <w:rPr>
          <w:rStyle w:val="FootnoteReference"/>
        </w:rPr>
        <w:footnoteReference w:id="14"/>
      </w:r>
      <w:r>
        <w:t xml:space="preserve">  </w:t>
      </w:r>
      <w:r w:rsidRPr="00ED2E14">
        <w:t>This rule protects t</w:t>
      </w:r>
      <w:r>
        <w:t>he c</w:t>
      </w:r>
      <w:r w:rsidRPr="00ED2E14">
        <w:t xml:space="preserve">omplainant from dismissal because of his inability to produce direct proof that the meter malfunctioned. </w:t>
      </w:r>
    </w:p>
    <w:p w:rsidR="00557E74" w:rsidRDefault="00557E74" w:rsidP="00557E74">
      <w:pPr>
        <w:spacing w:after="0"/>
      </w:pPr>
    </w:p>
    <w:p w:rsidR="00000943" w:rsidRDefault="00000943" w:rsidP="00557E74">
      <w:pPr>
        <w:spacing w:after="0"/>
      </w:pPr>
      <w:r>
        <w:tab/>
        <w:t>The Complainant did not prove his theory that PECO is manipulating the information from his meter to generate fraudulent or incorrect consumption data.  The Complainant also did not prove with direct or circumstantial evidence that his bills are incorrect.</w:t>
      </w:r>
    </w:p>
    <w:p w:rsidR="00557E74" w:rsidRDefault="00557E74" w:rsidP="00557E74">
      <w:pPr>
        <w:spacing w:after="0"/>
      </w:pPr>
    </w:p>
    <w:p w:rsidR="00605769" w:rsidRDefault="00BB5FBB" w:rsidP="00605769">
      <w:r>
        <w:tab/>
        <w:t>The Complainant has been very clear that his complaint about his bills is not about the amount of his bills.  Rather, it is his view that the usage recorded on his meter</w:t>
      </w:r>
      <w:r w:rsidR="00605769">
        <w:t xml:space="preserve"> </w:t>
      </w:r>
    </w:p>
    <w:p w:rsidR="00F91721" w:rsidRDefault="00F91721" w:rsidP="00A10C9A">
      <w:pPr>
        <w:spacing w:after="0" w:line="240" w:lineRule="auto"/>
        <w:ind w:left="1440" w:right="720"/>
      </w:pPr>
    </w:p>
    <w:p w:rsidR="00F86694" w:rsidRDefault="00BB5FBB" w:rsidP="00605769">
      <w:pPr>
        <w:spacing w:line="240" w:lineRule="auto"/>
        <w:ind w:left="1440" w:right="720"/>
      </w:pPr>
      <w:proofErr w:type="gramStart"/>
      <w:r>
        <w:t>is</w:t>
      </w:r>
      <w:proofErr w:type="gramEnd"/>
      <w:r>
        <w:t xml:space="preserve"> a result of communication between PECO’s meter and the base station and the algorithms that are used to compute this usage. . . . </w:t>
      </w:r>
      <w:r w:rsidR="00F77321">
        <w:t>[E]</w:t>
      </w:r>
      <w:r>
        <w:t>ach of these meters collect, distribute and receive synchronized data which has been accumulated from many different sources and finally changed with input into PECO’s meter with the cash module.</w:t>
      </w:r>
    </w:p>
    <w:p w:rsidR="009C6F72" w:rsidRDefault="009C6F72" w:rsidP="00605769">
      <w:pPr>
        <w:tabs>
          <w:tab w:val="clear" w:pos="1440"/>
          <w:tab w:val="left" w:pos="0"/>
        </w:tabs>
        <w:spacing w:after="0" w:line="240" w:lineRule="auto"/>
        <w:ind w:right="720" w:firstLine="1440"/>
      </w:pPr>
    </w:p>
    <w:p w:rsidR="00BB5FBB" w:rsidRDefault="00BB5FBB" w:rsidP="00605769">
      <w:pPr>
        <w:tabs>
          <w:tab w:val="clear" w:pos="1440"/>
        </w:tabs>
        <w:spacing w:after="0" w:line="240" w:lineRule="auto"/>
        <w:ind w:left="1440" w:right="720"/>
      </w:pPr>
      <w:r>
        <w:t>The data comes from a comparison of house-to-house information, house-to-street, house-to-radius, house-to-zip code, house-to-neighbor, house-to-city. . . . [T]he data consists of historic data, present data, current data and projected data.</w:t>
      </w:r>
    </w:p>
    <w:p w:rsidR="009C6F72" w:rsidRDefault="009C6F72" w:rsidP="00605769">
      <w:pPr>
        <w:tabs>
          <w:tab w:val="clear" w:pos="1440"/>
        </w:tabs>
        <w:spacing w:after="0" w:line="240" w:lineRule="auto"/>
        <w:ind w:right="720" w:firstLine="1440"/>
      </w:pPr>
    </w:p>
    <w:p w:rsidR="00BB5FBB" w:rsidRDefault="00291048" w:rsidP="00605769">
      <w:pPr>
        <w:tabs>
          <w:tab w:val="clear" w:pos="1440"/>
        </w:tabs>
        <w:spacing w:after="0" w:line="240" w:lineRule="auto"/>
        <w:ind w:left="1440" w:right="720"/>
      </w:pPr>
      <w:r>
        <w:t>All the data is comp</w:t>
      </w:r>
      <w:r w:rsidR="00BB5FBB">
        <w:t>iled, and under a number of series of mathematic algorithm</w:t>
      </w:r>
      <w:r>
        <w:t>s</w:t>
      </w:r>
      <w:r w:rsidR="00BB5FBB">
        <w:t xml:space="preserve">, usage is determined.  . . . </w:t>
      </w:r>
    </w:p>
    <w:p w:rsidR="009C6F72" w:rsidRDefault="009C6F72" w:rsidP="00605769">
      <w:pPr>
        <w:tabs>
          <w:tab w:val="clear" w:pos="1440"/>
        </w:tabs>
        <w:spacing w:after="0" w:line="240" w:lineRule="auto"/>
        <w:ind w:right="720" w:firstLine="1440"/>
      </w:pPr>
    </w:p>
    <w:p w:rsidR="00F81393" w:rsidRDefault="00F77321" w:rsidP="00605769">
      <w:pPr>
        <w:spacing w:line="240" w:lineRule="auto"/>
        <w:ind w:left="1440" w:right="720"/>
      </w:pPr>
      <w:r>
        <w:t>[T]he</w:t>
      </w:r>
      <w:r w:rsidR="00F81393">
        <w:t xml:space="preserve"> usage that is being displayed and recorded on my account is fraudulent.</w:t>
      </w:r>
      <w:r w:rsidR="00C874C0">
        <w:rPr>
          <w:rStyle w:val="FootnoteReference"/>
        </w:rPr>
        <w:footnoteReference w:id="15"/>
      </w:r>
    </w:p>
    <w:p w:rsidR="00BB5FBB" w:rsidRDefault="00BB5FBB" w:rsidP="001F1084">
      <w:pPr>
        <w:spacing w:after="0"/>
      </w:pPr>
      <w:r>
        <w:tab/>
      </w:r>
    </w:p>
    <w:p w:rsidR="002F0128" w:rsidRDefault="002F0128" w:rsidP="001F1084">
      <w:pPr>
        <w:spacing w:after="0"/>
        <w:ind w:left="58"/>
      </w:pPr>
      <w:r>
        <w:lastRenderedPageBreak/>
        <w:t>In short, in the Complainant’s view, PECO’s computer system is manipulating the consumption data generated by his meter so that the consumption used to calculate his bill does not actually reflect the electricity that his appliances are using.</w:t>
      </w:r>
      <w:r>
        <w:rPr>
          <w:rStyle w:val="FootnoteReference"/>
        </w:rPr>
        <w:footnoteReference w:id="16"/>
      </w:r>
      <w:r w:rsidR="00291048">
        <w:tab/>
      </w:r>
    </w:p>
    <w:p w:rsidR="001F1084" w:rsidRDefault="001F1084" w:rsidP="001F1084">
      <w:pPr>
        <w:spacing w:after="0"/>
        <w:ind w:left="58"/>
      </w:pPr>
    </w:p>
    <w:p w:rsidR="00F86694" w:rsidRDefault="00EF0F66" w:rsidP="001F1084">
      <w:pPr>
        <w:spacing w:after="0"/>
        <w:ind w:left="60"/>
      </w:pPr>
      <w:r>
        <w:tab/>
      </w:r>
      <w:r w:rsidR="00291048">
        <w:t>PECO counters that there is no “algorithm” used to generate the Complainant’s usage; the consumption recorded on his meter is simply transmitted to the company and his bill is calculated based on that consumption.  PECO observes that the Complainant’s argument appears to be premised on the operation of a smart meter.  However, there is no smart meter installed at the Complainant’s residence.</w:t>
      </w:r>
    </w:p>
    <w:p w:rsidR="001F1084" w:rsidRDefault="001F1084" w:rsidP="001F1084">
      <w:pPr>
        <w:spacing w:after="0"/>
        <w:ind w:left="60"/>
      </w:pPr>
    </w:p>
    <w:p w:rsidR="004B0A1C" w:rsidRDefault="004B0A1C" w:rsidP="001F1084">
      <w:pPr>
        <w:spacing w:after="0"/>
        <w:ind w:left="60"/>
      </w:pPr>
      <w:r>
        <w:tab/>
      </w:r>
      <w:r w:rsidR="00EF0F66">
        <w:t xml:space="preserve">The Complainant failed to sustain his burden of proof.  Although the meter tests performed by PECO are not necessarily determinative, he must present more than mere speculation to support his claims that his consumption is incorrect.  </w:t>
      </w:r>
      <w:r>
        <w:t xml:space="preserve">The Complainant offered no evidence to support his contention that PECO is manipulating the consumption read by his meter by sending information into his meter to change the reading.  The only evidence offered by the Complainant </w:t>
      </w:r>
      <w:r w:rsidR="00F27ABE">
        <w:t>was selected pages from meter manuals</w:t>
      </w:r>
      <w:r>
        <w:t>.  While the document</w:t>
      </w:r>
      <w:r w:rsidR="00F27ABE">
        <w:t>s</w:t>
      </w:r>
      <w:r>
        <w:t xml:space="preserve"> generally describe “two-way networks” it does not prove that PECO is sending information into the Complainant’s meter to falsify his consumption reading.</w:t>
      </w:r>
      <w:r w:rsidR="00EA03E3">
        <w:t xml:space="preserve">  Even if the meter had the ability to receive information from PECO, the Complainant did not offer any evidence to support his notion that PECO is collecting data from other sources and directing </w:t>
      </w:r>
      <w:r w:rsidR="00637042">
        <w:t xml:space="preserve">the data </w:t>
      </w:r>
      <w:r w:rsidR="00EA03E3">
        <w:t>into his meter in order to falsify his consumption reading.</w:t>
      </w:r>
    </w:p>
    <w:p w:rsidR="001F1084" w:rsidRDefault="001F1084" w:rsidP="001F1084">
      <w:pPr>
        <w:spacing w:after="0"/>
        <w:ind w:left="60"/>
      </w:pPr>
    </w:p>
    <w:p w:rsidR="004B0A1C" w:rsidRDefault="004B0A1C" w:rsidP="001F1084">
      <w:pPr>
        <w:spacing w:after="0"/>
        <w:ind w:left="60"/>
      </w:pPr>
      <w:r>
        <w:tab/>
      </w:r>
      <w:r w:rsidR="00F27ABE">
        <w:t xml:space="preserve">The convincing evidence in the record shows that </w:t>
      </w:r>
      <w:r>
        <w:t>the meter installed at the</w:t>
      </w:r>
      <w:r w:rsidR="00F27ABE">
        <w:t xml:space="preserve"> Complainant’s</w:t>
      </w:r>
      <w:r>
        <w:t xml:space="preserve"> service address is an AMR meter.  </w:t>
      </w:r>
      <w:r w:rsidR="00F27ABE">
        <w:t>Only actual data is reported from the meter on a daily basis.  The meter is only capable of sending information to PECO.  It is not capable of receiving any information or instruction from PECO or any other source.</w:t>
      </w:r>
    </w:p>
    <w:p w:rsidR="001F1084" w:rsidRDefault="001F1084" w:rsidP="001F1084">
      <w:pPr>
        <w:spacing w:after="0"/>
        <w:ind w:left="60"/>
      </w:pPr>
    </w:p>
    <w:p w:rsidR="00FE1783" w:rsidRDefault="00FE1783" w:rsidP="001F1084">
      <w:pPr>
        <w:spacing w:after="0"/>
        <w:ind w:left="60"/>
      </w:pPr>
      <w:r>
        <w:tab/>
      </w:r>
      <w:r w:rsidR="00697E13">
        <w:t>The Complainant also did not prove by any circumstantial evidence that his meter is not accurately reporting his consumption.  He has only complained that his winter consumption is not accurately reported.  A review of his consumption history demonstrates that</w:t>
      </w:r>
      <w:r>
        <w:t xml:space="preserve"> </w:t>
      </w:r>
      <w:r>
        <w:lastRenderedPageBreak/>
        <w:t xml:space="preserve">his winter consumption fluctuates significantly from one winter season to the next. </w:t>
      </w:r>
      <w:r w:rsidR="009C6F72">
        <w:t xml:space="preserve"> </w:t>
      </w:r>
      <w:r>
        <w:t xml:space="preserve">For example, </w:t>
      </w:r>
      <w:r w:rsidRPr="00697E13">
        <w:t>in the winter of 2011-2012 and</w:t>
      </w:r>
      <w:r>
        <w:t xml:space="preserve"> the winter of 2012-2013, his monthly consumption never exceeded his potential usage, as estimated by Ms. McQuilken during the September 24, 2015 high bill investigation.  However, during the winter of 2010-2011, he </w:t>
      </w:r>
      <w:proofErr w:type="gramStart"/>
      <w:r>
        <w:t>exceed</w:t>
      </w:r>
      <w:proofErr w:type="gramEnd"/>
      <w:r>
        <w:t xml:space="preserve"> the potential monthly usage in two months; during the winter of 2013-2014, he exceeded the potential monthly usage in four months.  </w:t>
      </w:r>
      <w:r w:rsidR="00697E13">
        <w:t>Therefore, there is no consistent pattern of usage.</w:t>
      </w:r>
    </w:p>
    <w:p w:rsidR="001F1084" w:rsidRDefault="001F1084" w:rsidP="001F1084">
      <w:pPr>
        <w:spacing w:after="0"/>
        <w:ind w:left="60"/>
      </w:pPr>
    </w:p>
    <w:p w:rsidR="00FE1783" w:rsidRDefault="00FE1783" w:rsidP="001F1084">
      <w:pPr>
        <w:spacing w:after="0"/>
        <w:ind w:left="60"/>
      </w:pPr>
      <w:r>
        <w:tab/>
        <w:t xml:space="preserve">His gas is capped </w:t>
      </w:r>
      <w:r w:rsidR="00697E13">
        <w:t xml:space="preserve">and has </w:t>
      </w:r>
      <w:r>
        <w:t>not</w:t>
      </w:r>
      <w:r w:rsidR="00697E13">
        <w:t xml:space="preserve"> been</w:t>
      </w:r>
      <w:r>
        <w:t xml:space="preserve"> used for heating his home</w:t>
      </w:r>
      <w:r w:rsidR="00697E13">
        <w:t xml:space="preserve"> since 2009</w:t>
      </w:r>
      <w:r>
        <w:t xml:space="preserve">. </w:t>
      </w:r>
      <w:r w:rsidR="00272EBC">
        <w:t xml:space="preserve"> He insists that he does not use electric space heaters to heat his home.</w:t>
      </w:r>
      <w:r>
        <w:t xml:space="preserve"> </w:t>
      </w:r>
      <w:r w:rsidR="00272EBC">
        <w:t xml:space="preserve">The Complainant </w:t>
      </w:r>
      <w:r>
        <w:t>claims that he heats his home with kerosene heaters</w:t>
      </w:r>
      <w:r w:rsidR="00605769">
        <w:t>, but</w:t>
      </w:r>
      <w:r>
        <w:t xml:space="preserve"> he produced no evidence that those heaters exist.  When Ms. McQuilken visited in August 2011, he claimed that they had been sent out to have the wicks replaced.  </w:t>
      </w:r>
      <w:r w:rsidR="00272EBC">
        <w:t xml:space="preserve">At the hearing, </w:t>
      </w:r>
      <w:r>
        <w:t xml:space="preserve">he did not produce any service receipts, kerosene receipts, or photographs to support his testimony.  </w:t>
      </w:r>
    </w:p>
    <w:p w:rsidR="001F1084" w:rsidRDefault="001F1084" w:rsidP="001F1084">
      <w:pPr>
        <w:spacing w:after="0"/>
        <w:ind w:left="60"/>
      </w:pPr>
    </w:p>
    <w:p w:rsidR="00814C7D" w:rsidRDefault="00814C7D" w:rsidP="001F1084">
      <w:pPr>
        <w:spacing w:after="0"/>
        <w:ind w:left="60"/>
      </w:pPr>
      <w:r>
        <w:tab/>
        <w:t>In contrast, PECO tested the Complainant’s meter and determined that it was operating properly.  There is no indication that there is a problem with the consumption recorded during the summer months.  Although the Complainant’s usage during the winter at times exceeds the potential for use calculated during the field investigation, the usage potential is only based on national averages.  And it is only based on the appliances that the investigator’s observed.  The Complainant produced no evidence to prove that he does not heat his home with electricity during the winter.  He does not use gas to heat his home if the gas line was capped.  Therefore, he failed to prove that the fluctuation of his winter consumption from one s</w:t>
      </w:r>
      <w:r w:rsidR="00042E65">
        <w:t xml:space="preserve">eason to the next is the result </w:t>
      </w:r>
      <w:r>
        <w:t xml:space="preserve">of </w:t>
      </w:r>
      <w:r w:rsidR="00E87B24">
        <w:t>faulty meter readings by PECO</w:t>
      </w:r>
      <w:r>
        <w:t>.</w:t>
      </w:r>
    </w:p>
    <w:p w:rsidR="001F1084" w:rsidRDefault="001F1084" w:rsidP="001F1084">
      <w:pPr>
        <w:spacing w:after="0"/>
        <w:ind w:left="60"/>
      </w:pPr>
    </w:p>
    <w:p w:rsidR="009334DB" w:rsidRDefault="009334DB" w:rsidP="001F1084">
      <w:pPr>
        <w:spacing w:after="0"/>
        <w:ind w:left="60"/>
      </w:pPr>
      <w:r>
        <w:tab/>
        <w:t xml:space="preserve">The Complainant also argues that PECO violated the Public Utility Code because the billing periods are not consistent.  Section 56.2 of the Commission’s regulation defines a billing month as </w:t>
      </w:r>
      <w:r w:rsidR="008267EE">
        <w:t xml:space="preserve">a </w:t>
      </w:r>
      <w:r>
        <w:t>“period of not less than 26 days and not more than 35 days.”</w:t>
      </w:r>
      <w:r>
        <w:rPr>
          <w:rStyle w:val="FootnoteReference"/>
        </w:rPr>
        <w:footnoteReference w:id="17"/>
      </w:r>
      <w:r>
        <w:t xml:space="preserve">  None of the billing periods for the Complainant’s account were out</w:t>
      </w:r>
      <w:r w:rsidR="00C917D6">
        <w:t xml:space="preserve">side of this range of days.  The </w:t>
      </w:r>
      <w:r w:rsidR="00C917D6">
        <w:lastRenderedPageBreak/>
        <w:t>Commission’s regulations permit a utility to vary the number of days in a billing month.  Therefore</w:t>
      </w:r>
      <w:r w:rsidR="003C385E">
        <w:t>,</w:t>
      </w:r>
      <w:r w:rsidR="00C917D6">
        <w:t xml:space="preserve"> PECO did not violate the Public Utility Code.</w:t>
      </w:r>
    </w:p>
    <w:p w:rsidR="001F1084" w:rsidRDefault="001F1084" w:rsidP="001F1084">
      <w:pPr>
        <w:spacing w:after="0"/>
        <w:ind w:left="60"/>
      </w:pPr>
    </w:p>
    <w:p w:rsidR="0080545C" w:rsidRDefault="00D30CC0" w:rsidP="001F1084">
      <w:pPr>
        <w:spacing w:after="0"/>
        <w:ind w:left="60"/>
      </w:pPr>
      <w:r>
        <w:tab/>
        <w:t>The Complainant also challenges the exclusion from the evidentiary record</w:t>
      </w:r>
      <w:r w:rsidR="008267EE">
        <w:t xml:space="preserve"> of</w:t>
      </w:r>
      <w:r>
        <w:t xml:space="preserve"> his proposed exhibits 17-22.  These exhibits were prin</w:t>
      </w:r>
      <w:r w:rsidR="009E0A15">
        <w:t>t</w:t>
      </w:r>
      <w:r>
        <w:t xml:space="preserve">outs of weather reports from a website “weatherspark.com.”  While historical weather reports from recognized authoritative sources may be admissible, the Complainant did not know where the data reported on “weatherspark.com” originated.  </w:t>
      </w:r>
    </w:p>
    <w:p w:rsidR="001F1084" w:rsidRDefault="001F1084" w:rsidP="001F1084">
      <w:pPr>
        <w:spacing w:after="0"/>
        <w:ind w:left="60"/>
      </w:pPr>
    </w:p>
    <w:p w:rsidR="00D30CC0" w:rsidRPr="005843E3" w:rsidRDefault="00906F8F" w:rsidP="005843E3">
      <w:pPr>
        <w:pStyle w:val="FootnoteText"/>
        <w:spacing w:after="0" w:line="360" w:lineRule="auto"/>
        <w:rPr>
          <w:sz w:val="24"/>
          <w:szCs w:val="24"/>
        </w:rPr>
      </w:pPr>
      <w:r>
        <w:tab/>
      </w:r>
      <w:r w:rsidR="005843E3">
        <w:tab/>
      </w:r>
      <w:r w:rsidRPr="005843E3">
        <w:rPr>
          <w:sz w:val="24"/>
          <w:szCs w:val="24"/>
        </w:rPr>
        <w:t xml:space="preserve">Generally, </w:t>
      </w:r>
      <w:r w:rsidR="0080545C" w:rsidRPr="005843E3">
        <w:rPr>
          <w:sz w:val="24"/>
          <w:szCs w:val="24"/>
        </w:rPr>
        <w:t>Commonwealth agencies are not bound by the rules of evidence.</w:t>
      </w:r>
      <w:r w:rsidRPr="005843E3">
        <w:rPr>
          <w:rStyle w:val="FootnoteReference"/>
          <w:sz w:val="24"/>
          <w:szCs w:val="24"/>
        </w:rPr>
        <w:footnoteReference w:id="18"/>
      </w:r>
      <w:r w:rsidR="0080545C" w:rsidRPr="005843E3">
        <w:rPr>
          <w:sz w:val="24"/>
          <w:szCs w:val="24"/>
        </w:rPr>
        <w:t xml:space="preserve">  As the </w:t>
      </w:r>
      <w:r w:rsidR="005843E3">
        <w:rPr>
          <w:sz w:val="24"/>
          <w:szCs w:val="24"/>
        </w:rPr>
        <w:t>Pennsylvania Supreme Court</w:t>
      </w:r>
      <w:r w:rsidR="0080545C" w:rsidRPr="005843E3">
        <w:rPr>
          <w:sz w:val="24"/>
          <w:szCs w:val="24"/>
        </w:rPr>
        <w:t xml:space="preserve"> stated, in administrative matters, “information admitted into evidence must have sufficient indicia of reliability …”</w:t>
      </w:r>
      <w:r w:rsidR="00521799">
        <w:rPr>
          <w:rStyle w:val="FootnoteReference"/>
          <w:sz w:val="24"/>
          <w:szCs w:val="24"/>
        </w:rPr>
        <w:footnoteReference w:id="19"/>
      </w:r>
      <w:r w:rsidR="0080545C" w:rsidRPr="005843E3">
        <w:rPr>
          <w:sz w:val="24"/>
          <w:szCs w:val="24"/>
        </w:rPr>
        <w:t xml:space="preserve">  </w:t>
      </w:r>
      <w:r w:rsidR="00D30CC0" w:rsidRPr="005843E3">
        <w:rPr>
          <w:sz w:val="24"/>
          <w:szCs w:val="24"/>
        </w:rPr>
        <w:t>As the authenticity and accuracy of the weather information</w:t>
      </w:r>
      <w:r w:rsidR="000E647D" w:rsidRPr="005843E3">
        <w:rPr>
          <w:sz w:val="24"/>
          <w:szCs w:val="24"/>
        </w:rPr>
        <w:t xml:space="preserve"> presented in the exhibits</w:t>
      </w:r>
      <w:r w:rsidR="00D30CC0" w:rsidRPr="005843E3">
        <w:rPr>
          <w:sz w:val="24"/>
          <w:szCs w:val="24"/>
        </w:rPr>
        <w:t xml:space="preserve"> could not be established, the material was not admitted into the record.</w:t>
      </w:r>
    </w:p>
    <w:p w:rsidR="00DB2DA0" w:rsidRDefault="00DB2DA0" w:rsidP="001F1084">
      <w:pPr>
        <w:spacing w:after="0"/>
      </w:pPr>
    </w:p>
    <w:p w:rsidR="00376FBF" w:rsidRDefault="00376FBF" w:rsidP="004448F2">
      <w:pPr>
        <w:spacing w:after="0"/>
      </w:pPr>
      <w:r>
        <w:tab/>
        <w:t>In sum, the Complainant failed to sustain his burden of proof.  Therefore, his complaint must be dismissed.</w:t>
      </w:r>
    </w:p>
    <w:p w:rsidR="004448F2" w:rsidRDefault="004448F2" w:rsidP="004448F2">
      <w:pPr>
        <w:spacing w:after="0"/>
      </w:pPr>
    </w:p>
    <w:p w:rsidR="00376FBF" w:rsidRDefault="00376FBF" w:rsidP="004448F2">
      <w:pPr>
        <w:spacing w:after="0"/>
        <w:jc w:val="center"/>
        <w:rPr>
          <w:u w:val="single"/>
        </w:rPr>
      </w:pPr>
      <w:r w:rsidRPr="00FA66A8">
        <w:rPr>
          <w:u w:val="single"/>
        </w:rPr>
        <w:t>CONCLUSIONS LAW</w:t>
      </w:r>
    </w:p>
    <w:p w:rsidR="004448F2" w:rsidRPr="00FA66A8" w:rsidRDefault="004448F2" w:rsidP="004448F2">
      <w:pPr>
        <w:spacing w:after="0"/>
        <w:jc w:val="center"/>
        <w:rPr>
          <w:u w:val="single"/>
        </w:rPr>
      </w:pPr>
    </w:p>
    <w:p w:rsidR="00376FBF" w:rsidRDefault="00376FBF" w:rsidP="004448F2">
      <w:pPr>
        <w:spacing w:after="0"/>
      </w:pPr>
      <w:r>
        <w:tab/>
        <w:t>1.</w:t>
      </w:r>
      <w:r>
        <w:tab/>
        <w:t xml:space="preserve">The Commission has jurisdiction over the parties and subject matter of this dispute.  </w:t>
      </w:r>
      <w:proofErr w:type="gramStart"/>
      <w:r>
        <w:t>66 Pa.C.S.</w:t>
      </w:r>
      <w:proofErr w:type="gramEnd"/>
      <w:r>
        <w:t xml:space="preserve"> § 701.</w:t>
      </w:r>
    </w:p>
    <w:p w:rsidR="004448F2" w:rsidRDefault="004448F2" w:rsidP="004448F2">
      <w:pPr>
        <w:spacing w:after="0"/>
      </w:pPr>
    </w:p>
    <w:p w:rsidR="00376FBF" w:rsidRDefault="00376FBF" w:rsidP="004448F2">
      <w:pPr>
        <w:spacing w:after="0"/>
      </w:pPr>
      <w:r>
        <w:tab/>
        <w:t>2.</w:t>
      </w:r>
      <w:r>
        <w:tab/>
        <w:t xml:space="preserve">The Complainant bears the burden of proof.  </w:t>
      </w:r>
      <w:proofErr w:type="gramStart"/>
      <w:r>
        <w:t>66 Pa.C.S.</w:t>
      </w:r>
      <w:proofErr w:type="gramEnd"/>
      <w:r>
        <w:t xml:space="preserve"> § 332.</w:t>
      </w:r>
    </w:p>
    <w:p w:rsidR="004448F2" w:rsidRDefault="004448F2" w:rsidP="004448F2">
      <w:pPr>
        <w:spacing w:after="0"/>
      </w:pPr>
    </w:p>
    <w:p w:rsidR="00376FBF" w:rsidRDefault="00376FBF" w:rsidP="004448F2">
      <w:pPr>
        <w:spacing w:after="0"/>
      </w:pPr>
      <w:r>
        <w:tab/>
        <w:t>3.</w:t>
      </w:r>
      <w:r>
        <w:tab/>
        <w:t xml:space="preserve">The Complainant failed to prove that his consumption was not reported accurately to PECO’s billing system.  </w:t>
      </w:r>
      <w:proofErr w:type="gramStart"/>
      <w:r>
        <w:t>66 Pa.C.S.</w:t>
      </w:r>
      <w:proofErr w:type="gramEnd"/>
      <w:r>
        <w:t xml:space="preserve"> § 332.</w:t>
      </w:r>
    </w:p>
    <w:p w:rsidR="00C85CE4" w:rsidRDefault="00C85CE4" w:rsidP="004448F2">
      <w:pPr>
        <w:spacing w:after="0"/>
      </w:pPr>
    </w:p>
    <w:p w:rsidR="00376FBF" w:rsidRDefault="00376FBF" w:rsidP="004448F2">
      <w:pPr>
        <w:spacing w:after="0"/>
      </w:pPr>
      <w:r>
        <w:lastRenderedPageBreak/>
        <w:tab/>
        <w:t>4.</w:t>
      </w:r>
      <w:r>
        <w:tab/>
        <w:t>PECO did not violat</w:t>
      </w:r>
      <w:r w:rsidR="003C385E">
        <w:t>e</w:t>
      </w:r>
      <w:r>
        <w:t xml:space="preserve"> Section 56.2 of the Commission’s regulations.  </w:t>
      </w:r>
      <w:proofErr w:type="gramStart"/>
      <w:r>
        <w:t>52</w:t>
      </w:r>
      <w:r w:rsidR="004448F2">
        <w:t> </w:t>
      </w:r>
      <w:r>
        <w:t>Pa.Code § 56.2.</w:t>
      </w:r>
      <w:proofErr w:type="gramEnd"/>
    </w:p>
    <w:p w:rsidR="004448F2" w:rsidRDefault="004448F2" w:rsidP="004448F2">
      <w:pPr>
        <w:spacing w:after="0"/>
      </w:pPr>
    </w:p>
    <w:p w:rsidR="009E0A15" w:rsidRDefault="009E0A15" w:rsidP="004448F2">
      <w:pPr>
        <w:spacing w:after="0"/>
      </w:pPr>
      <w:r>
        <w:tab/>
        <w:t>5.</w:t>
      </w:r>
      <w:r>
        <w:tab/>
        <w:t xml:space="preserve">The Complainant’s proposed exhibits which purported to include historical weather data were properly excluded from evidence.  </w:t>
      </w:r>
      <w:proofErr w:type="gramStart"/>
      <w:r w:rsidRPr="009E0A15">
        <w:rPr>
          <w:i/>
        </w:rPr>
        <w:t>Gibson v W.C.A.B</w:t>
      </w:r>
      <w:r w:rsidRPr="009E0A15">
        <w:t>., 861 A.2d 938 (Pa. 2004)</w:t>
      </w:r>
      <w:r w:rsidR="00C031E1">
        <w:t>.</w:t>
      </w:r>
      <w:proofErr w:type="gramEnd"/>
    </w:p>
    <w:p w:rsidR="004448F2" w:rsidRDefault="004448F2" w:rsidP="004448F2">
      <w:pPr>
        <w:spacing w:after="0"/>
      </w:pPr>
    </w:p>
    <w:p w:rsidR="00FF2A05" w:rsidRDefault="00FF2A05" w:rsidP="004448F2">
      <w:pPr>
        <w:jc w:val="center"/>
        <w:rPr>
          <w:u w:val="single"/>
        </w:rPr>
      </w:pPr>
      <w:r w:rsidRPr="004448F2">
        <w:rPr>
          <w:u w:val="single"/>
        </w:rPr>
        <w:t>ORDER</w:t>
      </w:r>
    </w:p>
    <w:p w:rsidR="004448F2" w:rsidRPr="004448F2" w:rsidRDefault="004448F2" w:rsidP="004448F2">
      <w:pPr>
        <w:jc w:val="center"/>
        <w:rPr>
          <w:u w:val="single"/>
        </w:rPr>
      </w:pPr>
    </w:p>
    <w:p w:rsidR="00FF2A05" w:rsidRDefault="004448F2" w:rsidP="004448F2">
      <w:pPr>
        <w:spacing w:after="0"/>
      </w:pPr>
      <w:r>
        <w:tab/>
      </w:r>
      <w:r w:rsidR="00FF2A05">
        <w:t>THEREFORE,</w:t>
      </w:r>
    </w:p>
    <w:p w:rsidR="004448F2" w:rsidRDefault="004448F2" w:rsidP="004448F2">
      <w:pPr>
        <w:spacing w:after="0"/>
      </w:pPr>
    </w:p>
    <w:p w:rsidR="00FF2A05" w:rsidRDefault="004448F2" w:rsidP="004448F2">
      <w:pPr>
        <w:spacing w:after="0"/>
      </w:pPr>
      <w:r>
        <w:tab/>
      </w:r>
      <w:r w:rsidR="00FF2A05">
        <w:t>IT IS ORDERED:</w:t>
      </w:r>
    </w:p>
    <w:p w:rsidR="004448F2" w:rsidRDefault="004448F2" w:rsidP="004448F2">
      <w:pPr>
        <w:spacing w:after="0"/>
      </w:pPr>
    </w:p>
    <w:p w:rsidR="00FF2A05" w:rsidRDefault="00FF2A05" w:rsidP="004448F2">
      <w:pPr>
        <w:spacing w:after="0"/>
      </w:pPr>
      <w:r>
        <w:tab/>
        <w:t>1.</w:t>
      </w:r>
      <w:r>
        <w:tab/>
        <w:t xml:space="preserve">That the formal complaint of Deree </w:t>
      </w:r>
      <w:r w:rsidR="00004ACA">
        <w:t>J. Norman</w:t>
      </w:r>
      <w:r>
        <w:t xml:space="preserve"> </w:t>
      </w:r>
      <w:r w:rsidR="003C385E">
        <w:t xml:space="preserve">v. PECO Energy Company </w:t>
      </w:r>
      <w:r>
        <w:t>at Docket No. C-2015-2472605 is dismissed.</w:t>
      </w:r>
    </w:p>
    <w:p w:rsidR="00451F67" w:rsidRDefault="00451F67" w:rsidP="004448F2">
      <w:pPr>
        <w:spacing w:after="0"/>
      </w:pPr>
    </w:p>
    <w:p w:rsidR="00FF2A05" w:rsidRDefault="00FF2A05" w:rsidP="004448F2">
      <w:pPr>
        <w:spacing w:after="0"/>
      </w:pPr>
      <w:r>
        <w:tab/>
        <w:t>2.</w:t>
      </w:r>
      <w:r>
        <w:tab/>
        <w:t xml:space="preserve">That the Secretary </w:t>
      </w:r>
      <w:proofErr w:type="gramStart"/>
      <w:r>
        <w:t>mark</w:t>
      </w:r>
      <w:proofErr w:type="gramEnd"/>
      <w:r>
        <w:t xml:space="preserve"> the docket closed.</w:t>
      </w:r>
    </w:p>
    <w:p w:rsidR="00B13443" w:rsidRDefault="00B13443" w:rsidP="00B13443">
      <w:pPr>
        <w:spacing w:after="0"/>
      </w:pPr>
    </w:p>
    <w:p w:rsidR="00D03F05" w:rsidRDefault="00D03F05" w:rsidP="00B13443">
      <w:pPr>
        <w:spacing w:after="0"/>
      </w:pPr>
    </w:p>
    <w:p w:rsidR="00256953" w:rsidRDefault="00256953" w:rsidP="00B13443">
      <w:pPr>
        <w:spacing w:after="0"/>
      </w:pPr>
    </w:p>
    <w:p w:rsidR="00D03F05" w:rsidRDefault="00D03F05" w:rsidP="00D03F05">
      <w:pPr>
        <w:spacing w:after="0" w:line="240" w:lineRule="auto"/>
      </w:pPr>
      <w:r>
        <w:t xml:space="preserve">Date:  </w:t>
      </w:r>
      <w:r w:rsidRPr="00D03F05">
        <w:rPr>
          <w:u w:val="single"/>
        </w:rPr>
        <w:t>June 1</w:t>
      </w:r>
      <w:r w:rsidR="00256060">
        <w:rPr>
          <w:u w:val="single"/>
        </w:rPr>
        <w:t>7</w:t>
      </w:r>
      <w:r w:rsidRPr="00D03F05">
        <w:rPr>
          <w:u w:val="single"/>
        </w:rPr>
        <w:t>, 2016</w:t>
      </w:r>
      <w:r>
        <w:tab/>
      </w:r>
      <w:r>
        <w:tab/>
      </w:r>
      <w:r>
        <w:tab/>
      </w:r>
      <w:r>
        <w:tab/>
      </w:r>
      <w:r>
        <w:tab/>
      </w:r>
      <w:r>
        <w:rPr>
          <w:u w:val="single"/>
        </w:rPr>
        <w:tab/>
      </w:r>
      <w:r>
        <w:rPr>
          <w:u w:val="single"/>
        </w:rPr>
        <w:tab/>
        <w:t>/s/</w:t>
      </w:r>
      <w:r>
        <w:rPr>
          <w:u w:val="single"/>
        </w:rPr>
        <w:tab/>
      </w:r>
      <w:r>
        <w:rPr>
          <w:u w:val="single"/>
        </w:rPr>
        <w:tab/>
      </w:r>
      <w:r>
        <w:rPr>
          <w:u w:val="single"/>
        </w:rPr>
        <w:tab/>
      </w:r>
      <w:r>
        <w:rPr>
          <w:u w:val="single"/>
        </w:rPr>
        <w:tab/>
      </w:r>
    </w:p>
    <w:p w:rsidR="00D03F05" w:rsidRDefault="00D03F05" w:rsidP="00D03F05">
      <w:pPr>
        <w:spacing w:after="0" w:line="240" w:lineRule="auto"/>
      </w:pPr>
      <w:r>
        <w:t xml:space="preserve">  </w:t>
      </w:r>
      <w:r>
        <w:tab/>
      </w:r>
      <w:r>
        <w:tab/>
      </w:r>
      <w:r>
        <w:tab/>
      </w:r>
      <w:r>
        <w:tab/>
      </w:r>
      <w:r>
        <w:tab/>
      </w:r>
      <w:r>
        <w:tab/>
        <w:t>Mary D. Long</w:t>
      </w:r>
    </w:p>
    <w:p w:rsidR="00D03F05" w:rsidRDefault="00D03F05" w:rsidP="00D03F05">
      <w:pPr>
        <w:spacing w:after="0" w:line="240" w:lineRule="auto"/>
      </w:pPr>
      <w:r>
        <w:tab/>
      </w:r>
      <w:r>
        <w:tab/>
      </w:r>
      <w:r>
        <w:tab/>
      </w:r>
      <w:r>
        <w:tab/>
      </w:r>
      <w:r>
        <w:tab/>
      </w:r>
      <w:r>
        <w:tab/>
        <w:t>Administrative Law Judge</w:t>
      </w:r>
    </w:p>
    <w:p w:rsidR="00D03F05" w:rsidRDefault="00D03F05" w:rsidP="00B13443">
      <w:pPr>
        <w:spacing w:after="0"/>
      </w:pPr>
    </w:p>
    <w:sectPr w:rsidR="00D03F05" w:rsidSect="00104E3E">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12A" w:rsidRDefault="00DE112A" w:rsidP="00454164">
      <w:pPr>
        <w:spacing w:after="0" w:line="240" w:lineRule="auto"/>
      </w:pPr>
      <w:r>
        <w:separator/>
      </w:r>
    </w:p>
  </w:endnote>
  <w:endnote w:type="continuationSeparator" w:id="0">
    <w:p w:rsidR="00DE112A" w:rsidRDefault="00DE112A" w:rsidP="00454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324092"/>
      <w:docPartObj>
        <w:docPartGallery w:val="Page Numbers (Bottom of Page)"/>
        <w:docPartUnique/>
      </w:docPartObj>
    </w:sdtPr>
    <w:sdtEndPr>
      <w:rPr>
        <w:noProof/>
        <w:sz w:val="20"/>
      </w:rPr>
    </w:sdtEndPr>
    <w:sdtContent>
      <w:p w:rsidR="00454164" w:rsidRPr="000A4465" w:rsidRDefault="00454164">
        <w:pPr>
          <w:pStyle w:val="Footer"/>
          <w:jc w:val="center"/>
          <w:rPr>
            <w:sz w:val="20"/>
          </w:rPr>
        </w:pPr>
        <w:r w:rsidRPr="000A4465">
          <w:rPr>
            <w:sz w:val="20"/>
          </w:rPr>
          <w:fldChar w:fldCharType="begin"/>
        </w:r>
        <w:r w:rsidRPr="000A4465">
          <w:rPr>
            <w:sz w:val="20"/>
          </w:rPr>
          <w:instrText xml:space="preserve"> PAGE   \* MERGEFORMAT </w:instrText>
        </w:r>
        <w:r w:rsidRPr="000A4465">
          <w:rPr>
            <w:sz w:val="20"/>
          </w:rPr>
          <w:fldChar w:fldCharType="separate"/>
        </w:r>
        <w:r w:rsidR="00D544F0">
          <w:rPr>
            <w:noProof/>
            <w:sz w:val="20"/>
          </w:rPr>
          <w:t>7</w:t>
        </w:r>
        <w:r w:rsidRPr="000A4465">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12A" w:rsidRDefault="00DE112A" w:rsidP="00454164">
      <w:pPr>
        <w:spacing w:after="0" w:line="240" w:lineRule="auto"/>
      </w:pPr>
      <w:r>
        <w:separator/>
      </w:r>
    </w:p>
  </w:footnote>
  <w:footnote w:type="continuationSeparator" w:id="0">
    <w:p w:rsidR="00DE112A" w:rsidRDefault="00DE112A" w:rsidP="00454164">
      <w:pPr>
        <w:spacing w:after="0" w:line="240" w:lineRule="auto"/>
      </w:pPr>
      <w:r>
        <w:continuationSeparator/>
      </w:r>
    </w:p>
  </w:footnote>
  <w:footnote w:id="1">
    <w:p w:rsidR="0029524F" w:rsidRDefault="0029524F" w:rsidP="003A62C5">
      <w:pPr>
        <w:pStyle w:val="FootnoteText"/>
      </w:pPr>
      <w:r>
        <w:rPr>
          <w:rStyle w:val="FootnoteReference"/>
        </w:rPr>
        <w:footnoteRef/>
      </w:r>
      <w:r>
        <w:t xml:space="preserve"> </w:t>
      </w:r>
      <w:r w:rsidR="003A62C5">
        <w:tab/>
      </w:r>
      <w:r>
        <w:t>N.T. 19-20 (September 3, 2015).</w:t>
      </w:r>
    </w:p>
  </w:footnote>
  <w:footnote w:id="2">
    <w:p w:rsidR="0043260C" w:rsidRDefault="0043260C">
      <w:pPr>
        <w:pStyle w:val="FootnoteText"/>
      </w:pPr>
      <w:r>
        <w:rPr>
          <w:rStyle w:val="FootnoteReference"/>
        </w:rPr>
        <w:footnoteRef/>
      </w:r>
      <w:r>
        <w:t xml:space="preserve"> </w:t>
      </w:r>
      <w:r w:rsidR="00933E4B">
        <w:t xml:space="preserve"> </w:t>
      </w:r>
      <w:r w:rsidR="00933E4B">
        <w:tab/>
        <w:t xml:space="preserve">The Complainant also filed a motion for summary judgment. </w:t>
      </w:r>
      <w:r w:rsidR="00293606">
        <w:t xml:space="preserve"> </w:t>
      </w:r>
      <w:r w:rsidR="00933E4B">
        <w:t>Summary judgement is not appropriate when the evidentiary record has been completed and both sides have presented their evidence.  The argument made in the Complainant’s motion is virtually identical to the arguments raised in his brief.  Therefore, the motion was not considered in rendering this decision.</w:t>
      </w:r>
    </w:p>
  </w:footnote>
  <w:footnote w:id="3">
    <w:p w:rsidR="00B5710C" w:rsidRDefault="00B5710C" w:rsidP="003A62C5">
      <w:pPr>
        <w:pStyle w:val="FootnoteText"/>
        <w:spacing w:after="0"/>
      </w:pPr>
      <w:r>
        <w:rPr>
          <w:rStyle w:val="FootnoteReference"/>
        </w:rPr>
        <w:footnoteRef/>
      </w:r>
      <w:r>
        <w:t xml:space="preserve"> </w:t>
      </w:r>
      <w:r w:rsidR="003A62C5">
        <w:tab/>
      </w:r>
      <w:proofErr w:type="gramStart"/>
      <w:r>
        <w:t>Ex. C-10; Ex. P-15.</w:t>
      </w:r>
      <w:proofErr w:type="gramEnd"/>
    </w:p>
    <w:p w:rsidR="003A62C5" w:rsidRDefault="003A62C5" w:rsidP="003A62C5">
      <w:pPr>
        <w:pStyle w:val="FootnoteText"/>
        <w:spacing w:after="0"/>
      </w:pPr>
    </w:p>
  </w:footnote>
  <w:footnote w:id="4">
    <w:p w:rsidR="00B5710C" w:rsidRDefault="00B5710C" w:rsidP="003A62C5">
      <w:pPr>
        <w:pStyle w:val="FootnoteText"/>
        <w:spacing w:after="0"/>
      </w:pPr>
      <w:r>
        <w:rPr>
          <w:rStyle w:val="FootnoteReference"/>
        </w:rPr>
        <w:footnoteRef/>
      </w:r>
      <w:r>
        <w:t xml:space="preserve"> </w:t>
      </w:r>
      <w:r w:rsidR="003A62C5">
        <w:tab/>
      </w:r>
      <w:proofErr w:type="gramStart"/>
      <w:r>
        <w:t>Ex. C-10; Ex. P-15.</w:t>
      </w:r>
      <w:proofErr w:type="gramEnd"/>
    </w:p>
    <w:p w:rsidR="003A62C5" w:rsidRDefault="003A62C5" w:rsidP="003A62C5">
      <w:pPr>
        <w:pStyle w:val="FootnoteText"/>
        <w:spacing w:after="0"/>
      </w:pPr>
    </w:p>
  </w:footnote>
  <w:footnote w:id="5">
    <w:p w:rsidR="00B5710C" w:rsidRDefault="00B5710C" w:rsidP="000C7C8F">
      <w:pPr>
        <w:pStyle w:val="FootnoteText"/>
        <w:spacing w:after="0"/>
      </w:pPr>
      <w:r>
        <w:rPr>
          <w:rStyle w:val="FootnoteReference"/>
        </w:rPr>
        <w:footnoteRef/>
      </w:r>
      <w:r w:rsidR="003A62C5">
        <w:tab/>
      </w:r>
      <w:proofErr w:type="gramStart"/>
      <w:r>
        <w:t>Ex. C-10; Ex. P-15.</w:t>
      </w:r>
      <w:proofErr w:type="gramEnd"/>
    </w:p>
    <w:p w:rsidR="000C7C8F" w:rsidRDefault="000C7C8F" w:rsidP="000C7C8F">
      <w:pPr>
        <w:pStyle w:val="FootnoteText"/>
        <w:spacing w:after="0"/>
      </w:pPr>
    </w:p>
  </w:footnote>
  <w:footnote w:id="6">
    <w:p w:rsidR="00B5710C" w:rsidRDefault="00B5710C" w:rsidP="000C7C8F">
      <w:pPr>
        <w:pStyle w:val="FootnoteText"/>
        <w:spacing w:after="0"/>
      </w:pPr>
      <w:r>
        <w:rPr>
          <w:rStyle w:val="FootnoteReference"/>
        </w:rPr>
        <w:footnoteRef/>
      </w:r>
      <w:r>
        <w:t xml:space="preserve"> </w:t>
      </w:r>
      <w:r w:rsidR="000C7C8F">
        <w:tab/>
      </w:r>
      <w:proofErr w:type="gramStart"/>
      <w:r>
        <w:t>Ex. C-10; Ex. P-15.</w:t>
      </w:r>
      <w:proofErr w:type="gramEnd"/>
    </w:p>
    <w:p w:rsidR="000C7C8F" w:rsidRDefault="000C7C8F" w:rsidP="000C7C8F">
      <w:pPr>
        <w:pStyle w:val="FootnoteText"/>
        <w:spacing w:after="0"/>
      </w:pPr>
    </w:p>
  </w:footnote>
  <w:footnote w:id="7">
    <w:p w:rsidR="0096677E" w:rsidRDefault="0096677E" w:rsidP="000C7C8F">
      <w:pPr>
        <w:pStyle w:val="FootnoteText"/>
        <w:spacing w:after="0"/>
      </w:pPr>
      <w:r>
        <w:rPr>
          <w:rStyle w:val="FootnoteReference"/>
        </w:rPr>
        <w:footnoteRef/>
      </w:r>
      <w:r>
        <w:t xml:space="preserve"> </w:t>
      </w:r>
      <w:r w:rsidR="000C7C8F">
        <w:tab/>
      </w:r>
      <w:proofErr w:type="spellStart"/>
      <w:proofErr w:type="gramStart"/>
      <w:r>
        <w:t>Exs</w:t>
      </w:r>
      <w:proofErr w:type="spellEnd"/>
      <w:r>
        <w:t>.</w:t>
      </w:r>
      <w:proofErr w:type="gramEnd"/>
      <w:r>
        <w:t xml:space="preserve"> P-1; P-15</w:t>
      </w:r>
    </w:p>
  </w:footnote>
  <w:footnote w:id="8">
    <w:p w:rsidR="00F86694" w:rsidRDefault="00F86694" w:rsidP="007E0530">
      <w:pPr>
        <w:pStyle w:val="FootnoteText"/>
        <w:spacing w:after="0"/>
      </w:pPr>
      <w:r w:rsidRPr="00582539">
        <w:rPr>
          <w:rStyle w:val="FootnoteReference"/>
        </w:rPr>
        <w:footnoteRef/>
      </w:r>
      <w:r w:rsidRPr="00582539">
        <w:t xml:space="preserve"> </w:t>
      </w:r>
      <w:r w:rsidRPr="00582539">
        <w:tab/>
      </w:r>
      <w:proofErr w:type="gramStart"/>
      <w:r w:rsidRPr="00582539">
        <w:t xml:space="preserve">66 </w:t>
      </w:r>
      <w:proofErr w:type="spellStart"/>
      <w:r w:rsidRPr="00582539">
        <w:t>Pa.C.S</w:t>
      </w:r>
      <w:proofErr w:type="spellEnd"/>
      <w:r w:rsidRPr="00582539">
        <w:t>.</w:t>
      </w:r>
      <w:proofErr w:type="gramEnd"/>
      <w:r w:rsidRPr="00582539">
        <w:t xml:space="preserve"> § 701.</w:t>
      </w:r>
    </w:p>
    <w:p w:rsidR="007E0530" w:rsidRPr="00582539" w:rsidRDefault="007E0530" w:rsidP="007E0530">
      <w:pPr>
        <w:pStyle w:val="FootnoteText"/>
        <w:spacing w:after="0"/>
      </w:pPr>
    </w:p>
  </w:footnote>
  <w:footnote w:id="9">
    <w:p w:rsidR="00F86694" w:rsidRDefault="00F86694" w:rsidP="007E0530">
      <w:pPr>
        <w:pStyle w:val="FootnoteText"/>
        <w:spacing w:after="0"/>
      </w:pPr>
      <w:r w:rsidRPr="00582539">
        <w:rPr>
          <w:rStyle w:val="FootnoteReference"/>
        </w:rPr>
        <w:footnoteRef/>
      </w:r>
      <w:r w:rsidRPr="00582539">
        <w:t xml:space="preserve"> </w:t>
      </w:r>
      <w:r w:rsidRPr="00582539">
        <w:tab/>
      </w:r>
      <w:proofErr w:type="gramStart"/>
      <w:r w:rsidRPr="00582539">
        <w:t>66 Pa.C.S.</w:t>
      </w:r>
      <w:proofErr w:type="gramEnd"/>
      <w:r w:rsidRPr="00582539">
        <w:t xml:space="preserve"> § 332(a).</w:t>
      </w:r>
    </w:p>
    <w:p w:rsidR="007E0530" w:rsidRPr="00582539" w:rsidRDefault="007E0530" w:rsidP="007E0530">
      <w:pPr>
        <w:pStyle w:val="FootnoteText"/>
        <w:spacing w:after="0"/>
      </w:pPr>
    </w:p>
  </w:footnote>
  <w:footnote w:id="10">
    <w:p w:rsidR="006558A0" w:rsidRDefault="006558A0" w:rsidP="007E0530">
      <w:pPr>
        <w:pStyle w:val="FootnoteText"/>
        <w:spacing w:after="0"/>
      </w:pPr>
      <w:r w:rsidRPr="00582539">
        <w:rPr>
          <w:rStyle w:val="FootnoteReference"/>
        </w:rPr>
        <w:footnoteRef/>
      </w:r>
      <w:r w:rsidRPr="00582539">
        <w:t xml:space="preserve"> </w:t>
      </w:r>
      <w:r w:rsidRPr="00582539">
        <w:tab/>
      </w:r>
      <w:proofErr w:type="gramStart"/>
      <w:r w:rsidRPr="00AD3B47">
        <w:rPr>
          <w:i/>
        </w:rPr>
        <w:t>Se-Ling Hosiery, Inc. v. Margulies</w:t>
      </w:r>
      <w:r w:rsidRPr="00582539">
        <w:t xml:space="preserve">, 364 Pa. 45, 70 A.2d 854 (1950); </w:t>
      </w:r>
      <w:r w:rsidRPr="00AD3B47">
        <w:rPr>
          <w:i/>
        </w:rPr>
        <w:t>Feinstein v. Philadelphia Suburban Water Company</w:t>
      </w:r>
      <w:r w:rsidRPr="00582539">
        <w:t>, 50 P</w:t>
      </w:r>
      <w:r w:rsidR="007E0530">
        <w:t>a.</w:t>
      </w:r>
      <w:r w:rsidRPr="00582539">
        <w:t xml:space="preserve"> PUC 300 (1976).</w:t>
      </w:r>
      <w:proofErr w:type="gramEnd"/>
    </w:p>
    <w:p w:rsidR="00605769" w:rsidRPr="00582539" w:rsidRDefault="00605769" w:rsidP="007E0530">
      <w:pPr>
        <w:pStyle w:val="FootnoteText"/>
        <w:spacing w:after="0"/>
      </w:pPr>
    </w:p>
  </w:footnote>
  <w:footnote w:id="11">
    <w:p w:rsidR="006558A0" w:rsidRDefault="006558A0" w:rsidP="00557E74">
      <w:pPr>
        <w:pStyle w:val="FootnoteText"/>
        <w:spacing w:after="0"/>
      </w:pPr>
      <w:r>
        <w:rPr>
          <w:rStyle w:val="FootnoteReference"/>
        </w:rPr>
        <w:footnoteRef/>
      </w:r>
      <w:r>
        <w:t xml:space="preserve"> </w:t>
      </w:r>
      <w:r>
        <w:tab/>
      </w:r>
      <w:proofErr w:type="gramStart"/>
      <w:r w:rsidRPr="00ED2E14">
        <w:t>54 Pa.</w:t>
      </w:r>
      <w:r w:rsidR="00557E74">
        <w:t xml:space="preserve"> </w:t>
      </w:r>
      <w:r>
        <w:t>PUC</w:t>
      </w:r>
      <w:r w:rsidRPr="00ED2E14">
        <w:t xml:space="preserve"> 98 (1980)</w:t>
      </w:r>
      <w:r w:rsidR="002B245A">
        <w:t>.</w:t>
      </w:r>
      <w:proofErr w:type="gramEnd"/>
    </w:p>
    <w:p w:rsidR="00557E74" w:rsidRDefault="00557E74" w:rsidP="00557E74">
      <w:pPr>
        <w:pStyle w:val="FootnoteText"/>
        <w:spacing w:after="0"/>
      </w:pPr>
    </w:p>
  </w:footnote>
  <w:footnote w:id="12">
    <w:p w:rsidR="006558A0" w:rsidRDefault="006558A0" w:rsidP="00557E74">
      <w:pPr>
        <w:pStyle w:val="FootnoteText"/>
        <w:spacing w:after="0"/>
      </w:pPr>
      <w:r>
        <w:rPr>
          <w:rStyle w:val="FootnoteReference"/>
        </w:rPr>
        <w:footnoteRef/>
      </w:r>
      <w:r>
        <w:t xml:space="preserve"> </w:t>
      </w:r>
      <w:r w:rsidR="004A6D92">
        <w:t xml:space="preserve"> </w:t>
      </w:r>
      <w:r w:rsidR="004A6D92">
        <w:tab/>
      </w:r>
      <w:proofErr w:type="gramStart"/>
      <w:r w:rsidRPr="00ED2E14">
        <w:t>768 A.2d 1217 (</w:t>
      </w:r>
      <w:proofErr w:type="spellStart"/>
      <w:r w:rsidRPr="00ED2E14">
        <w:t>Pa.Cmwlth</w:t>
      </w:r>
      <w:proofErr w:type="spellEnd"/>
      <w:r w:rsidRPr="00ED2E14">
        <w:t>. 2001) (</w:t>
      </w:r>
      <w:r w:rsidRPr="004C1836">
        <w:rPr>
          <w:i/>
        </w:rPr>
        <w:t>Milkie</w:t>
      </w:r>
      <w:r w:rsidRPr="00ED2E14">
        <w:t>).</w:t>
      </w:r>
      <w:proofErr w:type="gramEnd"/>
      <w:r w:rsidRPr="00ED2E14">
        <w:t xml:space="preserve">  </w:t>
      </w:r>
    </w:p>
    <w:p w:rsidR="00557E74" w:rsidRDefault="00557E74" w:rsidP="00557E74">
      <w:pPr>
        <w:pStyle w:val="FootnoteText"/>
        <w:spacing w:after="0"/>
      </w:pPr>
    </w:p>
  </w:footnote>
  <w:footnote w:id="13">
    <w:p w:rsidR="006558A0" w:rsidRDefault="006558A0" w:rsidP="00557E74">
      <w:pPr>
        <w:pStyle w:val="FootnoteText"/>
        <w:spacing w:after="0"/>
      </w:pPr>
      <w:r>
        <w:rPr>
          <w:rStyle w:val="FootnoteReference"/>
        </w:rPr>
        <w:footnoteRef/>
      </w:r>
      <w:r>
        <w:t xml:space="preserve"> </w:t>
      </w:r>
      <w:r>
        <w:tab/>
      </w:r>
      <w:r w:rsidRPr="00F60717">
        <w:rPr>
          <w:i/>
        </w:rPr>
        <w:t>Bennett v</w:t>
      </w:r>
      <w:r w:rsidR="002B245A">
        <w:rPr>
          <w:i/>
        </w:rPr>
        <w:t>.</w:t>
      </w:r>
      <w:r w:rsidRPr="00F60717">
        <w:rPr>
          <w:i/>
        </w:rPr>
        <w:t xml:space="preserve"> Peoples Natural Gas Co.</w:t>
      </w:r>
      <w:r w:rsidRPr="00ED2E14">
        <w:t>, Docket No. C-2009-2122979 (</w:t>
      </w:r>
      <w:r>
        <w:t xml:space="preserve">Opinion and </w:t>
      </w:r>
      <w:r w:rsidRPr="00ED2E14">
        <w:t xml:space="preserve">Order entered October 13, 2010); </w:t>
      </w:r>
      <w:r w:rsidRPr="00F60717">
        <w:rPr>
          <w:i/>
        </w:rPr>
        <w:t>Thomas v</w:t>
      </w:r>
      <w:r w:rsidR="002B245A">
        <w:rPr>
          <w:i/>
        </w:rPr>
        <w:t>.</w:t>
      </w:r>
      <w:r w:rsidRPr="00F60717">
        <w:rPr>
          <w:i/>
        </w:rPr>
        <w:t xml:space="preserve"> PECO Energy Co.,</w:t>
      </w:r>
      <w:r w:rsidRPr="00ED2E14">
        <w:t xml:space="preserve"> Docket No. C-2010-2187197 </w:t>
      </w:r>
      <w:r>
        <w:t xml:space="preserve">(Opinion and </w:t>
      </w:r>
      <w:r w:rsidRPr="00ED2E14">
        <w:t>O</w:t>
      </w:r>
      <w:r>
        <w:t>rder entered November 15, 2011).</w:t>
      </w:r>
      <w:r w:rsidRPr="00ED2E14">
        <w:t xml:space="preserve"> </w:t>
      </w:r>
    </w:p>
    <w:p w:rsidR="00557E74" w:rsidRDefault="00557E74" w:rsidP="00557E74">
      <w:pPr>
        <w:pStyle w:val="FootnoteText"/>
        <w:spacing w:after="0"/>
      </w:pPr>
    </w:p>
  </w:footnote>
  <w:footnote w:id="14">
    <w:p w:rsidR="006558A0" w:rsidRDefault="006558A0" w:rsidP="00557E74">
      <w:pPr>
        <w:pStyle w:val="FootnoteText"/>
        <w:spacing w:after="0"/>
      </w:pPr>
      <w:r>
        <w:rPr>
          <w:rStyle w:val="FootnoteReference"/>
        </w:rPr>
        <w:footnoteRef/>
      </w:r>
      <w:r>
        <w:t xml:space="preserve"> </w:t>
      </w:r>
      <w:r>
        <w:tab/>
      </w:r>
      <w:proofErr w:type="gramStart"/>
      <w:r>
        <w:rPr>
          <w:i/>
        </w:rPr>
        <w:t xml:space="preserve">Bennett, </w:t>
      </w:r>
      <w:r>
        <w:t>at 7.</w:t>
      </w:r>
      <w:proofErr w:type="gramEnd"/>
    </w:p>
    <w:p w:rsidR="009F2F37" w:rsidRPr="004307E8" w:rsidRDefault="009F2F37" w:rsidP="00557E74">
      <w:pPr>
        <w:pStyle w:val="FootnoteText"/>
        <w:spacing w:after="0"/>
      </w:pPr>
    </w:p>
  </w:footnote>
  <w:footnote w:id="15">
    <w:p w:rsidR="00C874C0" w:rsidRDefault="00C874C0" w:rsidP="00A76919">
      <w:pPr>
        <w:pStyle w:val="FootnoteText"/>
        <w:spacing w:after="0"/>
      </w:pPr>
      <w:r>
        <w:rPr>
          <w:rStyle w:val="FootnoteReference"/>
        </w:rPr>
        <w:footnoteRef/>
      </w:r>
      <w:r>
        <w:t xml:space="preserve">  </w:t>
      </w:r>
      <w:r>
        <w:tab/>
        <w:t>N.T. 48-49.</w:t>
      </w:r>
    </w:p>
    <w:p w:rsidR="00A76919" w:rsidRDefault="00A76919" w:rsidP="00A76919">
      <w:pPr>
        <w:pStyle w:val="FootnoteText"/>
        <w:spacing w:after="0"/>
      </w:pPr>
    </w:p>
  </w:footnote>
  <w:footnote w:id="16">
    <w:p w:rsidR="002F0128" w:rsidRDefault="002F0128" w:rsidP="00A76919">
      <w:pPr>
        <w:pStyle w:val="FootnoteText"/>
        <w:spacing w:after="0"/>
      </w:pPr>
      <w:r>
        <w:rPr>
          <w:rStyle w:val="FootnoteReference"/>
        </w:rPr>
        <w:footnoteRef/>
      </w:r>
      <w:r>
        <w:t xml:space="preserve">  </w:t>
      </w:r>
      <w:r>
        <w:tab/>
      </w:r>
      <w:proofErr w:type="gramStart"/>
      <w:r>
        <w:t>N.T. 67.</w:t>
      </w:r>
      <w:proofErr w:type="gramEnd"/>
    </w:p>
  </w:footnote>
  <w:footnote w:id="17">
    <w:p w:rsidR="009334DB" w:rsidRDefault="009334DB" w:rsidP="001F1084">
      <w:pPr>
        <w:pStyle w:val="FootnoteText"/>
        <w:spacing w:after="0"/>
      </w:pPr>
      <w:r>
        <w:rPr>
          <w:rStyle w:val="FootnoteReference"/>
        </w:rPr>
        <w:footnoteRef/>
      </w:r>
      <w:r>
        <w:t xml:space="preserve">  </w:t>
      </w:r>
      <w:r>
        <w:tab/>
        <w:t>52 Pa.Code § 56.2.</w:t>
      </w:r>
    </w:p>
    <w:p w:rsidR="001F1084" w:rsidRDefault="001F1084" w:rsidP="001F1084">
      <w:pPr>
        <w:pStyle w:val="FootnoteText"/>
        <w:spacing w:after="0"/>
      </w:pPr>
    </w:p>
  </w:footnote>
  <w:footnote w:id="18">
    <w:p w:rsidR="00906F8F" w:rsidRDefault="00906F8F" w:rsidP="001F1084">
      <w:pPr>
        <w:pStyle w:val="FootnoteText"/>
        <w:spacing w:after="0"/>
      </w:pPr>
      <w:r>
        <w:rPr>
          <w:rStyle w:val="FootnoteReference"/>
        </w:rPr>
        <w:footnoteRef/>
      </w:r>
      <w:r>
        <w:t xml:space="preserve">  </w:t>
      </w:r>
      <w:r>
        <w:tab/>
      </w:r>
      <w:hyperlink r:id="rId1" w:history="1">
        <w:proofErr w:type="gramStart"/>
        <w:r w:rsidRPr="00937789">
          <w:t>2 Pa.C.S.</w:t>
        </w:r>
        <w:proofErr w:type="gramEnd"/>
        <w:r w:rsidRPr="00937789">
          <w:t xml:space="preserve"> § 505</w:t>
        </w:r>
      </w:hyperlink>
      <w:r>
        <w:t>.</w:t>
      </w:r>
    </w:p>
    <w:p w:rsidR="001F1084" w:rsidRDefault="001F1084" w:rsidP="001F1084">
      <w:pPr>
        <w:pStyle w:val="FootnoteText"/>
        <w:spacing w:after="0"/>
      </w:pPr>
    </w:p>
  </w:footnote>
  <w:footnote w:id="19">
    <w:p w:rsidR="00521799" w:rsidRPr="00521799" w:rsidRDefault="00521799">
      <w:pPr>
        <w:pStyle w:val="FootnoteText"/>
      </w:pPr>
      <w:r>
        <w:rPr>
          <w:rStyle w:val="FootnoteReference"/>
        </w:rPr>
        <w:footnoteRef/>
      </w:r>
      <w:r>
        <w:t xml:space="preserve"> </w:t>
      </w:r>
      <w:r>
        <w:tab/>
      </w:r>
      <w:proofErr w:type="gramStart"/>
      <w:r w:rsidRPr="00521799">
        <w:rPr>
          <w:i/>
        </w:rPr>
        <w:t>Gibson v. W.C.A.B</w:t>
      </w:r>
      <w:r w:rsidRPr="00521799">
        <w:t>., 861 A.2d 938, 944 (Pa. 2004).</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40E3132"/>
    <w:lvl w:ilvl="0">
      <w:start w:val="1"/>
      <w:numFmt w:val="decimal"/>
      <w:lvlText w:val="%1."/>
      <w:lvlJc w:val="left"/>
      <w:pPr>
        <w:tabs>
          <w:tab w:val="num" w:pos="1800"/>
        </w:tabs>
        <w:ind w:left="1800" w:hanging="360"/>
      </w:pPr>
    </w:lvl>
  </w:abstractNum>
  <w:abstractNum w:abstractNumId="1">
    <w:nsid w:val="FFFFFF7D"/>
    <w:multiLevelType w:val="singleLevel"/>
    <w:tmpl w:val="FBF2F75A"/>
    <w:lvl w:ilvl="0">
      <w:start w:val="1"/>
      <w:numFmt w:val="decimal"/>
      <w:lvlText w:val="%1."/>
      <w:lvlJc w:val="left"/>
      <w:pPr>
        <w:tabs>
          <w:tab w:val="num" w:pos="1440"/>
        </w:tabs>
        <w:ind w:left="1440" w:hanging="360"/>
      </w:pPr>
    </w:lvl>
  </w:abstractNum>
  <w:abstractNum w:abstractNumId="2">
    <w:nsid w:val="FFFFFF7E"/>
    <w:multiLevelType w:val="singleLevel"/>
    <w:tmpl w:val="D97ADC12"/>
    <w:lvl w:ilvl="0">
      <w:start w:val="1"/>
      <w:numFmt w:val="decimal"/>
      <w:lvlText w:val="%1."/>
      <w:lvlJc w:val="left"/>
      <w:pPr>
        <w:tabs>
          <w:tab w:val="num" w:pos="1080"/>
        </w:tabs>
        <w:ind w:left="1080" w:hanging="360"/>
      </w:pPr>
    </w:lvl>
  </w:abstractNum>
  <w:abstractNum w:abstractNumId="3">
    <w:nsid w:val="FFFFFF7F"/>
    <w:multiLevelType w:val="singleLevel"/>
    <w:tmpl w:val="A7DE9300"/>
    <w:lvl w:ilvl="0">
      <w:start w:val="1"/>
      <w:numFmt w:val="decimal"/>
      <w:lvlText w:val="%1."/>
      <w:lvlJc w:val="left"/>
      <w:pPr>
        <w:tabs>
          <w:tab w:val="num" w:pos="720"/>
        </w:tabs>
        <w:ind w:left="720" w:hanging="360"/>
      </w:pPr>
    </w:lvl>
  </w:abstractNum>
  <w:abstractNum w:abstractNumId="4">
    <w:nsid w:val="FFFFFF80"/>
    <w:multiLevelType w:val="singleLevel"/>
    <w:tmpl w:val="2388929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904486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A4A360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D0AFDD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61A92FA"/>
    <w:lvl w:ilvl="0">
      <w:start w:val="1"/>
      <w:numFmt w:val="decimal"/>
      <w:lvlText w:val="%1."/>
      <w:lvlJc w:val="left"/>
      <w:pPr>
        <w:tabs>
          <w:tab w:val="num" w:pos="360"/>
        </w:tabs>
        <w:ind w:left="360" w:hanging="360"/>
      </w:pPr>
    </w:lvl>
  </w:abstractNum>
  <w:abstractNum w:abstractNumId="9">
    <w:nsid w:val="FFFFFF89"/>
    <w:multiLevelType w:val="singleLevel"/>
    <w:tmpl w:val="4F62EDEC"/>
    <w:lvl w:ilvl="0">
      <w:start w:val="1"/>
      <w:numFmt w:val="bullet"/>
      <w:lvlText w:val=""/>
      <w:lvlJc w:val="left"/>
      <w:pPr>
        <w:tabs>
          <w:tab w:val="num" w:pos="360"/>
        </w:tabs>
        <w:ind w:left="360" w:hanging="360"/>
      </w:pPr>
      <w:rPr>
        <w:rFonts w:ascii="Symbol" w:hAnsi="Symbol" w:hint="default"/>
      </w:rPr>
    </w:lvl>
  </w:abstractNum>
  <w:abstractNum w:abstractNumId="1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0D5116E7"/>
    <w:multiLevelType w:val="hybridMultilevel"/>
    <w:tmpl w:val="C762AC5A"/>
    <w:lvl w:ilvl="0" w:tplc="A41A1110">
      <w:start w:val="1"/>
      <w:numFmt w:val="decimal"/>
      <w:pStyle w:val="ListParagraph"/>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17"/>
  </w:num>
  <w:num w:numId="3">
    <w:abstractNumId w:val="21"/>
  </w:num>
  <w:num w:numId="4">
    <w:abstractNumId w:val="25"/>
  </w:num>
  <w:num w:numId="5">
    <w:abstractNumId w:val="15"/>
  </w:num>
  <w:num w:numId="6">
    <w:abstractNumId w:val="14"/>
  </w:num>
  <w:num w:numId="7">
    <w:abstractNumId w:val="13"/>
  </w:num>
  <w:num w:numId="8">
    <w:abstractNumId w:val="24"/>
  </w:num>
  <w:num w:numId="9">
    <w:abstractNumId w:val="12"/>
  </w:num>
  <w:num w:numId="10">
    <w:abstractNumId w:val="18"/>
  </w:num>
  <w:num w:numId="11">
    <w:abstractNumId w:val="20"/>
  </w:num>
  <w:num w:numId="12">
    <w:abstractNumId w:val="16"/>
  </w:num>
  <w:num w:numId="13">
    <w:abstractNumId w:val="19"/>
  </w:num>
  <w:num w:numId="14">
    <w:abstractNumId w:val="22"/>
  </w:num>
  <w:num w:numId="15">
    <w:abstractNumId w:val="10"/>
  </w:num>
  <w:num w:numId="16">
    <w:abstractNumId w:val="1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07A"/>
    <w:rsid w:val="0000049B"/>
    <w:rsid w:val="00000943"/>
    <w:rsid w:val="00004ACA"/>
    <w:rsid w:val="00004C37"/>
    <w:rsid w:val="00007EEE"/>
    <w:rsid w:val="00042E65"/>
    <w:rsid w:val="0005792E"/>
    <w:rsid w:val="00061E9D"/>
    <w:rsid w:val="0008024B"/>
    <w:rsid w:val="00082EBC"/>
    <w:rsid w:val="000A1D13"/>
    <w:rsid w:val="000A2681"/>
    <w:rsid w:val="000A4465"/>
    <w:rsid w:val="000C7C8F"/>
    <w:rsid w:val="000E1E7B"/>
    <w:rsid w:val="000E647D"/>
    <w:rsid w:val="000F2E54"/>
    <w:rsid w:val="00104E3E"/>
    <w:rsid w:val="001139C9"/>
    <w:rsid w:val="001437CA"/>
    <w:rsid w:val="001447AC"/>
    <w:rsid w:val="00170539"/>
    <w:rsid w:val="00182EE7"/>
    <w:rsid w:val="00183470"/>
    <w:rsid w:val="001A2256"/>
    <w:rsid w:val="001B1CBA"/>
    <w:rsid w:val="001D024A"/>
    <w:rsid w:val="001E3BC0"/>
    <w:rsid w:val="001F1084"/>
    <w:rsid w:val="001F42C6"/>
    <w:rsid w:val="00207F14"/>
    <w:rsid w:val="00213167"/>
    <w:rsid w:val="00214A16"/>
    <w:rsid w:val="002152A5"/>
    <w:rsid w:val="002477E4"/>
    <w:rsid w:val="0024795D"/>
    <w:rsid w:val="002512F9"/>
    <w:rsid w:val="00251A1F"/>
    <w:rsid w:val="00253AEA"/>
    <w:rsid w:val="00256060"/>
    <w:rsid w:val="00256953"/>
    <w:rsid w:val="00256FA5"/>
    <w:rsid w:val="0026779D"/>
    <w:rsid w:val="00272EBC"/>
    <w:rsid w:val="002771BD"/>
    <w:rsid w:val="00291048"/>
    <w:rsid w:val="00292945"/>
    <w:rsid w:val="00293606"/>
    <w:rsid w:val="0029524F"/>
    <w:rsid w:val="002979DD"/>
    <w:rsid w:val="002A10EC"/>
    <w:rsid w:val="002A133F"/>
    <w:rsid w:val="002B22B6"/>
    <w:rsid w:val="002B245A"/>
    <w:rsid w:val="002D24BB"/>
    <w:rsid w:val="002E0464"/>
    <w:rsid w:val="002E36E7"/>
    <w:rsid w:val="002E798E"/>
    <w:rsid w:val="002F0128"/>
    <w:rsid w:val="002F012D"/>
    <w:rsid w:val="002F3282"/>
    <w:rsid w:val="00314D11"/>
    <w:rsid w:val="00333E13"/>
    <w:rsid w:val="00347D20"/>
    <w:rsid w:val="00372DB6"/>
    <w:rsid w:val="00376FBF"/>
    <w:rsid w:val="003816B4"/>
    <w:rsid w:val="00393C92"/>
    <w:rsid w:val="003A62C5"/>
    <w:rsid w:val="003B0D90"/>
    <w:rsid w:val="003C385E"/>
    <w:rsid w:val="003D5F9C"/>
    <w:rsid w:val="003E678C"/>
    <w:rsid w:val="003F3AC5"/>
    <w:rsid w:val="00400F42"/>
    <w:rsid w:val="00403266"/>
    <w:rsid w:val="0041075B"/>
    <w:rsid w:val="00416DBB"/>
    <w:rsid w:val="0043260C"/>
    <w:rsid w:val="00435C8E"/>
    <w:rsid w:val="004448F2"/>
    <w:rsid w:val="00451F67"/>
    <w:rsid w:val="00454164"/>
    <w:rsid w:val="0046390D"/>
    <w:rsid w:val="00470A6B"/>
    <w:rsid w:val="004857CB"/>
    <w:rsid w:val="00487A0F"/>
    <w:rsid w:val="004946D1"/>
    <w:rsid w:val="004A37DD"/>
    <w:rsid w:val="004A6D92"/>
    <w:rsid w:val="004B0A1C"/>
    <w:rsid w:val="004B2479"/>
    <w:rsid w:val="004D1123"/>
    <w:rsid w:val="004D36BE"/>
    <w:rsid w:val="004D523C"/>
    <w:rsid w:val="004E669A"/>
    <w:rsid w:val="004F0C46"/>
    <w:rsid w:val="00515733"/>
    <w:rsid w:val="00521799"/>
    <w:rsid w:val="00530CA7"/>
    <w:rsid w:val="005423A2"/>
    <w:rsid w:val="00557E74"/>
    <w:rsid w:val="0057152E"/>
    <w:rsid w:val="00575AF2"/>
    <w:rsid w:val="00576A6C"/>
    <w:rsid w:val="005843E3"/>
    <w:rsid w:val="005956AF"/>
    <w:rsid w:val="005A1C17"/>
    <w:rsid w:val="005A2ABA"/>
    <w:rsid w:val="005A7A06"/>
    <w:rsid w:val="005B2B8E"/>
    <w:rsid w:val="005E1715"/>
    <w:rsid w:val="005E1B85"/>
    <w:rsid w:val="005E4335"/>
    <w:rsid w:val="005E609C"/>
    <w:rsid w:val="00604838"/>
    <w:rsid w:val="00605769"/>
    <w:rsid w:val="00613F12"/>
    <w:rsid w:val="006150D9"/>
    <w:rsid w:val="0061775F"/>
    <w:rsid w:val="0063243E"/>
    <w:rsid w:val="00637042"/>
    <w:rsid w:val="006558A0"/>
    <w:rsid w:val="006577BC"/>
    <w:rsid w:val="00662F40"/>
    <w:rsid w:val="00665748"/>
    <w:rsid w:val="00676420"/>
    <w:rsid w:val="0069131A"/>
    <w:rsid w:val="00692ADE"/>
    <w:rsid w:val="00694AF1"/>
    <w:rsid w:val="006965F3"/>
    <w:rsid w:val="00697E13"/>
    <w:rsid w:val="006C2CCA"/>
    <w:rsid w:val="006C4D07"/>
    <w:rsid w:val="006D54E1"/>
    <w:rsid w:val="006E52BF"/>
    <w:rsid w:val="006E53A6"/>
    <w:rsid w:val="006F0329"/>
    <w:rsid w:val="006F0DC4"/>
    <w:rsid w:val="006F67EF"/>
    <w:rsid w:val="00704F09"/>
    <w:rsid w:val="00712E58"/>
    <w:rsid w:val="007262E1"/>
    <w:rsid w:val="00740960"/>
    <w:rsid w:val="00760930"/>
    <w:rsid w:val="00766642"/>
    <w:rsid w:val="00773439"/>
    <w:rsid w:val="00773C8D"/>
    <w:rsid w:val="00784F2F"/>
    <w:rsid w:val="00792796"/>
    <w:rsid w:val="007A3CDE"/>
    <w:rsid w:val="007B3943"/>
    <w:rsid w:val="007D1345"/>
    <w:rsid w:val="007E0530"/>
    <w:rsid w:val="007E42D9"/>
    <w:rsid w:val="007E6779"/>
    <w:rsid w:val="0080307A"/>
    <w:rsid w:val="008032B9"/>
    <w:rsid w:val="0080545C"/>
    <w:rsid w:val="00807187"/>
    <w:rsid w:val="008076CD"/>
    <w:rsid w:val="00813FD7"/>
    <w:rsid w:val="00814C7D"/>
    <w:rsid w:val="00820B4C"/>
    <w:rsid w:val="008267EE"/>
    <w:rsid w:val="00831923"/>
    <w:rsid w:val="00843320"/>
    <w:rsid w:val="00845A62"/>
    <w:rsid w:val="008529D2"/>
    <w:rsid w:val="0085463E"/>
    <w:rsid w:val="00895359"/>
    <w:rsid w:val="00896399"/>
    <w:rsid w:val="00897629"/>
    <w:rsid w:val="008A498B"/>
    <w:rsid w:val="008D1BB4"/>
    <w:rsid w:val="008D74A6"/>
    <w:rsid w:val="008E6F1F"/>
    <w:rsid w:val="008F55BB"/>
    <w:rsid w:val="00906F8F"/>
    <w:rsid w:val="009073D3"/>
    <w:rsid w:val="009221D0"/>
    <w:rsid w:val="009334DB"/>
    <w:rsid w:val="00933A46"/>
    <w:rsid w:val="00933E4B"/>
    <w:rsid w:val="00943411"/>
    <w:rsid w:val="0096677E"/>
    <w:rsid w:val="00983CBF"/>
    <w:rsid w:val="0098624F"/>
    <w:rsid w:val="009C6F72"/>
    <w:rsid w:val="009E0A15"/>
    <w:rsid w:val="009F2F37"/>
    <w:rsid w:val="00A00B48"/>
    <w:rsid w:val="00A0272F"/>
    <w:rsid w:val="00A10C9A"/>
    <w:rsid w:val="00A10F92"/>
    <w:rsid w:val="00A16720"/>
    <w:rsid w:val="00A259CC"/>
    <w:rsid w:val="00A30AEC"/>
    <w:rsid w:val="00A76919"/>
    <w:rsid w:val="00A93587"/>
    <w:rsid w:val="00AA2EC5"/>
    <w:rsid w:val="00AB4C73"/>
    <w:rsid w:val="00AE33D4"/>
    <w:rsid w:val="00AE6F47"/>
    <w:rsid w:val="00AF1B07"/>
    <w:rsid w:val="00AF238D"/>
    <w:rsid w:val="00B01240"/>
    <w:rsid w:val="00B05176"/>
    <w:rsid w:val="00B07755"/>
    <w:rsid w:val="00B11CB1"/>
    <w:rsid w:val="00B13443"/>
    <w:rsid w:val="00B45F4C"/>
    <w:rsid w:val="00B47810"/>
    <w:rsid w:val="00B5710C"/>
    <w:rsid w:val="00B57636"/>
    <w:rsid w:val="00B604B5"/>
    <w:rsid w:val="00B608AF"/>
    <w:rsid w:val="00B67DE6"/>
    <w:rsid w:val="00B7302D"/>
    <w:rsid w:val="00B73D42"/>
    <w:rsid w:val="00BA1814"/>
    <w:rsid w:val="00BB1646"/>
    <w:rsid w:val="00BB5FBB"/>
    <w:rsid w:val="00BC2C18"/>
    <w:rsid w:val="00BC6B21"/>
    <w:rsid w:val="00BE62AC"/>
    <w:rsid w:val="00BF168D"/>
    <w:rsid w:val="00C031E1"/>
    <w:rsid w:val="00C500F3"/>
    <w:rsid w:val="00C56471"/>
    <w:rsid w:val="00C649E2"/>
    <w:rsid w:val="00C6645F"/>
    <w:rsid w:val="00C669FE"/>
    <w:rsid w:val="00C757FA"/>
    <w:rsid w:val="00C76654"/>
    <w:rsid w:val="00C76D0F"/>
    <w:rsid w:val="00C85CE4"/>
    <w:rsid w:val="00C874C0"/>
    <w:rsid w:val="00C87855"/>
    <w:rsid w:val="00C87E57"/>
    <w:rsid w:val="00C9040B"/>
    <w:rsid w:val="00C917D6"/>
    <w:rsid w:val="00CA1F57"/>
    <w:rsid w:val="00CB19A5"/>
    <w:rsid w:val="00CB6E68"/>
    <w:rsid w:val="00CD65EE"/>
    <w:rsid w:val="00CF3A22"/>
    <w:rsid w:val="00D03F05"/>
    <w:rsid w:val="00D30CC0"/>
    <w:rsid w:val="00D544F0"/>
    <w:rsid w:val="00D63CC1"/>
    <w:rsid w:val="00D9157A"/>
    <w:rsid w:val="00DA72C0"/>
    <w:rsid w:val="00DA7540"/>
    <w:rsid w:val="00DB2DA0"/>
    <w:rsid w:val="00DB3098"/>
    <w:rsid w:val="00DD5C37"/>
    <w:rsid w:val="00DE112A"/>
    <w:rsid w:val="00DE3D1C"/>
    <w:rsid w:val="00DF4ADD"/>
    <w:rsid w:val="00E264B7"/>
    <w:rsid w:val="00E35DC7"/>
    <w:rsid w:val="00E40987"/>
    <w:rsid w:val="00E4233B"/>
    <w:rsid w:val="00E4239A"/>
    <w:rsid w:val="00E46224"/>
    <w:rsid w:val="00E56575"/>
    <w:rsid w:val="00E575C0"/>
    <w:rsid w:val="00E62B1A"/>
    <w:rsid w:val="00E64CEF"/>
    <w:rsid w:val="00E72BF4"/>
    <w:rsid w:val="00E87B24"/>
    <w:rsid w:val="00E87D91"/>
    <w:rsid w:val="00E92DAD"/>
    <w:rsid w:val="00EA03E3"/>
    <w:rsid w:val="00EB16E0"/>
    <w:rsid w:val="00EC1CBA"/>
    <w:rsid w:val="00ED77E2"/>
    <w:rsid w:val="00EE7801"/>
    <w:rsid w:val="00EF0F66"/>
    <w:rsid w:val="00F0134B"/>
    <w:rsid w:val="00F16554"/>
    <w:rsid w:val="00F25877"/>
    <w:rsid w:val="00F27ABE"/>
    <w:rsid w:val="00F42F8A"/>
    <w:rsid w:val="00F4387C"/>
    <w:rsid w:val="00F544E1"/>
    <w:rsid w:val="00F56CFF"/>
    <w:rsid w:val="00F77321"/>
    <w:rsid w:val="00F81393"/>
    <w:rsid w:val="00F848BF"/>
    <w:rsid w:val="00F84B28"/>
    <w:rsid w:val="00F86694"/>
    <w:rsid w:val="00F91721"/>
    <w:rsid w:val="00FA66A8"/>
    <w:rsid w:val="00FC34AF"/>
    <w:rsid w:val="00FD2F74"/>
    <w:rsid w:val="00FD5C10"/>
    <w:rsid w:val="00FD6791"/>
    <w:rsid w:val="00FD68AC"/>
    <w:rsid w:val="00FE1783"/>
    <w:rsid w:val="00FF2A05"/>
    <w:rsid w:val="00FF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E36E7"/>
    <w:pPr>
      <w:numPr>
        <w:numId w:val="16"/>
      </w:numPr>
      <w:spacing w:after="0"/>
      <w:ind w:left="0" w:firstLine="1440"/>
    </w:pPr>
  </w:style>
  <w:style w:type="paragraph" w:styleId="FootnoteText">
    <w:name w:val="footnote text"/>
    <w:aliases w:val="C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454164"/>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454164"/>
    <w:rPr>
      <w:rFonts w:ascii="Times New Roman" w:hAnsi="Times New Roman" w:cs="Times New Roman"/>
      <w:sz w:val="24"/>
      <w:szCs w:val="20"/>
    </w:rPr>
  </w:style>
  <w:style w:type="paragraph" w:styleId="Footer">
    <w:name w:val="footer"/>
    <w:basedOn w:val="Normal"/>
    <w:link w:val="FooterChar"/>
    <w:uiPriority w:val="99"/>
    <w:unhideWhenUsed/>
    <w:rsid w:val="00454164"/>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454164"/>
    <w:rPr>
      <w:rFonts w:ascii="Times New Roman" w:hAnsi="Times New Roman" w:cs="Times New Roman"/>
      <w:sz w:val="24"/>
      <w:szCs w:val="20"/>
    </w:rPr>
  </w:style>
  <w:style w:type="paragraph" w:styleId="Title">
    <w:name w:val="Title"/>
    <w:basedOn w:val="Normal"/>
    <w:link w:val="TitleChar"/>
    <w:qFormat/>
    <w:rsid w:val="005B2B8E"/>
    <w:pPr>
      <w:tabs>
        <w:tab w:val="clear" w:pos="1440"/>
        <w:tab w:val="left" w:pos="360"/>
      </w:tabs>
      <w:spacing w:after="0" w:line="233" w:lineRule="auto"/>
      <w:jc w:val="center"/>
    </w:pPr>
    <w:rPr>
      <w:b/>
    </w:rPr>
  </w:style>
  <w:style w:type="character" w:customStyle="1" w:styleId="TitleChar">
    <w:name w:val="Title Char"/>
    <w:basedOn w:val="DefaultParagraphFont"/>
    <w:link w:val="Title"/>
    <w:rsid w:val="005B2B8E"/>
    <w:rPr>
      <w:rFonts w:ascii="Times New Roman" w:hAnsi="Times New Roman" w:cs="Times New Roman"/>
      <w:b/>
      <w:sz w:val="24"/>
      <w:szCs w:val="20"/>
    </w:rPr>
  </w:style>
  <w:style w:type="character" w:styleId="FootnoteReference">
    <w:name w:val="footnote reference"/>
    <w:basedOn w:val="DefaultParagraphFont"/>
    <w:uiPriority w:val="99"/>
    <w:unhideWhenUsed/>
    <w:rsid w:val="00807187"/>
    <w:rPr>
      <w:vertAlign w:val="superscript"/>
    </w:rPr>
  </w:style>
  <w:style w:type="paragraph" w:styleId="BalloonText">
    <w:name w:val="Balloon Text"/>
    <w:basedOn w:val="Normal"/>
    <w:link w:val="BalloonTextChar"/>
    <w:uiPriority w:val="99"/>
    <w:semiHidden/>
    <w:unhideWhenUsed/>
    <w:rsid w:val="00726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2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E36E7"/>
    <w:pPr>
      <w:numPr>
        <w:numId w:val="16"/>
      </w:numPr>
      <w:spacing w:after="0"/>
      <w:ind w:left="0" w:firstLine="1440"/>
    </w:pPr>
  </w:style>
  <w:style w:type="paragraph" w:styleId="FootnoteText">
    <w:name w:val="footnote text"/>
    <w:aliases w:val="C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454164"/>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454164"/>
    <w:rPr>
      <w:rFonts w:ascii="Times New Roman" w:hAnsi="Times New Roman" w:cs="Times New Roman"/>
      <w:sz w:val="24"/>
      <w:szCs w:val="20"/>
    </w:rPr>
  </w:style>
  <w:style w:type="paragraph" w:styleId="Footer">
    <w:name w:val="footer"/>
    <w:basedOn w:val="Normal"/>
    <w:link w:val="FooterChar"/>
    <w:uiPriority w:val="99"/>
    <w:unhideWhenUsed/>
    <w:rsid w:val="00454164"/>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454164"/>
    <w:rPr>
      <w:rFonts w:ascii="Times New Roman" w:hAnsi="Times New Roman" w:cs="Times New Roman"/>
      <w:sz w:val="24"/>
      <w:szCs w:val="20"/>
    </w:rPr>
  </w:style>
  <w:style w:type="paragraph" w:styleId="Title">
    <w:name w:val="Title"/>
    <w:basedOn w:val="Normal"/>
    <w:link w:val="TitleChar"/>
    <w:qFormat/>
    <w:rsid w:val="005B2B8E"/>
    <w:pPr>
      <w:tabs>
        <w:tab w:val="clear" w:pos="1440"/>
        <w:tab w:val="left" w:pos="360"/>
      </w:tabs>
      <w:spacing w:after="0" w:line="233" w:lineRule="auto"/>
      <w:jc w:val="center"/>
    </w:pPr>
    <w:rPr>
      <w:b/>
    </w:rPr>
  </w:style>
  <w:style w:type="character" w:customStyle="1" w:styleId="TitleChar">
    <w:name w:val="Title Char"/>
    <w:basedOn w:val="DefaultParagraphFont"/>
    <w:link w:val="Title"/>
    <w:rsid w:val="005B2B8E"/>
    <w:rPr>
      <w:rFonts w:ascii="Times New Roman" w:hAnsi="Times New Roman" w:cs="Times New Roman"/>
      <w:b/>
      <w:sz w:val="24"/>
      <w:szCs w:val="20"/>
    </w:rPr>
  </w:style>
  <w:style w:type="character" w:styleId="FootnoteReference">
    <w:name w:val="footnote reference"/>
    <w:basedOn w:val="DefaultParagraphFont"/>
    <w:uiPriority w:val="99"/>
    <w:unhideWhenUsed/>
    <w:rsid w:val="00807187"/>
    <w:rPr>
      <w:vertAlign w:val="superscript"/>
    </w:rPr>
  </w:style>
  <w:style w:type="paragraph" w:styleId="BalloonText">
    <w:name w:val="Balloon Text"/>
    <w:basedOn w:val="Normal"/>
    <w:link w:val="BalloonTextChar"/>
    <w:uiPriority w:val="99"/>
    <w:semiHidden/>
    <w:unhideWhenUsed/>
    <w:rsid w:val="00726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2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226914">
      <w:bodyDiv w:val="1"/>
      <w:marLeft w:val="0"/>
      <w:marRight w:val="0"/>
      <w:marTop w:val="0"/>
      <w:marBottom w:val="0"/>
      <w:divBdr>
        <w:top w:val="none" w:sz="0" w:space="0" w:color="auto"/>
        <w:left w:val="none" w:sz="0" w:space="0" w:color="auto"/>
        <w:bottom w:val="none" w:sz="0" w:space="0" w:color="auto"/>
        <w:right w:val="none" w:sz="0" w:space="0" w:color="auto"/>
      </w:divBdr>
    </w:div>
    <w:div w:id="1011878787">
      <w:bodyDiv w:val="1"/>
      <w:marLeft w:val="0"/>
      <w:marRight w:val="0"/>
      <w:marTop w:val="0"/>
      <w:marBottom w:val="0"/>
      <w:divBdr>
        <w:top w:val="none" w:sz="0" w:space="0" w:color="auto"/>
        <w:left w:val="none" w:sz="0" w:space="0" w:color="auto"/>
        <w:bottom w:val="none" w:sz="0" w:space="0" w:color="auto"/>
        <w:right w:val="none" w:sz="0" w:space="0" w:color="auto"/>
      </w:divBdr>
    </w:div>
    <w:div w:id="1263418689">
      <w:bodyDiv w:val="1"/>
      <w:marLeft w:val="0"/>
      <w:marRight w:val="0"/>
      <w:marTop w:val="0"/>
      <w:marBottom w:val="0"/>
      <w:divBdr>
        <w:top w:val="none" w:sz="0" w:space="0" w:color="auto"/>
        <w:left w:val="none" w:sz="0" w:space="0" w:color="auto"/>
        <w:bottom w:val="none" w:sz="0" w:space="0" w:color="auto"/>
        <w:right w:val="none" w:sz="0" w:space="0" w:color="auto"/>
      </w:divBdr>
    </w:div>
    <w:div w:id="1620911331">
      <w:bodyDiv w:val="1"/>
      <w:marLeft w:val="0"/>
      <w:marRight w:val="0"/>
      <w:marTop w:val="0"/>
      <w:marBottom w:val="0"/>
      <w:divBdr>
        <w:top w:val="none" w:sz="0" w:space="0" w:color="auto"/>
        <w:left w:val="none" w:sz="0" w:space="0" w:color="auto"/>
        <w:bottom w:val="none" w:sz="0" w:space="0" w:color="auto"/>
        <w:right w:val="none" w:sz="0" w:space="0" w:color="auto"/>
      </w:divBdr>
    </w:div>
    <w:div w:id="207973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next.westlaw.com/Link/Document/FullText?findType=L&amp;pubNum=1000262&amp;cite=PA02S505&amp;originatingDoc=I3a5bdda77a4411e2a531ef6793d44951&amp;refType=LQ&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FEA18-0845-4F69-84E9-28A3F4FDF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15</Pages>
  <Words>3108</Words>
  <Characters>17722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80</cp:revision>
  <cp:lastPrinted>2016-07-05T18:08:00Z</cp:lastPrinted>
  <dcterms:created xsi:type="dcterms:W3CDTF">2016-06-16T13:51:00Z</dcterms:created>
  <dcterms:modified xsi:type="dcterms:W3CDTF">2016-07-05T18:12:00Z</dcterms:modified>
</cp:coreProperties>
</file>