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FA5D56">
        <w:rPr>
          <w:rFonts w:ascii="Times New Roman" w:hAnsi="Times New Roman"/>
          <w:spacing w:val="-3"/>
          <w:szCs w:val="26"/>
        </w:rPr>
        <w:t>May 19</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 l</w:t>
      </w:r>
      <w:r w:rsidR="006B3219" w:rsidRPr="00900A18">
        <w:rPr>
          <w:rFonts w:ascii="Times New Roman" w:hAnsi="Times New Roman"/>
          <w:szCs w:val="26"/>
        </w:rPr>
        <w:t xml:space="preserve">ist of EGS </w:t>
      </w:r>
      <w:r w:rsidR="00BE3706">
        <w:rPr>
          <w:rFonts w:ascii="Times New Roman" w:hAnsi="Times New Roman"/>
          <w:szCs w:val="26"/>
        </w:rPr>
        <w:t>licensees</w:t>
      </w:r>
      <w:r w:rsidR="006B3219" w:rsidRPr="00900A18">
        <w:rPr>
          <w:rFonts w:ascii="Times New Roman" w:hAnsi="Times New Roman"/>
          <w:szCs w:val="26"/>
        </w:rPr>
        <w:t xml:space="preserve"> that have </w:t>
      </w:r>
      <w:r w:rsidR="00BE3706">
        <w:rPr>
          <w:rFonts w:ascii="Times New Roman" w:hAnsi="Times New Roman"/>
          <w:szCs w:val="26"/>
        </w:rPr>
        <w:t>provided</w:t>
      </w:r>
      <w:r w:rsidR="006B3219" w:rsidRPr="00900A18">
        <w:rPr>
          <w:rFonts w:ascii="Times New Roman" w:hAnsi="Times New Roman"/>
          <w:szCs w:val="26"/>
        </w:rPr>
        <w:t xml:space="preserve"> the required security</w:t>
      </w:r>
      <w:r>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774A25" w:rsidRPr="00900A18" w:rsidTr="001C0FDF">
        <w:trPr>
          <w:jc w:val="center"/>
        </w:trPr>
        <w:tc>
          <w:tcPr>
            <w:tcW w:w="3051"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A-2014-2455005</w:t>
            </w:r>
          </w:p>
        </w:tc>
        <w:tc>
          <w:tcPr>
            <w:tcW w:w="6165"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AMERICAN UTILITY MANAGEMENT INC</w:t>
            </w:r>
          </w:p>
        </w:tc>
      </w:tr>
      <w:tr w:rsidR="00774A25" w:rsidRPr="00900A18" w:rsidTr="001C0FDF">
        <w:trPr>
          <w:jc w:val="center"/>
        </w:trPr>
        <w:tc>
          <w:tcPr>
            <w:tcW w:w="3051"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A-2012-2338686</w:t>
            </w:r>
          </w:p>
        </w:tc>
        <w:tc>
          <w:tcPr>
            <w:tcW w:w="6165"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DEFINITIVE ENERGY GROUP INC</w:t>
            </w:r>
          </w:p>
        </w:tc>
      </w:tr>
      <w:tr w:rsidR="00774A25" w:rsidRPr="00900A18" w:rsidTr="001C0FDF">
        <w:trPr>
          <w:jc w:val="center"/>
        </w:trPr>
        <w:tc>
          <w:tcPr>
            <w:tcW w:w="3051"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A-2010-2179537</w:t>
            </w:r>
          </w:p>
        </w:tc>
        <w:tc>
          <w:tcPr>
            <w:tcW w:w="6165"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EMEX LLC</w:t>
            </w:r>
          </w:p>
        </w:tc>
      </w:tr>
      <w:tr w:rsidR="00774A25" w:rsidRPr="00900A18" w:rsidTr="001C0FDF">
        <w:trPr>
          <w:jc w:val="center"/>
        </w:trPr>
        <w:tc>
          <w:tcPr>
            <w:tcW w:w="3051"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A-2015-2500554</w:t>
            </w:r>
          </w:p>
        </w:tc>
        <w:tc>
          <w:tcPr>
            <w:tcW w:w="6165"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TITAN ENERGY NEW ENGLAND INC</w:t>
            </w:r>
          </w:p>
        </w:tc>
      </w:tr>
    </w:tbl>
    <w:p w:rsidR="006B3219" w:rsidRPr="00900A18" w:rsidRDefault="00E808A9" w:rsidP="001D6F17">
      <w:pPr>
        <w:tabs>
          <w:tab w:val="left" w:pos="-720"/>
        </w:tabs>
        <w:suppressAutoHyphens/>
        <w:spacing w:line="360" w:lineRule="auto"/>
        <w:rPr>
          <w:rFonts w:ascii="Times New Roman" w:hAnsi="Times New Roman"/>
          <w:spacing w:val="-3"/>
          <w:sz w:val="22"/>
          <w:szCs w:val="26"/>
        </w:rPr>
      </w:pPr>
      <w:r w:rsidRPr="00900A18">
        <w:rPr>
          <w:rFonts w:ascii="Times New Roman" w:hAnsi="Times New Roman"/>
          <w:spacing w:val="-3"/>
          <w:szCs w:val="26"/>
        </w:rPr>
        <w:tab/>
      </w:r>
    </w:p>
    <w:p w:rsidR="00E808A9" w:rsidRPr="00900A18" w:rsidRDefault="00E808A9" w:rsidP="001D6F17">
      <w:pPr>
        <w:tabs>
          <w:tab w:val="left" w:pos="-720"/>
        </w:tabs>
        <w:suppressAutoHyphens/>
        <w:spacing w:line="360" w:lineRule="auto"/>
        <w:rPr>
          <w:rFonts w:ascii="Times New Roman" w:hAnsi="Times New Roman"/>
          <w:spacing w:val="-3"/>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BE3706">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that ha</w:t>
      </w:r>
      <w:r w:rsidR="00BE3706">
        <w:rPr>
          <w:rFonts w:ascii="Times New Roman" w:hAnsi="Times New Roman"/>
          <w:szCs w:val="26"/>
        </w:rPr>
        <w:t>s</w:t>
      </w:r>
      <w:r w:rsidR="006B3219" w:rsidRPr="00900A18">
        <w:rPr>
          <w:rFonts w:ascii="Times New Roman" w:hAnsi="Times New Roman"/>
          <w:szCs w:val="26"/>
        </w:rPr>
        <w:t xml:space="preserve"> not </w:t>
      </w:r>
      <w:r w:rsidR="00BE3706">
        <w:rPr>
          <w:rFonts w:ascii="Times New Roman" w:hAnsi="Times New Roman"/>
          <w:szCs w:val="26"/>
        </w:rPr>
        <w:t>provided</w:t>
      </w:r>
      <w:r w:rsidR="006B3219" w:rsidRPr="00900A18">
        <w:rPr>
          <w:rFonts w:ascii="Times New Roman" w:hAnsi="Times New Roman"/>
          <w:szCs w:val="26"/>
        </w:rPr>
        <w:t xml:space="preserve"> the required security</w:t>
      </w:r>
      <w:r>
        <w:rPr>
          <w:rFonts w:ascii="Times New Roman" w:hAnsi="Times New Roman"/>
          <w:szCs w:val="26"/>
        </w:rPr>
        <w:t>.</w:t>
      </w:r>
    </w:p>
    <w:p w:rsidR="00774A25" w:rsidRPr="00900A18" w:rsidRDefault="00774A25" w:rsidP="006B3219">
      <w:pPr>
        <w:rPr>
          <w:rFonts w:ascii="Times New Roman" w:hAnsi="Times New Roman"/>
          <w:szCs w:val="26"/>
        </w:rPr>
      </w:pP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lastRenderedPageBreak/>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774A25" w:rsidRPr="00900A18" w:rsidTr="005240DD">
        <w:trPr>
          <w:trHeight w:val="287"/>
        </w:trPr>
        <w:tc>
          <w:tcPr>
            <w:tcW w:w="2790"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A-2009-2114759</w:t>
            </w:r>
          </w:p>
        </w:tc>
        <w:tc>
          <w:tcPr>
            <w:tcW w:w="6390" w:type="dxa"/>
          </w:tcPr>
          <w:p w:rsidR="00774A25" w:rsidRPr="00774A25" w:rsidRDefault="00774A25" w:rsidP="00650C01">
            <w:pPr>
              <w:spacing w:line="360" w:lineRule="auto"/>
              <w:jc w:val="center"/>
              <w:rPr>
                <w:rFonts w:ascii="Times New Roman" w:hAnsi="Times New Roman"/>
                <w:szCs w:val="26"/>
              </w:rPr>
            </w:pPr>
            <w:r w:rsidRPr="00774A25">
              <w:rPr>
                <w:rFonts w:ascii="Times New Roman" w:hAnsi="Times New Roman"/>
                <w:szCs w:val="26"/>
              </w:rPr>
              <w:t>METROMEDIA POWER INC</w:t>
            </w:r>
          </w:p>
        </w:tc>
      </w:tr>
    </w:tbl>
    <w:p w:rsidR="006B3219" w:rsidRDefault="006B3219" w:rsidP="001C0FDF">
      <w:pPr>
        <w:ind w:firstLine="720"/>
        <w:rPr>
          <w:rFonts w:ascii="Times New Roman" w:hAnsi="Times New Roman"/>
          <w:spacing w:val="-3"/>
          <w:sz w:val="22"/>
          <w:szCs w:val="26"/>
        </w:rPr>
      </w:pPr>
    </w:p>
    <w:p w:rsidR="00AA6976" w:rsidRDefault="00AA6976" w:rsidP="00AA6976">
      <w:pPr>
        <w:rPr>
          <w:rFonts w:ascii="Times New Roman" w:hAnsi="Times New Roman"/>
          <w:szCs w:val="26"/>
        </w:rPr>
      </w:pPr>
    </w:p>
    <w:p w:rsidR="00553BF8" w:rsidRDefault="00737D92"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106DDF">
        <w:rPr>
          <w:rFonts w:ascii="Times New Roman" w:hAnsi="Times New Roman"/>
          <w:spacing w:val="-3"/>
          <w:szCs w:val="26"/>
        </w:rPr>
        <w:t>is</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DB780F" w:rsidRPr="00900A18" w:rsidRDefault="00DB780F" w:rsidP="001D6F17">
      <w:pPr>
        <w:tabs>
          <w:tab w:val="left" w:pos="-720"/>
        </w:tabs>
        <w:suppressAutoHyphens/>
        <w:spacing w:line="360" w:lineRule="auto"/>
        <w:rPr>
          <w:rFonts w:ascii="Times New Roman" w:hAnsi="Times New Roman"/>
          <w:spacing w:val="-3"/>
          <w:szCs w:val="26"/>
        </w:rPr>
      </w:pPr>
    </w:p>
    <w:p w:rsidR="00004CEE" w:rsidRPr="00900A18" w:rsidRDefault="006650A2" w:rsidP="001D6F17">
      <w:pPr>
        <w:tabs>
          <w:tab w:val="left" w:pos="-720"/>
        </w:tabs>
        <w:suppressAutoHyphens/>
        <w:spacing w:line="360" w:lineRule="auto"/>
        <w:rPr>
          <w:rFonts w:ascii="Times New Roman" w:hAnsi="Times New Roman"/>
          <w:spacing w:val="-3"/>
          <w:szCs w:val="26"/>
        </w:rPr>
      </w:pPr>
      <w:r w:rsidRPr="00F45E06">
        <w:rPr>
          <w:b/>
          <w:noProof/>
        </w:rPr>
        <w:drawing>
          <wp:anchor distT="0" distB="0" distL="114300" distR="114300" simplePos="0" relativeHeight="251659264" behindDoc="1" locked="0" layoutInCell="1" allowOverlap="1" wp14:anchorId="1783CDE2" wp14:editId="367E2541">
            <wp:simplePos x="0" y="0"/>
            <wp:positionH relativeFrom="column">
              <wp:posOffset>2902585</wp:posOffset>
            </wp:positionH>
            <wp:positionV relativeFrom="paragraph">
              <wp:posOffset>147955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1D6F17" w:rsidRPr="00900A18" w:rsidRDefault="001D6F17" w:rsidP="005C3DEB">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b/>
          <w:spacing w:val="-3"/>
          <w:szCs w:val="26"/>
          <w:u w:val="single"/>
        </w:rPr>
      </w:pPr>
      <w:r w:rsidRPr="00900A18">
        <w:rPr>
          <w:rFonts w:ascii="Times New Roman" w:hAnsi="Times New Roman"/>
          <w:spacing w:val="-3"/>
          <w:szCs w:val="26"/>
        </w:rPr>
        <w:t xml:space="preserve">ORDER ENTERED: </w:t>
      </w:r>
      <w:r w:rsidR="00573C06">
        <w:rPr>
          <w:rFonts w:ascii="Times New Roman" w:hAnsi="Times New Roman"/>
          <w:spacing w:val="-3"/>
          <w:szCs w:val="26"/>
        </w:rPr>
        <w:t xml:space="preserve"> </w:t>
      </w:r>
      <w:r w:rsidR="006650A2">
        <w:rPr>
          <w:rFonts w:ascii="Times New Roman" w:hAnsi="Times New Roman"/>
          <w:spacing w:val="-3"/>
          <w:szCs w:val="26"/>
        </w:rPr>
        <w:t>July 19, 2016</w:t>
      </w:r>
      <w:bookmarkStart w:id="0" w:name="_GoBack"/>
      <w:bookmarkEnd w:id="0"/>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143D"/>
    <w:rsid w:val="00075EB6"/>
    <w:rsid w:val="00106DDF"/>
    <w:rsid w:val="001462CE"/>
    <w:rsid w:val="001868D0"/>
    <w:rsid w:val="001C0FDF"/>
    <w:rsid w:val="001D6F17"/>
    <w:rsid w:val="00240A5A"/>
    <w:rsid w:val="002D05A6"/>
    <w:rsid w:val="00306288"/>
    <w:rsid w:val="00324AA6"/>
    <w:rsid w:val="00333FC2"/>
    <w:rsid w:val="00336313"/>
    <w:rsid w:val="003556A5"/>
    <w:rsid w:val="00374BD4"/>
    <w:rsid w:val="00396A32"/>
    <w:rsid w:val="00464AC0"/>
    <w:rsid w:val="005240DD"/>
    <w:rsid w:val="00530DB9"/>
    <w:rsid w:val="00541C82"/>
    <w:rsid w:val="00553BF8"/>
    <w:rsid w:val="00573C06"/>
    <w:rsid w:val="005C3DEB"/>
    <w:rsid w:val="005D1243"/>
    <w:rsid w:val="005E1FB8"/>
    <w:rsid w:val="006650A2"/>
    <w:rsid w:val="00672341"/>
    <w:rsid w:val="006748D1"/>
    <w:rsid w:val="00697C0C"/>
    <w:rsid w:val="006B3219"/>
    <w:rsid w:val="006C6EA6"/>
    <w:rsid w:val="006E1877"/>
    <w:rsid w:val="00737D92"/>
    <w:rsid w:val="00741FD8"/>
    <w:rsid w:val="00774A25"/>
    <w:rsid w:val="007C6AE3"/>
    <w:rsid w:val="0081623B"/>
    <w:rsid w:val="008B687B"/>
    <w:rsid w:val="00900A18"/>
    <w:rsid w:val="00937DE8"/>
    <w:rsid w:val="00962EAA"/>
    <w:rsid w:val="0098124F"/>
    <w:rsid w:val="009A78BC"/>
    <w:rsid w:val="009C7D32"/>
    <w:rsid w:val="009D23F4"/>
    <w:rsid w:val="00A17FF6"/>
    <w:rsid w:val="00A25BCD"/>
    <w:rsid w:val="00A4333A"/>
    <w:rsid w:val="00AA6976"/>
    <w:rsid w:val="00AB7175"/>
    <w:rsid w:val="00AE2498"/>
    <w:rsid w:val="00B064F0"/>
    <w:rsid w:val="00B32604"/>
    <w:rsid w:val="00B95373"/>
    <w:rsid w:val="00BC33EE"/>
    <w:rsid w:val="00BE3706"/>
    <w:rsid w:val="00C76C63"/>
    <w:rsid w:val="00CA6815"/>
    <w:rsid w:val="00CB6146"/>
    <w:rsid w:val="00CE09AA"/>
    <w:rsid w:val="00D364B6"/>
    <w:rsid w:val="00D80876"/>
    <w:rsid w:val="00DA62D7"/>
    <w:rsid w:val="00DB064C"/>
    <w:rsid w:val="00DB780F"/>
    <w:rsid w:val="00DC72DA"/>
    <w:rsid w:val="00DE6176"/>
    <w:rsid w:val="00E30ED1"/>
    <w:rsid w:val="00E606F6"/>
    <w:rsid w:val="00E808A9"/>
    <w:rsid w:val="00E82010"/>
    <w:rsid w:val="00E97DAB"/>
    <w:rsid w:val="00EB5650"/>
    <w:rsid w:val="00EB5742"/>
    <w:rsid w:val="00EE5C03"/>
    <w:rsid w:val="00F954F0"/>
    <w:rsid w:val="00FA5D56"/>
    <w:rsid w:val="00FD3109"/>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5</cp:revision>
  <cp:lastPrinted>2016-07-19T12:38:00Z</cp:lastPrinted>
  <dcterms:created xsi:type="dcterms:W3CDTF">2016-07-18T13:02:00Z</dcterms:created>
  <dcterms:modified xsi:type="dcterms:W3CDTF">2016-07-19T12:38:00Z</dcterms:modified>
</cp:coreProperties>
</file>