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C18" w:rsidRPr="002A7F81" w:rsidRDefault="00CD5C18" w:rsidP="00CD5C18">
      <w:pPr>
        <w:pStyle w:val="Title"/>
        <w:tabs>
          <w:tab w:val="clear" w:pos="360"/>
        </w:tabs>
        <w:spacing w:line="240" w:lineRule="auto"/>
        <w:rPr>
          <w:szCs w:val="24"/>
        </w:rPr>
      </w:pPr>
      <w:r w:rsidRPr="002A7F81">
        <w:rPr>
          <w:szCs w:val="24"/>
        </w:rPr>
        <w:t>BEFORE THE</w:t>
      </w:r>
    </w:p>
    <w:p w:rsidR="00CD5C18" w:rsidRDefault="00CD5C18" w:rsidP="00CD5C18">
      <w:pPr>
        <w:jc w:val="center"/>
        <w:rPr>
          <w:b/>
          <w:sz w:val="24"/>
          <w:szCs w:val="24"/>
        </w:rPr>
      </w:pPr>
      <w:r w:rsidRPr="00394608">
        <w:rPr>
          <w:b/>
          <w:sz w:val="24"/>
          <w:szCs w:val="24"/>
        </w:rPr>
        <w:t>PENNSYLVANIA PUBLIC UTILITY COMMISSION</w:t>
      </w:r>
    </w:p>
    <w:p w:rsidR="00CD5C18" w:rsidRPr="00394608" w:rsidRDefault="00CD5C18" w:rsidP="00CD5C18">
      <w:pPr>
        <w:jc w:val="center"/>
        <w:rPr>
          <w:b/>
          <w:sz w:val="24"/>
          <w:szCs w:val="24"/>
        </w:rPr>
      </w:pPr>
    </w:p>
    <w:p w:rsidR="00CD5C18" w:rsidRDefault="00CD5C18" w:rsidP="00CD5C18">
      <w:pPr>
        <w:jc w:val="center"/>
        <w:rPr>
          <w:b/>
          <w:sz w:val="24"/>
          <w:szCs w:val="24"/>
        </w:rPr>
      </w:pPr>
    </w:p>
    <w:p w:rsidR="00CD5C18" w:rsidRDefault="00CD5C18" w:rsidP="00CD5C18">
      <w:pPr>
        <w:rPr>
          <w:sz w:val="24"/>
          <w:szCs w:val="24"/>
        </w:rPr>
      </w:pPr>
      <w:r w:rsidRPr="00394608">
        <w:rPr>
          <w:sz w:val="24"/>
          <w:szCs w:val="24"/>
        </w:rPr>
        <w:tab/>
      </w:r>
      <w:r w:rsidRPr="00394608">
        <w:rPr>
          <w:sz w:val="24"/>
          <w:szCs w:val="24"/>
        </w:rPr>
        <w:tab/>
      </w:r>
      <w:r w:rsidRPr="00394608">
        <w:rPr>
          <w:sz w:val="24"/>
          <w:szCs w:val="24"/>
        </w:rPr>
        <w:tab/>
      </w:r>
      <w:r w:rsidRPr="00394608">
        <w:rPr>
          <w:sz w:val="24"/>
          <w:szCs w:val="24"/>
        </w:rPr>
        <w:tab/>
      </w:r>
      <w:r w:rsidRPr="00394608">
        <w:rPr>
          <w:sz w:val="24"/>
          <w:szCs w:val="24"/>
        </w:rPr>
        <w:tab/>
      </w:r>
      <w:r w:rsidRPr="00394608">
        <w:rPr>
          <w:sz w:val="24"/>
          <w:szCs w:val="24"/>
        </w:rPr>
        <w:tab/>
      </w:r>
      <w:r w:rsidRPr="00394608">
        <w:rPr>
          <w:sz w:val="24"/>
          <w:szCs w:val="24"/>
        </w:rPr>
        <w:tab/>
      </w:r>
    </w:p>
    <w:p w:rsidR="00C838C5" w:rsidRPr="00394608" w:rsidRDefault="00C838C5" w:rsidP="00CD5C18">
      <w:pPr>
        <w:rPr>
          <w:sz w:val="24"/>
          <w:szCs w:val="24"/>
        </w:rPr>
      </w:pPr>
    </w:p>
    <w:tbl>
      <w:tblPr>
        <w:tblStyle w:val="TableGrid"/>
        <w:tblW w:w="9936" w:type="dxa"/>
        <w:tblLook w:val="01E0" w:firstRow="1" w:lastRow="1" w:firstColumn="1" w:lastColumn="1" w:noHBand="0" w:noVBand="0"/>
      </w:tblPr>
      <w:tblGrid>
        <w:gridCol w:w="4788"/>
        <w:gridCol w:w="540"/>
        <w:gridCol w:w="4608"/>
      </w:tblGrid>
      <w:tr w:rsidR="00CD5C18" w:rsidRPr="00833C45" w:rsidTr="00DA2277">
        <w:tc>
          <w:tcPr>
            <w:tcW w:w="4788" w:type="dxa"/>
            <w:tcBorders>
              <w:top w:val="nil"/>
              <w:left w:val="nil"/>
              <w:bottom w:val="nil"/>
              <w:right w:val="nil"/>
            </w:tcBorders>
          </w:tcPr>
          <w:p w:rsidR="00B540D2" w:rsidRDefault="00CD5C18" w:rsidP="002A249E">
            <w:pPr>
              <w:rPr>
                <w:sz w:val="24"/>
                <w:szCs w:val="24"/>
              </w:rPr>
            </w:pPr>
            <w:r w:rsidRPr="00833C45">
              <w:rPr>
                <w:sz w:val="24"/>
                <w:szCs w:val="24"/>
              </w:rPr>
              <w:t xml:space="preserve">Pennsylvania Public Utility Commission Office of Small Business Advocate </w:t>
            </w:r>
          </w:p>
          <w:p w:rsidR="00CD5C18" w:rsidRDefault="00CD5C18" w:rsidP="002A249E">
            <w:pPr>
              <w:rPr>
                <w:sz w:val="24"/>
                <w:szCs w:val="24"/>
              </w:rPr>
            </w:pPr>
            <w:r w:rsidRPr="00833C45">
              <w:rPr>
                <w:sz w:val="24"/>
                <w:szCs w:val="24"/>
              </w:rPr>
              <w:t xml:space="preserve">Office of Consumer Advocate </w:t>
            </w:r>
          </w:p>
          <w:p w:rsidR="00CD5C18" w:rsidRDefault="00C907CE" w:rsidP="002A249E">
            <w:pPr>
              <w:rPr>
                <w:sz w:val="24"/>
                <w:szCs w:val="24"/>
              </w:rPr>
            </w:pPr>
            <w:r>
              <w:rPr>
                <w:sz w:val="24"/>
                <w:szCs w:val="24"/>
              </w:rPr>
              <w:t xml:space="preserve">Daniel </w:t>
            </w:r>
            <w:proofErr w:type="spellStart"/>
            <w:r>
              <w:rPr>
                <w:sz w:val="24"/>
                <w:szCs w:val="24"/>
              </w:rPr>
              <w:t>Killmeyer</w:t>
            </w:r>
            <w:proofErr w:type="spellEnd"/>
          </w:p>
          <w:p w:rsidR="00C907CE" w:rsidRDefault="00C907CE" w:rsidP="002A249E">
            <w:pPr>
              <w:rPr>
                <w:sz w:val="24"/>
                <w:szCs w:val="24"/>
              </w:rPr>
            </w:pPr>
            <w:r>
              <w:rPr>
                <w:sz w:val="24"/>
                <w:szCs w:val="24"/>
              </w:rPr>
              <w:t>James Matthew Weber</w:t>
            </w:r>
          </w:p>
          <w:p w:rsidR="00F847D6" w:rsidRDefault="00F847D6" w:rsidP="002A249E">
            <w:pPr>
              <w:rPr>
                <w:sz w:val="24"/>
                <w:szCs w:val="24"/>
              </w:rPr>
            </w:pPr>
          </w:p>
          <w:p w:rsidR="00CD5C18" w:rsidRDefault="00CD5C18" w:rsidP="002A249E">
            <w:pPr>
              <w:rPr>
                <w:sz w:val="24"/>
                <w:szCs w:val="24"/>
              </w:rPr>
            </w:pPr>
            <w:r>
              <w:rPr>
                <w:sz w:val="24"/>
                <w:szCs w:val="24"/>
              </w:rPr>
              <w:tab/>
            </w:r>
            <w:r w:rsidRPr="00833C45">
              <w:rPr>
                <w:sz w:val="24"/>
                <w:szCs w:val="24"/>
              </w:rPr>
              <w:t xml:space="preserve">v. </w:t>
            </w:r>
          </w:p>
          <w:p w:rsidR="00CD5C18" w:rsidRDefault="00CD5C18" w:rsidP="002A249E">
            <w:pPr>
              <w:rPr>
                <w:sz w:val="24"/>
                <w:szCs w:val="24"/>
              </w:rPr>
            </w:pPr>
          </w:p>
          <w:p w:rsidR="00CD5C18" w:rsidRPr="00833C45" w:rsidRDefault="00CD5C18" w:rsidP="002A249E">
            <w:pPr>
              <w:rPr>
                <w:sz w:val="24"/>
                <w:szCs w:val="24"/>
              </w:rPr>
            </w:pPr>
            <w:r w:rsidRPr="00833C45">
              <w:rPr>
                <w:sz w:val="24"/>
                <w:szCs w:val="24"/>
              </w:rPr>
              <w:t>Peoples Natural Gas Company LLC</w:t>
            </w:r>
          </w:p>
        </w:tc>
        <w:tc>
          <w:tcPr>
            <w:tcW w:w="540" w:type="dxa"/>
            <w:tcBorders>
              <w:top w:val="nil"/>
              <w:left w:val="nil"/>
              <w:bottom w:val="nil"/>
              <w:right w:val="nil"/>
            </w:tcBorders>
          </w:tcPr>
          <w:p w:rsidR="00CD5C18" w:rsidRDefault="00CD5C18" w:rsidP="002A249E">
            <w:pPr>
              <w:rPr>
                <w:b/>
                <w:sz w:val="24"/>
                <w:szCs w:val="24"/>
              </w:rPr>
            </w:pPr>
            <w:r>
              <w:rPr>
                <w:b/>
                <w:sz w:val="24"/>
                <w:szCs w:val="24"/>
              </w:rPr>
              <w:t>:</w:t>
            </w:r>
            <w:r>
              <w:rPr>
                <w:b/>
                <w:sz w:val="24"/>
                <w:szCs w:val="24"/>
              </w:rPr>
              <w:br/>
              <w:t>:</w:t>
            </w:r>
            <w:r>
              <w:rPr>
                <w:b/>
                <w:sz w:val="24"/>
                <w:szCs w:val="24"/>
              </w:rPr>
              <w:br/>
              <w:t>:</w:t>
            </w:r>
            <w:r>
              <w:rPr>
                <w:b/>
                <w:sz w:val="24"/>
                <w:szCs w:val="24"/>
              </w:rPr>
              <w:br/>
              <w:t>:</w:t>
            </w:r>
            <w:r>
              <w:rPr>
                <w:b/>
                <w:sz w:val="24"/>
                <w:szCs w:val="24"/>
              </w:rPr>
              <w:br/>
              <w:t>:</w:t>
            </w:r>
            <w:r w:rsidR="00C907CE">
              <w:rPr>
                <w:b/>
                <w:sz w:val="24"/>
                <w:szCs w:val="24"/>
              </w:rPr>
              <w:t xml:space="preserve">                     </w:t>
            </w:r>
            <w:r>
              <w:rPr>
                <w:b/>
                <w:sz w:val="24"/>
                <w:szCs w:val="24"/>
              </w:rPr>
              <w:br/>
              <w:t>:</w:t>
            </w:r>
            <w:r>
              <w:rPr>
                <w:b/>
                <w:sz w:val="24"/>
                <w:szCs w:val="24"/>
              </w:rPr>
              <w:br/>
              <w:t>:</w:t>
            </w:r>
          </w:p>
          <w:p w:rsidR="00C907CE" w:rsidRDefault="00C907CE" w:rsidP="002A249E">
            <w:pPr>
              <w:rPr>
                <w:b/>
                <w:sz w:val="24"/>
                <w:szCs w:val="24"/>
              </w:rPr>
            </w:pPr>
            <w:r>
              <w:rPr>
                <w:b/>
                <w:sz w:val="24"/>
                <w:szCs w:val="24"/>
              </w:rPr>
              <w:t>:</w:t>
            </w:r>
          </w:p>
          <w:p w:rsidR="00C907CE" w:rsidRDefault="00C907CE" w:rsidP="002A249E">
            <w:pPr>
              <w:rPr>
                <w:b/>
                <w:sz w:val="24"/>
                <w:szCs w:val="24"/>
              </w:rPr>
            </w:pPr>
            <w:r>
              <w:rPr>
                <w:b/>
                <w:sz w:val="24"/>
                <w:szCs w:val="24"/>
              </w:rPr>
              <w:t>:</w:t>
            </w:r>
          </w:p>
          <w:p w:rsidR="00CD5C18" w:rsidRPr="00833C45" w:rsidRDefault="00C907CE" w:rsidP="002A249E">
            <w:pPr>
              <w:rPr>
                <w:b/>
                <w:sz w:val="24"/>
                <w:szCs w:val="24"/>
              </w:rPr>
            </w:pPr>
            <w:r>
              <w:rPr>
                <w:b/>
                <w:sz w:val="24"/>
                <w:szCs w:val="24"/>
              </w:rPr>
              <w:t>:</w:t>
            </w:r>
          </w:p>
        </w:tc>
        <w:tc>
          <w:tcPr>
            <w:tcW w:w="4608" w:type="dxa"/>
            <w:tcBorders>
              <w:top w:val="nil"/>
              <w:left w:val="nil"/>
              <w:bottom w:val="nil"/>
              <w:right w:val="nil"/>
            </w:tcBorders>
          </w:tcPr>
          <w:p w:rsidR="00CD5C18" w:rsidRPr="00F847D6" w:rsidRDefault="00B540D2" w:rsidP="00C907CE">
            <w:pPr>
              <w:pStyle w:val="BodyText"/>
              <w:spacing w:after="0"/>
              <w:rPr>
                <w:sz w:val="24"/>
                <w:szCs w:val="24"/>
              </w:rPr>
            </w:pPr>
            <w:r>
              <w:rPr>
                <w:sz w:val="24"/>
                <w:szCs w:val="24"/>
              </w:rPr>
              <w:t xml:space="preserve">                     </w:t>
            </w:r>
            <w:r w:rsidR="00CD5C18" w:rsidRPr="00F847D6">
              <w:rPr>
                <w:sz w:val="24"/>
                <w:szCs w:val="24"/>
              </w:rPr>
              <w:t>R-201</w:t>
            </w:r>
            <w:r w:rsidR="00F847D6" w:rsidRPr="00F847D6">
              <w:rPr>
                <w:sz w:val="24"/>
                <w:szCs w:val="24"/>
              </w:rPr>
              <w:t>6</w:t>
            </w:r>
            <w:r w:rsidR="00CD5C18" w:rsidRPr="00F847D6">
              <w:rPr>
                <w:sz w:val="24"/>
                <w:szCs w:val="24"/>
              </w:rPr>
              <w:t>-2</w:t>
            </w:r>
            <w:r w:rsidR="00F847D6" w:rsidRPr="00F847D6">
              <w:rPr>
                <w:sz w:val="24"/>
                <w:szCs w:val="24"/>
              </w:rPr>
              <w:t>528562</w:t>
            </w:r>
            <w:r w:rsidR="00CD5C18" w:rsidRPr="00F847D6">
              <w:rPr>
                <w:sz w:val="24"/>
                <w:szCs w:val="24"/>
              </w:rPr>
              <w:br/>
            </w:r>
            <w:r w:rsidR="00CD5C18" w:rsidRPr="00F847D6">
              <w:rPr>
                <w:sz w:val="24"/>
                <w:szCs w:val="24"/>
              </w:rPr>
              <w:tab/>
              <w:t xml:space="preserve">         C-201</w:t>
            </w:r>
            <w:r w:rsidR="00F847D6" w:rsidRPr="00F847D6">
              <w:rPr>
                <w:sz w:val="24"/>
                <w:szCs w:val="24"/>
              </w:rPr>
              <w:t>6</w:t>
            </w:r>
            <w:r w:rsidR="00CD5C18" w:rsidRPr="00F847D6">
              <w:rPr>
                <w:sz w:val="24"/>
                <w:szCs w:val="24"/>
              </w:rPr>
              <w:t>-2</w:t>
            </w:r>
            <w:r w:rsidR="00F847D6" w:rsidRPr="00F847D6">
              <w:rPr>
                <w:sz w:val="24"/>
                <w:szCs w:val="24"/>
              </w:rPr>
              <w:t>538456</w:t>
            </w:r>
            <w:r w:rsidR="00CD5C18" w:rsidRPr="00F847D6">
              <w:rPr>
                <w:sz w:val="24"/>
                <w:szCs w:val="24"/>
              </w:rPr>
              <w:br/>
            </w:r>
            <w:r w:rsidR="00CD5C18" w:rsidRPr="00F847D6">
              <w:rPr>
                <w:sz w:val="24"/>
                <w:szCs w:val="24"/>
              </w:rPr>
              <w:tab/>
              <w:t xml:space="preserve">         C-201</w:t>
            </w:r>
            <w:r w:rsidR="00F847D6" w:rsidRPr="00F847D6">
              <w:rPr>
                <w:sz w:val="24"/>
                <w:szCs w:val="24"/>
              </w:rPr>
              <w:t>6</w:t>
            </w:r>
            <w:r w:rsidR="00CD5C18" w:rsidRPr="00F847D6">
              <w:rPr>
                <w:sz w:val="24"/>
                <w:szCs w:val="24"/>
              </w:rPr>
              <w:t>-2</w:t>
            </w:r>
            <w:r w:rsidR="00F847D6" w:rsidRPr="00F847D6">
              <w:rPr>
                <w:sz w:val="24"/>
                <w:szCs w:val="24"/>
              </w:rPr>
              <w:t>536105</w:t>
            </w:r>
          </w:p>
          <w:p w:rsidR="00CD5C18" w:rsidRPr="00F847D6" w:rsidRDefault="00C907CE" w:rsidP="00C907CE">
            <w:pPr>
              <w:rPr>
                <w:sz w:val="24"/>
                <w:szCs w:val="24"/>
              </w:rPr>
            </w:pPr>
            <w:r w:rsidRPr="00F847D6">
              <w:rPr>
                <w:sz w:val="24"/>
                <w:szCs w:val="24"/>
              </w:rPr>
              <w:t xml:space="preserve">                     C-2016-2545048</w:t>
            </w:r>
          </w:p>
          <w:p w:rsidR="00C907CE" w:rsidRDefault="00C907CE" w:rsidP="00C907CE">
            <w:pPr>
              <w:rPr>
                <w:sz w:val="24"/>
                <w:szCs w:val="24"/>
              </w:rPr>
            </w:pPr>
            <w:r w:rsidRPr="00F847D6">
              <w:rPr>
                <w:sz w:val="24"/>
                <w:szCs w:val="24"/>
              </w:rPr>
              <w:t xml:space="preserve">                     C-2016-2551077</w:t>
            </w:r>
          </w:p>
          <w:p w:rsidR="00F847D6" w:rsidRPr="00833C45" w:rsidRDefault="00F847D6" w:rsidP="00C907CE">
            <w:pPr>
              <w:rPr>
                <w:sz w:val="24"/>
                <w:szCs w:val="24"/>
              </w:rPr>
            </w:pPr>
          </w:p>
        </w:tc>
      </w:tr>
      <w:tr w:rsidR="00CD5C18" w:rsidRPr="00833C45" w:rsidTr="00DA2277">
        <w:tc>
          <w:tcPr>
            <w:tcW w:w="4788" w:type="dxa"/>
            <w:tcBorders>
              <w:top w:val="nil"/>
              <w:left w:val="nil"/>
              <w:bottom w:val="nil"/>
              <w:right w:val="nil"/>
            </w:tcBorders>
          </w:tcPr>
          <w:p w:rsidR="00B540D2" w:rsidRDefault="00CD5C18" w:rsidP="002A249E">
            <w:pPr>
              <w:rPr>
                <w:sz w:val="24"/>
                <w:szCs w:val="24"/>
              </w:rPr>
            </w:pPr>
            <w:r w:rsidRPr="00833C45">
              <w:rPr>
                <w:sz w:val="24"/>
                <w:szCs w:val="24"/>
              </w:rPr>
              <w:t xml:space="preserve">Pennsylvania Public Utility Commission Office of Small Business Advocate </w:t>
            </w:r>
          </w:p>
          <w:p w:rsidR="00CD5C18" w:rsidRDefault="00CD5C18" w:rsidP="002A249E">
            <w:pPr>
              <w:rPr>
                <w:sz w:val="24"/>
                <w:szCs w:val="24"/>
              </w:rPr>
            </w:pPr>
            <w:r w:rsidRPr="00833C45">
              <w:rPr>
                <w:sz w:val="24"/>
                <w:szCs w:val="24"/>
              </w:rPr>
              <w:t xml:space="preserve">Office of Consumer Advocate </w:t>
            </w:r>
          </w:p>
          <w:p w:rsidR="00CD5C18" w:rsidRDefault="00CD5C18" w:rsidP="002A249E">
            <w:pPr>
              <w:rPr>
                <w:sz w:val="24"/>
                <w:szCs w:val="24"/>
              </w:rPr>
            </w:pPr>
          </w:p>
          <w:p w:rsidR="00CD5C18" w:rsidRDefault="00CD5C18" w:rsidP="002A249E">
            <w:pPr>
              <w:rPr>
                <w:sz w:val="24"/>
                <w:szCs w:val="24"/>
              </w:rPr>
            </w:pPr>
            <w:r>
              <w:rPr>
                <w:sz w:val="24"/>
                <w:szCs w:val="24"/>
              </w:rPr>
              <w:tab/>
            </w:r>
            <w:r w:rsidRPr="00833C45">
              <w:rPr>
                <w:sz w:val="24"/>
                <w:szCs w:val="24"/>
              </w:rPr>
              <w:t xml:space="preserve">v. </w:t>
            </w:r>
          </w:p>
          <w:p w:rsidR="00CD5C18" w:rsidRDefault="00CD5C18" w:rsidP="002A249E">
            <w:pPr>
              <w:rPr>
                <w:sz w:val="24"/>
                <w:szCs w:val="24"/>
              </w:rPr>
            </w:pPr>
          </w:p>
          <w:p w:rsidR="00CD5C18" w:rsidRPr="00833C45" w:rsidRDefault="00CD5C18" w:rsidP="0004463C">
            <w:pPr>
              <w:rPr>
                <w:sz w:val="24"/>
                <w:szCs w:val="24"/>
              </w:rPr>
            </w:pPr>
            <w:r w:rsidRPr="00833C45">
              <w:rPr>
                <w:sz w:val="24"/>
                <w:szCs w:val="24"/>
              </w:rPr>
              <w:t xml:space="preserve">Peoples Natural Gas Company LLC </w:t>
            </w:r>
            <w:r w:rsidR="0004463C">
              <w:rPr>
                <w:sz w:val="24"/>
                <w:szCs w:val="24"/>
              </w:rPr>
              <w:t>–</w:t>
            </w:r>
            <w:r w:rsidRPr="00833C45">
              <w:rPr>
                <w:sz w:val="24"/>
                <w:szCs w:val="24"/>
              </w:rPr>
              <w:t xml:space="preserve"> Equitable Division</w:t>
            </w:r>
          </w:p>
        </w:tc>
        <w:tc>
          <w:tcPr>
            <w:tcW w:w="540" w:type="dxa"/>
            <w:tcBorders>
              <w:top w:val="nil"/>
              <w:left w:val="nil"/>
              <w:bottom w:val="nil"/>
              <w:right w:val="nil"/>
            </w:tcBorders>
          </w:tcPr>
          <w:p w:rsidR="00CD5C18" w:rsidRDefault="00CD5C18" w:rsidP="002A249E">
            <w:pPr>
              <w:rPr>
                <w:b/>
                <w:sz w:val="24"/>
                <w:szCs w:val="24"/>
              </w:rPr>
            </w:pPr>
            <w:r>
              <w:rPr>
                <w:b/>
                <w:sz w:val="24"/>
                <w:szCs w:val="24"/>
              </w:rPr>
              <w:t>:</w:t>
            </w:r>
            <w:r>
              <w:rPr>
                <w:b/>
                <w:sz w:val="24"/>
                <w:szCs w:val="24"/>
              </w:rPr>
              <w:br/>
              <w:t>:</w:t>
            </w:r>
            <w:r>
              <w:rPr>
                <w:b/>
                <w:sz w:val="24"/>
                <w:szCs w:val="24"/>
              </w:rPr>
              <w:br/>
              <w:t>:</w:t>
            </w:r>
            <w:r>
              <w:rPr>
                <w:b/>
                <w:sz w:val="24"/>
                <w:szCs w:val="24"/>
              </w:rPr>
              <w:br/>
              <w:t>:</w:t>
            </w:r>
            <w:r>
              <w:rPr>
                <w:b/>
                <w:sz w:val="24"/>
                <w:szCs w:val="24"/>
              </w:rPr>
              <w:br/>
              <w:t>:</w:t>
            </w:r>
            <w:r>
              <w:rPr>
                <w:b/>
                <w:sz w:val="24"/>
                <w:szCs w:val="24"/>
              </w:rPr>
              <w:br/>
              <w:t>:</w:t>
            </w:r>
            <w:r>
              <w:rPr>
                <w:b/>
                <w:sz w:val="24"/>
                <w:szCs w:val="24"/>
              </w:rPr>
              <w:br/>
              <w:t>:</w:t>
            </w:r>
            <w:r>
              <w:rPr>
                <w:b/>
                <w:sz w:val="24"/>
                <w:szCs w:val="24"/>
              </w:rPr>
              <w:br/>
              <w:t>:</w:t>
            </w:r>
          </w:p>
          <w:p w:rsidR="00CD5C18" w:rsidRPr="00833C45" w:rsidRDefault="00CD5C18" w:rsidP="002A249E">
            <w:pPr>
              <w:rPr>
                <w:b/>
                <w:sz w:val="24"/>
                <w:szCs w:val="24"/>
              </w:rPr>
            </w:pPr>
          </w:p>
        </w:tc>
        <w:tc>
          <w:tcPr>
            <w:tcW w:w="4608" w:type="dxa"/>
            <w:tcBorders>
              <w:top w:val="nil"/>
              <w:left w:val="nil"/>
              <w:bottom w:val="nil"/>
              <w:right w:val="nil"/>
            </w:tcBorders>
          </w:tcPr>
          <w:p w:rsidR="00CD5C18" w:rsidRPr="003D5C65" w:rsidRDefault="00CD5C18" w:rsidP="00B540D2">
            <w:pPr>
              <w:pStyle w:val="BodyText"/>
              <w:ind w:firstLine="1242"/>
              <w:rPr>
                <w:sz w:val="24"/>
                <w:szCs w:val="24"/>
              </w:rPr>
            </w:pPr>
            <w:r w:rsidRPr="003D5C65">
              <w:rPr>
                <w:sz w:val="24"/>
                <w:szCs w:val="24"/>
              </w:rPr>
              <w:t>R-201</w:t>
            </w:r>
            <w:r w:rsidR="003D5C65">
              <w:rPr>
                <w:sz w:val="24"/>
                <w:szCs w:val="24"/>
              </w:rPr>
              <w:t>6</w:t>
            </w:r>
            <w:r w:rsidRPr="003D5C65">
              <w:rPr>
                <w:sz w:val="24"/>
                <w:szCs w:val="24"/>
              </w:rPr>
              <w:t>-2</w:t>
            </w:r>
            <w:r w:rsidR="003D5C65">
              <w:rPr>
                <w:sz w:val="24"/>
                <w:szCs w:val="24"/>
              </w:rPr>
              <w:t>529260</w:t>
            </w:r>
            <w:r w:rsidRPr="003D5C65">
              <w:rPr>
                <w:sz w:val="24"/>
                <w:szCs w:val="24"/>
              </w:rPr>
              <w:br/>
            </w:r>
            <w:r w:rsidRPr="003D5C65">
              <w:rPr>
                <w:sz w:val="24"/>
                <w:szCs w:val="24"/>
              </w:rPr>
              <w:tab/>
              <w:t xml:space="preserve">         C-201</w:t>
            </w:r>
            <w:r w:rsidR="003D5C65">
              <w:rPr>
                <w:sz w:val="24"/>
                <w:szCs w:val="24"/>
              </w:rPr>
              <w:t>6</w:t>
            </w:r>
            <w:r w:rsidRPr="003D5C65">
              <w:rPr>
                <w:sz w:val="24"/>
                <w:szCs w:val="24"/>
              </w:rPr>
              <w:t>-2</w:t>
            </w:r>
            <w:r w:rsidR="003D5C65">
              <w:rPr>
                <w:sz w:val="24"/>
                <w:szCs w:val="24"/>
              </w:rPr>
              <w:t>538458</w:t>
            </w:r>
            <w:r w:rsidRPr="003D5C65">
              <w:rPr>
                <w:sz w:val="24"/>
                <w:szCs w:val="24"/>
              </w:rPr>
              <w:br/>
            </w:r>
            <w:r w:rsidRPr="003D5C65">
              <w:rPr>
                <w:sz w:val="24"/>
                <w:szCs w:val="24"/>
              </w:rPr>
              <w:tab/>
              <w:t xml:space="preserve">         C-201</w:t>
            </w:r>
            <w:r w:rsidR="003D5C65">
              <w:rPr>
                <w:sz w:val="24"/>
                <w:szCs w:val="24"/>
              </w:rPr>
              <w:t>6</w:t>
            </w:r>
            <w:r w:rsidRPr="003D5C65">
              <w:rPr>
                <w:sz w:val="24"/>
                <w:szCs w:val="24"/>
              </w:rPr>
              <w:t>-2</w:t>
            </w:r>
            <w:r w:rsidR="003D5C65">
              <w:rPr>
                <w:sz w:val="24"/>
                <w:szCs w:val="24"/>
              </w:rPr>
              <w:t>536106</w:t>
            </w:r>
          </w:p>
          <w:p w:rsidR="00CD5C18" w:rsidRPr="00833C45" w:rsidRDefault="00CD5C18" w:rsidP="002A249E">
            <w:pPr>
              <w:pStyle w:val="BodyText"/>
              <w:rPr>
                <w:sz w:val="24"/>
                <w:szCs w:val="24"/>
              </w:rPr>
            </w:pPr>
          </w:p>
        </w:tc>
      </w:tr>
    </w:tbl>
    <w:p w:rsidR="00CD5C18" w:rsidRPr="00394608" w:rsidRDefault="00CD5C18" w:rsidP="00CD5C18">
      <w:pPr>
        <w:rPr>
          <w:sz w:val="24"/>
          <w:szCs w:val="24"/>
        </w:rPr>
      </w:pPr>
    </w:p>
    <w:p w:rsidR="00CD5C18" w:rsidRDefault="00CD5C18" w:rsidP="00CD5C18">
      <w:pPr>
        <w:rPr>
          <w:sz w:val="24"/>
          <w:szCs w:val="24"/>
        </w:rPr>
      </w:pPr>
    </w:p>
    <w:p w:rsidR="00CD5C18" w:rsidRPr="00394608" w:rsidRDefault="00CD5C18" w:rsidP="00CD5C18">
      <w:pPr>
        <w:jc w:val="center"/>
        <w:rPr>
          <w:b/>
          <w:sz w:val="24"/>
          <w:szCs w:val="24"/>
          <w:u w:val="single"/>
        </w:rPr>
      </w:pPr>
      <w:r w:rsidRPr="00394608">
        <w:rPr>
          <w:b/>
          <w:sz w:val="24"/>
          <w:szCs w:val="24"/>
          <w:u w:val="single"/>
        </w:rPr>
        <w:t>RECOMMENDED DECISION</w:t>
      </w:r>
    </w:p>
    <w:p w:rsidR="00CD5C18" w:rsidRPr="00394608" w:rsidRDefault="00CD5C18" w:rsidP="00CD5C18">
      <w:pPr>
        <w:jc w:val="center"/>
        <w:rPr>
          <w:sz w:val="24"/>
          <w:szCs w:val="24"/>
        </w:rPr>
      </w:pPr>
    </w:p>
    <w:p w:rsidR="00CD5C18" w:rsidRPr="00394608" w:rsidRDefault="00CD5C18" w:rsidP="00CD5C18">
      <w:pPr>
        <w:jc w:val="center"/>
        <w:rPr>
          <w:sz w:val="24"/>
          <w:szCs w:val="24"/>
        </w:rPr>
      </w:pPr>
    </w:p>
    <w:p w:rsidR="00CD5C18" w:rsidRPr="00394608" w:rsidRDefault="00CD5C18" w:rsidP="00CD5C18">
      <w:pPr>
        <w:jc w:val="center"/>
        <w:rPr>
          <w:sz w:val="24"/>
          <w:szCs w:val="24"/>
        </w:rPr>
      </w:pPr>
      <w:r w:rsidRPr="00394608">
        <w:rPr>
          <w:sz w:val="24"/>
          <w:szCs w:val="24"/>
        </w:rPr>
        <w:t>Before</w:t>
      </w:r>
    </w:p>
    <w:p w:rsidR="00CD5C18" w:rsidRPr="00394608" w:rsidRDefault="00CD5C18" w:rsidP="00CD5C18">
      <w:pPr>
        <w:jc w:val="center"/>
        <w:rPr>
          <w:sz w:val="24"/>
          <w:szCs w:val="24"/>
        </w:rPr>
      </w:pPr>
      <w:r>
        <w:rPr>
          <w:sz w:val="24"/>
          <w:szCs w:val="24"/>
        </w:rPr>
        <w:t>Jeffrey A. Watson</w:t>
      </w:r>
    </w:p>
    <w:p w:rsidR="00696738" w:rsidRDefault="00CD5C18" w:rsidP="00CD5C18">
      <w:pPr>
        <w:jc w:val="center"/>
        <w:rPr>
          <w:sz w:val="24"/>
          <w:szCs w:val="24"/>
        </w:rPr>
      </w:pPr>
      <w:r w:rsidRPr="00394608">
        <w:rPr>
          <w:sz w:val="24"/>
          <w:szCs w:val="24"/>
        </w:rPr>
        <w:t>Administrative Law Judge</w:t>
      </w:r>
    </w:p>
    <w:p w:rsidR="00696738" w:rsidRDefault="00696738">
      <w:pPr>
        <w:spacing w:after="200" w:line="276" w:lineRule="auto"/>
        <w:rPr>
          <w:sz w:val="24"/>
          <w:szCs w:val="24"/>
        </w:rPr>
      </w:pPr>
      <w:r>
        <w:rPr>
          <w:sz w:val="24"/>
          <w:szCs w:val="24"/>
        </w:rPr>
        <w:br w:type="page"/>
      </w:r>
    </w:p>
    <w:p w:rsidR="00696738" w:rsidRPr="00696738" w:rsidRDefault="00696738" w:rsidP="00696738">
      <w:pPr>
        <w:tabs>
          <w:tab w:val="left" w:pos="720"/>
          <w:tab w:val="left" w:pos="1440"/>
          <w:tab w:val="left" w:pos="2160"/>
          <w:tab w:val="center" w:pos="4680"/>
        </w:tabs>
        <w:jc w:val="center"/>
        <w:rPr>
          <w:b/>
          <w:sz w:val="24"/>
          <w:szCs w:val="24"/>
          <w:u w:val="single"/>
        </w:rPr>
      </w:pPr>
      <w:r w:rsidRPr="00696738">
        <w:rPr>
          <w:b/>
          <w:sz w:val="24"/>
          <w:szCs w:val="24"/>
          <w:u w:val="single"/>
        </w:rPr>
        <w:lastRenderedPageBreak/>
        <w:t>TABLE OF CONTENTS</w:t>
      </w:r>
    </w:p>
    <w:p w:rsidR="00696738" w:rsidRPr="00696738" w:rsidRDefault="00696738" w:rsidP="00696738">
      <w:pPr>
        <w:tabs>
          <w:tab w:val="left" w:pos="720"/>
          <w:tab w:val="left" w:pos="1440"/>
          <w:tab w:val="left" w:pos="2160"/>
          <w:tab w:val="center" w:pos="4680"/>
        </w:tabs>
        <w:jc w:val="center"/>
        <w:rPr>
          <w:b/>
          <w:sz w:val="24"/>
          <w:szCs w:val="24"/>
          <w:u w:val="single"/>
        </w:rPr>
      </w:pPr>
    </w:p>
    <w:p w:rsidR="00696738" w:rsidRPr="00696738" w:rsidRDefault="00696738" w:rsidP="00696738">
      <w:pPr>
        <w:tabs>
          <w:tab w:val="left" w:pos="720"/>
          <w:tab w:val="left" w:pos="1440"/>
          <w:tab w:val="left" w:pos="2160"/>
        </w:tabs>
        <w:rPr>
          <w:sz w:val="24"/>
          <w:szCs w:val="24"/>
        </w:rPr>
      </w:pPr>
    </w:p>
    <w:p w:rsidR="00696738" w:rsidRPr="00696738" w:rsidRDefault="00696738" w:rsidP="00696738">
      <w:pPr>
        <w:tabs>
          <w:tab w:val="left" w:pos="720"/>
          <w:tab w:val="left" w:pos="1440"/>
          <w:tab w:val="left" w:pos="2160"/>
          <w:tab w:val="right" w:leader="dot" w:pos="9360"/>
        </w:tabs>
        <w:rPr>
          <w:sz w:val="24"/>
          <w:szCs w:val="24"/>
        </w:rPr>
      </w:pPr>
      <w:r w:rsidRPr="00696738">
        <w:rPr>
          <w:sz w:val="24"/>
          <w:szCs w:val="24"/>
        </w:rPr>
        <w:t>I.</w:t>
      </w:r>
      <w:r w:rsidRPr="00696738">
        <w:rPr>
          <w:sz w:val="24"/>
          <w:szCs w:val="24"/>
        </w:rPr>
        <w:tab/>
      </w:r>
      <w:r w:rsidRPr="00696738">
        <w:rPr>
          <w:caps/>
          <w:sz w:val="24"/>
          <w:szCs w:val="24"/>
        </w:rPr>
        <w:t>History of the Proceeding</w:t>
      </w:r>
      <w:r w:rsidRPr="00696738">
        <w:rPr>
          <w:sz w:val="24"/>
          <w:szCs w:val="24"/>
        </w:rPr>
        <w:tab/>
        <w:t>1</w:t>
      </w:r>
    </w:p>
    <w:p w:rsidR="00696738" w:rsidRPr="00696738" w:rsidRDefault="00696738" w:rsidP="00696738">
      <w:pPr>
        <w:tabs>
          <w:tab w:val="left" w:pos="720"/>
          <w:tab w:val="left" w:pos="1440"/>
          <w:tab w:val="left" w:pos="2160"/>
          <w:tab w:val="right" w:leader="dot" w:pos="9360"/>
        </w:tabs>
        <w:rPr>
          <w:sz w:val="24"/>
          <w:szCs w:val="24"/>
        </w:rPr>
      </w:pPr>
    </w:p>
    <w:p w:rsidR="00696738" w:rsidRPr="00696738" w:rsidRDefault="00696738" w:rsidP="00696738">
      <w:pPr>
        <w:tabs>
          <w:tab w:val="left" w:pos="720"/>
          <w:tab w:val="left" w:pos="1440"/>
          <w:tab w:val="right" w:leader="dot" w:pos="9360"/>
        </w:tabs>
        <w:rPr>
          <w:sz w:val="24"/>
          <w:szCs w:val="24"/>
        </w:rPr>
      </w:pPr>
      <w:r w:rsidRPr="00696738">
        <w:rPr>
          <w:sz w:val="24"/>
          <w:szCs w:val="24"/>
        </w:rPr>
        <w:t>II.</w:t>
      </w:r>
      <w:r w:rsidRPr="00696738">
        <w:rPr>
          <w:sz w:val="24"/>
          <w:szCs w:val="24"/>
        </w:rPr>
        <w:tab/>
        <w:t>FINDINGS OF FACT</w:t>
      </w:r>
      <w:r w:rsidRPr="00696738">
        <w:rPr>
          <w:sz w:val="24"/>
          <w:szCs w:val="24"/>
        </w:rPr>
        <w:tab/>
      </w:r>
      <w:r w:rsidR="00BF6145">
        <w:rPr>
          <w:sz w:val="24"/>
          <w:szCs w:val="24"/>
        </w:rPr>
        <w:t>6</w:t>
      </w:r>
    </w:p>
    <w:p w:rsidR="00696738" w:rsidRPr="00696738" w:rsidRDefault="00696738" w:rsidP="00696738">
      <w:pPr>
        <w:tabs>
          <w:tab w:val="left" w:pos="720"/>
          <w:tab w:val="left" w:pos="1440"/>
          <w:tab w:val="right" w:leader="dot" w:pos="9360"/>
        </w:tabs>
        <w:rPr>
          <w:sz w:val="24"/>
          <w:szCs w:val="24"/>
        </w:rPr>
      </w:pPr>
    </w:p>
    <w:p w:rsidR="00696738" w:rsidRPr="00696738" w:rsidRDefault="00696738" w:rsidP="00696738">
      <w:pPr>
        <w:tabs>
          <w:tab w:val="left" w:pos="720"/>
          <w:tab w:val="left" w:pos="1440"/>
          <w:tab w:val="left" w:pos="2160"/>
          <w:tab w:val="right" w:leader="dot" w:pos="9360"/>
        </w:tabs>
        <w:rPr>
          <w:sz w:val="24"/>
          <w:szCs w:val="24"/>
        </w:rPr>
      </w:pPr>
      <w:r w:rsidRPr="00696738">
        <w:rPr>
          <w:sz w:val="24"/>
          <w:szCs w:val="24"/>
        </w:rPr>
        <w:t>III.</w:t>
      </w:r>
      <w:r w:rsidRPr="00696738">
        <w:rPr>
          <w:sz w:val="24"/>
          <w:szCs w:val="24"/>
        </w:rPr>
        <w:tab/>
        <w:t>DESCRIPTION AND TERMS OF THE SETTLEMENT</w:t>
      </w:r>
      <w:r w:rsidRPr="00696738">
        <w:rPr>
          <w:sz w:val="24"/>
          <w:szCs w:val="24"/>
        </w:rPr>
        <w:tab/>
      </w:r>
      <w:r w:rsidR="00BF6145">
        <w:rPr>
          <w:sz w:val="24"/>
          <w:szCs w:val="24"/>
        </w:rPr>
        <w:t>14</w:t>
      </w:r>
    </w:p>
    <w:p w:rsidR="00696738" w:rsidRPr="00696738" w:rsidRDefault="00696738" w:rsidP="00696738">
      <w:pPr>
        <w:tabs>
          <w:tab w:val="left" w:pos="720"/>
          <w:tab w:val="left" w:pos="1440"/>
          <w:tab w:val="left" w:pos="2160"/>
          <w:tab w:val="right" w:leader="dot" w:pos="9360"/>
        </w:tabs>
        <w:rPr>
          <w:sz w:val="24"/>
          <w:szCs w:val="24"/>
        </w:rPr>
      </w:pPr>
    </w:p>
    <w:p w:rsidR="00696738" w:rsidRPr="00696738" w:rsidRDefault="00696738" w:rsidP="00F100C8">
      <w:pPr>
        <w:tabs>
          <w:tab w:val="left" w:pos="720"/>
          <w:tab w:val="left" w:pos="1440"/>
          <w:tab w:val="right" w:leader="dot" w:pos="9360"/>
        </w:tabs>
        <w:rPr>
          <w:sz w:val="24"/>
          <w:szCs w:val="24"/>
        </w:rPr>
      </w:pPr>
      <w:r w:rsidRPr="00696738">
        <w:rPr>
          <w:sz w:val="24"/>
          <w:szCs w:val="24"/>
        </w:rPr>
        <w:t>IV.</w:t>
      </w:r>
      <w:r w:rsidRPr="00696738">
        <w:rPr>
          <w:sz w:val="24"/>
          <w:szCs w:val="24"/>
        </w:rPr>
        <w:tab/>
        <w:t>DISCUSSION</w:t>
      </w:r>
      <w:r w:rsidR="00E44692">
        <w:rPr>
          <w:sz w:val="24"/>
          <w:szCs w:val="24"/>
        </w:rPr>
        <w:tab/>
        <w:t>1</w:t>
      </w:r>
      <w:r w:rsidR="00C87844">
        <w:rPr>
          <w:sz w:val="24"/>
          <w:szCs w:val="24"/>
        </w:rPr>
        <w:t>9</w:t>
      </w:r>
    </w:p>
    <w:p w:rsidR="00696738" w:rsidRPr="00696738" w:rsidRDefault="00696738" w:rsidP="00696738">
      <w:pPr>
        <w:tabs>
          <w:tab w:val="left" w:pos="720"/>
          <w:tab w:val="left" w:pos="1440"/>
          <w:tab w:val="left" w:pos="2160"/>
          <w:tab w:val="right" w:leader="dot" w:pos="9360"/>
        </w:tabs>
        <w:rPr>
          <w:sz w:val="24"/>
          <w:szCs w:val="24"/>
        </w:rPr>
      </w:pPr>
    </w:p>
    <w:p w:rsidR="00696738" w:rsidRPr="00696738" w:rsidRDefault="00696738" w:rsidP="00696738">
      <w:pPr>
        <w:tabs>
          <w:tab w:val="left" w:pos="720"/>
          <w:tab w:val="left" w:pos="1440"/>
          <w:tab w:val="left" w:pos="2160"/>
          <w:tab w:val="right" w:leader="dot" w:pos="9360"/>
        </w:tabs>
        <w:rPr>
          <w:sz w:val="24"/>
          <w:szCs w:val="24"/>
        </w:rPr>
      </w:pPr>
      <w:r w:rsidRPr="00696738">
        <w:rPr>
          <w:sz w:val="24"/>
          <w:szCs w:val="24"/>
        </w:rPr>
        <w:tab/>
        <w:t>A.</w:t>
      </w:r>
      <w:r w:rsidRPr="00696738">
        <w:rPr>
          <w:sz w:val="24"/>
          <w:szCs w:val="24"/>
        </w:rPr>
        <w:tab/>
      </w:r>
      <w:r w:rsidR="00E44692">
        <w:rPr>
          <w:sz w:val="24"/>
          <w:szCs w:val="24"/>
        </w:rPr>
        <w:t>Applicable Legal Principles</w:t>
      </w:r>
      <w:r w:rsidRPr="00696738">
        <w:rPr>
          <w:sz w:val="24"/>
          <w:szCs w:val="24"/>
        </w:rPr>
        <w:tab/>
      </w:r>
      <w:r w:rsidR="00E44692">
        <w:rPr>
          <w:sz w:val="24"/>
          <w:szCs w:val="24"/>
        </w:rPr>
        <w:t>1</w:t>
      </w:r>
      <w:r w:rsidR="00C87844">
        <w:rPr>
          <w:sz w:val="24"/>
          <w:szCs w:val="24"/>
        </w:rPr>
        <w:t>9</w:t>
      </w:r>
    </w:p>
    <w:p w:rsidR="00696738" w:rsidRPr="00696738" w:rsidRDefault="00696738" w:rsidP="00696738">
      <w:pPr>
        <w:tabs>
          <w:tab w:val="left" w:pos="720"/>
          <w:tab w:val="left" w:pos="1440"/>
          <w:tab w:val="left" w:pos="2160"/>
          <w:tab w:val="right" w:leader="dot" w:pos="9360"/>
        </w:tabs>
        <w:rPr>
          <w:sz w:val="24"/>
          <w:szCs w:val="24"/>
        </w:rPr>
      </w:pPr>
    </w:p>
    <w:p w:rsidR="00696738" w:rsidRDefault="00696738" w:rsidP="00696738">
      <w:pPr>
        <w:tabs>
          <w:tab w:val="left" w:pos="720"/>
          <w:tab w:val="left" w:pos="1440"/>
          <w:tab w:val="left" w:pos="2160"/>
          <w:tab w:val="right" w:leader="dot" w:pos="9360"/>
        </w:tabs>
        <w:rPr>
          <w:sz w:val="24"/>
          <w:szCs w:val="24"/>
        </w:rPr>
      </w:pPr>
      <w:r w:rsidRPr="00696738">
        <w:rPr>
          <w:sz w:val="24"/>
          <w:szCs w:val="24"/>
        </w:rPr>
        <w:tab/>
        <w:t>B.</w:t>
      </w:r>
      <w:r w:rsidRPr="00696738">
        <w:rPr>
          <w:sz w:val="24"/>
          <w:szCs w:val="24"/>
        </w:rPr>
        <w:tab/>
      </w:r>
      <w:r w:rsidR="00E44692">
        <w:rPr>
          <w:sz w:val="24"/>
          <w:szCs w:val="24"/>
        </w:rPr>
        <w:t>Statements of the Settling Parties</w:t>
      </w:r>
      <w:r w:rsidR="00291092">
        <w:rPr>
          <w:sz w:val="24"/>
          <w:szCs w:val="24"/>
        </w:rPr>
        <w:t xml:space="preserve"> in Support of the Settlement</w:t>
      </w:r>
      <w:r w:rsidRPr="00696738">
        <w:rPr>
          <w:sz w:val="24"/>
          <w:szCs w:val="24"/>
        </w:rPr>
        <w:tab/>
      </w:r>
      <w:r w:rsidR="00C87844">
        <w:rPr>
          <w:sz w:val="24"/>
          <w:szCs w:val="24"/>
        </w:rPr>
        <w:t>20</w:t>
      </w:r>
    </w:p>
    <w:p w:rsidR="00E44692" w:rsidRDefault="00E44692" w:rsidP="00696738">
      <w:pPr>
        <w:tabs>
          <w:tab w:val="left" w:pos="720"/>
          <w:tab w:val="left" w:pos="1440"/>
          <w:tab w:val="left" w:pos="2160"/>
          <w:tab w:val="right" w:leader="dot" w:pos="9360"/>
        </w:tabs>
        <w:rPr>
          <w:sz w:val="24"/>
          <w:szCs w:val="24"/>
        </w:rPr>
      </w:pPr>
    </w:p>
    <w:p w:rsidR="00E44692" w:rsidRDefault="00E44692" w:rsidP="00696738">
      <w:pPr>
        <w:tabs>
          <w:tab w:val="left" w:pos="720"/>
          <w:tab w:val="left" w:pos="1440"/>
          <w:tab w:val="left" w:pos="2160"/>
          <w:tab w:val="right" w:leader="dot" w:pos="9360"/>
        </w:tabs>
        <w:rPr>
          <w:sz w:val="24"/>
          <w:szCs w:val="24"/>
        </w:rPr>
      </w:pPr>
      <w:r>
        <w:rPr>
          <w:sz w:val="24"/>
          <w:szCs w:val="24"/>
        </w:rPr>
        <w:tab/>
        <w:t>C.</w:t>
      </w:r>
      <w:r>
        <w:rPr>
          <w:sz w:val="24"/>
          <w:szCs w:val="24"/>
        </w:rPr>
        <w:tab/>
        <w:t>Capacity Levels</w:t>
      </w:r>
      <w:r>
        <w:rPr>
          <w:sz w:val="24"/>
          <w:szCs w:val="24"/>
        </w:rPr>
        <w:tab/>
      </w:r>
      <w:r w:rsidR="00457942">
        <w:rPr>
          <w:sz w:val="24"/>
          <w:szCs w:val="24"/>
        </w:rPr>
        <w:t>20</w:t>
      </w:r>
    </w:p>
    <w:p w:rsidR="00291092" w:rsidRDefault="00291092" w:rsidP="00696738">
      <w:pPr>
        <w:tabs>
          <w:tab w:val="left" w:pos="720"/>
          <w:tab w:val="left" w:pos="1440"/>
          <w:tab w:val="left" w:pos="2160"/>
          <w:tab w:val="right" w:leader="dot" w:pos="9360"/>
        </w:tabs>
        <w:rPr>
          <w:sz w:val="24"/>
          <w:szCs w:val="24"/>
        </w:rPr>
      </w:pPr>
    </w:p>
    <w:p w:rsidR="00291092" w:rsidRDefault="00291092" w:rsidP="00696738">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Peoples’ Position</w:t>
      </w:r>
      <w:r>
        <w:rPr>
          <w:sz w:val="24"/>
          <w:szCs w:val="24"/>
        </w:rPr>
        <w:tab/>
      </w:r>
      <w:r w:rsidR="00A5585F">
        <w:rPr>
          <w:sz w:val="24"/>
          <w:szCs w:val="24"/>
        </w:rPr>
        <w:t>20</w:t>
      </w:r>
    </w:p>
    <w:p w:rsidR="00291092" w:rsidRDefault="00291092" w:rsidP="00696738">
      <w:pPr>
        <w:tabs>
          <w:tab w:val="left" w:pos="720"/>
          <w:tab w:val="left" w:pos="1440"/>
          <w:tab w:val="left" w:pos="2160"/>
          <w:tab w:val="right" w:leader="dot" w:pos="9360"/>
        </w:tabs>
        <w:rPr>
          <w:sz w:val="24"/>
          <w:szCs w:val="24"/>
        </w:rPr>
      </w:pPr>
    </w:p>
    <w:p w:rsidR="00291092" w:rsidRDefault="00291092" w:rsidP="00696738">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OCA’s Position</w:t>
      </w:r>
      <w:r>
        <w:rPr>
          <w:sz w:val="24"/>
          <w:szCs w:val="24"/>
        </w:rPr>
        <w:tab/>
      </w:r>
      <w:r w:rsidR="00A5585F">
        <w:rPr>
          <w:sz w:val="24"/>
          <w:szCs w:val="24"/>
        </w:rPr>
        <w:t>21</w:t>
      </w:r>
    </w:p>
    <w:p w:rsidR="00E44692" w:rsidRDefault="00291092" w:rsidP="00696738">
      <w:pPr>
        <w:tabs>
          <w:tab w:val="left" w:pos="720"/>
          <w:tab w:val="left" w:pos="1440"/>
          <w:tab w:val="left" w:pos="2160"/>
          <w:tab w:val="right" w:leader="dot" w:pos="9360"/>
        </w:tabs>
        <w:rPr>
          <w:sz w:val="24"/>
          <w:szCs w:val="24"/>
        </w:rPr>
      </w:pPr>
      <w:r>
        <w:rPr>
          <w:sz w:val="24"/>
          <w:szCs w:val="24"/>
        </w:rPr>
        <w:tab/>
      </w:r>
    </w:p>
    <w:p w:rsidR="00E44692" w:rsidRDefault="00E44692" w:rsidP="00696738">
      <w:pPr>
        <w:tabs>
          <w:tab w:val="left" w:pos="720"/>
          <w:tab w:val="left" w:pos="1440"/>
          <w:tab w:val="left" w:pos="2160"/>
          <w:tab w:val="right" w:leader="dot" w:pos="9360"/>
        </w:tabs>
        <w:rPr>
          <w:sz w:val="24"/>
          <w:szCs w:val="24"/>
        </w:rPr>
      </w:pPr>
      <w:r>
        <w:rPr>
          <w:sz w:val="24"/>
          <w:szCs w:val="24"/>
        </w:rPr>
        <w:tab/>
        <w:t>D.</w:t>
      </w:r>
      <w:r>
        <w:rPr>
          <w:sz w:val="24"/>
          <w:szCs w:val="24"/>
        </w:rPr>
        <w:tab/>
        <w:t>Retainage</w:t>
      </w:r>
      <w:r w:rsidR="00A5585F">
        <w:rPr>
          <w:sz w:val="24"/>
          <w:szCs w:val="24"/>
        </w:rPr>
        <w:t xml:space="preserve"> and Lost and Unaccounted for Gas</w:t>
      </w:r>
      <w:r>
        <w:rPr>
          <w:sz w:val="24"/>
          <w:szCs w:val="24"/>
        </w:rPr>
        <w:tab/>
        <w:t>2</w:t>
      </w:r>
      <w:r w:rsidR="00C87844">
        <w:rPr>
          <w:sz w:val="24"/>
          <w:szCs w:val="24"/>
        </w:rPr>
        <w:t>2</w:t>
      </w:r>
    </w:p>
    <w:p w:rsidR="00E44692" w:rsidRDefault="00E44692" w:rsidP="00696738">
      <w:pPr>
        <w:tabs>
          <w:tab w:val="left" w:pos="720"/>
          <w:tab w:val="left" w:pos="1440"/>
          <w:tab w:val="left" w:pos="2160"/>
          <w:tab w:val="right" w:leader="dot" w:pos="9360"/>
        </w:tabs>
        <w:rPr>
          <w:sz w:val="24"/>
          <w:szCs w:val="24"/>
        </w:rPr>
      </w:pPr>
      <w:r>
        <w:rPr>
          <w:sz w:val="24"/>
          <w:szCs w:val="24"/>
        </w:rPr>
        <w:tab/>
      </w:r>
      <w:r>
        <w:rPr>
          <w:sz w:val="24"/>
          <w:szCs w:val="24"/>
        </w:rPr>
        <w:tab/>
      </w:r>
    </w:p>
    <w:p w:rsidR="00E44692" w:rsidRDefault="00E44692" w:rsidP="00696738">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Peoples’ Position</w:t>
      </w:r>
      <w:r>
        <w:rPr>
          <w:sz w:val="24"/>
          <w:szCs w:val="24"/>
        </w:rPr>
        <w:tab/>
        <w:t>2</w:t>
      </w:r>
      <w:r w:rsidR="00C87844">
        <w:rPr>
          <w:sz w:val="24"/>
          <w:szCs w:val="24"/>
        </w:rPr>
        <w:t>2</w:t>
      </w:r>
    </w:p>
    <w:p w:rsidR="00E44692" w:rsidRDefault="00E44692" w:rsidP="00696738">
      <w:pPr>
        <w:tabs>
          <w:tab w:val="left" w:pos="720"/>
          <w:tab w:val="left" w:pos="1440"/>
          <w:tab w:val="left" w:pos="2160"/>
          <w:tab w:val="right" w:leader="dot" w:pos="9360"/>
        </w:tabs>
        <w:rPr>
          <w:sz w:val="24"/>
          <w:szCs w:val="24"/>
        </w:rPr>
      </w:pPr>
    </w:p>
    <w:p w:rsidR="00E44692" w:rsidRDefault="00E44692" w:rsidP="00E44692">
      <w:pPr>
        <w:tabs>
          <w:tab w:val="left" w:pos="720"/>
          <w:tab w:val="left" w:pos="1440"/>
          <w:tab w:val="left" w:pos="2160"/>
          <w:tab w:val="left" w:pos="2880"/>
          <w:tab w:val="right" w:leader="dot" w:pos="9360"/>
        </w:tabs>
        <w:rPr>
          <w:sz w:val="24"/>
          <w:szCs w:val="24"/>
        </w:rPr>
      </w:pPr>
      <w:r>
        <w:rPr>
          <w:sz w:val="24"/>
          <w:szCs w:val="24"/>
        </w:rPr>
        <w:tab/>
      </w:r>
      <w:r>
        <w:rPr>
          <w:sz w:val="24"/>
          <w:szCs w:val="24"/>
        </w:rPr>
        <w:tab/>
      </w:r>
      <w:r>
        <w:rPr>
          <w:sz w:val="24"/>
          <w:szCs w:val="24"/>
        </w:rPr>
        <w:tab/>
        <w:t>a.</w:t>
      </w:r>
      <w:r>
        <w:rPr>
          <w:sz w:val="24"/>
          <w:szCs w:val="24"/>
        </w:rPr>
        <w:tab/>
        <w:t>Retainage</w:t>
      </w:r>
      <w:r>
        <w:rPr>
          <w:sz w:val="24"/>
          <w:szCs w:val="24"/>
        </w:rPr>
        <w:tab/>
        <w:t>2</w:t>
      </w:r>
      <w:r w:rsidR="00C87844">
        <w:rPr>
          <w:sz w:val="24"/>
          <w:szCs w:val="24"/>
        </w:rPr>
        <w:t>2</w:t>
      </w:r>
    </w:p>
    <w:p w:rsidR="00E44692" w:rsidRDefault="00E44692" w:rsidP="00696738">
      <w:pPr>
        <w:tabs>
          <w:tab w:val="left" w:pos="720"/>
          <w:tab w:val="left" w:pos="1440"/>
          <w:tab w:val="left" w:pos="2160"/>
          <w:tab w:val="right" w:leader="dot" w:pos="9360"/>
        </w:tabs>
        <w:rPr>
          <w:sz w:val="24"/>
          <w:szCs w:val="24"/>
        </w:rPr>
      </w:pPr>
    </w:p>
    <w:p w:rsidR="00E44692" w:rsidRDefault="00E44692" w:rsidP="00E44692">
      <w:pPr>
        <w:tabs>
          <w:tab w:val="left" w:pos="720"/>
          <w:tab w:val="left" w:pos="1440"/>
          <w:tab w:val="left" w:pos="2160"/>
          <w:tab w:val="left" w:pos="2880"/>
          <w:tab w:val="right" w:leader="dot" w:pos="9360"/>
        </w:tabs>
        <w:rPr>
          <w:sz w:val="24"/>
          <w:szCs w:val="24"/>
        </w:rPr>
      </w:pPr>
      <w:r>
        <w:rPr>
          <w:sz w:val="24"/>
          <w:szCs w:val="24"/>
        </w:rPr>
        <w:tab/>
      </w:r>
      <w:r>
        <w:rPr>
          <w:sz w:val="24"/>
          <w:szCs w:val="24"/>
        </w:rPr>
        <w:tab/>
      </w:r>
      <w:r>
        <w:rPr>
          <w:sz w:val="24"/>
          <w:szCs w:val="24"/>
        </w:rPr>
        <w:tab/>
        <w:t>b.</w:t>
      </w:r>
      <w:r>
        <w:rPr>
          <w:sz w:val="24"/>
          <w:szCs w:val="24"/>
        </w:rPr>
        <w:tab/>
        <w:t>Unaccounted for Gas</w:t>
      </w:r>
      <w:r>
        <w:rPr>
          <w:sz w:val="24"/>
          <w:szCs w:val="24"/>
        </w:rPr>
        <w:tab/>
        <w:t>2</w:t>
      </w:r>
      <w:r w:rsidR="00C87844">
        <w:rPr>
          <w:sz w:val="24"/>
          <w:szCs w:val="24"/>
        </w:rPr>
        <w:t>4</w:t>
      </w:r>
    </w:p>
    <w:p w:rsidR="00E44692" w:rsidRDefault="00E44692" w:rsidP="00E44692">
      <w:pPr>
        <w:tabs>
          <w:tab w:val="left" w:pos="720"/>
          <w:tab w:val="left" w:pos="1440"/>
          <w:tab w:val="left" w:pos="2160"/>
          <w:tab w:val="left" w:pos="2880"/>
          <w:tab w:val="right" w:leader="dot" w:pos="9360"/>
        </w:tabs>
        <w:rPr>
          <w:sz w:val="24"/>
          <w:szCs w:val="24"/>
        </w:rPr>
      </w:pPr>
    </w:p>
    <w:p w:rsidR="00E44692" w:rsidRDefault="00E44692" w:rsidP="00E44692">
      <w:pPr>
        <w:tabs>
          <w:tab w:val="left" w:pos="720"/>
          <w:tab w:val="left" w:pos="1440"/>
          <w:tab w:val="left" w:pos="2160"/>
          <w:tab w:val="left" w:pos="2880"/>
          <w:tab w:val="right" w:leader="dot" w:pos="9360"/>
        </w:tabs>
        <w:rPr>
          <w:sz w:val="24"/>
          <w:szCs w:val="24"/>
        </w:rPr>
      </w:pPr>
      <w:r>
        <w:rPr>
          <w:sz w:val="24"/>
          <w:szCs w:val="24"/>
        </w:rPr>
        <w:tab/>
      </w:r>
      <w:r>
        <w:rPr>
          <w:sz w:val="24"/>
          <w:szCs w:val="24"/>
        </w:rPr>
        <w:tab/>
        <w:t>2.</w:t>
      </w:r>
      <w:r>
        <w:rPr>
          <w:sz w:val="24"/>
          <w:szCs w:val="24"/>
        </w:rPr>
        <w:tab/>
        <w:t>OCA’s Position</w:t>
      </w:r>
      <w:r>
        <w:rPr>
          <w:sz w:val="24"/>
          <w:szCs w:val="24"/>
        </w:rPr>
        <w:tab/>
        <w:t>2</w:t>
      </w:r>
      <w:r w:rsidR="00C87844">
        <w:rPr>
          <w:sz w:val="24"/>
          <w:szCs w:val="24"/>
        </w:rPr>
        <w:t>5</w:t>
      </w:r>
    </w:p>
    <w:p w:rsidR="00E44692" w:rsidRDefault="00E44692" w:rsidP="00E44692">
      <w:pPr>
        <w:tabs>
          <w:tab w:val="left" w:pos="720"/>
          <w:tab w:val="left" w:pos="1440"/>
          <w:tab w:val="left" w:pos="2160"/>
          <w:tab w:val="left" w:pos="2880"/>
          <w:tab w:val="right" w:leader="dot" w:pos="9360"/>
        </w:tabs>
        <w:rPr>
          <w:sz w:val="24"/>
          <w:szCs w:val="24"/>
        </w:rPr>
      </w:pPr>
    </w:p>
    <w:p w:rsidR="00E44692" w:rsidRDefault="00E44692" w:rsidP="00E44692">
      <w:pPr>
        <w:tabs>
          <w:tab w:val="left" w:pos="720"/>
          <w:tab w:val="left" w:pos="1440"/>
          <w:tab w:val="left" w:pos="2160"/>
          <w:tab w:val="left" w:pos="2880"/>
          <w:tab w:val="right" w:leader="dot" w:pos="9360"/>
        </w:tabs>
        <w:rPr>
          <w:sz w:val="24"/>
          <w:szCs w:val="24"/>
        </w:rPr>
      </w:pPr>
      <w:r>
        <w:rPr>
          <w:sz w:val="24"/>
          <w:szCs w:val="24"/>
        </w:rPr>
        <w:tab/>
      </w:r>
      <w:r>
        <w:rPr>
          <w:sz w:val="24"/>
          <w:szCs w:val="24"/>
        </w:rPr>
        <w:tab/>
        <w:t>3.</w:t>
      </w:r>
      <w:r>
        <w:rPr>
          <w:sz w:val="24"/>
          <w:szCs w:val="24"/>
        </w:rPr>
        <w:tab/>
        <w:t>I&amp;</w:t>
      </w:r>
      <w:r w:rsidR="00A825EB">
        <w:rPr>
          <w:sz w:val="24"/>
          <w:szCs w:val="24"/>
        </w:rPr>
        <w:t>E</w:t>
      </w:r>
      <w:r>
        <w:rPr>
          <w:sz w:val="24"/>
          <w:szCs w:val="24"/>
        </w:rPr>
        <w:t>’s Position</w:t>
      </w:r>
      <w:r>
        <w:rPr>
          <w:sz w:val="24"/>
          <w:szCs w:val="24"/>
        </w:rPr>
        <w:tab/>
        <w:t>2</w:t>
      </w:r>
      <w:r w:rsidR="00C87844">
        <w:rPr>
          <w:sz w:val="24"/>
          <w:szCs w:val="24"/>
        </w:rPr>
        <w:t>6</w:t>
      </w:r>
    </w:p>
    <w:p w:rsidR="00E44692" w:rsidRDefault="00E44692" w:rsidP="00E44692">
      <w:pPr>
        <w:tabs>
          <w:tab w:val="left" w:pos="720"/>
          <w:tab w:val="left" w:pos="1440"/>
          <w:tab w:val="left" w:pos="2160"/>
          <w:tab w:val="left" w:pos="2880"/>
          <w:tab w:val="right" w:leader="dot" w:pos="9360"/>
        </w:tabs>
        <w:rPr>
          <w:sz w:val="24"/>
          <w:szCs w:val="24"/>
        </w:rPr>
      </w:pPr>
    </w:p>
    <w:p w:rsidR="00E44692" w:rsidRDefault="00E44692" w:rsidP="00E44692">
      <w:pPr>
        <w:tabs>
          <w:tab w:val="left" w:pos="720"/>
          <w:tab w:val="left" w:pos="1440"/>
          <w:tab w:val="left" w:pos="2160"/>
          <w:tab w:val="left" w:pos="2880"/>
          <w:tab w:val="right" w:leader="dot" w:pos="9360"/>
        </w:tabs>
        <w:rPr>
          <w:sz w:val="24"/>
          <w:szCs w:val="24"/>
        </w:rPr>
      </w:pPr>
      <w:r>
        <w:rPr>
          <w:sz w:val="24"/>
          <w:szCs w:val="24"/>
        </w:rPr>
        <w:tab/>
      </w:r>
      <w:r>
        <w:rPr>
          <w:sz w:val="24"/>
          <w:szCs w:val="24"/>
        </w:rPr>
        <w:tab/>
        <w:t>4.</w:t>
      </w:r>
      <w:r>
        <w:rPr>
          <w:sz w:val="24"/>
          <w:szCs w:val="24"/>
        </w:rPr>
        <w:tab/>
        <w:t>OSBA’s Position</w:t>
      </w:r>
      <w:r>
        <w:rPr>
          <w:sz w:val="24"/>
          <w:szCs w:val="24"/>
        </w:rPr>
        <w:tab/>
        <w:t>2</w:t>
      </w:r>
      <w:r w:rsidR="00C87844">
        <w:rPr>
          <w:sz w:val="24"/>
          <w:szCs w:val="24"/>
        </w:rPr>
        <w:t>8</w:t>
      </w:r>
    </w:p>
    <w:p w:rsidR="00E44692" w:rsidRDefault="00E44692" w:rsidP="00E44692">
      <w:pPr>
        <w:tabs>
          <w:tab w:val="left" w:pos="720"/>
          <w:tab w:val="left" w:pos="1440"/>
          <w:tab w:val="left" w:pos="2160"/>
          <w:tab w:val="left" w:pos="2880"/>
          <w:tab w:val="right" w:leader="dot" w:pos="9360"/>
        </w:tabs>
        <w:rPr>
          <w:sz w:val="24"/>
          <w:szCs w:val="24"/>
        </w:rPr>
      </w:pPr>
    </w:p>
    <w:p w:rsidR="00E44692" w:rsidRDefault="00E44692" w:rsidP="00E44692">
      <w:pPr>
        <w:tabs>
          <w:tab w:val="left" w:pos="720"/>
          <w:tab w:val="left" w:pos="1440"/>
          <w:tab w:val="left" w:pos="2160"/>
          <w:tab w:val="right" w:leader="dot" w:pos="9360"/>
        </w:tabs>
        <w:rPr>
          <w:sz w:val="24"/>
          <w:szCs w:val="24"/>
        </w:rPr>
      </w:pPr>
      <w:r>
        <w:rPr>
          <w:sz w:val="24"/>
          <w:szCs w:val="24"/>
        </w:rPr>
        <w:tab/>
        <w:t>E.</w:t>
      </w:r>
      <w:r>
        <w:rPr>
          <w:sz w:val="24"/>
          <w:szCs w:val="24"/>
        </w:rPr>
        <w:tab/>
        <w:t>Production</w:t>
      </w:r>
      <w:r w:rsidR="005A11F1">
        <w:rPr>
          <w:sz w:val="24"/>
          <w:szCs w:val="24"/>
        </w:rPr>
        <w:t xml:space="preserve"> Incentive</w:t>
      </w:r>
      <w:r>
        <w:rPr>
          <w:sz w:val="24"/>
          <w:szCs w:val="24"/>
        </w:rPr>
        <w:tab/>
        <w:t>2</w:t>
      </w:r>
      <w:r w:rsidR="00C87844">
        <w:rPr>
          <w:sz w:val="24"/>
          <w:szCs w:val="24"/>
        </w:rPr>
        <w:t>9</w:t>
      </w:r>
    </w:p>
    <w:p w:rsidR="00E36AED" w:rsidRDefault="00E36AED" w:rsidP="00E44692">
      <w:pPr>
        <w:tabs>
          <w:tab w:val="left" w:pos="720"/>
          <w:tab w:val="left" w:pos="1440"/>
          <w:tab w:val="left" w:pos="2160"/>
          <w:tab w:val="right" w:leader="dot" w:pos="9360"/>
        </w:tabs>
        <w:rPr>
          <w:sz w:val="24"/>
          <w:szCs w:val="24"/>
        </w:rPr>
      </w:pPr>
    </w:p>
    <w:p w:rsidR="00E36AED" w:rsidRDefault="00E36AED" w:rsidP="00E44692">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Peoples’ Position</w:t>
      </w:r>
      <w:r>
        <w:rPr>
          <w:sz w:val="24"/>
          <w:szCs w:val="24"/>
        </w:rPr>
        <w:tab/>
        <w:t>2</w:t>
      </w:r>
      <w:r w:rsidR="001D1E8F">
        <w:rPr>
          <w:sz w:val="24"/>
          <w:szCs w:val="24"/>
        </w:rPr>
        <w:t>9</w:t>
      </w:r>
    </w:p>
    <w:p w:rsidR="00E36AED" w:rsidRDefault="00E36AED" w:rsidP="00E44692">
      <w:pPr>
        <w:tabs>
          <w:tab w:val="left" w:pos="720"/>
          <w:tab w:val="left" w:pos="1440"/>
          <w:tab w:val="left" w:pos="2160"/>
          <w:tab w:val="right" w:leader="dot" w:pos="9360"/>
        </w:tabs>
        <w:rPr>
          <w:sz w:val="24"/>
          <w:szCs w:val="24"/>
        </w:rPr>
      </w:pPr>
    </w:p>
    <w:p w:rsidR="00E36AED" w:rsidRDefault="00E36AED" w:rsidP="00E44692">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OCA’s Position</w:t>
      </w:r>
      <w:r>
        <w:rPr>
          <w:sz w:val="24"/>
          <w:szCs w:val="24"/>
        </w:rPr>
        <w:tab/>
      </w:r>
      <w:r w:rsidR="00BF4793">
        <w:rPr>
          <w:sz w:val="24"/>
          <w:szCs w:val="24"/>
        </w:rPr>
        <w:t>30</w:t>
      </w:r>
    </w:p>
    <w:p w:rsidR="00E36AED" w:rsidRDefault="00E36AED" w:rsidP="00E44692">
      <w:pPr>
        <w:tabs>
          <w:tab w:val="left" w:pos="720"/>
          <w:tab w:val="left" w:pos="1440"/>
          <w:tab w:val="left" w:pos="2160"/>
          <w:tab w:val="right" w:leader="dot" w:pos="9360"/>
        </w:tabs>
        <w:rPr>
          <w:sz w:val="24"/>
          <w:szCs w:val="24"/>
        </w:rPr>
      </w:pPr>
    </w:p>
    <w:p w:rsidR="00E36AED" w:rsidRDefault="00E36AED" w:rsidP="00E44692">
      <w:pPr>
        <w:tabs>
          <w:tab w:val="left" w:pos="720"/>
          <w:tab w:val="left" w:pos="1440"/>
          <w:tab w:val="left" w:pos="2160"/>
          <w:tab w:val="right" w:leader="dot" w:pos="9360"/>
        </w:tabs>
        <w:rPr>
          <w:sz w:val="24"/>
          <w:szCs w:val="24"/>
        </w:rPr>
      </w:pPr>
      <w:r>
        <w:rPr>
          <w:sz w:val="24"/>
          <w:szCs w:val="24"/>
        </w:rPr>
        <w:tab/>
      </w:r>
      <w:r>
        <w:rPr>
          <w:sz w:val="24"/>
          <w:szCs w:val="24"/>
        </w:rPr>
        <w:tab/>
        <w:t>3.</w:t>
      </w:r>
      <w:r>
        <w:rPr>
          <w:sz w:val="24"/>
          <w:szCs w:val="24"/>
        </w:rPr>
        <w:tab/>
        <w:t>PIOGA’s Position</w:t>
      </w:r>
      <w:r>
        <w:rPr>
          <w:sz w:val="24"/>
          <w:szCs w:val="24"/>
        </w:rPr>
        <w:tab/>
        <w:t>3</w:t>
      </w:r>
      <w:r w:rsidR="00C87844">
        <w:rPr>
          <w:sz w:val="24"/>
          <w:szCs w:val="24"/>
        </w:rPr>
        <w:t>2</w:t>
      </w:r>
    </w:p>
    <w:p w:rsidR="00E36AED" w:rsidRDefault="00E36AED" w:rsidP="00E44692">
      <w:pPr>
        <w:tabs>
          <w:tab w:val="left" w:pos="720"/>
          <w:tab w:val="left" w:pos="1440"/>
          <w:tab w:val="left" w:pos="2160"/>
          <w:tab w:val="right" w:leader="dot" w:pos="9360"/>
        </w:tabs>
        <w:rPr>
          <w:sz w:val="24"/>
          <w:szCs w:val="24"/>
        </w:rPr>
      </w:pPr>
    </w:p>
    <w:p w:rsidR="00E36AED" w:rsidRDefault="00E36AED" w:rsidP="00E44692">
      <w:pPr>
        <w:tabs>
          <w:tab w:val="left" w:pos="720"/>
          <w:tab w:val="left" w:pos="1440"/>
          <w:tab w:val="left" w:pos="2160"/>
          <w:tab w:val="right" w:leader="dot" w:pos="9360"/>
        </w:tabs>
        <w:rPr>
          <w:sz w:val="24"/>
          <w:szCs w:val="24"/>
        </w:rPr>
      </w:pPr>
      <w:r>
        <w:rPr>
          <w:sz w:val="24"/>
          <w:szCs w:val="24"/>
        </w:rPr>
        <w:tab/>
        <w:t>F.</w:t>
      </w:r>
      <w:r>
        <w:rPr>
          <w:sz w:val="24"/>
          <w:szCs w:val="24"/>
        </w:rPr>
        <w:tab/>
        <w:t>Miscellaneous</w:t>
      </w:r>
      <w:r>
        <w:rPr>
          <w:sz w:val="24"/>
          <w:szCs w:val="24"/>
        </w:rPr>
        <w:tab/>
        <w:t>3</w:t>
      </w:r>
      <w:r w:rsidR="00C87844">
        <w:rPr>
          <w:sz w:val="24"/>
          <w:szCs w:val="24"/>
        </w:rPr>
        <w:t>4</w:t>
      </w:r>
    </w:p>
    <w:p w:rsidR="00E36AED" w:rsidRDefault="00E36AED" w:rsidP="00E44692">
      <w:pPr>
        <w:tabs>
          <w:tab w:val="left" w:pos="720"/>
          <w:tab w:val="left" w:pos="1440"/>
          <w:tab w:val="left" w:pos="2160"/>
          <w:tab w:val="right" w:leader="dot" w:pos="9360"/>
        </w:tabs>
        <w:rPr>
          <w:sz w:val="24"/>
          <w:szCs w:val="24"/>
        </w:rPr>
      </w:pPr>
    </w:p>
    <w:p w:rsidR="00E36AED" w:rsidRDefault="00E36AED" w:rsidP="00E44692">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Peoples’ Position</w:t>
      </w:r>
      <w:r>
        <w:rPr>
          <w:sz w:val="24"/>
          <w:szCs w:val="24"/>
        </w:rPr>
        <w:tab/>
        <w:t>3</w:t>
      </w:r>
      <w:r w:rsidR="00C87844">
        <w:rPr>
          <w:sz w:val="24"/>
          <w:szCs w:val="24"/>
        </w:rPr>
        <w:t>4</w:t>
      </w:r>
    </w:p>
    <w:p w:rsidR="00E36AED" w:rsidRDefault="00E36AED" w:rsidP="00E44692">
      <w:pPr>
        <w:tabs>
          <w:tab w:val="left" w:pos="720"/>
          <w:tab w:val="left" w:pos="1440"/>
          <w:tab w:val="left" w:pos="2160"/>
          <w:tab w:val="right" w:leader="dot" w:pos="9360"/>
        </w:tabs>
        <w:rPr>
          <w:sz w:val="24"/>
          <w:szCs w:val="24"/>
        </w:rPr>
      </w:pPr>
      <w:r>
        <w:rPr>
          <w:sz w:val="24"/>
          <w:szCs w:val="24"/>
        </w:rPr>
        <w:lastRenderedPageBreak/>
        <w:tab/>
      </w:r>
      <w:r>
        <w:rPr>
          <w:sz w:val="24"/>
          <w:szCs w:val="24"/>
        </w:rPr>
        <w:tab/>
        <w:t>2.</w:t>
      </w:r>
      <w:r>
        <w:rPr>
          <w:sz w:val="24"/>
          <w:szCs w:val="24"/>
        </w:rPr>
        <w:tab/>
        <w:t>OCA’s Position</w:t>
      </w:r>
      <w:r>
        <w:rPr>
          <w:sz w:val="24"/>
          <w:szCs w:val="24"/>
        </w:rPr>
        <w:tab/>
        <w:t>3</w:t>
      </w:r>
      <w:r w:rsidR="004A500B">
        <w:rPr>
          <w:sz w:val="24"/>
          <w:szCs w:val="24"/>
        </w:rPr>
        <w:t>4</w:t>
      </w:r>
    </w:p>
    <w:p w:rsidR="00E36AED" w:rsidRDefault="00E36AED" w:rsidP="00E44692">
      <w:pPr>
        <w:tabs>
          <w:tab w:val="left" w:pos="720"/>
          <w:tab w:val="left" w:pos="1440"/>
          <w:tab w:val="left" w:pos="2160"/>
          <w:tab w:val="right" w:leader="dot" w:pos="9360"/>
        </w:tabs>
        <w:rPr>
          <w:sz w:val="24"/>
          <w:szCs w:val="24"/>
        </w:rPr>
      </w:pPr>
    </w:p>
    <w:p w:rsidR="00E36AED" w:rsidRDefault="00E36AED" w:rsidP="00E44692">
      <w:pPr>
        <w:tabs>
          <w:tab w:val="left" w:pos="720"/>
          <w:tab w:val="left" w:pos="1440"/>
          <w:tab w:val="left" w:pos="2160"/>
          <w:tab w:val="right" w:leader="dot" w:pos="9360"/>
        </w:tabs>
        <w:rPr>
          <w:sz w:val="24"/>
          <w:szCs w:val="24"/>
        </w:rPr>
      </w:pPr>
      <w:r>
        <w:rPr>
          <w:sz w:val="24"/>
          <w:szCs w:val="24"/>
        </w:rPr>
        <w:tab/>
      </w:r>
      <w:r>
        <w:rPr>
          <w:sz w:val="24"/>
          <w:szCs w:val="24"/>
        </w:rPr>
        <w:tab/>
        <w:t>3.</w:t>
      </w:r>
      <w:r>
        <w:rPr>
          <w:sz w:val="24"/>
          <w:szCs w:val="24"/>
        </w:rPr>
        <w:tab/>
        <w:t>I&amp;E’s Position</w:t>
      </w:r>
      <w:r>
        <w:rPr>
          <w:sz w:val="24"/>
          <w:szCs w:val="24"/>
        </w:rPr>
        <w:tab/>
        <w:t>3</w:t>
      </w:r>
      <w:r w:rsidR="00A24294">
        <w:rPr>
          <w:sz w:val="24"/>
          <w:szCs w:val="24"/>
        </w:rPr>
        <w:t>5</w:t>
      </w:r>
    </w:p>
    <w:p w:rsidR="009A7FB4" w:rsidRDefault="009A7FB4" w:rsidP="00E44692">
      <w:pPr>
        <w:tabs>
          <w:tab w:val="left" w:pos="720"/>
          <w:tab w:val="left" w:pos="1440"/>
          <w:tab w:val="left" w:pos="2160"/>
          <w:tab w:val="right" w:leader="dot" w:pos="9360"/>
        </w:tabs>
        <w:rPr>
          <w:sz w:val="24"/>
          <w:szCs w:val="24"/>
        </w:rPr>
      </w:pPr>
    </w:p>
    <w:p w:rsidR="00E36AED" w:rsidRDefault="00E36AED" w:rsidP="00E44692">
      <w:pPr>
        <w:tabs>
          <w:tab w:val="left" w:pos="720"/>
          <w:tab w:val="left" w:pos="1440"/>
          <w:tab w:val="left" w:pos="2160"/>
          <w:tab w:val="right" w:leader="dot" w:pos="9360"/>
        </w:tabs>
        <w:rPr>
          <w:sz w:val="24"/>
          <w:szCs w:val="24"/>
        </w:rPr>
      </w:pPr>
      <w:r>
        <w:rPr>
          <w:sz w:val="24"/>
          <w:szCs w:val="24"/>
        </w:rPr>
        <w:tab/>
        <w:t>G.</w:t>
      </w:r>
      <w:r>
        <w:rPr>
          <w:sz w:val="24"/>
          <w:szCs w:val="24"/>
        </w:rPr>
        <w:tab/>
        <w:t>Disposition</w:t>
      </w:r>
      <w:r w:rsidR="005A11F1">
        <w:rPr>
          <w:sz w:val="24"/>
          <w:szCs w:val="24"/>
        </w:rPr>
        <w:t xml:space="preserve"> of Non-Settling Parties’ Interests</w:t>
      </w:r>
      <w:r>
        <w:rPr>
          <w:sz w:val="24"/>
          <w:szCs w:val="24"/>
        </w:rPr>
        <w:tab/>
        <w:t>3</w:t>
      </w:r>
      <w:r w:rsidR="00A24294">
        <w:rPr>
          <w:sz w:val="24"/>
          <w:szCs w:val="24"/>
        </w:rPr>
        <w:t>6</w:t>
      </w:r>
    </w:p>
    <w:p w:rsidR="00E36AED" w:rsidRDefault="00E36AED" w:rsidP="00E44692">
      <w:pPr>
        <w:tabs>
          <w:tab w:val="left" w:pos="720"/>
          <w:tab w:val="left" w:pos="1440"/>
          <w:tab w:val="left" w:pos="2160"/>
          <w:tab w:val="right" w:leader="dot" w:pos="9360"/>
        </w:tabs>
        <w:rPr>
          <w:sz w:val="24"/>
          <w:szCs w:val="24"/>
        </w:rPr>
      </w:pPr>
    </w:p>
    <w:p w:rsidR="00E36AED" w:rsidRDefault="00E36AED" w:rsidP="00E44692">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 xml:space="preserve">Formal Complaint of Daniel </w:t>
      </w:r>
      <w:proofErr w:type="spellStart"/>
      <w:r>
        <w:rPr>
          <w:sz w:val="24"/>
          <w:szCs w:val="24"/>
        </w:rPr>
        <w:t>Killmeyer</w:t>
      </w:r>
      <w:proofErr w:type="spellEnd"/>
      <w:r>
        <w:rPr>
          <w:sz w:val="24"/>
          <w:szCs w:val="24"/>
        </w:rPr>
        <w:tab/>
        <w:t>3</w:t>
      </w:r>
      <w:r w:rsidR="00A24294">
        <w:rPr>
          <w:sz w:val="24"/>
          <w:szCs w:val="24"/>
        </w:rPr>
        <w:t>6</w:t>
      </w:r>
    </w:p>
    <w:p w:rsidR="00E36AED" w:rsidRDefault="00E36AED" w:rsidP="00E44692">
      <w:pPr>
        <w:tabs>
          <w:tab w:val="left" w:pos="720"/>
          <w:tab w:val="left" w:pos="1440"/>
          <w:tab w:val="left" w:pos="2160"/>
          <w:tab w:val="right" w:leader="dot" w:pos="9360"/>
        </w:tabs>
        <w:rPr>
          <w:sz w:val="24"/>
          <w:szCs w:val="24"/>
        </w:rPr>
      </w:pPr>
    </w:p>
    <w:p w:rsidR="00E36AED" w:rsidRDefault="00E36AED" w:rsidP="00E44692">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Formal Complaint of James Matthew Weber</w:t>
      </w:r>
      <w:r>
        <w:rPr>
          <w:sz w:val="24"/>
          <w:szCs w:val="24"/>
        </w:rPr>
        <w:tab/>
        <w:t>3</w:t>
      </w:r>
      <w:r w:rsidR="004A500B">
        <w:rPr>
          <w:sz w:val="24"/>
          <w:szCs w:val="24"/>
        </w:rPr>
        <w:t>6</w:t>
      </w:r>
    </w:p>
    <w:p w:rsidR="00E36AED" w:rsidRDefault="00E36AED" w:rsidP="00E44692">
      <w:pPr>
        <w:tabs>
          <w:tab w:val="left" w:pos="720"/>
          <w:tab w:val="left" w:pos="1440"/>
          <w:tab w:val="left" w:pos="2160"/>
          <w:tab w:val="right" w:leader="dot" w:pos="9360"/>
        </w:tabs>
        <w:rPr>
          <w:sz w:val="24"/>
          <w:szCs w:val="24"/>
        </w:rPr>
      </w:pPr>
    </w:p>
    <w:p w:rsidR="00E36AED" w:rsidRDefault="00E36AED" w:rsidP="00E44692">
      <w:pPr>
        <w:tabs>
          <w:tab w:val="left" w:pos="720"/>
          <w:tab w:val="left" w:pos="1440"/>
          <w:tab w:val="left" w:pos="2160"/>
          <w:tab w:val="right" w:leader="dot" w:pos="9360"/>
        </w:tabs>
        <w:rPr>
          <w:sz w:val="24"/>
          <w:szCs w:val="24"/>
        </w:rPr>
      </w:pPr>
      <w:r>
        <w:rPr>
          <w:sz w:val="24"/>
          <w:szCs w:val="24"/>
        </w:rPr>
        <w:tab/>
      </w:r>
      <w:r>
        <w:rPr>
          <w:sz w:val="24"/>
          <w:szCs w:val="24"/>
        </w:rPr>
        <w:tab/>
        <w:t>3.</w:t>
      </w:r>
      <w:r>
        <w:rPr>
          <w:sz w:val="24"/>
          <w:szCs w:val="24"/>
        </w:rPr>
        <w:tab/>
        <w:t>Summary</w:t>
      </w:r>
      <w:r>
        <w:rPr>
          <w:sz w:val="24"/>
          <w:szCs w:val="24"/>
        </w:rPr>
        <w:tab/>
      </w:r>
      <w:r w:rsidR="00A24294">
        <w:rPr>
          <w:sz w:val="24"/>
          <w:szCs w:val="24"/>
        </w:rPr>
        <w:t>40</w:t>
      </w:r>
    </w:p>
    <w:p w:rsidR="00E36AED" w:rsidRDefault="00E36AED" w:rsidP="00E44692">
      <w:pPr>
        <w:tabs>
          <w:tab w:val="left" w:pos="720"/>
          <w:tab w:val="left" w:pos="1440"/>
          <w:tab w:val="left" w:pos="2160"/>
          <w:tab w:val="right" w:leader="dot" w:pos="9360"/>
        </w:tabs>
        <w:rPr>
          <w:sz w:val="24"/>
          <w:szCs w:val="24"/>
        </w:rPr>
      </w:pPr>
    </w:p>
    <w:p w:rsidR="00E36AED" w:rsidRDefault="00E36AED" w:rsidP="00E44692">
      <w:pPr>
        <w:tabs>
          <w:tab w:val="left" w:pos="720"/>
          <w:tab w:val="left" w:pos="1440"/>
          <w:tab w:val="left" w:pos="2160"/>
          <w:tab w:val="right" w:leader="dot" w:pos="9360"/>
        </w:tabs>
        <w:rPr>
          <w:sz w:val="24"/>
          <w:szCs w:val="24"/>
        </w:rPr>
      </w:pPr>
      <w:r>
        <w:rPr>
          <w:sz w:val="24"/>
          <w:szCs w:val="24"/>
        </w:rPr>
        <w:tab/>
        <w:t>H.</w:t>
      </w:r>
      <w:r>
        <w:rPr>
          <w:sz w:val="24"/>
          <w:szCs w:val="24"/>
        </w:rPr>
        <w:tab/>
      </w:r>
      <w:r w:rsidR="004A500B">
        <w:rPr>
          <w:sz w:val="24"/>
          <w:szCs w:val="24"/>
        </w:rPr>
        <w:t xml:space="preserve">The </w:t>
      </w:r>
      <w:r>
        <w:rPr>
          <w:sz w:val="24"/>
          <w:szCs w:val="24"/>
        </w:rPr>
        <w:t>Public Interest</w:t>
      </w:r>
      <w:r>
        <w:rPr>
          <w:sz w:val="24"/>
          <w:szCs w:val="24"/>
        </w:rPr>
        <w:tab/>
      </w:r>
      <w:r w:rsidR="004A500B">
        <w:rPr>
          <w:sz w:val="24"/>
          <w:szCs w:val="24"/>
        </w:rPr>
        <w:t>4</w:t>
      </w:r>
      <w:r w:rsidR="00A24294">
        <w:rPr>
          <w:sz w:val="24"/>
          <w:szCs w:val="24"/>
        </w:rPr>
        <w:t>3</w:t>
      </w:r>
    </w:p>
    <w:p w:rsidR="00696738" w:rsidRPr="00696738" w:rsidRDefault="00E36AED" w:rsidP="00696738">
      <w:pPr>
        <w:tabs>
          <w:tab w:val="left" w:pos="720"/>
          <w:tab w:val="left" w:pos="1440"/>
          <w:tab w:val="left" w:pos="2160"/>
          <w:tab w:val="right" w:leader="dot" w:pos="9360"/>
        </w:tabs>
        <w:rPr>
          <w:sz w:val="24"/>
          <w:szCs w:val="24"/>
        </w:rPr>
      </w:pPr>
      <w:r>
        <w:rPr>
          <w:sz w:val="24"/>
          <w:szCs w:val="24"/>
        </w:rPr>
        <w:tab/>
      </w:r>
    </w:p>
    <w:p w:rsidR="00696738" w:rsidRDefault="00696738" w:rsidP="00696738">
      <w:pPr>
        <w:tabs>
          <w:tab w:val="left" w:pos="720"/>
          <w:tab w:val="left" w:pos="1440"/>
          <w:tab w:val="left" w:pos="2160"/>
          <w:tab w:val="right" w:leader="dot" w:pos="9360"/>
        </w:tabs>
        <w:rPr>
          <w:sz w:val="24"/>
          <w:szCs w:val="24"/>
        </w:rPr>
      </w:pPr>
      <w:r w:rsidRPr="00696738">
        <w:rPr>
          <w:sz w:val="24"/>
          <w:szCs w:val="24"/>
        </w:rPr>
        <w:t>V.</w:t>
      </w:r>
      <w:r w:rsidRPr="00696738">
        <w:rPr>
          <w:sz w:val="24"/>
          <w:szCs w:val="24"/>
        </w:rPr>
        <w:tab/>
        <w:t>CONCLUSION</w:t>
      </w:r>
      <w:r w:rsidRPr="00696738">
        <w:rPr>
          <w:sz w:val="24"/>
          <w:szCs w:val="24"/>
        </w:rPr>
        <w:tab/>
      </w:r>
      <w:r w:rsidR="000C25F3">
        <w:rPr>
          <w:sz w:val="24"/>
          <w:szCs w:val="24"/>
        </w:rPr>
        <w:t>4</w:t>
      </w:r>
      <w:r w:rsidR="00A24294">
        <w:rPr>
          <w:sz w:val="24"/>
          <w:szCs w:val="24"/>
        </w:rPr>
        <w:t>5</w:t>
      </w:r>
    </w:p>
    <w:p w:rsidR="000C25F3" w:rsidRDefault="000C25F3" w:rsidP="00696738">
      <w:pPr>
        <w:tabs>
          <w:tab w:val="left" w:pos="720"/>
          <w:tab w:val="left" w:pos="1440"/>
          <w:tab w:val="left" w:pos="2160"/>
          <w:tab w:val="right" w:leader="dot" w:pos="9360"/>
        </w:tabs>
        <w:rPr>
          <w:sz w:val="24"/>
          <w:szCs w:val="24"/>
        </w:rPr>
      </w:pPr>
    </w:p>
    <w:p w:rsidR="000C25F3" w:rsidRPr="00696738" w:rsidRDefault="000C25F3" w:rsidP="00696738">
      <w:pPr>
        <w:tabs>
          <w:tab w:val="left" w:pos="720"/>
          <w:tab w:val="left" w:pos="1440"/>
          <w:tab w:val="left" w:pos="2160"/>
          <w:tab w:val="right" w:leader="dot" w:pos="9360"/>
        </w:tabs>
        <w:rPr>
          <w:sz w:val="24"/>
          <w:szCs w:val="24"/>
        </w:rPr>
      </w:pPr>
      <w:r>
        <w:rPr>
          <w:sz w:val="24"/>
          <w:szCs w:val="24"/>
        </w:rPr>
        <w:t>VI.</w:t>
      </w:r>
      <w:r>
        <w:rPr>
          <w:sz w:val="24"/>
          <w:szCs w:val="24"/>
        </w:rPr>
        <w:tab/>
        <w:t>CONCLUSIONS OF LAW</w:t>
      </w:r>
      <w:r>
        <w:rPr>
          <w:sz w:val="24"/>
          <w:szCs w:val="24"/>
        </w:rPr>
        <w:tab/>
        <w:t>4</w:t>
      </w:r>
      <w:r w:rsidR="00A24294">
        <w:rPr>
          <w:sz w:val="24"/>
          <w:szCs w:val="24"/>
        </w:rPr>
        <w:t>5</w:t>
      </w:r>
    </w:p>
    <w:p w:rsidR="00696738" w:rsidRPr="00696738" w:rsidRDefault="00696738" w:rsidP="00696738">
      <w:pPr>
        <w:tabs>
          <w:tab w:val="left" w:pos="720"/>
          <w:tab w:val="left" w:pos="1440"/>
          <w:tab w:val="left" w:pos="2160"/>
          <w:tab w:val="right" w:leader="dot" w:pos="9360"/>
        </w:tabs>
        <w:rPr>
          <w:sz w:val="24"/>
          <w:szCs w:val="24"/>
        </w:rPr>
      </w:pPr>
    </w:p>
    <w:p w:rsidR="00696738" w:rsidRPr="00696738" w:rsidRDefault="00696738" w:rsidP="00696738">
      <w:pPr>
        <w:tabs>
          <w:tab w:val="left" w:pos="720"/>
          <w:tab w:val="left" w:pos="1440"/>
          <w:tab w:val="left" w:pos="2160"/>
          <w:tab w:val="right" w:leader="dot" w:pos="9360"/>
        </w:tabs>
        <w:rPr>
          <w:sz w:val="24"/>
          <w:szCs w:val="24"/>
        </w:rPr>
      </w:pPr>
      <w:r w:rsidRPr="00696738">
        <w:rPr>
          <w:sz w:val="24"/>
          <w:szCs w:val="24"/>
        </w:rPr>
        <w:t>VI</w:t>
      </w:r>
      <w:r w:rsidR="000C25F3">
        <w:rPr>
          <w:sz w:val="24"/>
          <w:szCs w:val="24"/>
        </w:rPr>
        <w:t>I</w:t>
      </w:r>
      <w:r w:rsidR="001B73A5">
        <w:rPr>
          <w:sz w:val="24"/>
          <w:szCs w:val="24"/>
        </w:rPr>
        <w:t>.</w:t>
      </w:r>
      <w:r w:rsidRPr="00696738">
        <w:rPr>
          <w:sz w:val="24"/>
          <w:szCs w:val="24"/>
        </w:rPr>
        <w:tab/>
        <w:t>RECOMMENDED ORDER</w:t>
      </w:r>
      <w:r w:rsidRPr="00696738">
        <w:rPr>
          <w:sz w:val="24"/>
          <w:szCs w:val="24"/>
        </w:rPr>
        <w:tab/>
      </w:r>
      <w:r w:rsidR="000C25F3">
        <w:rPr>
          <w:sz w:val="24"/>
          <w:szCs w:val="24"/>
        </w:rPr>
        <w:t>4</w:t>
      </w:r>
      <w:r w:rsidR="00A24294">
        <w:rPr>
          <w:sz w:val="24"/>
          <w:szCs w:val="24"/>
        </w:rPr>
        <w:t>8</w:t>
      </w:r>
    </w:p>
    <w:p w:rsidR="00CD5C18" w:rsidRPr="00696738" w:rsidRDefault="00CD5C18" w:rsidP="00CD5C18">
      <w:pPr>
        <w:jc w:val="center"/>
        <w:rPr>
          <w:sz w:val="24"/>
          <w:szCs w:val="24"/>
        </w:rPr>
        <w:sectPr w:rsidR="00CD5C18" w:rsidRPr="00696738" w:rsidSect="006C6EAD">
          <w:footerReference w:type="default" r:id="rId9"/>
          <w:footerReference w:type="first" r:id="rId10"/>
          <w:pgSz w:w="12240" w:h="15840"/>
          <w:pgMar w:top="1440" w:right="1440" w:bottom="1440" w:left="1440" w:header="720" w:footer="720" w:gutter="0"/>
          <w:cols w:space="720"/>
          <w:docGrid w:linePitch="360"/>
        </w:sectPr>
      </w:pPr>
    </w:p>
    <w:p w:rsidR="00CD5C18" w:rsidRPr="00D55CA6" w:rsidRDefault="00696738" w:rsidP="00DB50DE">
      <w:pPr>
        <w:tabs>
          <w:tab w:val="left" w:pos="720"/>
          <w:tab w:val="left" w:pos="1440"/>
          <w:tab w:val="left" w:pos="2160"/>
          <w:tab w:val="right" w:leader="dot" w:pos="9360"/>
        </w:tabs>
        <w:spacing w:line="360" w:lineRule="auto"/>
        <w:jc w:val="center"/>
        <w:rPr>
          <w:sz w:val="24"/>
          <w:szCs w:val="24"/>
          <w:u w:val="single"/>
        </w:rPr>
      </w:pPr>
      <w:r w:rsidRPr="00696738">
        <w:rPr>
          <w:sz w:val="24"/>
          <w:szCs w:val="24"/>
        </w:rPr>
        <w:lastRenderedPageBreak/>
        <w:t>I.</w:t>
      </w:r>
      <w:r w:rsidRPr="00696738">
        <w:rPr>
          <w:sz w:val="24"/>
          <w:szCs w:val="24"/>
        </w:rPr>
        <w:tab/>
      </w:r>
      <w:r w:rsidR="00CD5C18" w:rsidRPr="00D55CA6">
        <w:rPr>
          <w:sz w:val="24"/>
          <w:szCs w:val="24"/>
          <w:u w:val="single"/>
        </w:rPr>
        <w:t>HISTORY OF THE PROCEEDINGS</w:t>
      </w:r>
    </w:p>
    <w:p w:rsidR="00CD5C18" w:rsidRPr="00D55CA6" w:rsidRDefault="00CD5C18" w:rsidP="00EF042F">
      <w:pPr>
        <w:pStyle w:val="ListParagraph"/>
        <w:spacing w:line="360" w:lineRule="auto"/>
        <w:ind w:left="1080"/>
        <w:rPr>
          <w:sz w:val="24"/>
          <w:szCs w:val="24"/>
          <w:u w:val="single"/>
        </w:rPr>
      </w:pPr>
    </w:p>
    <w:p w:rsidR="009E3DFE" w:rsidRPr="00082B8A" w:rsidRDefault="00DB50DE" w:rsidP="009E3DFE">
      <w:pPr>
        <w:spacing w:line="360" w:lineRule="auto"/>
        <w:ind w:firstLine="720"/>
        <w:rPr>
          <w:sz w:val="24"/>
          <w:szCs w:val="24"/>
        </w:rPr>
      </w:pPr>
      <w:r>
        <w:rPr>
          <w:sz w:val="24"/>
          <w:szCs w:val="24"/>
        </w:rPr>
        <w:tab/>
      </w:r>
      <w:r w:rsidR="009E3DFE" w:rsidRPr="00082B8A">
        <w:rPr>
          <w:sz w:val="24"/>
          <w:szCs w:val="24"/>
        </w:rPr>
        <w:t>Peoples Natural Gas Company LLC (Peoples LLC</w:t>
      </w:r>
      <w:r w:rsidR="00256FF3">
        <w:rPr>
          <w:sz w:val="24"/>
          <w:szCs w:val="24"/>
        </w:rPr>
        <w:t xml:space="preserve"> or Company</w:t>
      </w:r>
      <w:r w:rsidR="009E3DFE" w:rsidRPr="00082B8A">
        <w:rPr>
          <w:sz w:val="24"/>
          <w:szCs w:val="24"/>
        </w:rPr>
        <w:t>), acting on behalf of its Peoples Division and its Equitable Division (Peoples-Equitable or Peoples-Equitable Division)</w:t>
      </w:r>
      <w:r w:rsidR="001572DA">
        <w:rPr>
          <w:sz w:val="24"/>
          <w:szCs w:val="24"/>
        </w:rPr>
        <w:t>,</w:t>
      </w:r>
      <w:r w:rsidR="009E3DFE" w:rsidRPr="00082B8A">
        <w:rPr>
          <w:sz w:val="24"/>
          <w:szCs w:val="24"/>
        </w:rPr>
        <w:t xml:space="preserve"> is a limited liability company formed under the laws of the Commonwealth of Pennsylvania for the purpose of providing natural gas transmission, distribution, and supplier of last resort services subject to the Commission’s regulatory jurisdiction. </w:t>
      </w:r>
      <w:r w:rsidR="00556AB8">
        <w:rPr>
          <w:sz w:val="24"/>
          <w:szCs w:val="24"/>
        </w:rPr>
        <w:t xml:space="preserve"> </w:t>
      </w:r>
      <w:r w:rsidR="009E3DFE" w:rsidRPr="00082B8A">
        <w:rPr>
          <w:sz w:val="24"/>
          <w:szCs w:val="24"/>
        </w:rPr>
        <w:t xml:space="preserve">Peoples LLC operates two divisions – the Peoples Division and Peoples-Equitable Division.  </w:t>
      </w:r>
      <w:proofErr w:type="gramStart"/>
      <w:r w:rsidR="009E3DFE" w:rsidRPr="00082B8A">
        <w:rPr>
          <w:sz w:val="24"/>
          <w:szCs w:val="24"/>
        </w:rPr>
        <w:t>Peoples is</w:t>
      </w:r>
      <w:proofErr w:type="gramEnd"/>
      <w:r w:rsidR="009E3DFE" w:rsidRPr="00082B8A">
        <w:rPr>
          <w:sz w:val="24"/>
          <w:szCs w:val="24"/>
        </w:rPr>
        <w:t xml:space="preserve"> also an affiliate of Peoples TWP LLC (Peoples TWP).  </w:t>
      </w:r>
      <w:proofErr w:type="gramStart"/>
      <w:r w:rsidR="009E3DFE" w:rsidRPr="00082B8A">
        <w:rPr>
          <w:sz w:val="24"/>
          <w:szCs w:val="24"/>
        </w:rPr>
        <w:t>(Joint Petition, p. 2.)</w:t>
      </w:r>
      <w:proofErr w:type="gramEnd"/>
    </w:p>
    <w:p w:rsidR="009E3DFE" w:rsidRPr="00082B8A" w:rsidRDefault="009E3DFE" w:rsidP="009E3DFE">
      <w:pPr>
        <w:spacing w:line="360" w:lineRule="auto"/>
        <w:rPr>
          <w:sz w:val="24"/>
          <w:szCs w:val="24"/>
        </w:rPr>
      </w:pPr>
    </w:p>
    <w:p w:rsidR="009E3DFE" w:rsidRPr="00082B8A" w:rsidRDefault="009E3DFE" w:rsidP="009E3DFE">
      <w:pPr>
        <w:spacing w:line="360" w:lineRule="auto"/>
        <w:ind w:firstLine="720"/>
        <w:rPr>
          <w:sz w:val="24"/>
          <w:szCs w:val="24"/>
        </w:rPr>
      </w:pPr>
      <w:r w:rsidRPr="00082B8A">
        <w:rPr>
          <w:sz w:val="24"/>
          <w:szCs w:val="24"/>
        </w:rPr>
        <w:t xml:space="preserve">            The Company is a public utility and a natural gas distribution company.  </w:t>
      </w:r>
      <w:proofErr w:type="gramStart"/>
      <w:r w:rsidRPr="00082B8A">
        <w:rPr>
          <w:sz w:val="24"/>
          <w:szCs w:val="24"/>
        </w:rPr>
        <w:t>(Joint Petition, p. 2.)</w:t>
      </w:r>
      <w:proofErr w:type="gramEnd"/>
    </w:p>
    <w:p w:rsidR="009E3DFE" w:rsidRPr="00082B8A" w:rsidRDefault="009E3DFE" w:rsidP="009E3DFE">
      <w:pPr>
        <w:spacing w:line="360" w:lineRule="auto"/>
        <w:ind w:firstLine="720"/>
        <w:rPr>
          <w:sz w:val="24"/>
          <w:szCs w:val="24"/>
        </w:rPr>
      </w:pPr>
    </w:p>
    <w:p w:rsidR="009E3DFE" w:rsidRPr="00082B8A" w:rsidRDefault="009E3DFE" w:rsidP="009E3DFE">
      <w:pPr>
        <w:spacing w:line="360" w:lineRule="auto"/>
        <w:ind w:firstLine="720"/>
        <w:rPr>
          <w:sz w:val="24"/>
          <w:szCs w:val="24"/>
        </w:rPr>
      </w:pPr>
      <w:r w:rsidRPr="00082B8A">
        <w:rPr>
          <w:sz w:val="24"/>
          <w:szCs w:val="24"/>
        </w:rPr>
        <w:t xml:space="preserve">            On February 8, 2016, the Company, on behalf of Peoples Division and Peoples-Equitable Division made their purchased gas costs (PGC) 60-day pre-filings with the Pennsylvania Public Utility Commission (Commission), pursuant to Section 1307(f) of the Public Utility Code, 66 </w:t>
      </w:r>
      <w:proofErr w:type="spellStart"/>
      <w:r w:rsidRPr="00082B8A">
        <w:rPr>
          <w:sz w:val="24"/>
          <w:szCs w:val="24"/>
        </w:rPr>
        <w:t>Pa.C.S</w:t>
      </w:r>
      <w:proofErr w:type="spellEnd"/>
      <w:r w:rsidRPr="00082B8A">
        <w:rPr>
          <w:sz w:val="24"/>
          <w:szCs w:val="24"/>
        </w:rPr>
        <w:t xml:space="preserve">. § 1307(f), and the Commission’s regulations at 52 </w:t>
      </w:r>
      <w:proofErr w:type="spellStart"/>
      <w:r w:rsidRPr="00082B8A">
        <w:rPr>
          <w:sz w:val="24"/>
          <w:szCs w:val="24"/>
        </w:rPr>
        <w:t>Pa.Code</w:t>
      </w:r>
      <w:proofErr w:type="spellEnd"/>
      <w:r w:rsidRPr="00082B8A">
        <w:rPr>
          <w:sz w:val="24"/>
          <w:szCs w:val="24"/>
        </w:rPr>
        <w:t xml:space="preserve"> § 53.65.  </w:t>
      </w:r>
      <w:proofErr w:type="gramStart"/>
      <w:r w:rsidRPr="00082B8A">
        <w:rPr>
          <w:sz w:val="24"/>
          <w:szCs w:val="24"/>
        </w:rPr>
        <w:t>(Joint Petition, p. 3.)</w:t>
      </w:r>
      <w:proofErr w:type="gramEnd"/>
    </w:p>
    <w:p w:rsidR="009E3DFE" w:rsidRPr="00082B8A" w:rsidRDefault="009E3DFE" w:rsidP="009E3DFE">
      <w:pPr>
        <w:spacing w:line="360" w:lineRule="auto"/>
        <w:ind w:firstLine="720"/>
        <w:rPr>
          <w:sz w:val="24"/>
          <w:szCs w:val="24"/>
        </w:rPr>
      </w:pPr>
    </w:p>
    <w:p w:rsidR="009E3DFE" w:rsidRPr="00082B8A" w:rsidRDefault="009E3DFE" w:rsidP="009E3DFE">
      <w:pPr>
        <w:spacing w:line="360" w:lineRule="auto"/>
        <w:ind w:firstLine="720"/>
        <w:rPr>
          <w:sz w:val="24"/>
          <w:szCs w:val="24"/>
        </w:rPr>
      </w:pPr>
      <w:r w:rsidRPr="00082B8A">
        <w:rPr>
          <w:sz w:val="24"/>
          <w:szCs w:val="24"/>
        </w:rPr>
        <w:t xml:space="preserve">            On March 2, 2016, Peoples Division and Peoples-Equitable Division made their PGC 30-day pre-filings with the Commission in compliance with Section 1307(f) of the Public Utility Code, 66 </w:t>
      </w:r>
      <w:proofErr w:type="spellStart"/>
      <w:r w:rsidRPr="00082B8A">
        <w:rPr>
          <w:sz w:val="24"/>
          <w:szCs w:val="24"/>
        </w:rPr>
        <w:t>Pa.C.S</w:t>
      </w:r>
      <w:proofErr w:type="spellEnd"/>
      <w:r w:rsidRPr="00082B8A">
        <w:rPr>
          <w:sz w:val="24"/>
          <w:szCs w:val="24"/>
        </w:rPr>
        <w:t xml:space="preserve">. § 1307(f), and the Commission’s regulations at 52 </w:t>
      </w:r>
      <w:proofErr w:type="spellStart"/>
      <w:r w:rsidRPr="00082B8A">
        <w:rPr>
          <w:sz w:val="24"/>
          <w:szCs w:val="24"/>
        </w:rPr>
        <w:t>Pa.Code</w:t>
      </w:r>
      <w:proofErr w:type="spellEnd"/>
      <w:r w:rsidRPr="00082B8A">
        <w:rPr>
          <w:sz w:val="24"/>
          <w:szCs w:val="24"/>
        </w:rPr>
        <w:t xml:space="preserve"> §§ 53.64-53.65. </w:t>
      </w:r>
      <w:proofErr w:type="gramStart"/>
      <w:r w:rsidRPr="00082B8A">
        <w:rPr>
          <w:sz w:val="24"/>
          <w:szCs w:val="24"/>
        </w:rPr>
        <w:t>(Joint Petition, p. 3.)</w:t>
      </w:r>
      <w:proofErr w:type="gramEnd"/>
    </w:p>
    <w:p w:rsidR="009E3DFE" w:rsidRPr="00082B8A" w:rsidRDefault="009E3DFE" w:rsidP="009E3DFE">
      <w:pPr>
        <w:spacing w:line="360" w:lineRule="auto"/>
        <w:ind w:firstLine="720"/>
        <w:rPr>
          <w:sz w:val="24"/>
          <w:szCs w:val="24"/>
        </w:rPr>
      </w:pPr>
    </w:p>
    <w:p w:rsidR="009E3DFE" w:rsidRPr="00082B8A" w:rsidRDefault="009E3DFE" w:rsidP="009E3DFE">
      <w:pPr>
        <w:spacing w:line="360" w:lineRule="auto"/>
        <w:ind w:firstLine="720"/>
        <w:rPr>
          <w:b/>
          <w:sz w:val="24"/>
          <w:szCs w:val="24"/>
        </w:rPr>
      </w:pPr>
      <w:r w:rsidRPr="00082B8A">
        <w:rPr>
          <w:sz w:val="24"/>
          <w:szCs w:val="24"/>
        </w:rPr>
        <w:t xml:space="preserve"> </w:t>
      </w:r>
      <w:r w:rsidRPr="00082B8A">
        <w:rPr>
          <w:sz w:val="24"/>
          <w:szCs w:val="24"/>
        </w:rPr>
        <w:tab/>
        <w:t xml:space="preserve">The Commission instituted an investigation to determine the lawfulness, justness and reasonableness of the rates proposed in the Section 1307(f) filing and to satisfy the requirements of Sections 1307, 1317 and 1318 of the Public Utility Code (at 66 </w:t>
      </w:r>
      <w:proofErr w:type="spellStart"/>
      <w:r w:rsidRPr="00082B8A">
        <w:rPr>
          <w:sz w:val="24"/>
          <w:szCs w:val="24"/>
        </w:rPr>
        <w:t>Pa.C.S.A</w:t>
      </w:r>
      <w:proofErr w:type="spellEnd"/>
      <w:r w:rsidRPr="00082B8A">
        <w:rPr>
          <w:sz w:val="24"/>
          <w:szCs w:val="24"/>
        </w:rPr>
        <w:t xml:space="preserve">. § 1307(f); § 1317 and § 1318), in connection with the Company’s 2016 Purchased Gas Cost filing for the period ending September 30, 2016.  </w:t>
      </w:r>
      <w:r w:rsidRPr="00082B8A">
        <w:rPr>
          <w:b/>
          <w:sz w:val="24"/>
          <w:szCs w:val="24"/>
        </w:rPr>
        <w:t xml:space="preserve">  </w:t>
      </w:r>
    </w:p>
    <w:p w:rsidR="009E3DFE" w:rsidRPr="00082B8A" w:rsidRDefault="009E3DFE" w:rsidP="009E3DFE">
      <w:pPr>
        <w:spacing w:line="360" w:lineRule="auto"/>
        <w:ind w:firstLine="720"/>
        <w:rPr>
          <w:b/>
          <w:sz w:val="24"/>
          <w:szCs w:val="24"/>
        </w:rPr>
      </w:pPr>
    </w:p>
    <w:p w:rsidR="009E3DFE" w:rsidRDefault="009E3DFE" w:rsidP="00DB50DE">
      <w:pPr>
        <w:spacing w:line="360" w:lineRule="auto"/>
        <w:ind w:firstLine="720"/>
        <w:rPr>
          <w:sz w:val="24"/>
          <w:szCs w:val="24"/>
        </w:rPr>
      </w:pPr>
      <w:r w:rsidRPr="00082B8A">
        <w:rPr>
          <w:b/>
          <w:sz w:val="24"/>
          <w:szCs w:val="24"/>
        </w:rPr>
        <w:lastRenderedPageBreak/>
        <w:t xml:space="preserve">            </w:t>
      </w:r>
      <w:r w:rsidRPr="00082B8A">
        <w:rPr>
          <w:sz w:val="24"/>
          <w:szCs w:val="24"/>
        </w:rPr>
        <w:t xml:space="preserve">On March 15, 2016, the Commission’s Bureau of Investigation and Enforcement (I&amp;E) filed a Notice of Appearance at Docket Nos. </w:t>
      </w:r>
      <w:proofErr w:type="gramStart"/>
      <w:r w:rsidRPr="00082B8A">
        <w:rPr>
          <w:sz w:val="24"/>
          <w:szCs w:val="24"/>
        </w:rPr>
        <w:t>R-2016-2528562 and R-2016-2529260.</w:t>
      </w:r>
      <w:proofErr w:type="gramEnd"/>
    </w:p>
    <w:p w:rsidR="00DB50DE" w:rsidRPr="00082B8A" w:rsidRDefault="00DB50DE" w:rsidP="00DB50DE">
      <w:pPr>
        <w:spacing w:line="360" w:lineRule="auto"/>
        <w:ind w:firstLine="720"/>
        <w:rPr>
          <w:sz w:val="24"/>
          <w:szCs w:val="24"/>
        </w:rPr>
      </w:pPr>
    </w:p>
    <w:p w:rsidR="009E3DFE" w:rsidRDefault="009E3DFE" w:rsidP="00DB50DE">
      <w:pPr>
        <w:spacing w:line="360" w:lineRule="auto"/>
        <w:ind w:firstLine="720"/>
        <w:rPr>
          <w:sz w:val="24"/>
          <w:szCs w:val="24"/>
        </w:rPr>
      </w:pPr>
      <w:r w:rsidRPr="00082B8A">
        <w:rPr>
          <w:sz w:val="24"/>
          <w:szCs w:val="24"/>
        </w:rPr>
        <w:t xml:space="preserve">            On March 18, 2016, the Office of Small Business Advocate</w:t>
      </w:r>
      <w:r w:rsidRPr="00082B8A">
        <w:rPr>
          <w:b/>
          <w:sz w:val="24"/>
          <w:szCs w:val="24"/>
        </w:rPr>
        <w:t xml:space="preserve"> (</w:t>
      </w:r>
      <w:r w:rsidRPr="00082B8A">
        <w:rPr>
          <w:sz w:val="24"/>
          <w:szCs w:val="24"/>
        </w:rPr>
        <w:t xml:space="preserve">OSBA) filed a Notice of Appearance at Docket Nos. </w:t>
      </w:r>
      <w:proofErr w:type="gramStart"/>
      <w:r w:rsidR="00CF4904">
        <w:rPr>
          <w:sz w:val="24"/>
          <w:szCs w:val="24"/>
        </w:rPr>
        <w:t>C</w:t>
      </w:r>
      <w:r w:rsidRPr="00082B8A">
        <w:rPr>
          <w:sz w:val="24"/>
          <w:szCs w:val="24"/>
        </w:rPr>
        <w:t>-2016-25</w:t>
      </w:r>
      <w:r w:rsidR="00CF4904">
        <w:rPr>
          <w:sz w:val="24"/>
          <w:szCs w:val="24"/>
        </w:rPr>
        <w:t>38456</w:t>
      </w:r>
      <w:r w:rsidRPr="00082B8A">
        <w:rPr>
          <w:sz w:val="24"/>
          <w:szCs w:val="24"/>
        </w:rPr>
        <w:t xml:space="preserve"> and </w:t>
      </w:r>
      <w:r w:rsidR="00CF4904">
        <w:rPr>
          <w:sz w:val="24"/>
          <w:szCs w:val="24"/>
        </w:rPr>
        <w:t>C</w:t>
      </w:r>
      <w:r w:rsidRPr="00082B8A">
        <w:rPr>
          <w:sz w:val="24"/>
          <w:szCs w:val="24"/>
        </w:rPr>
        <w:t>-2016-25</w:t>
      </w:r>
      <w:r w:rsidR="00CF4904">
        <w:rPr>
          <w:sz w:val="24"/>
          <w:szCs w:val="24"/>
        </w:rPr>
        <w:t>38458</w:t>
      </w:r>
      <w:r w:rsidRPr="00082B8A">
        <w:rPr>
          <w:sz w:val="24"/>
          <w:szCs w:val="24"/>
        </w:rPr>
        <w:t>.</w:t>
      </w:r>
      <w:proofErr w:type="gramEnd"/>
    </w:p>
    <w:p w:rsidR="00DB50DE" w:rsidRPr="00082B8A" w:rsidRDefault="00DB50DE" w:rsidP="00DB50DE">
      <w:pPr>
        <w:spacing w:line="360" w:lineRule="auto"/>
        <w:ind w:firstLine="720"/>
        <w:rPr>
          <w:sz w:val="24"/>
          <w:szCs w:val="24"/>
        </w:rPr>
      </w:pPr>
    </w:p>
    <w:p w:rsidR="009E3DFE" w:rsidRDefault="009E3DFE" w:rsidP="00DB50DE">
      <w:pPr>
        <w:spacing w:line="360" w:lineRule="auto"/>
        <w:ind w:firstLine="720"/>
        <w:rPr>
          <w:sz w:val="24"/>
          <w:szCs w:val="24"/>
        </w:rPr>
      </w:pPr>
      <w:r w:rsidRPr="00082B8A">
        <w:rPr>
          <w:sz w:val="24"/>
          <w:szCs w:val="24"/>
        </w:rPr>
        <w:t xml:space="preserve">            On March 23, 2016, the Office of Consumer Advocate (OCA)</w:t>
      </w:r>
      <w:r w:rsidRPr="00082B8A">
        <w:rPr>
          <w:b/>
          <w:sz w:val="24"/>
          <w:szCs w:val="24"/>
        </w:rPr>
        <w:t xml:space="preserve"> </w:t>
      </w:r>
      <w:r w:rsidRPr="00082B8A">
        <w:rPr>
          <w:sz w:val="24"/>
          <w:szCs w:val="24"/>
        </w:rPr>
        <w:t xml:space="preserve">filed a Notice of Appearance and Complaint at Docket No. C-2016-2536105 in the Peoples Division proceeding and at C-2016-2536106 in the Peoples-Equitable Division proceeding. </w:t>
      </w:r>
    </w:p>
    <w:p w:rsidR="00DB50DE" w:rsidRPr="00082B8A" w:rsidRDefault="00DB50DE" w:rsidP="00DB50DE">
      <w:pPr>
        <w:spacing w:line="360" w:lineRule="auto"/>
        <w:ind w:firstLine="720"/>
        <w:rPr>
          <w:sz w:val="24"/>
          <w:szCs w:val="24"/>
        </w:rPr>
      </w:pPr>
    </w:p>
    <w:p w:rsidR="009E3DFE" w:rsidRDefault="009E3DFE" w:rsidP="00DB50DE">
      <w:pPr>
        <w:spacing w:line="360" w:lineRule="auto"/>
        <w:ind w:firstLine="720"/>
        <w:rPr>
          <w:sz w:val="24"/>
          <w:szCs w:val="24"/>
        </w:rPr>
      </w:pPr>
      <w:r w:rsidRPr="00082B8A">
        <w:rPr>
          <w:sz w:val="24"/>
          <w:szCs w:val="24"/>
        </w:rPr>
        <w:t xml:space="preserve">            On April 1, 2016, Peoples Division and Peoples-Equitable Division filed with the Commission their definitive PGC filings, including supporting information required by the Commission’s regulations, the Companies’ direct testimony, exhibits, and Pro Forma Tariff Supplements reflecting actual and projected changes in natural gas costs and other tariff changes.</w:t>
      </w:r>
    </w:p>
    <w:p w:rsidR="00DB50DE" w:rsidRPr="00082B8A" w:rsidRDefault="00DB50DE" w:rsidP="00DB50DE">
      <w:pPr>
        <w:spacing w:line="360" w:lineRule="auto"/>
        <w:ind w:firstLine="720"/>
        <w:rPr>
          <w:sz w:val="24"/>
          <w:szCs w:val="24"/>
        </w:rPr>
      </w:pPr>
    </w:p>
    <w:p w:rsidR="009E3DFE" w:rsidRDefault="009E3DFE" w:rsidP="00DB50DE">
      <w:pPr>
        <w:spacing w:line="360" w:lineRule="auto"/>
        <w:ind w:firstLine="720"/>
        <w:rPr>
          <w:sz w:val="24"/>
          <w:szCs w:val="24"/>
        </w:rPr>
      </w:pPr>
      <w:r w:rsidRPr="00082B8A">
        <w:rPr>
          <w:sz w:val="24"/>
          <w:szCs w:val="24"/>
        </w:rPr>
        <w:t xml:space="preserve">            In addition, on April 1, 2016, a Notice was issued scheduling a Prehearing Conference before the undersigned presiding officer at 9:00 a.m. on April 7, 2016, at Piatt Place, 2nd Floor Hearing Room, </w:t>
      </w:r>
      <w:proofErr w:type="gramStart"/>
      <w:r w:rsidRPr="00082B8A">
        <w:rPr>
          <w:sz w:val="24"/>
          <w:szCs w:val="24"/>
        </w:rPr>
        <w:t>Suite 220, in Pittsburgh, Pennsylvania</w:t>
      </w:r>
      <w:r w:rsidR="00C907CE">
        <w:rPr>
          <w:rStyle w:val="FootnoteReference"/>
          <w:sz w:val="24"/>
          <w:szCs w:val="24"/>
        </w:rPr>
        <w:footnoteReference w:id="1"/>
      </w:r>
      <w:proofErr w:type="gramEnd"/>
      <w:r w:rsidRPr="00082B8A">
        <w:rPr>
          <w:sz w:val="24"/>
          <w:szCs w:val="24"/>
        </w:rPr>
        <w:t xml:space="preserve"> and at the Commonwealth Keystone Building, Hearing Room 3, in Harrisburg, Pennsylvania.  </w:t>
      </w:r>
    </w:p>
    <w:p w:rsidR="00DB50DE" w:rsidRPr="00082B8A" w:rsidRDefault="00DB50DE" w:rsidP="00DB50DE">
      <w:pPr>
        <w:spacing w:line="360" w:lineRule="auto"/>
        <w:ind w:firstLine="720"/>
        <w:rPr>
          <w:sz w:val="24"/>
          <w:szCs w:val="24"/>
        </w:rPr>
      </w:pPr>
    </w:p>
    <w:p w:rsidR="009E3DFE" w:rsidRDefault="009E3DFE" w:rsidP="00DB50DE">
      <w:pPr>
        <w:spacing w:line="360" w:lineRule="auto"/>
        <w:ind w:firstLine="720"/>
        <w:rPr>
          <w:sz w:val="24"/>
          <w:szCs w:val="24"/>
        </w:rPr>
      </w:pPr>
      <w:r w:rsidRPr="00082B8A">
        <w:rPr>
          <w:b/>
          <w:sz w:val="24"/>
          <w:szCs w:val="24"/>
        </w:rPr>
        <w:t xml:space="preserve">            </w:t>
      </w:r>
      <w:r w:rsidRPr="00082B8A">
        <w:rPr>
          <w:sz w:val="24"/>
          <w:szCs w:val="24"/>
        </w:rPr>
        <w:t xml:space="preserve">On April 4, 2016, a Prehearing Conference Order was </w:t>
      </w:r>
      <w:proofErr w:type="gramStart"/>
      <w:r w:rsidRPr="00082B8A">
        <w:rPr>
          <w:sz w:val="24"/>
          <w:szCs w:val="24"/>
        </w:rPr>
        <w:t>entered ,</w:t>
      </w:r>
      <w:proofErr w:type="gramEnd"/>
      <w:r w:rsidRPr="00082B8A">
        <w:rPr>
          <w:sz w:val="24"/>
          <w:szCs w:val="24"/>
        </w:rPr>
        <w:t xml:space="preserve"> directing the parties to file Prehearing Memoranda on or before 12:00 p.m. on April 6, 2016.</w:t>
      </w:r>
    </w:p>
    <w:p w:rsidR="00DB50DE" w:rsidRPr="00082B8A" w:rsidRDefault="00DB50DE" w:rsidP="00DB50DE">
      <w:pPr>
        <w:spacing w:line="360" w:lineRule="auto"/>
        <w:ind w:firstLine="720"/>
        <w:rPr>
          <w:sz w:val="24"/>
          <w:szCs w:val="24"/>
        </w:rPr>
      </w:pPr>
    </w:p>
    <w:p w:rsidR="009E3DFE" w:rsidRDefault="009E3DFE" w:rsidP="00DB50DE">
      <w:pPr>
        <w:spacing w:line="360" w:lineRule="auto"/>
        <w:ind w:firstLine="720"/>
        <w:rPr>
          <w:sz w:val="24"/>
          <w:szCs w:val="24"/>
        </w:rPr>
      </w:pPr>
      <w:r w:rsidRPr="00082B8A">
        <w:rPr>
          <w:b/>
          <w:sz w:val="24"/>
          <w:szCs w:val="24"/>
        </w:rPr>
        <w:t xml:space="preserve">            </w:t>
      </w:r>
      <w:r w:rsidRPr="00082B8A">
        <w:rPr>
          <w:sz w:val="24"/>
          <w:szCs w:val="24"/>
        </w:rPr>
        <w:t>On April 5, 2016, the Pennsylvania Independent Oil and Gas Association (PIOGA</w:t>
      </w:r>
      <w:proofErr w:type="gramStart"/>
      <w:r w:rsidRPr="00082B8A">
        <w:rPr>
          <w:sz w:val="24"/>
          <w:szCs w:val="24"/>
        </w:rPr>
        <w:t>),</w:t>
      </w:r>
      <w:proofErr w:type="gramEnd"/>
      <w:r w:rsidRPr="00082B8A">
        <w:rPr>
          <w:sz w:val="24"/>
          <w:szCs w:val="24"/>
        </w:rPr>
        <w:t xml:space="preserve"> filed a Petition to Intervene at Docket Nos. </w:t>
      </w:r>
      <w:proofErr w:type="gramStart"/>
      <w:r w:rsidRPr="00082B8A">
        <w:rPr>
          <w:sz w:val="24"/>
          <w:szCs w:val="24"/>
        </w:rPr>
        <w:t>R-2016-2528562 and R-2016-2529260.</w:t>
      </w:r>
      <w:proofErr w:type="gramEnd"/>
    </w:p>
    <w:p w:rsidR="00DB50DE" w:rsidRPr="00082B8A" w:rsidRDefault="00DB50DE" w:rsidP="00DB50DE">
      <w:pPr>
        <w:spacing w:line="360" w:lineRule="auto"/>
        <w:ind w:firstLine="720"/>
        <w:rPr>
          <w:sz w:val="24"/>
          <w:szCs w:val="24"/>
        </w:rPr>
      </w:pPr>
    </w:p>
    <w:p w:rsidR="009E3DFE" w:rsidRPr="00082B8A" w:rsidRDefault="009E3DFE" w:rsidP="00DB50DE">
      <w:pPr>
        <w:spacing w:line="360" w:lineRule="auto"/>
        <w:ind w:firstLine="720"/>
        <w:rPr>
          <w:sz w:val="24"/>
          <w:szCs w:val="24"/>
        </w:rPr>
      </w:pPr>
      <w:r w:rsidRPr="00082B8A">
        <w:rPr>
          <w:sz w:val="24"/>
          <w:szCs w:val="24"/>
        </w:rPr>
        <w:t xml:space="preserve">            On April 6, 2016, the parties filed their Prehearing Memoranda in compliance with the Prehearing Conference Order, and OSBA filed a Complaint and Verification in the Peoples Division proceeding at Docket Nos. </w:t>
      </w:r>
      <w:proofErr w:type="gramStart"/>
      <w:r w:rsidRPr="00082B8A">
        <w:rPr>
          <w:sz w:val="24"/>
          <w:szCs w:val="24"/>
        </w:rPr>
        <w:t>C-2016-2538456 and in the Peoples-Equitable Division proceeding at C-2016-2538458.</w:t>
      </w:r>
      <w:proofErr w:type="gramEnd"/>
    </w:p>
    <w:p w:rsidR="009E3DFE" w:rsidRPr="00082B8A" w:rsidRDefault="009E3DFE" w:rsidP="007174BC">
      <w:pPr>
        <w:tabs>
          <w:tab w:val="left" w:pos="1440"/>
        </w:tabs>
        <w:spacing w:line="360" w:lineRule="auto"/>
        <w:rPr>
          <w:sz w:val="24"/>
          <w:szCs w:val="24"/>
        </w:rPr>
      </w:pPr>
      <w:r w:rsidRPr="00082B8A">
        <w:rPr>
          <w:b/>
          <w:sz w:val="24"/>
          <w:szCs w:val="24"/>
        </w:rPr>
        <w:lastRenderedPageBreak/>
        <w:t xml:space="preserve">            </w:t>
      </w:r>
      <w:r w:rsidR="007174BC">
        <w:rPr>
          <w:b/>
          <w:sz w:val="24"/>
          <w:szCs w:val="24"/>
        </w:rPr>
        <w:tab/>
      </w:r>
      <w:r w:rsidRPr="00082B8A">
        <w:rPr>
          <w:sz w:val="24"/>
          <w:szCs w:val="24"/>
        </w:rPr>
        <w:t>A prehearing conference was held on April 7, 2016.  A litigation schedule and discovery rule modifications were established and subsequently memorialized in the undersigned ALJ’s Prehearing Order, dated April 19, 2016.</w:t>
      </w:r>
      <w:r w:rsidRPr="00082B8A">
        <w:rPr>
          <w:b/>
          <w:sz w:val="24"/>
          <w:szCs w:val="24"/>
        </w:rPr>
        <w:t xml:space="preserve">  </w:t>
      </w:r>
      <w:r w:rsidRPr="00082B8A">
        <w:rPr>
          <w:sz w:val="24"/>
          <w:szCs w:val="24"/>
        </w:rPr>
        <w:t xml:space="preserve">The Prehearing Order also:  (1) consolidated the complaints of OCA and OSBA with Peoples Division’s PGC filing at Docket No. R-2016-2528562; (2) consolidated the complaints of OCA and OSBA with Peoples-Equitable Division’s PGC filing at Docket No. R-2016-2529260; (3) consolidated Peoples-Equitable Division’s PGC filing at Docket No. </w:t>
      </w:r>
      <w:proofErr w:type="gramStart"/>
      <w:r w:rsidRPr="00082B8A">
        <w:rPr>
          <w:sz w:val="24"/>
          <w:szCs w:val="24"/>
        </w:rPr>
        <w:t>R-2016-2529260 with Peoples Division’s PGC filing at Docket No.</w:t>
      </w:r>
      <w:proofErr w:type="gramEnd"/>
      <w:r w:rsidRPr="00082B8A">
        <w:rPr>
          <w:sz w:val="24"/>
          <w:szCs w:val="24"/>
        </w:rPr>
        <w:t xml:space="preserve"> R-2016-2528562; and (4) granted PIOGA’s Petition to Intervene.  In addition, the Peoples Division and Peoples-Equitable Division proceedings were consolidated with the Peoples TWP PGC proceeding at Docket No. </w:t>
      </w:r>
      <w:proofErr w:type="gramStart"/>
      <w:r w:rsidRPr="00082B8A">
        <w:rPr>
          <w:sz w:val="24"/>
          <w:szCs w:val="24"/>
        </w:rPr>
        <w:t xml:space="preserve">R-2016-2528557 for purposes of </w:t>
      </w:r>
      <w:r w:rsidR="00C907CE">
        <w:rPr>
          <w:sz w:val="24"/>
          <w:szCs w:val="24"/>
        </w:rPr>
        <w:t>the</w:t>
      </w:r>
      <w:r w:rsidRPr="00082B8A">
        <w:rPr>
          <w:sz w:val="24"/>
          <w:szCs w:val="24"/>
        </w:rPr>
        <w:t xml:space="preserve"> hearing</w:t>
      </w:r>
      <w:r w:rsidR="00C907CE">
        <w:rPr>
          <w:sz w:val="24"/>
          <w:szCs w:val="24"/>
        </w:rPr>
        <w:t xml:space="preserve"> in this proceeding</w:t>
      </w:r>
      <w:r w:rsidRPr="00082B8A">
        <w:rPr>
          <w:sz w:val="24"/>
          <w:szCs w:val="24"/>
        </w:rPr>
        <w:t>.</w:t>
      </w:r>
      <w:proofErr w:type="gramEnd"/>
    </w:p>
    <w:p w:rsidR="009E3DFE" w:rsidRPr="00082B8A" w:rsidRDefault="009E3DFE" w:rsidP="009E3DFE">
      <w:pPr>
        <w:tabs>
          <w:tab w:val="left" w:pos="1440"/>
        </w:tabs>
        <w:spacing w:line="360" w:lineRule="auto"/>
        <w:rPr>
          <w:sz w:val="24"/>
          <w:szCs w:val="24"/>
        </w:rPr>
      </w:pPr>
    </w:p>
    <w:p w:rsidR="009E3DFE" w:rsidRDefault="009E3DFE" w:rsidP="007174BC">
      <w:pPr>
        <w:spacing w:line="360" w:lineRule="auto"/>
        <w:ind w:firstLine="720"/>
        <w:rPr>
          <w:sz w:val="24"/>
          <w:szCs w:val="24"/>
        </w:rPr>
      </w:pPr>
      <w:r w:rsidRPr="00082B8A">
        <w:rPr>
          <w:b/>
          <w:sz w:val="24"/>
          <w:szCs w:val="24"/>
        </w:rPr>
        <w:t xml:space="preserve">            </w:t>
      </w:r>
      <w:r w:rsidRPr="00082B8A">
        <w:rPr>
          <w:sz w:val="24"/>
          <w:szCs w:val="24"/>
        </w:rPr>
        <w:t>On April 12, 2016, a Notice was issued and provided to the Parties of record, scheduling the evidentiary hearing in this proceeding for June 2, 2016, and June 3, 2016.  On April 15, 2016, a corrected Notice was issued and provided to the Parties of record, detailing that the hearings would be held at 10:00 a.m. each day in Harrisburg, Pennsylvania.</w:t>
      </w:r>
    </w:p>
    <w:p w:rsidR="007174BC" w:rsidRPr="00082B8A" w:rsidRDefault="007174BC" w:rsidP="007174BC">
      <w:pPr>
        <w:spacing w:line="360" w:lineRule="auto"/>
        <w:ind w:firstLine="720"/>
        <w:rPr>
          <w:sz w:val="24"/>
          <w:szCs w:val="24"/>
        </w:rPr>
      </w:pPr>
    </w:p>
    <w:p w:rsidR="009E3DFE" w:rsidRDefault="009E3DFE" w:rsidP="007174BC">
      <w:pPr>
        <w:spacing w:line="360" w:lineRule="auto"/>
        <w:ind w:firstLine="720"/>
        <w:rPr>
          <w:sz w:val="24"/>
          <w:szCs w:val="24"/>
        </w:rPr>
      </w:pPr>
      <w:r w:rsidRPr="00082B8A">
        <w:rPr>
          <w:b/>
          <w:sz w:val="24"/>
          <w:szCs w:val="24"/>
        </w:rPr>
        <w:t xml:space="preserve">            </w:t>
      </w:r>
      <w:r w:rsidRPr="00082B8A">
        <w:rPr>
          <w:sz w:val="24"/>
          <w:szCs w:val="24"/>
        </w:rPr>
        <w:t>On May 4, 2016, OCA, I&amp;E, and PIOGA served written direct testimony.</w:t>
      </w:r>
    </w:p>
    <w:p w:rsidR="007174BC" w:rsidRPr="00082B8A" w:rsidRDefault="007174BC" w:rsidP="007174BC">
      <w:pPr>
        <w:spacing w:line="360" w:lineRule="auto"/>
        <w:ind w:firstLine="720"/>
        <w:rPr>
          <w:sz w:val="24"/>
          <w:szCs w:val="24"/>
        </w:rPr>
      </w:pPr>
    </w:p>
    <w:p w:rsidR="009E3DFE" w:rsidRDefault="009E3DFE" w:rsidP="007174BC">
      <w:pPr>
        <w:spacing w:line="360" w:lineRule="auto"/>
        <w:ind w:firstLine="720"/>
        <w:rPr>
          <w:sz w:val="24"/>
          <w:szCs w:val="24"/>
        </w:rPr>
      </w:pPr>
      <w:r w:rsidRPr="00082B8A">
        <w:rPr>
          <w:b/>
          <w:sz w:val="24"/>
          <w:szCs w:val="24"/>
        </w:rPr>
        <w:t xml:space="preserve">            </w:t>
      </w:r>
      <w:r w:rsidRPr="00082B8A">
        <w:rPr>
          <w:sz w:val="24"/>
          <w:szCs w:val="24"/>
        </w:rPr>
        <w:t xml:space="preserve">On May 5, 2016, Daniel </w:t>
      </w:r>
      <w:proofErr w:type="spellStart"/>
      <w:r w:rsidRPr="00082B8A">
        <w:rPr>
          <w:sz w:val="24"/>
          <w:szCs w:val="24"/>
        </w:rPr>
        <w:t>Killmeyer</w:t>
      </w:r>
      <w:proofErr w:type="spellEnd"/>
      <w:r w:rsidRPr="00082B8A">
        <w:rPr>
          <w:sz w:val="24"/>
          <w:szCs w:val="24"/>
        </w:rPr>
        <w:t xml:space="preserve"> </w:t>
      </w:r>
      <w:r w:rsidR="008C25C1">
        <w:rPr>
          <w:sz w:val="24"/>
          <w:szCs w:val="24"/>
        </w:rPr>
        <w:t xml:space="preserve">(Mr. </w:t>
      </w:r>
      <w:proofErr w:type="spellStart"/>
      <w:r w:rsidR="008C25C1">
        <w:rPr>
          <w:sz w:val="24"/>
          <w:szCs w:val="24"/>
        </w:rPr>
        <w:t>Killmeyer</w:t>
      </w:r>
      <w:proofErr w:type="spellEnd"/>
      <w:r w:rsidR="008C25C1">
        <w:rPr>
          <w:sz w:val="24"/>
          <w:szCs w:val="24"/>
        </w:rPr>
        <w:t xml:space="preserve"> or Daniel </w:t>
      </w:r>
      <w:proofErr w:type="spellStart"/>
      <w:r w:rsidR="008C25C1">
        <w:rPr>
          <w:sz w:val="24"/>
          <w:szCs w:val="24"/>
        </w:rPr>
        <w:t>Killmeyer</w:t>
      </w:r>
      <w:proofErr w:type="spellEnd"/>
      <w:r w:rsidR="008C25C1">
        <w:rPr>
          <w:sz w:val="24"/>
          <w:szCs w:val="24"/>
        </w:rPr>
        <w:t xml:space="preserve">) </w:t>
      </w:r>
      <w:r w:rsidRPr="00082B8A">
        <w:rPr>
          <w:sz w:val="24"/>
          <w:szCs w:val="24"/>
        </w:rPr>
        <w:t xml:space="preserve">filed a Formal Complaint at Docket No. </w:t>
      </w:r>
      <w:proofErr w:type="gramStart"/>
      <w:r w:rsidRPr="00082B8A">
        <w:rPr>
          <w:sz w:val="24"/>
          <w:szCs w:val="24"/>
        </w:rPr>
        <w:t>C</w:t>
      </w:r>
      <w:r w:rsidR="004D4B31">
        <w:rPr>
          <w:sz w:val="24"/>
          <w:szCs w:val="24"/>
        </w:rPr>
        <w:noBreakHyphen/>
      </w:r>
      <w:r w:rsidRPr="00082B8A">
        <w:rPr>
          <w:sz w:val="24"/>
          <w:szCs w:val="24"/>
        </w:rPr>
        <w:t>2016-2545048 concerning the Peoples Division PGC proceedings.</w:t>
      </w:r>
      <w:proofErr w:type="gramEnd"/>
      <w:r w:rsidR="008C25C1">
        <w:rPr>
          <w:sz w:val="24"/>
          <w:szCs w:val="24"/>
        </w:rPr>
        <w:t xml:space="preserve">  A copy of the Formal Complaint was not served upon the undersigned presiding officer.  In addition, the Formal Complaint was filed after the Prehearing Order and Hearing Notice were issued.</w:t>
      </w:r>
      <w:r w:rsidRPr="00082B8A">
        <w:rPr>
          <w:sz w:val="24"/>
          <w:szCs w:val="24"/>
        </w:rPr>
        <w:t xml:space="preserve">  </w:t>
      </w:r>
    </w:p>
    <w:p w:rsidR="007174BC" w:rsidRPr="00082B8A" w:rsidRDefault="007174BC" w:rsidP="007174BC">
      <w:pPr>
        <w:spacing w:line="360" w:lineRule="auto"/>
        <w:ind w:firstLine="720"/>
        <w:rPr>
          <w:sz w:val="24"/>
          <w:szCs w:val="24"/>
        </w:rPr>
      </w:pPr>
    </w:p>
    <w:p w:rsidR="009E3DFE" w:rsidRDefault="009E3DFE" w:rsidP="007174BC">
      <w:pPr>
        <w:spacing w:line="360" w:lineRule="auto"/>
        <w:ind w:firstLine="720"/>
        <w:rPr>
          <w:sz w:val="24"/>
          <w:szCs w:val="24"/>
        </w:rPr>
      </w:pPr>
      <w:r w:rsidRPr="00082B8A">
        <w:rPr>
          <w:b/>
          <w:sz w:val="24"/>
          <w:szCs w:val="24"/>
        </w:rPr>
        <w:t xml:space="preserve">            </w:t>
      </w:r>
      <w:r w:rsidRPr="00082B8A">
        <w:rPr>
          <w:sz w:val="24"/>
          <w:szCs w:val="24"/>
        </w:rPr>
        <w:t>On May 9, 2016, OCA served written supplemental direct testimony.</w:t>
      </w:r>
    </w:p>
    <w:p w:rsidR="007174BC" w:rsidRPr="00082B8A" w:rsidRDefault="007174BC" w:rsidP="007174BC">
      <w:pPr>
        <w:spacing w:line="360" w:lineRule="auto"/>
        <w:ind w:firstLine="720"/>
        <w:rPr>
          <w:sz w:val="24"/>
          <w:szCs w:val="24"/>
        </w:rPr>
      </w:pPr>
    </w:p>
    <w:p w:rsidR="009E3DFE" w:rsidRDefault="009E3DFE" w:rsidP="007174BC">
      <w:pPr>
        <w:spacing w:line="360" w:lineRule="auto"/>
        <w:ind w:firstLine="720"/>
        <w:rPr>
          <w:sz w:val="24"/>
          <w:szCs w:val="24"/>
        </w:rPr>
      </w:pPr>
      <w:r w:rsidRPr="00082B8A">
        <w:rPr>
          <w:b/>
          <w:sz w:val="24"/>
          <w:szCs w:val="24"/>
        </w:rPr>
        <w:t xml:space="preserve">            </w:t>
      </w:r>
      <w:r w:rsidRPr="00082B8A">
        <w:rPr>
          <w:sz w:val="24"/>
          <w:szCs w:val="24"/>
        </w:rPr>
        <w:t>On May 23, 2016, the Companies served written rebuttal testimony.</w:t>
      </w:r>
    </w:p>
    <w:p w:rsidR="007174BC" w:rsidRPr="00082B8A" w:rsidRDefault="007174BC" w:rsidP="007174BC">
      <w:pPr>
        <w:spacing w:line="360" w:lineRule="auto"/>
        <w:ind w:firstLine="720"/>
        <w:rPr>
          <w:sz w:val="24"/>
          <w:szCs w:val="24"/>
        </w:rPr>
      </w:pPr>
    </w:p>
    <w:p w:rsidR="009E3DFE" w:rsidRDefault="009E3DFE" w:rsidP="007174BC">
      <w:pPr>
        <w:spacing w:line="360" w:lineRule="auto"/>
        <w:ind w:firstLine="720"/>
        <w:rPr>
          <w:sz w:val="24"/>
          <w:szCs w:val="24"/>
        </w:rPr>
      </w:pPr>
      <w:r w:rsidRPr="00082B8A">
        <w:rPr>
          <w:b/>
          <w:sz w:val="24"/>
          <w:szCs w:val="24"/>
        </w:rPr>
        <w:t xml:space="preserve">            </w:t>
      </w:r>
      <w:r w:rsidRPr="00082B8A">
        <w:rPr>
          <w:sz w:val="24"/>
          <w:szCs w:val="24"/>
        </w:rPr>
        <w:t>On May 27, 2016, counsel for the Companies advised the undersigned presiding officer that the</w:t>
      </w:r>
      <w:r w:rsidR="00C907CE">
        <w:rPr>
          <w:sz w:val="24"/>
          <w:szCs w:val="24"/>
        </w:rPr>
        <w:t xml:space="preserve"> Companies, OCA, OSBA, I&amp;E and PIOGA (</w:t>
      </w:r>
      <w:r w:rsidRPr="00082B8A">
        <w:rPr>
          <w:sz w:val="24"/>
          <w:szCs w:val="24"/>
        </w:rPr>
        <w:t>Joint Petitioners</w:t>
      </w:r>
      <w:r w:rsidR="00C907CE">
        <w:rPr>
          <w:sz w:val="24"/>
          <w:szCs w:val="24"/>
        </w:rPr>
        <w:t xml:space="preserve"> or Settling Parties)</w:t>
      </w:r>
      <w:r w:rsidRPr="00082B8A">
        <w:rPr>
          <w:sz w:val="24"/>
          <w:szCs w:val="24"/>
        </w:rPr>
        <w:t xml:space="preserve"> had reached a Settlement in Principle that resolved all issues in this proceeding, prior to the date </w:t>
      </w:r>
      <w:r w:rsidRPr="00082B8A">
        <w:rPr>
          <w:sz w:val="24"/>
          <w:szCs w:val="24"/>
        </w:rPr>
        <w:lastRenderedPageBreak/>
        <w:t xml:space="preserve">for submission of written </w:t>
      </w:r>
      <w:proofErr w:type="spellStart"/>
      <w:r w:rsidRPr="00082B8A">
        <w:rPr>
          <w:sz w:val="24"/>
          <w:szCs w:val="24"/>
        </w:rPr>
        <w:t>surrebuttal</w:t>
      </w:r>
      <w:proofErr w:type="spellEnd"/>
      <w:r w:rsidRPr="00082B8A">
        <w:rPr>
          <w:sz w:val="24"/>
          <w:szCs w:val="24"/>
        </w:rPr>
        <w:t xml:space="preserve"> testimony.  Accordingly, counsel for the Companies requested that the litigation schedule be suspended.</w:t>
      </w:r>
      <w:r>
        <w:rPr>
          <w:sz w:val="24"/>
          <w:szCs w:val="24"/>
        </w:rPr>
        <w:t xml:space="preserve"> </w:t>
      </w:r>
      <w:r w:rsidR="004D4B31">
        <w:rPr>
          <w:sz w:val="24"/>
          <w:szCs w:val="24"/>
        </w:rPr>
        <w:t xml:space="preserve"> </w:t>
      </w:r>
      <w:r>
        <w:rPr>
          <w:sz w:val="24"/>
          <w:szCs w:val="24"/>
        </w:rPr>
        <w:t>In addition, on May 27, 2016</w:t>
      </w:r>
      <w:r w:rsidRPr="00082B8A">
        <w:rPr>
          <w:sz w:val="24"/>
          <w:szCs w:val="24"/>
        </w:rPr>
        <w:t xml:space="preserve">, a Motion </w:t>
      </w:r>
      <w:proofErr w:type="gramStart"/>
      <w:r w:rsidRPr="00082B8A">
        <w:rPr>
          <w:sz w:val="24"/>
          <w:szCs w:val="24"/>
        </w:rPr>
        <w:t>For</w:t>
      </w:r>
      <w:proofErr w:type="gramEnd"/>
      <w:r w:rsidRPr="00082B8A">
        <w:rPr>
          <w:sz w:val="24"/>
          <w:szCs w:val="24"/>
        </w:rPr>
        <w:t xml:space="preserve"> Protective Order was filed by the Companies.  </w:t>
      </w:r>
    </w:p>
    <w:p w:rsidR="00AA69D2" w:rsidRPr="00082B8A" w:rsidRDefault="00AA69D2" w:rsidP="007174BC">
      <w:pPr>
        <w:spacing w:line="360" w:lineRule="auto"/>
        <w:ind w:firstLine="720"/>
        <w:rPr>
          <w:sz w:val="24"/>
          <w:szCs w:val="24"/>
        </w:rPr>
      </w:pPr>
    </w:p>
    <w:p w:rsidR="009E3DFE" w:rsidRDefault="009E3DFE" w:rsidP="007174BC">
      <w:pPr>
        <w:spacing w:line="360" w:lineRule="auto"/>
        <w:ind w:firstLine="720"/>
        <w:rPr>
          <w:sz w:val="24"/>
          <w:szCs w:val="24"/>
        </w:rPr>
      </w:pPr>
      <w:r w:rsidRPr="00082B8A">
        <w:rPr>
          <w:sz w:val="24"/>
          <w:szCs w:val="24"/>
        </w:rPr>
        <w:tab/>
        <w:t xml:space="preserve">On May 31, 2016, a </w:t>
      </w:r>
      <w:r w:rsidR="00C907CE">
        <w:rPr>
          <w:sz w:val="24"/>
          <w:szCs w:val="24"/>
        </w:rPr>
        <w:t>C</w:t>
      </w:r>
      <w:r w:rsidRPr="00082B8A">
        <w:rPr>
          <w:sz w:val="24"/>
          <w:szCs w:val="24"/>
        </w:rPr>
        <w:t xml:space="preserve">ancellation </w:t>
      </w:r>
      <w:r w:rsidR="00C907CE">
        <w:rPr>
          <w:sz w:val="24"/>
          <w:szCs w:val="24"/>
        </w:rPr>
        <w:t>N</w:t>
      </w:r>
      <w:r w:rsidRPr="00082B8A">
        <w:rPr>
          <w:sz w:val="24"/>
          <w:szCs w:val="24"/>
        </w:rPr>
        <w:t>otice was issued cancelling the evidentiary hearing previously scheduled for June 3, 2016.</w:t>
      </w:r>
    </w:p>
    <w:p w:rsidR="007174BC" w:rsidRPr="00082B8A" w:rsidRDefault="007174BC" w:rsidP="007174BC">
      <w:pPr>
        <w:spacing w:line="360" w:lineRule="auto"/>
        <w:ind w:firstLine="720"/>
        <w:rPr>
          <w:sz w:val="24"/>
          <w:szCs w:val="24"/>
        </w:rPr>
      </w:pPr>
    </w:p>
    <w:p w:rsidR="009E3DFE" w:rsidRDefault="003D6C5D" w:rsidP="007174BC">
      <w:pPr>
        <w:spacing w:line="360" w:lineRule="auto"/>
        <w:ind w:firstLine="720"/>
        <w:rPr>
          <w:sz w:val="24"/>
          <w:szCs w:val="24"/>
        </w:rPr>
      </w:pPr>
      <w:r>
        <w:rPr>
          <w:b/>
          <w:sz w:val="24"/>
          <w:szCs w:val="24"/>
        </w:rPr>
        <w:tab/>
      </w:r>
      <w:r w:rsidR="009E3DFE" w:rsidRPr="00082B8A">
        <w:rPr>
          <w:sz w:val="24"/>
          <w:szCs w:val="24"/>
        </w:rPr>
        <w:t>On June 1, 2016, an Interim Order was entered that suspended the litigation schedule, cancel</w:t>
      </w:r>
      <w:r w:rsidR="00C907CE">
        <w:rPr>
          <w:sz w:val="24"/>
          <w:szCs w:val="24"/>
        </w:rPr>
        <w:t xml:space="preserve">ling </w:t>
      </w:r>
      <w:r w:rsidR="009E3DFE" w:rsidRPr="00082B8A">
        <w:rPr>
          <w:sz w:val="24"/>
          <w:szCs w:val="24"/>
        </w:rPr>
        <w:t xml:space="preserve">the evidentiary hearing scheduled for June 3, 2016, and directed the Joint Petitioners to file their signed </w:t>
      </w:r>
      <w:r w:rsidR="00C907CE">
        <w:rPr>
          <w:sz w:val="24"/>
          <w:szCs w:val="24"/>
        </w:rPr>
        <w:t>S</w:t>
      </w:r>
      <w:r w:rsidR="009E3DFE" w:rsidRPr="00082B8A">
        <w:rPr>
          <w:sz w:val="24"/>
          <w:szCs w:val="24"/>
        </w:rPr>
        <w:t xml:space="preserve">ettlement </w:t>
      </w:r>
      <w:r w:rsidR="00C907CE">
        <w:rPr>
          <w:sz w:val="24"/>
          <w:szCs w:val="24"/>
        </w:rPr>
        <w:t>A</w:t>
      </w:r>
      <w:r w:rsidR="009E3DFE" w:rsidRPr="00082B8A">
        <w:rPr>
          <w:sz w:val="24"/>
          <w:szCs w:val="24"/>
        </w:rPr>
        <w:t xml:space="preserve">greements and </w:t>
      </w:r>
      <w:r w:rsidR="00C907CE">
        <w:rPr>
          <w:sz w:val="24"/>
          <w:szCs w:val="24"/>
        </w:rPr>
        <w:t>S</w:t>
      </w:r>
      <w:r w:rsidR="009E3DFE" w:rsidRPr="00082B8A">
        <w:rPr>
          <w:sz w:val="24"/>
          <w:szCs w:val="24"/>
        </w:rPr>
        <w:t xml:space="preserve">tatements in </w:t>
      </w:r>
      <w:r w:rsidR="00C907CE">
        <w:rPr>
          <w:sz w:val="24"/>
          <w:szCs w:val="24"/>
        </w:rPr>
        <w:t>S</w:t>
      </w:r>
      <w:r w:rsidR="009E3DFE" w:rsidRPr="00082B8A">
        <w:rPr>
          <w:sz w:val="24"/>
          <w:szCs w:val="24"/>
        </w:rPr>
        <w:t xml:space="preserve">upport of </w:t>
      </w:r>
      <w:r w:rsidR="00C907CE">
        <w:rPr>
          <w:sz w:val="24"/>
          <w:szCs w:val="24"/>
        </w:rPr>
        <w:t>S</w:t>
      </w:r>
      <w:r w:rsidR="009E3DFE" w:rsidRPr="00082B8A">
        <w:rPr>
          <w:sz w:val="24"/>
          <w:szCs w:val="24"/>
        </w:rPr>
        <w:t>ettlements no later than June 20, 2016.</w:t>
      </w:r>
    </w:p>
    <w:p w:rsidR="007174BC" w:rsidRPr="00082B8A" w:rsidRDefault="007174BC" w:rsidP="007174BC">
      <w:pPr>
        <w:spacing w:line="360" w:lineRule="auto"/>
        <w:ind w:firstLine="720"/>
        <w:rPr>
          <w:sz w:val="24"/>
          <w:szCs w:val="24"/>
        </w:rPr>
      </w:pPr>
    </w:p>
    <w:p w:rsidR="009E3DFE" w:rsidRDefault="009E3DFE" w:rsidP="007174BC">
      <w:pPr>
        <w:spacing w:line="360" w:lineRule="auto"/>
        <w:ind w:firstLine="720"/>
        <w:rPr>
          <w:sz w:val="24"/>
          <w:szCs w:val="24"/>
        </w:rPr>
      </w:pPr>
      <w:r w:rsidRPr="00082B8A">
        <w:rPr>
          <w:sz w:val="24"/>
          <w:szCs w:val="24"/>
        </w:rPr>
        <w:tab/>
        <w:t xml:space="preserve">A hearing was held on June 2, 2016, at which time the Joint Petitioners’ pre-filed testimony and exhibits were admitted into the record and the undersigned presiding officer granted an oral motion from the Companies to grant their Motion for Protective Order.  Counsel for the Companies, OCA, OSBA, I&amp;E and PIOGA attended the hearing.  Daniel </w:t>
      </w:r>
      <w:proofErr w:type="spellStart"/>
      <w:r w:rsidRPr="00082B8A">
        <w:rPr>
          <w:sz w:val="24"/>
          <w:szCs w:val="24"/>
        </w:rPr>
        <w:t>Killmeyer</w:t>
      </w:r>
      <w:proofErr w:type="spellEnd"/>
      <w:r w:rsidRPr="00082B8A">
        <w:rPr>
          <w:sz w:val="24"/>
          <w:szCs w:val="24"/>
        </w:rPr>
        <w:t xml:space="preserve"> did not attend the hearing.</w:t>
      </w:r>
      <w:r w:rsidRPr="00082B8A">
        <w:rPr>
          <w:sz w:val="24"/>
          <w:szCs w:val="24"/>
          <w:vertAlign w:val="superscript"/>
        </w:rPr>
        <w:footnoteReference w:id="2"/>
      </w:r>
    </w:p>
    <w:p w:rsidR="007174BC" w:rsidRPr="00082B8A" w:rsidRDefault="007174BC" w:rsidP="007174BC">
      <w:pPr>
        <w:spacing w:line="360" w:lineRule="auto"/>
        <w:ind w:firstLine="720"/>
        <w:rPr>
          <w:sz w:val="24"/>
          <w:szCs w:val="24"/>
        </w:rPr>
      </w:pPr>
    </w:p>
    <w:p w:rsidR="009E3DFE" w:rsidRPr="00082B8A" w:rsidRDefault="009E3DFE" w:rsidP="007174BC">
      <w:pPr>
        <w:spacing w:line="360" w:lineRule="auto"/>
        <w:ind w:firstLine="1440"/>
      </w:pPr>
      <w:r w:rsidRPr="00082B8A">
        <w:rPr>
          <w:sz w:val="24"/>
          <w:szCs w:val="24"/>
        </w:rPr>
        <w:t xml:space="preserve">An Interim Order was entered on June 7, 2016 formally granting the Motion for Protective Order.  In addition, on June 7, 2016, an Interim Order was entered which established procedures for the filing of proposed </w:t>
      </w:r>
      <w:r w:rsidR="00C907CE">
        <w:rPr>
          <w:sz w:val="24"/>
          <w:szCs w:val="24"/>
        </w:rPr>
        <w:t>S</w:t>
      </w:r>
      <w:r w:rsidRPr="00082B8A">
        <w:rPr>
          <w:sz w:val="24"/>
          <w:szCs w:val="24"/>
        </w:rPr>
        <w:t xml:space="preserve">ettlement documents and setting a deadline for filing objections to the proposed </w:t>
      </w:r>
      <w:r w:rsidR="00C660DC">
        <w:rPr>
          <w:sz w:val="24"/>
          <w:szCs w:val="24"/>
        </w:rPr>
        <w:t>S</w:t>
      </w:r>
      <w:r w:rsidRPr="00082B8A">
        <w:rPr>
          <w:sz w:val="24"/>
          <w:szCs w:val="24"/>
        </w:rPr>
        <w:t xml:space="preserve">ettlement.  In addition, the Interim Order directed that the Companies serve Daniel </w:t>
      </w:r>
      <w:proofErr w:type="spellStart"/>
      <w:r w:rsidRPr="00082B8A">
        <w:rPr>
          <w:sz w:val="24"/>
          <w:szCs w:val="24"/>
        </w:rPr>
        <w:t>Killmeyer</w:t>
      </w:r>
      <w:proofErr w:type="spellEnd"/>
      <w:r w:rsidRPr="00082B8A">
        <w:rPr>
          <w:sz w:val="24"/>
          <w:szCs w:val="24"/>
        </w:rPr>
        <w:t xml:space="preserve"> with a copy of the proposed </w:t>
      </w:r>
      <w:r w:rsidR="00C660DC">
        <w:rPr>
          <w:sz w:val="24"/>
          <w:szCs w:val="24"/>
        </w:rPr>
        <w:t>S</w:t>
      </w:r>
      <w:r w:rsidRPr="00082B8A">
        <w:rPr>
          <w:sz w:val="24"/>
          <w:szCs w:val="24"/>
        </w:rPr>
        <w:t xml:space="preserve">ettlement agreements and </w:t>
      </w:r>
      <w:r w:rsidR="00C660DC">
        <w:rPr>
          <w:sz w:val="24"/>
          <w:szCs w:val="24"/>
        </w:rPr>
        <w:t>S</w:t>
      </w:r>
      <w:r w:rsidRPr="00082B8A">
        <w:rPr>
          <w:sz w:val="24"/>
          <w:szCs w:val="24"/>
        </w:rPr>
        <w:t xml:space="preserve">tatements in </w:t>
      </w:r>
      <w:r w:rsidR="00C660DC">
        <w:rPr>
          <w:sz w:val="24"/>
          <w:szCs w:val="24"/>
        </w:rPr>
        <w:t>S</w:t>
      </w:r>
      <w:r w:rsidRPr="00082B8A">
        <w:rPr>
          <w:sz w:val="24"/>
          <w:szCs w:val="24"/>
        </w:rPr>
        <w:t xml:space="preserve">upport of </w:t>
      </w:r>
      <w:r w:rsidR="00C660DC">
        <w:rPr>
          <w:sz w:val="24"/>
          <w:szCs w:val="24"/>
        </w:rPr>
        <w:t>S</w:t>
      </w:r>
      <w:r w:rsidRPr="00082B8A">
        <w:rPr>
          <w:sz w:val="24"/>
          <w:szCs w:val="24"/>
        </w:rPr>
        <w:t xml:space="preserve">ettlement not later than June 20, 2016 and file a certificate of service of the </w:t>
      </w:r>
      <w:r w:rsidR="00C660DC">
        <w:rPr>
          <w:sz w:val="24"/>
          <w:szCs w:val="24"/>
        </w:rPr>
        <w:t>S</w:t>
      </w:r>
      <w:r w:rsidRPr="00082B8A">
        <w:rPr>
          <w:sz w:val="24"/>
          <w:szCs w:val="24"/>
        </w:rPr>
        <w:t xml:space="preserve">ettlement documents.  The Interim Order also required that Daniel </w:t>
      </w:r>
      <w:proofErr w:type="spellStart"/>
      <w:r w:rsidRPr="00082B8A">
        <w:rPr>
          <w:sz w:val="24"/>
          <w:szCs w:val="24"/>
        </w:rPr>
        <w:t>Killmeyer</w:t>
      </w:r>
      <w:proofErr w:type="spellEnd"/>
      <w:r w:rsidRPr="00082B8A">
        <w:rPr>
          <w:sz w:val="24"/>
          <w:szCs w:val="24"/>
        </w:rPr>
        <w:t xml:space="preserve"> must file any written objections to the proposed </w:t>
      </w:r>
      <w:r w:rsidR="00BF1D31">
        <w:rPr>
          <w:sz w:val="24"/>
          <w:szCs w:val="24"/>
        </w:rPr>
        <w:t>S</w:t>
      </w:r>
      <w:r w:rsidRPr="00082B8A">
        <w:rPr>
          <w:sz w:val="24"/>
          <w:szCs w:val="24"/>
        </w:rPr>
        <w:t xml:space="preserve">ettlement with the Secretary for the Commission, and serve copies upon the undersigned presiding officer and the parties to this proceeding, not later than 4:00 p.m. on Friday, July 1, 2016.  The Joint Petition and Statements in Support of </w:t>
      </w:r>
      <w:r w:rsidRPr="00082B8A">
        <w:rPr>
          <w:sz w:val="24"/>
          <w:szCs w:val="24"/>
        </w:rPr>
        <w:lastRenderedPageBreak/>
        <w:t xml:space="preserve">Settlement included a certificate of service indicating that the documents were served upon the Parties, including Daniel </w:t>
      </w:r>
      <w:proofErr w:type="spellStart"/>
      <w:r w:rsidRPr="00082B8A">
        <w:rPr>
          <w:sz w:val="24"/>
          <w:szCs w:val="24"/>
        </w:rPr>
        <w:t>Killmeyer</w:t>
      </w:r>
      <w:proofErr w:type="spellEnd"/>
      <w:r w:rsidRPr="00082B8A">
        <w:rPr>
          <w:sz w:val="24"/>
          <w:szCs w:val="24"/>
        </w:rPr>
        <w:t xml:space="preserve"> </w:t>
      </w:r>
      <w:r w:rsidR="00AE2977">
        <w:rPr>
          <w:sz w:val="24"/>
          <w:szCs w:val="24"/>
        </w:rPr>
        <w:t xml:space="preserve">and James Matthew Weber </w:t>
      </w:r>
      <w:r w:rsidRPr="00082B8A">
        <w:rPr>
          <w:sz w:val="24"/>
          <w:szCs w:val="24"/>
        </w:rPr>
        <w:t>on June 20, 2016.</w:t>
      </w:r>
      <w:r w:rsidRPr="00082B8A">
        <w:t xml:space="preserve">  </w:t>
      </w:r>
    </w:p>
    <w:p w:rsidR="009E3DFE" w:rsidRPr="00082B8A" w:rsidRDefault="009E3DFE" w:rsidP="009E3DFE">
      <w:pPr>
        <w:spacing w:line="360" w:lineRule="auto"/>
        <w:rPr>
          <w:b/>
        </w:rPr>
      </w:pPr>
    </w:p>
    <w:p w:rsidR="00AE2977" w:rsidRDefault="003D6C5D" w:rsidP="007174BC">
      <w:pPr>
        <w:spacing w:line="360" w:lineRule="auto"/>
        <w:ind w:firstLine="720"/>
        <w:rPr>
          <w:sz w:val="24"/>
          <w:szCs w:val="24"/>
        </w:rPr>
      </w:pPr>
      <w:r>
        <w:rPr>
          <w:sz w:val="24"/>
          <w:szCs w:val="24"/>
        </w:rPr>
        <w:tab/>
      </w:r>
      <w:r w:rsidR="00AE2977" w:rsidRPr="00AE2977">
        <w:rPr>
          <w:sz w:val="24"/>
          <w:szCs w:val="24"/>
        </w:rPr>
        <w:t>On June 10, 2016, a formal complaint was filed</w:t>
      </w:r>
      <w:r w:rsidR="00C660DC">
        <w:rPr>
          <w:sz w:val="24"/>
          <w:szCs w:val="24"/>
        </w:rPr>
        <w:t xml:space="preserve"> against Peoples Natural Gas Company LLC </w:t>
      </w:r>
      <w:r w:rsidR="00AE2977" w:rsidRPr="00AE2977">
        <w:rPr>
          <w:sz w:val="24"/>
          <w:szCs w:val="24"/>
        </w:rPr>
        <w:t>by James Matthew Weber</w:t>
      </w:r>
      <w:r w:rsidR="00BC1BBF">
        <w:rPr>
          <w:sz w:val="24"/>
          <w:szCs w:val="24"/>
        </w:rPr>
        <w:t xml:space="preserve"> (Mr. Weber or James M. Weber)</w:t>
      </w:r>
      <w:r w:rsidR="00AE2977" w:rsidRPr="00AE2977">
        <w:rPr>
          <w:sz w:val="24"/>
          <w:szCs w:val="24"/>
        </w:rPr>
        <w:t xml:space="preserve"> at Docket No. </w:t>
      </w:r>
      <w:proofErr w:type="gramStart"/>
      <w:r w:rsidR="00AE2977" w:rsidRPr="00AE2977">
        <w:rPr>
          <w:sz w:val="24"/>
          <w:szCs w:val="24"/>
        </w:rPr>
        <w:t>C</w:t>
      </w:r>
      <w:r w:rsidR="00BC1BBF">
        <w:rPr>
          <w:sz w:val="24"/>
          <w:szCs w:val="24"/>
        </w:rPr>
        <w:noBreakHyphen/>
      </w:r>
      <w:r w:rsidR="00AE2977" w:rsidRPr="00AE2977">
        <w:rPr>
          <w:sz w:val="24"/>
          <w:szCs w:val="24"/>
        </w:rPr>
        <w:t>2016-2551077.</w:t>
      </w:r>
      <w:proofErr w:type="gramEnd"/>
      <w:r w:rsidR="00AE2977" w:rsidRPr="00AE2977">
        <w:rPr>
          <w:sz w:val="24"/>
          <w:szCs w:val="24"/>
        </w:rPr>
        <w:t xml:space="preserve">  </w:t>
      </w:r>
      <w:r w:rsidR="00AE2977">
        <w:rPr>
          <w:sz w:val="24"/>
          <w:szCs w:val="24"/>
        </w:rPr>
        <w:t xml:space="preserve">An </w:t>
      </w:r>
      <w:r w:rsidR="00C660DC">
        <w:rPr>
          <w:sz w:val="24"/>
          <w:szCs w:val="24"/>
        </w:rPr>
        <w:t>I</w:t>
      </w:r>
      <w:r w:rsidR="00AE2977">
        <w:rPr>
          <w:sz w:val="24"/>
          <w:szCs w:val="24"/>
        </w:rPr>
        <w:t xml:space="preserve">nterim </w:t>
      </w:r>
      <w:r w:rsidR="00C660DC">
        <w:rPr>
          <w:sz w:val="24"/>
          <w:szCs w:val="24"/>
        </w:rPr>
        <w:t>O</w:t>
      </w:r>
      <w:r w:rsidR="00AE2977">
        <w:rPr>
          <w:sz w:val="24"/>
          <w:szCs w:val="24"/>
        </w:rPr>
        <w:t xml:space="preserve">rder was entered on June 21, 2016 which </w:t>
      </w:r>
      <w:r w:rsidR="00AE2977" w:rsidRPr="00082B8A">
        <w:rPr>
          <w:sz w:val="24"/>
          <w:szCs w:val="24"/>
        </w:rPr>
        <w:t xml:space="preserve">required </w:t>
      </w:r>
      <w:r w:rsidR="00AE2977">
        <w:rPr>
          <w:sz w:val="24"/>
          <w:szCs w:val="24"/>
        </w:rPr>
        <w:t xml:space="preserve">James Matthew Weber to </w:t>
      </w:r>
      <w:r w:rsidR="00AE2977" w:rsidRPr="00082B8A">
        <w:rPr>
          <w:sz w:val="24"/>
          <w:szCs w:val="24"/>
        </w:rPr>
        <w:t xml:space="preserve">file any written objections to the proposed </w:t>
      </w:r>
      <w:r w:rsidR="00C660DC">
        <w:rPr>
          <w:sz w:val="24"/>
          <w:szCs w:val="24"/>
        </w:rPr>
        <w:t>S</w:t>
      </w:r>
      <w:r w:rsidR="00AE2977" w:rsidRPr="00082B8A">
        <w:rPr>
          <w:sz w:val="24"/>
          <w:szCs w:val="24"/>
        </w:rPr>
        <w:t>ettlement with the Secretary for the Commission, and serve copies upon the undersigned presiding officer and the parties to this proceeding, not later than 4:00 p.m. on Friday, July 1, 2016.</w:t>
      </w:r>
      <w:r w:rsidR="00AE2977">
        <w:rPr>
          <w:sz w:val="24"/>
          <w:szCs w:val="24"/>
        </w:rPr>
        <w:t xml:space="preserve">  In addition, the formal complaints filed by Daniel </w:t>
      </w:r>
      <w:proofErr w:type="spellStart"/>
      <w:r w:rsidR="00AE2977">
        <w:rPr>
          <w:sz w:val="24"/>
          <w:szCs w:val="24"/>
        </w:rPr>
        <w:t>Killmeyer</w:t>
      </w:r>
      <w:proofErr w:type="spellEnd"/>
      <w:r w:rsidR="00AE2977">
        <w:rPr>
          <w:sz w:val="24"/>
          <w:szCs w:val="24"/>
        </w:rPr>
        <w:t xml:space="preserve"> and James Matthew Weber were consolidated with the </w:t>
      </w:r>
      <w:r w:rsidR="00AE2977" w:rsidRPr="00082B8A">
        <w:rPr>
          <w:sz w:val="24"/>
          <w:szCs w:val="24"/>
        </w:rPr>
        <w:t>Purchased Gas Cost (PGC</w:t>
      </w:r>
      <w:proofErr w:type="gramStart"/>
      <w:r w:rsidR="00AE2977" w:rsidRPr="00082B8A">
        <w:rPr>
          <w:sz w:val="24"/>
          <w:szCs w:val="24"/>
        </w:rPr>
        <w:t xml:space="preserve">) </w:t>
      </w:r>
      <w:r w:rsidR="00AE2977">
        <w:rPr>
          <w:sz w:val="24"/>
          <w:szCs w:val="24"/>
        </w:rPr>
        <w:t xml:space="preserve"> proceedings</w:t>
      </w:r>
      <w:proofErr w:type="gramEnd"/>
      <w:r w:rsidR="00AE2977">
        <w:rPr>
          <w:sz w:val="24"/>
          <w:szCs w:val="24"/>
        </w:rPr>
        <w:t xml:space="preserve"> at Docket Nos. </w:t>
      </w:r>
      <w:proofErr w:type="gramStart"/>
      <w:r w:rsidR="00AE2977">
        <w:rPr>
          <w:sz w:val="24"/>
          <w:szCs w:val="24"/>
        </w:rPr>
        <w:t>R-2016-2528562 and R-2016-2529260.</w:t>
      </w:r>
      <w:proofErr w:type="gramEnd"/>
    </w:p>
    <w:p w:rsidR="009E3DFE" w:rsidRPr="00AE2977" w:rsidRDefault="00AE2977" w:rsidP="007174BC">
      <w:pPr>
        <w:spacing w:line="360" w:lineRule="auto"/>
        <w:ind w:firstLine="720"/>
        <w:rPr>
          <w:sz w:val="24"/>
          <w:szCs w:val="24"/>
        </w:rPr>
      </w:pPr>
      <w:r>
        <w:rPr>
          <w:sz w:val="24"/>
          <w:szCs w:val="24"/>
        </w:rPr>
        <w:t xml:space="preserve">  </w:t>
      </w:r>
    </w:p>
    <w:p w:rsidR="009E3DFE" w:rsidRDefault="009E3DFE" w:rsidP="007174BC">
      <w:pPr>
        <w:spacing w:line="360" w:lineRule="auto"/>
        <w:rPr>
          <w:sz w:val="24"/>
          <w:szCs w:val="24"/>
        </w:rPr>
      </w:pPr>
      <w:r w:rsidRPr="00082B8A">
        <w:rPr>
          <w:sz w:val="24"/>
          <w:szCs w:val="24"/>
        </w:rPr>
        <w:tab/>
      </w:r>
      <w:r w:rsidRPr="00082B8A">
        <w:rPr>
          <w:sz w:val="24"/>
          <w:szCs w:val="24"/>
        </w:rPr>
        <w:tab/>
        <w:t>On June 20, 2016, Peoples Natural Gas Company LLC, acting on behalf of its Peoples Division and its Equitable Division, I&amp;E, OCA, OSBA and PIOGA, parties to the above-captioned consolidated proceeding, filed a Joint Petition for Settlement of the Section 1307(f) Rate Investigation (Joint Petition, Settlement Petition or Settlement).</w:t>
      </w:r>
      <w:r w:rsidRPr="00082B8A">
        <w:rPr>
          <w:b/>
          <w:sz w:val="24"/>
          <w:szCs w:val="24"/>
        </w:rPr>
        <w:t xml:space="preserve"> </w:t>
      </w:r>
      <w:r w:rsidR="00FA4022">
        <w:rPr>
          <w:b/>
          <w:sz w:val="24"/>
          <w:szCs w:val="24"/>
        </w:rPr>
        <w:t xml:space="preserve"> </w:t>
      </w:r>
      <w:r w:rsidRPr="00082B8A">
        <w:rPr>
          <w:sz w:val="24"/>
          <w:szCs w:val="24"/>
        </w:rPr>
        <w:t xml:space="preserve">The Joint Petition </w:t>
      </w:r>
      <w:r w:rsidRPr="00082B8A">
        <w:rPr>
          <w:spacing w:val="-3"/>
          <w:sz w:val="24"/>
          <w:szCs w:val="24"/>
        </w:rPr>
        <w:t xml:space="preserve">included </w:t>
      </w:r>
      <w:r>
        <w:rPr>
          <w:spacing w:val="-3"/>
          <w:sz w:val="24"/>
          <w:szCs w:val="24"/>
        </w:rPr>
        <w:t xml:space="preserve">the tariff supplements and </w:t>
      </w:r>
      <w:r w:rsidRPr="00082B8A">
        <w:rPr>
          <w:spacing w:val="-3"/>
          <w:sz w:val="24"/>
          <w:szCs w:val="24"/>
        </w:rPr>
        <w:t>Statements in Support</w:t>
      </w:r>
      <w:r>
        <w:rPr>
          <w:spacing w:val="-3"/>
          <w:sz w:val="24"/>
          <w:szCs w:val="24"/>
        </w:rPr>
        <w:t xml:space="preserve"> of Settlement filed by </w:t>
      </w:r>
      <w:r w:rsidRPr="00082B8A">
        <w:rPr>
          <w:spacing w:val="-3"/>
          <w:sz w:val="24"/>
          <w:szCs w:val="24"/>
        </w:rPr>
        <w:t xml:space="preserve">the Companies, I&amp;E, OSBA, OCA and PIOGA, </w:t>
      </w:r>
      <w:r>
        <w:rPr>
          <w:spacing w:val="-3"/>
          <w:sz w:val="24"/>
          <w:szCs w:val="24"/>
        </w:rPr>
        <w:t xml:space="preserve">attached to the Settlement as </w:t>
      </w:r>
      <w:proofErr w:type="spellStart"/>
      <w:r>
        <w:rPr>
          <w:spacing w:val="-3"/>
          <w:sz w:val="24"/>
          <w:szCs w:val="24"/>
        </w:rPr>
        <w:t>Appendicies</w:t>
      </w:r>
      <w:proofErr w:type="spellEnd"/>
      <w:r>
        <w:rPr>
          <w:spacing w:val="-3"/>
          <w:sz w:val="24"/>
          <w:szCs w:val="24"/>
        </w:rPr>
        <w:t xml:space="preserve"> A through F, </w:t>
      </w:r>
      <w:r w:rsidRPr="00082B8A">
        <w:rPr>
          <w:spacing w:val="-3"/>
          <w:sz w:val="24"/>
          <w:szCs w:val="24"/>
        </w:rPr>
        <w:t>which were filed with the Secretary’s Bureau.</w:t>
      </w:r>
      <w:r w:rsidRPr="00082B8A">
        <w:rPr>
          <w:b/>
          <w:spacing w:val="-3"/>
          <w:sz w:val="24"/>
          <w:szCs w:val="24"/>
        </w:rPr>
        <w:t xml:space="preserve">  </w:t>
      </w:r>
      <w:r w:rsidRPr="00082B8A">
        <w:rPr>
          <w:sz w:val="24"/>
          <w:szCs w:val="24"/>
        </w:rPr>
        <w:t xml:space="preserve">  </w:t>
      </w:r>
    </w:p>
    <w:p w:rsidR="007174BC" w:rsidRDefault="007174BC" w:rsidP="007174BC">
      <w:pPr>
        <w:spacing w:line="360" w:lineRule="auto"/>
        <w:rPr>
          <w:sz w:val="24"/>
          <w:szCs w:val="24"/>
        </w:rPr>
      </w:pPr>
    </w:p>
    <w:p w:rsidR="00AF46EA" w:rsidRDefault="00AF46EA" w:rsidP="00AF46EA">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F46EA">
        <w:rPr>
          <w:rFonts w:ascii="Times New Roman" w:hAnsi="Times New Roman" w:cs="Times New Roman"/>
          <w:sz w:val="24"/>
          <w:szCs w:val="24"/>
        </w:rPr>
        <w:t>On June 27, 2016, Peoples filed an Answer of Peoples Natural Gas Company LLC to the Complaint of James Matthew Weber.  Peoples averred,</w:t>
      </w:r>
      <w:r>
        <w:rPr>
          <w:rFonts w:ascii="Times New Roman" w:hAnsi="Times New Roman" w:cs="Times New Roman"/>
          <w:sz w:val="24"/>
          <w:szCs w:val="24"/>
        </w:rPr>
        <w:t xml:space="preserve"> </w:t>
      </w:r>
      <w:r w:rsidRPr="00AF46EA">
        <w:rPr>
          <w:rFonts w:ascii="Times New Roman" w:hAnsi="Times New Roman" w:cs="Times New Roman"/>
          <w:i/>
          <w:sz w:val="24"/>
          <w:szCs w:val="24"/>
        </w:rPr>
        <w:t>inter alia</w:t>
      </w:r>
      <w:r w:rsidRPr="00AF46EA">
        <w:rPr>
          <w:rFonts w:ascii="Times New Roman" w:hAnsi="Times New Roman" w:cs="Times New Roman"/>
          <w:sz w:val="24"/>
          <w:szCs w:val="24"/>
        </w:rPr>
        <w:t>, that the reported distribution system UFG percentage of 1.6% for the 12 months ended August 31, 2015 is in compliance with the Commission’s distribution system UFG target of 4.5% for Year 2 under 52</w:t>
      </w:r>
      <w:r>
        <w:rPr>
          <w:rFonts w:ascii="Times New Roman" w:hAnsi="Times New Roman" w:cs="Times New Roman"/>
          <w:sz w:val="24"/>
          <w:szCs w:val="24"/>
        </w:rPr>
        <w:t> </w:t>
      </w:r>
      <w:proofErr w:type="spellStart"/>
      <w:r w:rsidRPr="00AF46EA">
        <w:rPr>
          <w:rFonts w:ascii="Times New Roman" w:hAnsi="Times New Roman" w:cs="Times New Roman"/>
          <w:sz w:val="24"/>
          <w:szCs w:val="24"/>
        </w:rPr>
        <w:t>Pa.Code</w:t>
      </w:r>
      <w:proofErr w:type="spellEnd"/>
      <w:r w:rsidRPr="00AF46EA">
        <w:rPr>
          <w:rFonts w:ascii="Times New Roman" w:hAnsi="Times New Roman" w:cs="Times New Roman"/>
          <w:sz w:val="24"/>
          <w:szCs w:val="24"/>
        </w:rPr>
        <w:t xml:space="preserve"> </w:t>
      </w:r>
      <w:r>
        <w:rPr>
          <w:rFonts w:ascii="Times New Roman" w:hAnsi="Times New Roman" w:cs="Times New Roman"/>
          <w:sz w:val="24"/>
          <w:szCs w:val="24"/>
        </w:rPr>
        <w:t>§</w:t>
      </w:r>
      <w:r w:rsidRPr="00AF46EA">
        <w:rPr>
          <w:rFonts w:ascii="Times New Roman" w:hAnsi="Times New Roman" w:cs="Times New Roman"/>
          <w:sz w:val="24"/>
          <w:szCs w:val="24"/>
        </w:rPr>
        <w:t xml:space="preserve"> 59.111</w:t>
      </w:r>
      <w:r>
        <w:rPr>
          <w:rFonts w:ascii="Times New Roman" w:hAnsi="Times New Roman" w:cs="Times New Roman"/>
          <w:sz w:val="24"/>
          <w:szCs w:val="24"/>
        </w:rPr>
        <w:t>(c)</w:t>
      </w:r>
      <w:r w:rsidRPr="00AF46EA">
        <w:rPr>
          <w:rFonts w:ascii="Times New Roman" w:hAnsi="Times New Roman" w:cs="Times New Roman"/>
          <w:sz w:val="24"/>
          <w:szCs w:val="24"/>
        </w:rPr>
        <w:t xml:space="preserve">(1).  Peoples also averred that its ongoing UFG mitigation plan has effectively reduced system UFG levels over the past several years.  Peoples requested that the formal complaint filed by Mr. Weber be dismissed.   </w:t>
      </w:r>
    </w:p>
    <w:p w:rsidR="00AF46EA" w:rsidRDefault="00AF46EA" w:rsidP="00AF46EA">
      <w:pPr>
        <w:pStyle w:val="PlainText"/>
        <w:spacing w:line="360" w:lineRule="auto"/>
        <w:rPr>
          <w:rFonts w:ascii="Times New Roman" w:hAnsi="Times New Roman" w:cs="Times New Roman"/>
          <w:sz w:val="24"/>
          <w:szCs w:val="24"/>
        </w:rPr>
      </w:pPr>
    </w:p>
    <w:p w:rsidR="00BC1BBF" w:rsidRDefault="00BC1BBF" w:rsidP="00AF46EA">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June 29, 2016, the undersigned presiding officer received a letter from James</w:t>
      </w:r>
      <w:r w:rsidR="002D12C5">
        <w:rPr>
          <w:rFonts w:ascii="Times New Roman" w:hAnsi="Times New Roman" w:cs="Times New Roman"/>
          <w:sz w:val="24"/>
          <w:szCs w:val="24"/>
        </w:rPr>
        <w:t> </w:t>
      </w:r>
      <w:r>
        <w:rPr>
          <w:rFonts w:ascii="Times New Roman" w:hAnsi="Times New Roman" w:cs="Times New Roman"/>
          <w:sz w:val="24"/>
          <w:szCs w:val="24"/>
        </w:rPr>
        <w:t>M. Weber dated June 27, 2016 indicating that Mr. Weber objects to the proposed settlement in this proceeding.</w:t>
      </w:r>
    </w:p>
    <w:p w:rsidR="009E3DFE" w:rsidRPr="00082B8A" w:rsidRDefault="007174BC" w:rsidP="007174BC">
      <w:pPr>
        <w:spacing w:line="360" w:lineRule="auto"/>
        <w:ind w:firstLine="720"/>
        <w:rPr>
          <w:sz w:val="24"/>
          <w:szCs w:val="24"/>
        </w:rPr>
      </w:pPr>
      <w:r>
        <w:rPr>
          <w:sz w:val="24"/>
          <w:szCs w:val="24"/>
        </w:rPr>
        <w:lastRenderedPageBreak/>
        <w:tab/>
      </w:r>
      <w:r w:rsidR="009E3DFE" w:rsidRPr="00082B8A">
        <w:rPr>
          <w:sz w:val="24"/>
          <w:szCs w:val="24"/>
        </w:rPr>
        <w:t xml:space="preserve">The Joint Petitioners have agreed to a </w:t>
      </w:r>
      <w:r w:rsidR="00C660DC">
        <w:rPr>
          <w:sz w:val="24"/>
          <w:szCs w:val="24"/>
        </w:rPr>
        <w:t>S</w:t>
      </w:r>
      <w:r w:rsidR="009E3DFE" w:rsidRPr="00082B8A">
        <w:rPr>
          <w:sz w:val="24"/>
          <w:szCs w:val="24"/>
        </w:rPr>
        <w:t xml:space="preserve">ettlement of all issues that have been raised in: </w:t>
      </w:r>
      <w:r w:rsidR="009E3DFE" w:rsidRPr="00082B8A">
        <w:rPr>
          <w:b/>
          <w:sz w:val="24"/>
          <w:szCs w:val="24"/>
        </w:rPr>
        <w:t xml:space="preserve"> </w:t>
      </w:r>
      <w:r w:rsidR="009E3DFE" w:rsidRPr="00082B8A">
        <w:rPr>
          <w:sz w:val="24"/>
          <w:szCs w:val="24"/>
        </w:rPr>
        <w:t xml:space="preserve">the Peoples Division’s 2016 </w:t>
      </w:r>
      <w:r w:rsidR="00AE2977">
        <w:rPr>
          <w:sz w:val="24"/>
          <w:szCs w:val="24"/>
        </w:rPr>
        <w:t xml:space="preserve">PGC </w:t>
      </w:r>
      <w:r w:rsidR="009E3DFE" w:rsidRPr="00082B8A">
        <w:rPr>
          <w:sz w:val="24"/>
          <w:szCs w:val="24"/>
        </w:rPr>
        <w:t xml:space="preserve">proceeding at Docket Nos. </w:t>
      </w:r>
      <w:proofErr w:type="gramStart"/>
      <w:r w:rsidR="009E3DFE" w:rsidRPr="00082B8A">
        <w:rPr>
          <w:sz w:val="24"/>
          <w:szCs w:val="24"/>
        </w:rPr>
        <w:t>R-2016-2528562, C</w:t>
      </w:r>
      <w:r>
        <w:rPr>
          <w:sz w:val="24"/>
          <w:szCs w:val="24"/>
        </w:rPr>
        <w:noBreakHyphen/>
      </w:r>
      <w:r w:rsidR="009E3DFE" w:rsidRPr="00082B8A">
        <w:rPr>
          <w:sz w:val="24"/>
          <w:szCs w:val="24"/>
        </w:rPr>
        <w:t>2016-2538456, and C-2016-2536105; and Peoples-Equitable Division’s 2016 PGC proceeding at Docket Nos.</w:t>
      </w:r>
      <w:proofErr w:type="gramEnd"/>
      <w:r w:rsidR="009E3DFE" w:rsidRPr="00082B8A">
        <w:rPr>
          <w:sz w:val="24"/>
          <w:szCs w:val="24"/>
        </w:rPr>
        <w:t xml:space="preserve"> </w:t>
      </w:r>
      <w:proofErr w:type="gramStart"/>
      <w:r w:rsidR="009E3DFE" w:rsidRPr="00082B8A">
        <w:rPr>
          <w:sz w:val="24"/>
          <w:szCs w:val="24"/>
        </w:rPr>
        <w:t>R-2016-2529260, C-2016-2538458, and C-2016-2536106.</w:t>
      </w:r>
      <w:proofErr w:type="gramEnd"/>
      <w:r w:rsidR="009E3DFE" w:rsidRPr="00082B8A">
        <w:rPr>
          <w:sz w:val="24"/>
          <w:szCs w:val="24"/>
        </w:rPr>
        <w:t xml:space="preserve">  The Joint Petitioners </w:t>
      </w:r>
      <w:r w:rsidR="00C660DC">
        <w:rPr>
          <w:sz w:val="24"/>
          <w:szCs w:val="24"/>
        </w:rPr>
        <w:t xml:space="preserve">have </w:t>
      </w:r>
      <w:r w:rsidR="009E3DFE" w:rsidRPr="00082B8A">
        <w:rPr>
          <w:sz w:val="24"/>
          <w:szCs w:val="24"/>
        </w:rPr>
        <w:t>request</w:t>
      </w:r>
      <w:r w:rsidR="00C660DC">
        <w:rPr>
          <w:sz w:val="24"/>
          <w:szCs w:val="24"/>
        </w:rPr>
        <w:t>ed</w:t>
      </w:r>
      <w:r w:rsidR="009E3DFE" w:rsidRPr="00082B8A">
        <w:rPr>
          <w:sz w:val="24"/>
          <w:szCs w:val="24"/>
        </w:rPr>
        <w:t xml:space="preserve"> that the Commission approve the Settlement without modification.  The Joint Petitioners</w:t>
      </w:r>
      <w:r w:rsidR="00C660DC">
        <w:rPr>
          <w:sz w:val="24"/>
          <w:szCs w:val="24"/>
        </w:rPr>
        <w:t xml:space="preserve"> have </w:t>
      </w:r>
      <w:r w:rsidR="009E3DFE" w:rsidRPr="00082B8A">
        <w:rPr>
          <w:sz w:val="24"/>
          <w:szCs w:val="24"/>
        </w:rPr>
        <w:t>further request</w:t>
      </w:r>
      <w:r w:rsidR="00C660DC">
        <w:rPr>
          <w:sz w:val="24"/>
          <w:szCs w:val="24"/>
        </w:rPr>
        <w:t>ed</w:t>
      </w:r>
      <w:r w:rsidR="009E3DFE" w:rsidRPr="00082B8A">
        <w:rPr>
          <w:sz w:val="24"/>
          <w:szCs w:val="24"/>
        </w:rPr>
        <w:t xml:space="preserve"> that the Commission: </w:t>
      </w:r>
      <w:r w:rsidR="00FA4022">
        <w:rPr>
          <w:sz w:val="24"/>
          <w:szCs w:val="24"/>
        </w:rPr>
        <w:t xml:space="preserve"> </w:t>
      </w:r>
      <w:r w:rsidR="009E3DFE" w:rsidRPr="00082B8A">
        <w:rPr>
          <w:sz w:val="24"/>
          <w:szCs w:val="24"/>
        </w:rPr>
        <w:t>(1) authorize the Companies to file the forms of tariff supplements provided as Appendix A to the Settlement, with rates to become effective October 1, 2016, subject to updates and tariff modifications</w:t>
      </w:r>
      <w:r w:rsidR="00C13EE7">
        <w:rPr>
          <w:rStyle w:val="FootnoteReference"/>
          <w:sz w:val="24"/>
          <w:szCs w:val="24"/>
        </w:rPr>
        <w:footnoteReference w:id="3"/>
      </w:r>
      <w:r w:rsidR="009E3DFE" w:rsidRPr="00082B8A">
        <w:rPr>
          <w:sz w:val="24"/>
          <w:szCs w:val="24"/>
        </w:rPr>
        <w:t>; and (2) make all associated findings required by Section 1307(f) and Section 1318 of the Public Utility Code, 66</w:t>
      </w:r>
      <w:r>
        <w:rPr>
          <w:sz w:val="24"/>
          <w:szCs w:val="24"/>
        </w:rPr>
        <w:t> </w:t>
      </w:r>
      <w:proofErr w:type="spellStart"/>
      <w:r w:rsidR="009E3DFE" w:rsidRPr="00082B8A">
        <w:rPr>
          <w:sz w:val="24"/>
          <w:szCs w:val="24"/>
        </w:rPr>
        <w:t>Pa.C.S</w:t>
      </w:r>
      <w:proofErr w:type="spellEnd"/>
      <w:r w:rsidR="009E3DFE" w:rsidRPr="00082B8A">
        <w:rPr>
          <w:sz w:val="24"/>
          <w:szCs w:val="24"/>
        </w:rPr>
        <w:t xml:space="preserve">. </w:t>
      </w:r>
      <w:proofErr w:type="gramStart"/>
      <w:r w:rsidR="009E3DFE" w:rsidRPr="00082B8A">
        <w:rPr>
          <w:sz w:val="24"/>
          <w:szCs w:val="24"/>
        </w:rPr>
        <w:t>§§ 1307(f)</w:t>
      </w:r>
      <w:r w:rsidR="00036CB5">
        <w:rPr>
          <w:sz w:val="24"/>
          <w:szCs w:val="24"/>
        </w:rPr>
        <w:t>,</w:t>
      </w:r>
      <w:r w:rsidR="009E3DFE" w:rsidRPr="00082B8A">
        <w:rPr>
          <w:sz w:val="24"/>
          <w:szCs w:val="24"/>
        </w:rPr>
        <w:t xml:space="preserve"> 1318.</w:t>
      </w:r>
      <w:proofErr w:type="gramEnd"/>
      <w:r w:rsidR="009E3DFE" w:rsidRPr="00082B8A">
        <w:rPr>
          <w:sz w:val="24"/>
          <w:szCs w:val="24"/>
        </w:rPr>
        <w:t xml:space="preserve">  </w:t>
      </w:r>
    </w:p>
    <w:p w:rsidR="00E65FB6" w:rsidRDefault="00E65FB6" w:rsidP="007174BC">
      <w:pPr>
        <w:spacing w:line="360" w:lineRule="auto"/>
        <w:ind w:firstLine="1440"/>
        <w:rPr>
          <w:sz w:val="24"/>
          <w:szCs w:val="24"/>
        </w:rPr>
      </w:pPr>
    </w:p>
    <w:p w:rsidR="009E3DFE" w:rsidRDefault="009E3DFE" w:rsidP="007174BC">
      <w:pPr>
        <w:spacing w:line="360" w:lineRule="auto"/>
        <w:ind w:firstLine="1440"/>
        <w:rPr>
          <w:sz w:val="24"/>
          <w:szCs w:val="24"/>
        </w:rPr>
      </w:pPr>
      <w:r w:rsidRPr="007174BC">
        <w:rPr>
          <w:sz w:val="24"/>
          <w:szCs w:val="24"/>
        </w:rPr>
        <w:t>On July 1, 2016, an interim order was issued which admitted the Joint Petition for Settlement of the Section 1307(f) Rate Investigation into the record along with the attached Appendices marked as A through F, and closed the record in this proceeding.</w:t>
      </w:r>
    </w:p>
    <w:p w:rsidR="00E65FB6" w:rsidRPr="007174BC" w:rsidRDefault="00E65FB6" w:rsidP="007174BC">
      <w:pPr>
        <w:spacing w:line="360" w:lineRule="auto"/>
        <w:ind w:firstLine="1440"/>
        <w:rPr>
          <w:sz w:val="24"/>
          <w:szCs w:val="24"/>
        </w:rPr>
      </w:pPr>
    </w:p>
    <w:p w:rsidR="009E3DFE" w:rsidRPr="00082B8A" w:rsidRDefault="009E3DFE" w:rsidP="007174BC">
      <w:pPr>
        <w:spacing w:line="360" w:lineRule="auto"/>
        <w:ind w:firstLine="1440"/>
        <w:rPr>
          <w:sz w:val="24"/>
          <w:szCs w:val="24"/>
        </w:rPr>
      </w:pPr>
      <w:r w:rsidRPr="00082B8A">
        <w:rPr>
          <w:sz w:val="24"/>
          <w:szCs w:val="24"/>
        </w:rPr>
        <w:t>This Recommended Decision recommends the Settlement Agreement be adopted.</w:t>
      </w:r>
    </w:p>
    <w:p w:rsidR="009E3DFE" w:rsidRDefault="009E3DFE" w:rsidP="009E3DFE">
      <w:pPr>
        <w:spacing w:line="360" w:lineRule="auto"/>
        <w:rPr>
          <w:sz w:val="24"/>
          <w:szCs w:val="24"/>
          <w:u w:val="single"/>
        </w:rPr>
      </w:pPr>
    </w:p>
    <w:p w:rsidR="00CD5C18" w:rsidRDefault="007174BC" w:rsidP="007174BC">
      <w:pPr>
        <w:spacing w:line="360" w:lineRule="auto"/>
        <w:jc w:val="center"/>
        <w:rPr>
          <w:sz w:val="24"/>
          <w:szCs w:val="24"/>
          <w:u w:val="single"/>
        </w:rPr>
      </w:pPr>
      <w:r w:rsidRPr="007174BC">
        <w:rPr>
          <w:sz w:val="24"/>
          <w:szCs w:val="24"/>
        </w:rPr>
        <w:t>II.</w:t>
      </w:r>
      <w:r w:rsidRPr="007174BC">
        <w:rPr>
          <w:sz w:val="24"/>
          <w:szCs w:val="24"/>
        </w:rPr>
        <w:tab/>
      </w:r>
      <w:r w:rsidR="00CD5C18" w:rsidRPr="009E3DFE">
        <w:rPr>
          <w:sz w:val="24"/>
          <w:szCs w:val="24"/>
          <w:u w:val="single"/>
        </w:rPr>
        <w:t>FINDINGS OF FACT</w:t>
      </w:r>
    </w:p>
    <w:p w:rsidR="00643D6F" w:rsidRDefault="00643D6F" w:rsidP="009E3DFE">
      <w:pPr>
        <w:spacing w:line="360" w:lineRule="auto"/>
        <w:rPr>
          <w:sz w:val="24"/>
          <w:szCs w:val="24"/>
          <w:u w:val="single"/>
        </w:rPr>
      </w:pPr>
    </w:p>
    <w:p w:rsidR="00643D6F" w:rsidRPr="00082B8A" w:rsidRDefault="00643D6F" w:rsidP="00643D6F">
      <w:pPr>
        <w:spacing w:line="360" w:lineRule="auto"/>
        <w:ind w:firstLine="1440"/>
        <w:rPr>
          <w:sz w:val="24"/>
          <w:szCs w:val="24"/>
        </w:rPr>
      </w:pPr>
      <w:r w:rsidRPr="00082B8A">
        <w:rPr>
          <w:sz w:val="24"/>
          <w:szCs w:val="24"/>
        </w:rPr>
        <w:t xml:space="preserve">The Settling Parties </w:t>
      </w:r>
      <w:r w:rsidR="00036CB5">
        <w:rPr>
          <w:sz w:val="24"/>
          <w:szCs w:val="24"/>
        </w:rPr>
        <w:t xml:space="preserve">have </w:t>
      </w:r>
      <w:r w:rsidRPr="00082B8A">
        <w:rPr>
          <w:sz w:val="24"/>
          <w:szCs w:val="24"/>
        </w:rPr>
        <w:t xml:space="preserve">agreed to several proposed findings of fact with citations to the record of admitted evidence.  These proposed findings provide the information necessary to support the </w:t>
      </w:r>
      <w:r w:rsidR="00036CB5">
        <w:rPr>
          <w:sz w:val="24"/>
          <w:szCs w:val="24"/>
        </w:rPr>
        <w:t>f</w:t>
      </w:r>
      <w:r w:rsidRPr="00082B8A">
        <w:rPr>
          <w:sz w:val="24"/>
          <w:szCs w:val="24"/>
        </w:rPr>
        <w:t xml:space="preserve">indings of </w:t>
      </w:r>
      <w:r w:rsidR="00036CB5">
        <w:rPr>
          <w:sz w:val="24"/>
          <w:szCs w:val="24"/>
        </w:rPr>
        <w:t>f</w:t>
      </w:r>
      <w:r w:rsidRPr="00082B8A">
        <w:rPr>
          <w:sz w:val="24"/>
          <w:szCs w:val="24"/>
        </w:rPr>
        <w:t>act set forth below.</w:t>
      </w:r>
    </w:p>
    <w:p w:rsidR="00020F31" w:rsidRDefault="00020F31" w:rsidP="009E3DFE">
      <w:pPr>
        <w:spacing w:line="360" w:lineRule="auto"/>
        <w:rPr>
          <w:sz w:val="24"/>
          <w:szCs w:val="24"/>
          <w:u w:val="single"/>
        </w:rPr>
      </w:pPr>
    </w:p>
    <w:p w:rsidR="00020F31" w:rsidRDefault="00020F31" w:rsidP="007174BC">
      <w:pPr>
        <w:pStyle w:val="ListNumber"/>
        <w:numPr>
          <w:ilvl w:val="0"/>
          <w:numId w:val="13"/>
        </w:numPr>
        <w:spacing w:line="360" w:lineRule="auto"/>
        <w:ind w:firstLine="1440"/>
      </w:pPr>
      <w:proofErr w:type="gramStart"/>
      <w:r w:rsidRPr="00A12C87">
        <w:t>Peoples pursues</w:t>
      </w:r>
      <w:proofErr w:type="gramEnd"/>
      <w:r w:rsidRPr="00A12C87">
        <w:t xml:space="preserve"> its goal of least cost reliable service through a combination of local and interstate assets and supplies.  The local assets are Peoples’ on-system storage facilities and a gathering system, which have allowed Peoples to enhance the deliverability of local natural gas supplies produced in Pennsylvania and purchased by Peoples from Pennsylvania producers.  (Peoples Statement No. 2, p. 5</w:t>
      </w:r>
      <w:r w:rsidR="00643D6F" w:rsidRPr="00A12C87">
        <w:t>; Settlement Petition ¶ 40</w:t>
      </w:r>
      <w:r w:rsidRPr="00A12C87">
        <w:t xml:space="preserve">.) </w:t>
      </w:r>
    </w:p>
    <w:p w:rsidR="00020F31" w:rsidRDefault="00020F31" w:rsidP="007174BC">
      <w:pPr>
        <w:pStyle w:val="ListNumber"/>
        <w:numPr>
          <w:ilvl w:val="0"/>
          <w:numId w:val="13"/>
        </w:numPr>
        <w:spacing w:line="360" w:lineRule="auto"/>
        <w:ind w:firstLine="1440"/>
      </w:pPr>
      <w:r w:rsidRPr="00A12C87">
        <w:lastRenderedPageBreak/>
        <w:t xml:space="preserve">Peoples’ interstate assets consist of a portfolio of transportation and storage services that Peoples has contracted for with various Federal Energy Regulatory Commission (FERC)-regulated pipelines, including Dominion Transmission, Inc. (DTI), Texas Eastern Transmission LP (TETCO), </w:t>
      </w:r>
      <w:proofErr w:type="spellStart"/>
      <w:r w:rsidRPr="00A12C87">
        <w:t>Equitrans</w:t>
      </w:r>
      <w:proofErr w:type="spellEnd"/>
      <w:r w:rsidRPr="00A12C87">
        <w:t xml:space="preserve"> L.P. (</w:t>
      </w:r>
      <w:proofErr w:type="spellStart"/>
      <w:r w:rsidRPr="00A12C87">
        <w:t>Equitrans</w:t>
      </w:r>
      <w:proofErr w:type="spellEnd"/>
      <w:r w:rsidRPr="00A12C87">
        <w:t>), and National Fuel Gas Supply Corporation (NFGS).  Those assets give Peoples access to a variety of locations at which it can receive gas supplies that are produced upstream of the Peoples system.  The interstate storage assets allow Peoples to use its upstream assets more efficiently, mitigate the effects of price swings in the natural gas market, and enhance the deliverability of Peoples’ interstate natural gas supplies during periods of peak demand.  Peoples’ interstate supplies are primarily EQT Energy and other Appalachian-produced gas that it purchases from suppliers upstream of the Peoples system for delivery into various receipt points of the interstate pipelines and occasionally purchases on a delivered-to-the-city gate basis.  (Peoples Statement No. 2, pp. 5-6</w:t>
      </w:r>
      <w:r w:rsidR="00643D6F" w:rsidRPr="00A12C87">
        <w:t>; Settlement Petition ¶ 41</w:t>
      </w:r>
      <w:r w:rsidRPr="00A12C87">
        <w:t xml:space="preserve">.) </w:t>
      </w:r>
    </w:p>
    <w:p w:rsidR="00260538" w:rsidRDefault="00260538" w:rsidP="00260538">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Over the 1307(f)-2016 reconciliation period, Peoples’ natural gas capacity portfolio included: (1) interstate pipeline transportation and storage services from </w:t>
      </w:r>
      <w:proofErr w:type="spellStart"/>
      <w:r w:rsidRPr="00A12C87">
        <w:t>Equitrans</w:t>
      </w:r>
      <w:proofErr w:type="spellEnd"/>
      <w:r w:rsidRPr="00A12C87">
        <w:t>; (2) interstate pipeline transportation and storage services from DTI; (3) interstate pipeline transportation service from TETCO; and (4) interstate pipeline transportation and storage services from NFGS.  In addition, Peoples purchases winter-only firm city-gate delivered supply via Tennessee and winter-only firm city-gate delivered supply via TETCO that, although being gas purchase arrangements, Peoples treats the same as interstate capacity since Peoples requires deliveries at the respective delivery points and, therefore, would pursue firm capacity at these points if firm city-gate delivered supply was not available.  (Peoples Statement No. 2, pp. 16-17</w:t>
      </w:r>
      <w:r w:rsidR="00643D6F" w:rsidRPr="00A12C87">
        <w:t>; Settlement Petition ¶ 42</w:t>
      </w:r>
      <w:r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Beginning December 17, 2013, when the acquisition of Equitable Gas Company (Equitable) closed, </w:t>
      </w:r>
      <w:proofErr w:type="spellStart"/>
      <w:r w:rsidRPr="00A12C87">
        <w:t>Equitrans</w:t>
      </w:r>
      <w:proofErr w:type="spellEnd"/>
      <w:r w:rsidRPr="00A12C87">
        <w:t xml:space="preserve"> began providing firm transportation and firm storage services from </w:t>
      </w:r>
      <w:proofErr w:type="spellStart"/>
      <w:r w:rsidRPr="00A12C87">
        <w:t>Equitrans</w:t>
      </w:r>
      <w:proofErr w:type="spellEnd"/>
      <w:r w:rsidRPr="00A12C87">
        <w:t xml:space="preserve">’ </w:t>
      </w:r>
      <w:r w:rsidR="00C660DC">
        <w:t>Allegheny Valley Connector (</w:t>
      </w:r>
      <w:r w:rsidRPr="00A12C87">
        <w:t>AVC</w:t>
      </w:r>
      <w:r w:rsidR="00C660DC">
        <w:t>)</w:t>
      </w:r>
      <w:r w:rsidRPr="00A12C87">
        <w:t xml:space="preserve"> to the Peoples Division.  The AVC services consist of transportation service under Rate Schedule FTS, no-notice transportation service under Rate Schedule FTSS, and storage service under Rate Schedule GSS.  The FTSS and GSS service agreements provide Peoples and its customers with access to AVC storage </w:t>
      </w:r>
      <w:r w:rsidRPr="00A12C87">
        <w:lastRenderedPageBreak/>
        <w:t xml:space="preserve">capacity of 8.6 </w:t>
      </w:r>
      <w:proofErr w:type="spellStart"/>
      <w:r w:rsidRPr="00A12C87">
        <w:t>MMDth</w:t>
      </w:r>
      <w:proofErr w:type="spellEnd"/>
      <w:r w:rsidRPr="00A12C87">
        <w:t xml:space="preserve"> annually and maximum deliverability of 200,000 </w:t>
      </w:r>
      <w:proofErr w:type="spellStart"/>
      <w:r w:rsidRPr="00A12C87">
        <w:t>Dth</w:t>
      </w:r>
      <w:proofErr w:type="spellEnd"/>
      <w:r w:rsidRPr="00A12C87">
        <w:t xml:space="preserve">/day.  The FTS service agreement provides Peoples and its customers up to 251,700 </w:t>
      </w:r>
      <w:proofErr w:type="spellStart"/>
      <w:r w:rsidRPr="00A12C87">
        <w:t>Dth</w:t>
      </w:r>
      <w:proofErr w:type="spellEnd"/>
      <w:r w:rsidRPr="00A12C87">
        <w:t xml:space="preserve">/day of firm transportation capacity.  These service agreements provide for a total of 451,700 </w:t>
      </w:r>
      <w:proofErr w:type="spellStart"/>
      <w:r w:rsidRPr="00A12C87">
        <w:t>Dth</w:t>
      </w:r>
      <w:proofErr w:type="spellEnd"/>
      <w:r w:rsidRPr="00A12C87">
        <w:t>/day of firm capacity on the AVC system.  (Peoples Statement No. 2, p. 20</w:t>
      </w:r>
      <w:r w:rsidR="00643D6F" w:rsidRPr="00A12C87">
        <w:t>; Settlement Petition ¶ 43</w:t>
      </w:r>
      <w:r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Beginning April 1, 2014, </w:t>
      </w:r>
      <w:proofErr w:type="spellStart"/>
      <w:r w:rsidRPr="00A12C87">
        <w:t>Equitrans</w:t>
      </w:r>
      <w:proofErr w:type="spellEnd"/>
      <w:r w:rsidRPr="00A12C87">
        <w:t xml:space="preserve"> began providing the Peoples Division with firm transportation service </w:t>
      </w:r>
      <w:r w:rsidR="00C660DC">
        <w:t xml:space="preserve">(FTS) </w:t>
      </w:r>
      <w:r w:rsidRPr="00A12C87">
        <w:t xml:space="preserve">under Rate Schedule FTS from </w:t>
      </w:r>
      <w:proofErr w:type="spellStart"/>
      <w:r w:rsidRPr="00A12C87">
        <w:t>Equitrans</w:t>
      </w:r>
      <w:proofErr w:type="spellEnd"/>
      <w:r w:rsidRPr="00A12C87">
        <w:t xml:space="preserve">’ Sunrise and Mainline systems.  This firm capacity replaces 251,700 </w:t>
      </w:r>
      <w:proofErr w:type="spellStart"/>
      <w:r w:rsidRPr="00A12C87">
        <w:t>Dth</w:t>
      </w:r>
      <w:proofErr w:type="spellEnd"/>
      <w:r w:rsidRPr="00A12C87">
        <w:t xml:space="preserve"> per day of firm transportation and storage capacity previously provided by DTI under service agreements that expired March 31, 2014.  Gas transported under this agreement is sourced from receipt points on the Sunrise and Mainline systems and delivered to </w:t>
      </w:r>
      <w:proofErr w:type="spellStart"/>
      <w:r w:rsidRPr="00A12C87">
        <w:t>Equitrans</w:t>
      </w:r>
      <w:proofErr w:type="spellEnd"/>
      <w:r w:rsidRPr="00A12C87">
        <w:t xml:space="preserve">’ Ginger Hill station, which is the point of interconnection between </w:t>
      </w:r>
      <w:proofErr w:type="spellStart"/>
      <w:r w:rsidRPr="00A12C87">
        <w:t>Equitrans</w:t>
      </w:r>
      <w:proofErr w:type="spellEnd"/>
      <w:r w:rsidRPr="00A12C87">
        <w:t xml:space="preserve">’ Mainline and Allegheny Valley Connector (AVC) systems.  The capacity is seasonal, and the maximum daily quantity is 251,700 </w:t>
      </w:r>
      <w:proofErr w:type="spellStart"/>
      <w:r w:rsidRPr="00A12C87">
        <w:t>Dth</w:t>
      </w:r>
      <w:proofErr w:type="spellEnd"/>
      <w:r w:rsidRPr="00A12C87">
        <w:t xml:space="preserve"> during November through March and 62,000 </w:t>
      </w:r>
      <w:proofErr w:type="spellStart"/>
      <w:r w:rsidRPr="00A12C87">
        <w:t>Dth</w:t>
      </w:r>
      <w:proofErr w:type="spellEnd"/>
      <w:r w:rsidRPr="00A12C87">
        <w:t xml:space="preserve"> during April through October.  (Peoples Statement No. 2, p. 20</w:t>
      </w:r>
      <w:r w:rsidR="00643D6F" w:rsidRPr="00A12C87">
        <w:t>; Settlement Petition ¶ 44</w:t>
      </w:r>
      <w:r w:rsidRPr="00A12C87">
        <w:t xml:space="preserve">.) </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In addition to the </w:t>
      </w:r>
      <w:proofErr w:type="spellStart"/>
      <w:r w:rsidRPr="00A12C87">
        <w:t>Equitrans</w:t>
      </w:r>
      <w:proofErr w:type="spellEnd"/>
      <w:r w:rsidRPr="00A12C87">
        <w:t xml:space="preserve"> services used during the reconciliation period, Peoples has proposed for the projected period to acquire additional </w:t>
      </w:r>
      <w:proofErr w:type="spellStart"/>
      <w:r w:rsidRPr="00A12C87">
        <w:t>Equitrans</w:t>
      </w:r>
      <w:proofErr w:type="spellEnd"/>
      <w:r w:rsidRPr="00A12C87">
        <w:t xml:space="preserve"> services for a one-year period.  These services would be the </w:t>
      </w:r>
      <w:proofErr w:type="spellStart"/>
      <w:r w:rsidRPr="00A12C87">
        <w:t>Equitrans</w:t>
      </w:r>
      <w:proofErr w:type="spellEnd"/>
      <w:r w:rsidRPr="00A12C87">
        <w:t xml:space="preserve"> storage service that Peoples TWP currently has under contract with </w:t>
      </w:r>
      <w:proofErr w:type="spellStart"/>
      <w:r w:rsidRPr="00A12C87">
        <w:t>Equitrans</w:t>
      </w:r>
      <w:proofErr w:type="spellEnd"/>
      <w:r w:rsidRPr="00A12C87">
        <w:t xml:space="preserve">, which consist of 545,455 </w:t>
      </w:r>
      <w:proofErr w:type="spellStart"/>
      <w:r w:rsidRPr="00A12C87">
        <w:t>Dth</w:t>
      </w:r>
      <w:proofErr w:type="spellEnd"/>
      <w:r w:rsidRPr="00A12C87">
        <w:t xml:space="preserve"> of storage capacity under</w:t>
      </w:r>
      <w:r w:rsidR="00C660DC">
        <w:t xml:space="preserve"> General Storage Services</w:t>
      </w:r>
      <w:r w:rsidRPr="00A12C87">
        <w:t xml:space="preserve"> Rate</w:t>
      </w:r>
      <w:r w:rsidR="00C660DC">
        <w:t xml:space="preserve"> (</w:t>
      </w:r>
      <w:r w:rsidRPr="00A12C87">
        <w:t>GSS</w:t>
      </w:r>
      <w:r w:rsidR="00C660DC">
        <w:t>)</w:t>
      </w:r>
      <w:r w:rsidRPr="00A12C87">
        <w:t xml:space="preserve">, 10,000 </w:t>
      </w:r>
      <w:proofErr w:type="spellStart"/>
      <w:r w:rsidRPr="00A12C87">
        <w:t>Dth</w:t>
      </w:r>
      <w:proofErr w:type="spellEnd"/>
      <w:r w:rsidRPr="00A12C87">
        <w:t xml:space="preserve">/day of storage deliverability, and 10,000 </w:t>
      </w:r>
      <w:proofErr w:type="spellStart"/>
      <w:r w:rsidRPr="00A12C87">
        <w:t>Dth</w:t>
      </w:r>
      <w:proofErr w:type="spellEnd"/>
      <w:r w:rsidRPr="00A12C87">
        <w:t xml:space="preserve">/day of firm transportation under Rate FTS.  </w:t>
      </w:r>
      <w:proofErr w:type="gramStart"/>
      <w:r w:rsidRPr="00A12C87">
        <w:t>Peoples has</w:t>
      </w:r>
      <w:proofErr w:type="gramEnd"/>
      <w:r w:rsidRPr="00A12C87">
        <w:t xml:space="preserve"> proposed to acquire the service by capacity release from Peoples TWP at the same rates that Peoples TWP pays for the services.  (Peoples Statement No. 2, p. 21</w:t>
      </w:r>
      <w:r w:rsidR="00643D6F" w:rsidRPr="00A12C87">
        <w:t>; Settlement Petition ¶ 45</w:t>
      </w:r>
      <w:r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DTI provides service to Peoples under four service agreements and three rate schedules.  DTI provides year-round</w:t>
      </w:r>
      <w:r w:rsidR="00C660DC">
        <w:t xml:space="preserve"> Firm No Notice Transportation Service </w:t>
      </w:r>
      <w:r w:rsidRPr="00A12C87">
        <w:t xml:space="preserve">Rate </w:t>
      </w:r>
      <w:r w:rsidR="00C660DC">
        <w:t>(</w:t>
      </w:r>
      <w:r w:rsidRPr="00A12C87">
        <w:t>FTNN</w:t>
      </w:r>
      <w:r w:rsidR="00C660DC">
        <w:t>)</w:t>
      </w:r>
      <w:r w:rsidRPr="00A12C87">
        <w:t xml:space="preserve"> at 40,000 </w:t>
      </w:r>
      <w:proofErr w:type="spellStart"/>
      <w:r w:rsidRPr="00A12C87">
        <w:t>Dth</w:t>
      </w:r>
      <w:proofErr w:type="spellEnd"/>
      <w:r w:rsidRPr="00A12C87">
        <w:t xml:space="preserve">/day, and Rate GSS storage service under two separate service agreements, one with capacity of 4.6 </w:t>
      </w:r>
      <w:proofErr w:type="spellStart"/>
      <w:r w:rsidRPr="00A12C87">
        <w:t>MMDth</w:t>
      </w:r>
      <w:proofErr w:type="spellEnd"/>
      <w:r w:rsidRPr="00A12C87">
        <w:t xml:space="preserve"> annually and maximum deliverability of 40,000 </w:t>
      </w:r>
      <w:proofErr w:type="spellStart"/>
      <w:r w:rsidRPr="00A12C87">
        <w:t>Dth</w:t>
      </w:r>
      <w:proofErr w:type="spellEnd"/>
      <w:r w:rsidRPr="00A12C87">
        <w:t xml:space="preserve">/day and the other with capacity of 2.48 </w:t>
      </w:r>
      <w:proofErr w:type="spellStart"/>
      <w:r w:rsidRPr="00A12C87">
        <w:t>MMDth</w:t>
      </w:r>
      <w:proofErr w:type="spellEnd"/>
      <w:r w:rsidRPr="00A12C87">
        <w:t xml:space="preserve"> annually and up to 40,000 </w:t>
      </w:r>
      <w:proofErr w:type="spellStart"/>
      <w:r w:rsidRPr="00A12C87">
        <w:t>Dth</w:t>
      </w:r>
      <w:proofErr w:type="spellEnd"/>
      <w:r w:rsidRPr="00A12C87">
        <w:t>/day of deliverability.  (Peoples Statement No. 2, p. 23</w:t>
      </w:r>
      <w:r w:rsidR="00643D6F" w:rsidRPr="00A12C87">
        <w:t>; Settlement Petition ¶ 46</w:t>
      </w:r>
      <w:r w:rsidRPr="00A12C87">
        <w:t>.)</w:t>
      </w:r>
    </w:p>
    <w:p w:rsidR="00020F31" w:rsidRDefault="00020F31" w:rsidP="007174BC">
      <w:pPr>
        <w:pStyle w:val="ListNumber"/>
        <w:numPr>
          <w:ilvl w:val="0"/>
          <w:numId w:val="13"/>
        </w:numPr>
        <w:spacing w:line="360" w:lineRule="auto"/>
        <w:ind w:firstLine="1440"/>
      </w:pPr>
      <w:r w:rsidRPr="00A12C87">
        <w:lastRenderedPageBreak/>
        <w:t xml:space="preserve">TETCO provides Peoples with firm transportation service under rates set by FERC.  </w:t>
      </w:r>
      <w:proofErr w:type="gramStart"/>
      <w:r w:rsidRPr="00A12C87">
        <w:t>Peoples requires</w:t>
      </w:r>
      <w:proofErr w:type="gramEnd"/>
      <w:r w:rsidRPr="00A12C87">
        <w:t xml:space="preserve"> deliveries of gas at Ebensburg, Claysburg and Rockwood, in the eastern portion of its service territory.  TETCO is the only pipeline that physically interconnects with those three receipt points.  </w:t>
      </w:r>
      <w:proofErr w:type="gramStart"/>
      <w:r w:rsidRPr="00A12C87">
        <w:t>Peoples</w:t>
      </w:r>
      <w:proofErr w:type="gramEnd"/>
      <w:r w:rsidRPr="00A12C87">
        <w:t xml:space="preserve"> purchases gas on TETCO and moves it over TETCO’s facilities to the Claysburg and Ebensburg delivery points where it is needed.  In prior years, Peoples has contracted for firm delivered-to-Peoples supply arrangements to meet its needs from the TETCO system at the Rockwood delivery point.  TETCO also provides an operational balancing agreement that helps Peoples manage the unanticipated swings in demand at its physical interconnections with TETCO.  (Peoples Statement No. 2, pp. 24-25</w:t>
      </w:r>
      <w:r w:rsidR="00643D6F" w:rsidRPr="00A12C87">
        <w:t>; Settlement Petition ¶ 47</w:t>
      </w:r>
      <w:r w:rsidRPr="00A12C87">
        <w:t xml:space="preserve">.) </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Peoples had 15,650 </w:t>
      </w:r>
      <w:proofErr w:type="spellStart"/>
      <w:r w:rsidRPr="00A12C87">
        <w:t>Dth</w:t>
      </w:r>
      <w:proofErr w:type="spellEnd"/>
      <w:r w:rsidRPr="00A12C87">
        <w:t>/day of FT-1 firm transportation service under contract from TETCO for the entire 1307(f)-2016 reconciliation period.  These same contract quantities are in place for the 1307(f)-2016 projected period.  Gas supplies under this transportation contract, which expires on April 30, 2019, are delivered by TETCO at Peoples’ Ebensburg delivery point.  (Peoples Statement No. 2, p. 25</w:t>
      </w:r>
      <w:r w:rsidR="00643D6F" w:rsidRPr="00A12C87">
        <w:t>; Settlement Petition ¶ 48</w:t>
      </w:r>
      <w:r w:rsidRPr="00A12C87">
        <w:t>.)</w:t>
      </w:r>
    </w:p>
    <w:p w:rsidR="005D32E9"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Pursuant to the </w:t>
      </w:r>
      <w:r w:rsidR="00BF1D31">
        <w:t>S</w:t>
      </w:r>
      <w:r w:rsidRPr="00A12C87">
        <w:t xml:space="preserve">ettlement approved in Peoples’ 1307(f)-2015 proceeding, Peoples issued RFPs for firm delivered gas supply for up to 25,000 </w:t>
      </w:r>
      <w:proofErr w:type="spellStart"/>
      <w:r w:rsidRPr="00A12C87">
        <w:t>Dth</w:t>
      </w:r>
      <w:proofErr w:type="spellEnd"/>
      <w:r w:rsidRPr="00A12C87">
        <w:t xml:space="preserve">/day at Peoples’ Ebensburg delivery point on TETCO, while also requesting alternative proposals for non-recallable release of capacity from TETCO’s market zone M-2 to Peoples’ Ebensburg delivery point in zone M-3.  Peoples received three response proposals to the RFPs.  The Company accepted two of the proposals and entered into agreements, one for up to 12,000 </w:t>
      </w:r>
      <w:proofErr w:type="spellStart"/>
      <w:r w:rsidRPr="00A12C87">
        <w:t>Dth</w:t>
      </w:r>
      <w:proofErr w:type="spellEnd"/>
      <w:r w:rsidRPr="00A12C87">
        <w:t xml:space="preserve">/day and the other for up to 15,000 </w:t>
      </w:r>
      <w:proofErr w:type="spellStart"/>
      <w:r w:rsidRPr="00A12C87">
        <w:t>Dth</w:t>
      </w:r>
      <w:proofErr w:type="spellEnd"/>
      <w:r w:rsidRPr="00A12C87">
        <w:t>/day.  Comparing the two agreements, the former has a purchase price equal to Gas Daily’s M-3 index price and also has a reservation fee of $1,800/month.  The latter has no reservation fee but carries a premium to the index price when gas is actually purchased.  (Peoples Statement No. 2, p. 27</w:t>
      </w:r>
      <w:r w:rsidR="00643D6F" w:rsidRPr="00A12C87">
        <w:t>; Settlement Petition ¶ 4</w:t>
      </w:r>
      <w:r w:rsidR="00CB04AF" w:rsidRPr="00A12C87">
        <w:t>9</w:t>
      </w:r>
      <w:r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The Company has issued another RFP for firm delivered supply on TETCO of up to 25,000 </w:t>
      </w:r>
      <w:proofErr w:type="spellStart"/>
      <w:r w:rsidRPr="00A12C87">
        <w:t>Dth</w:t>
      </w:r>
      <w:proofErr w:type="spellEnd"/>
      <w:r w:rsidRPr="00A12C87">
        <w:t xml:space="preserve">/day that will provide for delivery of natural gas on a firm basis at the same TETCO delivery point as the previous year’s agreement for the winter period </w:t>
      </w:r>
      <w:r w:rsidRPr="00A12C87">
        <w:lastRenderedPageBreak/>
        <w:t>November 2016 through March 2017.  (Peoples Statement No. 2, p. 28</w:t>
      </w:r>
      <w:r w:rsidR="00CB04AF" w:rsidRPr="00A12C87">
        <w:t>; Settlement Petition ¶ 50</w:t>
      </w:r>
      <w:r w:rsidRPr="00A12C87">
        <w:t xml:space="preserve">.) </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Peoples requires up to 3,000 </w:t>
      </w:r>
      <w:proofErr w:type="spellStart"/>
      <w:r w:rsidRPr="00A12C87">
        <w:t>Dth</w:t>
      </w:r>
      <w:proofErr w:type="spellEnd"/>
      <w:r w:rsidRPr="00A12C87">
        <w:t>/day at its Rockwood interconnection with TETCO in TETCO’s market zone M-2.  Prior to 2007, Peoples satisfied this requirement with TETCO firm transportation capacity, but the M-2 firm transportation capacity was not renewed upon its March 31, 2007 expiration.  Peoples then entered into a series of annual agreements for either firm delivered supply or for the purchase of released capacity that Peoples then matched with spot purchases that extended through the 2013-2014 winter period.  Since then, Peoples has satisfied its needs at this delivery point with spot market purchases.  (Peoples Statement No. 2, p. 32</w:t>
      </w:r>
      <w:r w:rsidR="00CB04AF" w:rsidRPr="00A12C87">
        <w:t>; Settlement Petition ¶ 51</w:t>
      </w:r>
      <w:r w:rsidRPr="00A12C87">
        <w:t>.)</w:t>
      </w:r>
    </w:p>
    <w:p w:rsidR="00086BA0" w:rsidRDefault="00086BA0" w:rsidP="00086BA0">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Peoples has issued an RFP for firm delivered gas supply for up to 3,000 </w:t>
      </w:r>
      <w:proofErr w:type="spellStart"/>
      <w:r w:rsidRPr="00A12C87">
        <w:t>Dth</w:t>
      </w:r>
      <w:proofErr w:type="spellEnd"/>
      <w:r w:rsidRPr="00A12C87">
        <w:t>/day at Peoples’ Rockwood delivery point on TETCO for the winter period November 2016 through March 2017.  (Peoples Statement No. 2, p. 33</w:t>
      </w:r>
      <w:r w:rsidR="00CB04AF" w:rsidRPr="00A12C87">
        <w:t>; Settlement Petition ¶ 52</w:t>
      </w:r>
      <w:r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Prior to the winter of 2010-2011, Peoples had contracted for firm transportation capacity on Tennes</w:t>
      </w:r>
      <w:r w:rsidR="005D2CD5">
        <w:t>s</w:t>
      </w:r>
      <w:r w:rsidRPr="00A12C87">
        <w:t>ee.  Beginning that winter, Peoples has continuously pursued an RFP process and contracted for firm city-gate delivered gas supply as a replacement for the firm transportation service that Peoples had been purchasing from Tennessee on a year-to-year basis.  (Peoples Statement No. 2, pp. 28-29</w:t>
      </w:r>
      <w:r w:rsidR="00CB04AF" w:rsidRPr="00A12C87">
        <w:t>; Settlement Petition ¶ 53</w:t>
      </w:r>
      <w:r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The delivered supply agreements required the supplier to utilize Tennessee pipeline delivery points directly into Peoples at Pittsburgh Terminal and Pulaski.  In addition, the agreements also required deliveries into the Columbia Gas of Pennsylvania (CPA) natural gas distribution system at New Castle, PA.  This supply supports an exchange agreement under which CPA delivers gas into the Grove City area of Peoples’ service territory, an area that is not physically integrated with the rest of Peoples’ system.  (Peoples Statement No. 2, p. 29</w:t>
      </w:r>
      <w:r w:rsidR="00CB04AF" w:rsidRPr="00A12C87">
        <w:t>; Settlement Petition ¶ 54</w:t>
      </w:r>
      <w:r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lastRenderedPageBreak/>
        <w:t xml:space="preserve">During the 1307(f)-2016 reconciliation period, following the RFP process, Peoples entered into a firm delivered supply agreement with South Jersey Resources.  The contract provided for up to 26,000 </w:t>
      </w:r>
      <w:proofErr w:type="spellStart"/>
      <w:r w:rsidRPr="00A12C87">
        <w:t>Dth</w:t>
      </w:r>
      <w:proofErr w:type="spellEnd"/>
      <w:r w:rsidRPr="00A12C87">
        <w:t xml:space="preserve">/day of firm supply delivered to Peoples with 0 – 23,000 </w:t>
      </w:r>
      <w:proofErr w:type="spellStart"/>
      <w:r w:rsidRPr="00A12C87">
        <w:t>Dth</w:t>
      </w:r>
      <w:proofErr w:type="spellEnd"/>
      <w:r w:rsidRPr="00A12C87">
        <w:t xml:space="preserve">/day delivered to Pittsburgh Terminal and Pulaski, and the remaining 0 – 3,000 </w:t>
      </w:r>
      <w:proofErr w:type="spellStart"/>
      <w:r w:rsidRPr="00A12C87">
        <w:t>Dth</w:t>
      </w:r>
      <w:proofErr w:type="spellEnd"/>
      <w:r w:rsidRPr="00A12C87">
        <w:t>/day of supply delivered to CPA’s system at New Castle to support the CPA exchange agreement.  Like TETCO, Tennessee also provides Peoples with an operational balancing agreement to manage unanticipated swings in demands at the Tennessee/Peoples physical interconnections.  (Peoples Statement No. 2, p. 29</w:t>
      </w:r>
      <w:r w:rsidR="00CB04AF" w:rsidRPr="00A12C87">
        <w:t>; Settlement Petition ¶ 55</w:t>
      </w:r>
      <w:r w:rsidRPr="00A12C87">
        <w:t>.)</w:t>
      </w:r>
    </w:p>
    <w:p w:rsidR="005D32E9" w:rsidRPr="00A12C87" w:rsidRDefault="005D32E9" w:rsidP="005D32E9">
      <w:pPr>
        <w:pStyle w:val="ListNumber"/>
        <w:numPr>
          <w:ilvl w:val="0"/>
          <w:numId w:val="0"/>
        </w:numPr>
        <w:spacing w:line="360" w:lineRule="auto"/>
        <w:ind w:left="1440"/>
      </w:pPr>
    </w:p>
    <w:p w:rsidR="00020F31" w:rsidRDefault="00256FF3" w:rsidP="007174BC">
      <w:pPr>
        <w:pStyle w:val="ListNumber"/>
        <w:numPr>
          <w:ilvl w:val="0"/>
          <w:numId w:val="13"/>
        </w:numPr>
        <w:spacing w:line="360" w:lineRule="auto"/>
        <w:ind w:firstLine="1440"/>
      </w:pPr>
      <w:r>
        <w:t>Peoples</w:t>
      </w:r>
      <w:r w:rsidR="00020F31" w:rsidRPr="00A12C87">
        <w:t xml:space="preserve"> has issued another RFP for firm delivered supply on Tennessee that will provide for delivery of natural gas on a firm basis at the same quantities and same Tennessee delivery points as previous years’ agreements for the winter periods of November 2016 through March 2017 and November 2017 through March 2018.  (Peoples Statement No. 2, pp. 29-30</w:t>
      </w:r>
      <w:r w:rsidR="00CB04AF" w:rsidRPr="00A12C87">
        <w:t>; Settlement Petition ¶ 56</w:t>
      </w:r>
      <w:r w:rsidR="00020F31"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NFGS provides Peoples with no-notice storage service and firm transportation service under rates approved by FERC.  </w:t>
      </w:r>
      <w:proofErr w:type="gramStart"/>
      <w:r w:rsidRPr="00A12C87">
        <w:t>Peoples uses</w:t>
      </w:r>
      <w:proofErr w:type="gramEnd"/>
      <w:r w:rsidRPr="00A12C87">
        <w:t xml:space="preserve"> NFGS’s services primarily to serve the isolated Grove City area of its service territory.  Like its other storage assets, Peoples uses its storage service from NFGS as a no-notice balancing service to manage supply for uncertain demand and as a way to reduce natural gas costs, by buying supplies when they generally are cheaper during the summer months and injecting them into storage, and to enhance reliability, by withdrawing the volumes from storage during the winter when demand is highest.  </w:t>
      </w:r>
      <w:proofErr w:type="gramStart"/>
      <w:r w:rsidRPr="00A12C87">
        <w:t>Peoples utilizes</w:t>
      </w:r>
      <w:proofErr w:type="gramEnd"/>
      <w:r w:rsidRPr="00A12C87">
        <w:t xml:space="preserve"> its firm transportation service from NFGS both to support the NFGS storage service and for deliveries from other supply sources.   (Peoples Statement No. 2, pp. 30-31</w:t>
      </w:r>
      <w:r w:rsidR="00CB04AF" w:rsidRPr="00A12C87">
        <w:t>; Settlement Petition ¶ 57</w:t>
      </w:r>
      <w:r w:rsidRPr="00A12C87">
        <w:t xml:space="preserve">.) </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During the entire 1307(f)-2016 reconciliation period and for the first two months of the 1307(f)-2016 projected period, NFGS provided 9,793 </w:t>
      </w:r>
      <w:proofErr w:type="spellStart"/>
      <w:r w:rsidRPr="00A12C87">
        <w:t>Dth</w:t>
      </w:r>
      <w:proofErr w:type="spellEnd"/>
      <w:r w:rsidRPr="00A12C87">
        <w:t xml:space="preserve">/day of no-notice storage service to Peoples under its Rate </w:t>
      </w:r>
      <w:r w:rsidRPr="00842B39">
        <w:t>ESS</w:t>
      </w:r>
      <w:r w:rsidRPr="00A12C87">
        <w:t xml:space="preserve"> and 15,476 </w:t>
      </w:r>
      <w:proofErr w:type="spellStart"/>
      <w:r w:rsidRPr="00A12C87">
        <w:t>Dth</w:t>
      </w:r>
      <w:proofErr w:type="spellEnd"/>
      <w:r w:rsidRPr="00A12C87">
        <w:t xml:space="preserve">/day of firm transportation service to Peoples under its Rate </w:t>
      </w:r>
      <w:r w:rsidRPr="00842B39">
        <w:t>EFT.</w:t>
      </w:r>
      <w:r w:rsidRPr="00A12C87">
        <w:t xml:space="preserve">  Peoples entered into both of those contracts in the mid-1990s and the primary terms of those contracts expired on March 31, 2003; however, each of the contracts </w:t>
      </w:r>
      <w:r w:rsidRPr="00A12C87">
        <w:lastRenderedPageBreak/>
        <w:t>contains a one-year notice of termination provision so that if neither party gives the other one year’s notice of termination, the contracts automatically renew for another year.  Because of Peoples’ need for the NFGS capacity to meet its system balancing and load requirements, Peoples has not given NFGS notice of termination, so the contracts automatically renewed on April 1 of each year since 2003.  (Peoples Statement No. 2, p. 31</w:t>
      </w:r>
      <w:r w:rsidR="00CB04AF" w:rsidRPr="00A12C87">
        <w:t>; Settlement Petition ¶ 58</w:t>
      </w:r>
      <w:r w:rsidRPr="00A12C87">
        <w:t xml:space="preserve">.) </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proofErr w:type="gramStart"/>
      <w:r w:rsidRPr="00A12C87">
        <w:t>Peoples also currently owns</w:t>
      </w:r>
      <w:proofErr w:type="gramEnd"/>
      <w:r w:rsidRPr="00A12C87">
        <w:t xml:space="preserve"> and operates the Dice Storage Field, which has 1,530,000 </w:t>
      </w:r>
      <w:proofErr w:type="spellStart"/>
      <w:r w:rsidRPr="00A12C87">
        <w:t>Mcf</w:t>
      </w:r>
      <w:proofErr w:type="spellEnd"/>
      <w:r w:rsidRPr="00A12C87">
        <w:t xml:space="preserve"> of storage capacity and 32,000 </w:t>
      </w:r>
      <w:proofErr w:type="spellStart"/>
      <w:r w:rsidRPr="00A12C87">
        <w:t>Mcf</w:t>
      </w:r>
      <w:proofErr w:type="spellEnd"/>
      <w:r w:rsidRPr="00A12C87">
        <w:t xml:space="preserve"> of maximum daily withdrawal capacity.  (Peoples Statement No. 2, p. 35</w:t>
      </w:r>
      <w:r w:rsidR="00CB04AF" w:rsidRPr="00A12C87">
        <w:t>; Settlement Petition ¶ 59</w:t>
      </w:r>
      <w:r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Peoples and Peoples TWP have a gas exchange agreement that provides for an exchange of equivalent volumes between Peoples and Peoples TWP where the receipt of gas from the other party would provide for more efficient operation of the recipient’s system and will improve service reliability for both </w:t>
      </w:r>
      <w:r w:rsidR="00BF1D31">
        <w:t>C</w:t>
      </w:r>
      <w:r w:rsidRPr="00A12C87">
        <w:t>ompanies.  Under the exchange arrangement, Peoples TWP receives gas from Peoples at an interconnection located in Mars, PA and Arnold, PA.  In exchange, Peoples receives equivalent volumes of gas from Peoples TWP at various interconnections.  (Peoples Statement No. 2, pp. 37-38</w:t>
      </w:r>
      <w:r w:rsidR="00CB04AF" w:rsidRPr="00A12C87">
        <w:t>; Settlement Petition ¶ 60</w:t>
      </w:r>
      <w:r w:rsidRPr="00A12C87">
        <w:t xml:space="preserve">.) </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Peoples has traditionally used gas produced locally in Pennsylvania as the source of supply to which it turns first in fulfilling its supply requirements.  To absorb local gas into its system, Peoples constructed a network of pipelines and related facilities that move the gas either to customers who happen to be located in areas in which gas is produced, or to the more populated areas of the service territory where the greatest level of consumption occurs, and, in summer months, to Peoples’ on-system and off-system storage facilities.  (Peoples Statement No. 2, pp. 39-40</w:t>
      </w:r>
      <w:r w:rsidR="00CB04AF" w:rsidRPr="00A12C87">
        <w:t>; Settlement Petition ¶ 61</w:t>
      </w:r>
      <w:r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Deliveries of local gas directly into the Peoples gathering system have significantly decreased over the last two years.  The relatively very low current price for gas in Peoples’ market region provides no incentive for shallow well gas producers to invest in new wells or even in upgrades to existing wells.  As a result of this lack of investment, production levels from existing shallow wells are declining more rapidly than in the past and are not being </w:t>
      </w:r>
      <w:r w:rsidRPr="00A12C87">
        <w:lastRenderedPageBreak/>
        <w:t>offset by new production coming on line.  (Peoples Statement No. 2, pp. 44-45</w:t>
      </w:r>
      <w:r w:rsidR="00CB04AF" w:rsidRPr="00A12C87">
        <w:t>; Settlement Petition ¶ 62</w:t>
      </w:r>
      <w:r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proofErr w:type="gramStart"/>
      <w:r w:rsidRPr="00A12C87">
        <w:t>Peoples has</w:t>
      </w:r>
      <w:proofErr w:type="gramEnd"/>
      <w:r w:rsidRPr="00A12C87">
        <w:t xml:space="preserve"> proposed an incentive payment for the purchase of local gas that would be an incremental variable price that is tied to existing monthly market prices.  It would be negotiated only with producers within identified areas in order to provide a sufficient incentive for the producers to rework or stimulate their existing wells to increase production flows and/or invest in new production.  Further, the incentive payment would only be applicable to volumes produced from the reworked or new production in the selected areas and would be suspended once the standard monthly local field price rises to a sufficiently high level to maintain production.  (Peoples Statement No. 2, p. 43</w:t>
      </w:r>
      <w:r w:rsidR="00CB04AF" w:rsidRPr="00A12C87">
        <w:t>; Settlement Petition ¶ 63</w:t>
      </w:r>
      <w:r w:rsidRPr="00A12C87">
        <w:t>.)</w:t>
      </w:r>
    </w:p>
    <w:p w:rsidR="004032EC" w:rsidRPr="00A12C87" w:rsidRDefault="004032EC" w:rsidP="004032EC">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proofErr w:type="gramStart"/>
      <w:r w:rsidRPr="00A12C87">
        <w:t>Peoples has</w:t>
      </w:r>
      <w:proofErr w:type="gramEnd"/>
      <w:r w:rsidRPr="00A12C87">
        <w:t xml:space="preserve"> been purchasing spot market supplies since 1986.  Along with its local gas supplies, these are the supplies that Peoples uses to meet the demands of those customers who continue to buy their supplies from Peoples.  With the exception of the EQT Energy supply, these are also the supplies that Peoples uses its various interstate pipeline assets to transport and store.  (Peoples Statement No. 2, p. 50</w:t>
      </w:r>
      <w:r w:rsidR="00CB04AF" w:rsidRPr="00A12C87">
        <w:t>; Settlement Petition ¶ 64</w:t>
      </w:r>
      <w:r w:rsidRPr="00A12C87">
        <w:t xml:space="preserve">.) </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 xml:space="preserve">Peoples Division and Peoples-Equitable Division purchased gas under the EQT Energy gas purchase agreements during the 1307(f)-2016 reconciliation period.  The Peoples Division agreement matches gas supply with the </w:t>
      </w:r>
      <w:proofErr w:type="spellStart"/>
      <w:r w:rsidRPr="00A12C87">
        <w:t>Equitrans</w:t>
      </w:r>
      <w:proofErr w:type="spellEnd"/>
      <w:r w:rsidRPr="00A12C87">
        <w:t xml:space="preserve"> Sunrise/Mainline firm transportation contract of up to 251,700 </w:t>
      </w:r>
      <w:proofErr w:type="spellStart"/>
      <w:r w:rsidRPr="00A12C87">
        <w:t>Dth</w:t>
      </w:r>
      <w:proofErr w:type="spellEnd"/>
      <w:r w:rsidRPr="00A12C87">
        <w:t xml:space="preserve">/day.  The Peoples-Equitable Division agreement matches a firm gas supply with the </w:t>
      </w:r>
      <w:proofErr w:type="spellStart"/>
      <w:r w:rsidRPr="00A12C87">
        <w:t>Equitrans</w:t>
      </w:r>
      <w:proofErr w:type="spellEnd"/>
      <w:r w:rsidRPr="00A12C87">
        <w:t xml:space="preserve"> firm transportation contract of up to 164,935 </w:t>
      </w:r>
      <w:proofErr w:type="spellStart"/>
      <w:r w:rsidRPr="00A12C87">
        <w:t>Dth</w:t>
      </w:r>
      <w:proofErr w:type="spellEnd"/>
      <w:r w:rsidRPr="00A12C87">
        <w:t xml:space="preserve">/day.  The annual quantity is 20 </w:t>
      </w:r>
      <w:proofErr w:type="spellStart"/>
      <w:r w:rsidRPr="00A12C87">
        <w:t>MMDth</w:t>
      </w:r>
      <w:proofErr w:type="spellEnd"/>
      <w:r w:rsidRPr="00A12C87">
        <w:t xml:space="preserve">, and EQT Energy will deliver up to 164,935 </w:t>
      </w:r>
      <w:proofErr w:type="spellStart"/>
      <w:r w:rsidRPr="00A12C87">
        <w:t>Dth</w:t>
      </w:r>
      <w:proofErr w:type="spellEnd"/>
      <w:r w:rsidRPr="00A12C87">
        <w:t xml:space="preserve">/day at active receipt point interconnects with the </w:t>
      </w:r>
      <w:proofErr w:type="spellStart"/>
      <w:r w:rsidRPr="00A12C87">
        <w:t>Equitrans</w:t>
      </w:r>
      <w:proofErr w:type="spellEnd"/>
      <w:r w:rsidRPr="00A12C87">
        <w:t xml:space="preserve"> Sunrise and Mainline systems.  (Peoples Statement No. 2, p. 52</w:t>
      </w:r>
      <w:r w:rsidR="00CB04AF" w:rsidRPr="00A12C87">
        <w:t>; Settlement Petition ¶ 65</w:t>
      </w:r>
      <w:r w:rsidRPr="00A12C87">
        <w:t>.)</w:t>
      </w:r>
    </w:p>
    <w:p w:rsidR="005D32E9" w:rsidRPr="00A12C87" w:rsidRDefault="005D32E9" w:rsidP="005D32E9">
      <w:pPr>
        <w:pStyle w:val="ListNumber"/>
        <w:numPr>
          <w:ilvl w:val="0"/>
          <w:numId w:val="0"/>
        </w:numPr>
        <w:spacing w:line="360" w:lineRule="auto"/>
        <w:ind w:left="1440"/>
      </w:pPr>
    </w:p>
    <w:p w:rsidR="00020F31" w:rsidRDefault="00407DBA" w:rsidP="007174BC">
      <w:pPr>
        <w:pStyle w:val="ListNumber"/>
        <w:numPr>
          <w:ilvl w:val="0"/>
          <w:numId w:val="13"/>
        </w:numPr>
        <w:spacing w:line="360" w:lineRule="auto"/>
        <w:ind w:firstLine="1440"/>
      </w:pPr>
      <w:r>
        <w:t xml:space="preserve">Unaccounted </w:t>
      </w:r>
      <w:proofErr w:type="gramStart"/>
      <w:r>
        <w:t>For</w:t>
      </w:r>
      <w:proofErr w:type="gramEnd"/>
      <w:r>
        <w:t xml:space="preserve"> Gas (</w:t>
      </w:r>
      <w:r w:rsidR="00020F31" w:rsidRPr="00A12C87">
        <w:t>UFG</w:t>
      </w:r>
      <w:r>
        <w:t>)</w:t>
      </w:r>
      <w:r w:rsidR="00020F31" w:rsidRPr="00A12C87">
        <w:t xml:space="preserve"> is the difference between the total gas available from all sources and the total gas accounted for as sales, net interchange, and company use.  This difference includes leakage or other actual losses, discrepancies due to meter </w:t>
      </w:r>
      <w:r w:rsidR="00020F31" w:rsidRPr="00A12C87">
        <w:lastRenderedPageBreak/>
        <w:t>inaccuracies, variations of temperatures or pressures or both, and other variants, particularly billing lag.  (Peoples Statement No. 2, p. 59</w:t>
      </w:r>
      <w:r w:rsidR="00CB04AF" w:rsidRPr="00A12C87">
        <w:t>; Settlement Petition ¶ 66</w:t>
      </w:r>
      <w:r w:rsidR="00020F31" w:rsidRPr="00A12C87">
        <w:t>.)</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The Company-wide percentage UFG was 4.4% for the 12-months ended August 31, 2015.  (Peoples Statement No. 2, p. 60</w:t>
      </w:r>
      <w:r w:rsidR="00CB04AF" w:rsidRPr="00A12C87">
        <w:t>; Settlement Petition ¶ 67</w:t>
      </w:r>
      <w:r w:rsidRPr="00A12C87">
        <w:t xml:space="preserve">.)  </w:t>
      </w:r>
    </w:p>
    <w:p w:rsidR="005D32E9" w:rsidRPr="00A12C87" w:rsidRDefault="005D32E9" w:rsidP="005D32E9">
      <w:pPr>
        <w:pStyle w:val="ListNumber"/>
        <w:numPr>
          <w:ilvl w:val="0"/>
          <w:numId w:val="0"/>
        </w:numPr>
        <w:spacing w:line="360" w:lineRule="auto"/>
        <w:ind w:left="1440"/>
      </w:pPr>
    </w:p>
    <w:p w:rsidR="00020F31" w:rsidRDefault="00020F31" w:rsidP="007174BC">
      <w:pPr>
        <w:pStyle w:val="ListNumber"/>
        <w:numPr>
          <w:ilvl w:val="0"/>
          <w:numId w:val="13"/>
        </w:numPr>
        <w:spacing w:line="360" w:lineRule="auto"/>
        <w:ind w:firstLine="1440"/>
      </w:pPr>
      <w:r w:rsidRPr="00A12C87">
        <w:t>Peoples actively works to reduce its system UFG levels and has in place a UFG mitigation plan with a particular focus on gathering UFG.  As part of this plan, Peoples has increased leak repair on Class 2 and Class 3 leaks to reduce the duration of leaks and resulting UFG.  These actions also involve more frequent monitoring of high or low volume meters to ensure they are operating within an acceptable measurement range.  Peoples also reviews producer and customer meters that appear inactive to mitigate gas theft or unintended reverse flow.  Finally, Peoples monitors system pressures to make sure the Company is not operating at pressures higher than what is required to serve its customers, thus reducing gas loss through pipe leakage or measurement errors.  (Peoples Statement No. 2-R, pp. 2-3</w:t>
      </w:r>
      <w:r w:rsidR="00CB04AF" w:rsidRPr="00A12C87">
        <w:t>; Settlement Petition ¶ 68</w:t>
      </w:r>
      <w:r w:rsidRPr="00A12C87">
        <w:t>.)</w:t>
      </w:r>
    </w:p>
    <w:p w:rsidR="005D32E9" w:rsidRPr="00A12C87" w:rsidRDefault="005D32E9" w:rsidP="005D32E9">
      <w:pPr>
        <w:pStyle w:val="ListNumber"/>
        <w:numPr>
          <w:ilvl w:val="0"/>
          <w:numId w:val="0"/>
        </w:numPr>
        <w:spacing w:line="360" w:lineRule="auto"/>
        <w:ind w:left="1440"/>
      </w:pPr>
    </w:p>
    <w:p w:rsidR="00CB04AF" w:rsidRPr="00A12C87" w:rsidRDefault="00020F31" w:rsidP="007174BC">
      <w:pPr>
        <w:pStyle w:val="ListNumber"/>
        <w:numPr>
          <w:ilvl w:val="0"/>
          <w:numId w:val="13"/>
        </w:numPr>
        <w:spacing w:line="360" w:lineRule="auto"/>
        <w:ind w:firstLine="1440"/>
      </w:pPr>
      <w:r w:rsidRPr="00A12C87">
        <w:t xml:space="preserve">Peoples monitors and participates in various proceedings before the FERC.  </w:t>
      </w:r>
      <w:proofErr w:type="gramStart"/>
      <w:r w:rsidRPr="00A12C87">
        <w:t>Peoples undertakes</w:t>
      </w:r>
      <w:proofErr w:type="gramEnd"/>
      <w:r w:rsidRPr="00A12C87">
        <w:t xml:space="preserve"> legal action as necessary to protect the interests of its ratepayers.  (Peoples Exhibit No. 10; Peoples Statement No. 4, pp. 3-4</w:t>
      </w:r>
      <w:r w:rsidR="00CB04AF" w:rsidRPr="00A12C87">
        <w:t>; Settlement Petition ¶ 69</w:t>
      </w:r>
      <w:r w:rsidRPr="00A12C87">
        <w:t xml:space="preserve">.) </w:t>
      </w:r>
    </w:p>
    <w:p w:rsidR="00CB04AF" w:rsidRPr="00A12C87" w:rsidRDefault="00CB04AF" w:rsidP="005D32E9">
      <w:pPr>
        <w:pStyle w:val="ListNumber"/>
        <w:numPr>
          <w:ilvl w:val="0"/>
          <w:numId w:val="0"/>
        </w:numPr>
        <w:spacing w:line="360" w:lineRule="auto"/>
        <w:ind w:left="720"/>
      </w:pPr>
    </w:p>
    <w:p w:rsidR="00CD5C18" w:rsidRPr="003210A3" w:rsidRDefault="005D32E9" w:rsidP="005D32E9">
      <w:pPr>
        <w:pStyle w:val="ListNumber"/>
        <w:numPr>
          <w:ilvl w:val="0"/>
          <w:numId w:val="0"/>
        </w:numPr>
        <w:spacing w:line="360" w:lineRule="auto"/>
        <w:ind w:left="720" w:hanging="720"/>
        <w:jc w:val="center"/>
      </w:pPr>
      <w:r w:rsidRPr="005D32E9">
        <w:t>III.</w:t>
      </w:r>
      <w:r w:rsidRPr="005D32E9">
        <w:tab/>
      </w:r>
      <w:r w:rsidR="00CD5C18" w:rsidRPr="003210A3">
        <w:rPr>
          <w:u w:val="single"/>
        </w:rPr>
        <w:t xml:space="preserve">DESCRIPTION </w:t>
      </w:r>
      <w:r w:rsidR="00BF6145">
        <w:rPr>
          <w:u w:val="single"/>
        </w:rPr>
        <w:t xml:space="preserve">AND TERMS OF THE </w:t>
      </w:r>
      <w:r w:rsidR="00CD5C18" w:rsidRPr="003210A3">
        <w:rPr>
          <w:u w:val="single"/>
        </w:rPr>
        <w:t>SETTLEMENT</w:t>
      </w:r>
    </w:p>
    <w:p w:rsidR="00CD5C18" w:rsidRPr="003210A3" w:rsidRDefault="00CD5C18" w:rsidP="00CD5C18">
      <w:pPr>
        <w:spacing w:line="360" w:lineRule="auto"/>
        <w:rPr>
          <w:sz w:val="24"/>
          <w:szCs w:val="24"/>
        </w:rPr>
      </w:pPr>
    </w:p>
    <w:p w:rsidR="00CD5C18" w:rsidRPr="002A7F81" w:rsidRDefault="00CD5C18" w:rsidP="00CD5C18">
      <w:pPr>
        <w:spacing w:line="360" w:lineRule="auto"/>
        <w:ind w:firstLine="1440"/>
        <w:rPr>
          <w:sz w:val="24"/>
          <w:szCs w:val="24"/>
        </w:rPr>
      </w:pPr>
      <w:r w:rsidRPr="003210A3">
        <w:rPr>
          <w:sz w:val="24"/>
          <w:szCs w:val="24"/>
        </w:rPr>
        <w:t xml:space="preserve">In accordance with Rule 5.231 of the Commission’s Rules of Practice and Procedure, 52 </w:t>
      </w:r>
      <w:proofErr w:type="spellStart"/>
      <w:r w:rsidRPr="003210A3">
        <w:rPr>
          <w:sz w:val="24"/>
          <w:szCs w:val="24"/>
        </w:rPr>
        <w:t>Pa.Code</w:t>
      </w:r>
      <w:proofErr w:type="spellEnd"/>
      <w:r w:rsidRPr="003210A3">
        <w:rPr>
          <w:sz w:val="24"/>
          <w:szCs w:val="24"/>
        </w:rPr>
        <w:t xml:space="preserve"> § 5.231, the parties explored the possibility of settlement.  As a result of settlement discussions, the parties achieved a settlement in principle under which all issues </w:t>
      </w:r>
      <w:r w:rsidR="00407DBA">
        <w:rPr>
          <w:sz w:val="24"/>
          <w:szCs w:val="24"/>
        </w:rPr>
        <w:t>were</w:t>
      </w:r>
      <w:r w:rsidRPr="003210A3">
        <w:rPr>
          <w:sz w:val="24"/>
          <w:szCs w:val="24"/>
        </w:rPr>
        <w:t xml:space="preserve"> resolved.  The Joint Petition, which is fully executed by </w:t>
      </w:r>
      <w:r w:rsidR="00256FF3">
        <w:rPr>
          <w:sz w:val="24"/>
          <w:szCs w:val="24"/>
        </w:rPr>
        <w:t>Peoples Division, Peoples-Equitable</w:t>
      </w:r>
      <w:r w:rsidR="003210A3" w:rsidRPr="003210A3">
        <w:rPr>
          <w:sz w:val="24"/>
          <w:szCs w:val="24"/>
        </w:rPr>
        <w:t xml:space="preserve">, </w:t>
      </w:r>
      <w:r w:rsidRPr="003210A3">
        <w:rPr>
          <w:sz w:val="24"/>
          <w:szCs w:val="24"/>
        </w:rPr>
        <w:t>I&amp;E, OCA</w:t>
      </w:r>
      <w:r w:rsidR="003210A3" w:rsidRPr="003210A3">
        <w:rPr>
          <w:sz w:val="24"/>
          <w:szCs w:val="24"/>
        </w:rPr>
        <w:t xml:space="preserve">, </w:t>
      </w:r>
      <w:r w:rsidRPr="003210A3">
        <w:rPr>
          <w:sz w:val="24"/>
          <w:szCs w:val="24"/>
        </w:rPr>
        <w:t>OSBA</w:t>
      </w:r>
      <w:r w:rsidR="003210A3" w:rsidRPr="003210A3">
        <w:rPr>
          <w:sz w:val="24"/>
          <w:szCs w:val="24"/>
        </w:rPr>
        <w:t xml:space="preserve"> and PIOGA</w:t>
      </w:r>
      <w:r w:rsidRPr="003210A3">
        <w:rPr>
          <w:sz w:val="24"/>
          <w:szCs w:val="24"/>
        </w:rPr>
        <w:t>, consists of 2</w:t>
      </w:r>
      <w:r w:rsidR="003210A3" w:rsidRPr="003210A3">
        <w:rPr>
          <w:sz w:val="24"/>
          <w:szCs w:val="24"/>
        </w:rPr>
        <w:t>6</w:t>
      </w:r>
      <w:r w:rsidRPr="003210A3">
        <w:rPr>
          <w:sz w:val="24"/>
          <w:szCs w:val="24"/>
        </w:rPr>
        <w:t xml:space="preserve"> pages and Appendix A through and including </w:t>
      </w:r>
      <w:r w:rsidR="003210A3" w:rsidRPr="003210A3">
        <w:rPr>
          <w:sz w:val="24"/>
          <w:szCs w:val="24"/>
        </w:rPr>
        <w:t>F</w:t>
      </w:r>
      <w:r w:rsidRPr="003210A3">
        <w:rPr>
          <w:sz w:val="24"/>
          <w:szCs w:val="24"/>
        </w:rPr>
        <w:t xml:space="preserve">.  The appendices set forth the tariff supplement describing the agreed upon rates in Appendix A, </w:t>
      </w:r>
      <w:r w:rsidR="003210A3" w:rsidRPr="003210A3">
        <w:rPr>
          <w:sz w:val="24"/>
          <w:szCs w:val="24"/>
        </w:rPr>
        <w:t xml:space="preserve">and </w:t>
      </w:r>
      <w:r w:rsidRPr="003210A3">
        <w:rPr>
          <w:sz w:val="24"/>
          <w:szCs w:val="24"/>
        </w:rPr>
        <w:t xml:space="preserve">Appendix B and </w:t>
      </w:r>
      <w:r w:rsidR="003210A3" w:rsidRPr="003210A3">
        <w:rPr>
          <w:sz w:val="24"/>
          <w:szCs w:val="24"/>
        </w:rPr>
        <w:t>F</w:t>
      </w:r>
      <w:r w:rsidRPr="003210A3">
        <w:rPr>
          <w:sz w:val="24"/>
          <w:szCs w:val="24"/>
        </w:rPr>
        <w:t>, which set forth</w:t>
      </w:r>
      <w:r w:rsidRPr="002A7F81">
        <w:rPr>
          <w:sz w:val="24"/>
          <w:szCs w:val="24"/>
        </w:rPr>
        <w:t xml:space="preserve"> </w:t>
      </w:r>
      <w:r>
        <w:rPr>
          <w:sz w:val="24"/>
          <w:szCs w:val="24"/>
        </w:rPr>
        <w:t>the statements in support of settlement</w:t>
      </w:r>
      <w:r w:rsidR="00407DBA">
        <w:rPr>
          <w:sz w:val="24"/>
          <w:szCs w:val="24"/>
        </w:rPr>
        <w:t xml:space="preserve"> by </w:t>
      </w:r>
      <w:r w:rsidR="00256FF3">
        <w:rPr>
          <w:sz w:val="24"/>
          <w:szCs w:val="24"/>
        </w:rPr>
        <w:t>Peoples Division, Peoples-Equitable</w:t>
      </w:r>
      <w:r w:rsidR="00407DBA">
        <w:rPr>
          <w:sz w:val="24"/>
          <w:szCs w:val="24"/>
        </w:rPr>
        <w:t>, OCA, OSBA, I&amp;E and PIOGA.</w:t>
      </w:r>
      <w:r w:rsidRPr="002A7F81">
        <w:rPr>
          <w:sz w:val="24"/>
          <w:szCs w:val="24"/>
        </w:rPr>
        <w:t xml:space="preserve"> </w:t>
      </w:r>
    </w:p>
    <w:p w:rsidR="00CD5C18" w:rsidRPr="00A85F22" w:rsidRDefault="00CD5C18" w:rsidP="00CD5C18">
      <w:pPr>
        <w:spacing w:line="360" w:lineRule="auto"/>
        <w:rPr>
          <w:sz w:val="24"/>
          <w:szCs w:val="24"/>
        </w:rPr>
      </w:pPr>
    </w:p>
    <w:p w:rsidR="00CD5C18" w:rsidRDefault="00CD5C18" w:rsidP="00CD5C18">
      <w:pPr>
        <w:spacing w:line="360" w:lineRule="auto"/>
        <w:ind w:firstLine="1440"/>
        <w:rPr>
          <w:sz w:val="24"/>
          <w:szCs w:val="24"/>
        </w:rPr>
      </w:pPr>
      <w:r w:rsidRPr="00E725AF">
        <w:rPr>
          <w:sz w:val="24"/>
          <w:szCs w:val="24"/>
        </w:rPr>
        <w:lastRenderedPageBreak/>
        <w:t xml:space="preserve">The parties also expressed their agreement with respect to </w:t>
      </w:r>
      <w:r w:rsidR="003210A3">
        <w:rPr>
          <w:sz w:val="24"/>
          <w:szCs w:val="24"/>
        </w:rPr>
        <w:t xml:space="preserve">the following </w:t>
      </w:r>
      <w:r w:rsidRPr="00E725AF">
        <w:rPr>
          <w:sz w:val="24"/>
          <w:szCs w:val="24"/>
        </w:rPr>
        <w:t>issues:  (1) </w:t>
      </w:r>
      <w:r w:rsidR="003210A3" w:rsidRPr="00E725AF">
        <w:rPr>
          <w:sz w:val="24"/>
          <w:szCs w:val="24"/>
        </w:rPr>
        <w:t>Capacity Levels</w:t>
      </w:r>
      <w:r w:rsidRPr="00E725AF">
        <w:rPr>
          <w:sz w:val="24"/>
          <w:szCs w:val="24"/>
        </w:rPr>
        <w:t xml:space="preserve">; (2) </w:t>
      </w:r>
      <w:r w:rsidR="003210A3" w:rsidRPr="00E725AF">
        <w:rPr>
          <w:sz w:val="24"/>
          <w:szCs w:val="24"/>
        </w:rPr>
        <w:t xml:space="preserve">Retainage </w:t>
      </w:r>
      <w:r w:rsidR="003210A3">
        <w:rPr>
          <w:sz w:val="24"/>
          <w:szCs w:val="24"/>
        </w:rPr>
        <w:t xml:space="preserve">and Lost and Unaccounted </w:t>
      </w:r>
      <w:r w:rsidR="00A12C87">
        <w:rPr>
          <w:sz w:val="24"/>
          <w:szCs w:val="24"/>
        </w:rPr>
        <w:t>f</w:t>
      </w:r>
      <w:r w:rsidR="003210A3">
        <w:rPr>
          <w:sz w:val="24"/>
          <w:szCs w:val="24"/>
        </w:rPr>
        <w:t xml:space="preserve">or Gas; </w:t>
      </w:r>
      <w:r w:rsidRPr="00E725AF">
        <w:rPr>
          <w:sz w:val="24"/>
          <w:szCs w:val="24"/>
        </w:rPr>
        <w:t xml:space="preserve">(3) </w:t>
      </w:r>
      <w:r w:rsidR="003210A3">
        <w:rPr>
          <w:sz w:val="24"/>
          <w:szCs w:val="24"/>
        </w:rPr>
        <w:t>Production Incentive</w:t>
      </w:r>
      <w:r w:rsidRPr="00E725AF">
        <w:rPr>
          <w:sz w:val="24"/>
          <w:szCs w:val="24"/>
        </w:rPr>
        <w:t>;</w:t>
      </w:r>
      <w:r w:rsidR="003210A3">
        <w:rPr>
          <w:sz w:val="24"/>
          <w:szCs w:val="24"/>
        </w:rPr>
        <w:t xml:space="preserve"> and (4</w:t>
      </w:r>
      <w:r w:rsidRPr="00E725AF">
        <w:rPr>
          <w:sz w:val="24"/>
          <w:szCs w:val="24"/>
        </w:rPr>
        <w:t>) Miscellaneous</w:t>
      </w:r>
      <w:r w:rsidR="003210A3">
        <w:rPr>
          <w:sz w:val="24"/>
          <w:szCs w:val="24"/>
        </w:rPr>
        <w:t xml:space="preserve"> Issues.   </w:t>
      </w:r>
      <w:r w:rsidRPr="00E725AF">
        <w:rPr>
          <w:sz w:val="24"/>
          <w:szCs w:val="24"/>
        </w:rPr>
        <w:t>The</w:t>
      </w:r>
      <w:r w:rsidR="003210A3">
        <w:rPr>
          <w:sz w:val="24"/>
          <w:szCs w:val="24"/>
        </w:rPr>
        <w:t xml:space="preserve"> Settling</w:t>
      </w:r>
      <w:r w:rsidRPr="00E725AF">
        <w:rPr>
          <w:sz w:val="24"/>
          <w:szCs w:val="24"/>
        </w:rPr>
        <w:t xml:space="preserve"> Parties</w:t>
      </w:r>
      <w:r w:rsidR="00A12C87">
        <w:rPr>
          <w:sz w:val="24"/>
          <w:szCs w:val="24"/>
        </w:rPr>
        <w:t xml:space="preserve"> have</w:t>
      </w:r>
      <w:r w:rsidRPr="00E725AF">
        <w:rPr>
          <w:sz w:val="24"/>
          <w:szCs w:val="24"/>
        </w:rPr>
        <w:t xml:space="preserve"> specifically agreed to the following </w:t>
      </w:r>
      <w:r w:rsidR="00224807">
        <w:rPr>
          <w:sz w:val="24"/>
          <w:szCs w:val="24"/>
        </w:rPr>
        <w:t>s</w:t>
      </w:r>
      <w:r w:rsidRPr="00E725AF">
        <w:rPr>
          <w:sz w:val="24"/>
          <w:szCs w:val="24"/>
        </w:rPr>
        <w:t>ettlement terms, as provided below</w:t>
      </w:r>
      <w:r w:rsidR="00201E86">
        <w:rPr>
          <w:sz w:val="24"/>
          <w:szCs w:val="24"/>
        </w:rPr>
        <w:t>:</w:t>
      </w:r>
    </w:p>
    <w:p w:rsidR="00B25259" w:rsidRDefault="00B25259" w:rsidP="00CD5C18">
      <w:pPr>
        <w:spacing w:line="360" w:lineRule="auto"/>
        <w:ind w:firstLine="1440"/>
        <w:rPr>
          <w:sz w:val="24"/>
          <w:szCs w:val="24"/>
        </w:rPr>
      </w:pPr>
    </w:p>
    <w:p w:rsidR="00B25259" w:rsidRPr="00B25259" w:rsidRDefault="00201E86" w:rsidP="00B25259">
      <w:pPr>
        <w:pStyle w:val="Heading1"/>
        <w:keepNext/>
        <w:numPr>
          <w:ilvl w:val="0"/>
          <w:numId w:val="0"/>
        </w:numPr>
        <w:ind w:left="720" w:hanging="720"/>
        <w:rPr>
          <w:b w:val="0"/>
        </w:rPr>
      </w:pPr>
      <w:r>
        <w:rPr>
          <w:b w:val="0"/>
          <w:u w:val="none"/>
        </w:rPr>
        <w:tab/>
      </w:r>
      <w:r w:rsidR="00B25259" w:rsidRPr="00B25259">
        <w:rPr>
          <w:b w:val="0"/>
        </w:rPr>
        <w:t>SETTLEMENT TERMS</w:t>
      </w:r>
    </w:p>
    <w:p w:rsidR="00B25259" w:rsidRPr="00B25259" w:rsidRDefault="00B25259" w:rsidP="00B25259">
      <w:pPr>
        <w:pStyle w:val="Heading2"/>
        <w:keepNext/>
        <w:rPr>
          <w:b w:val="0"/>
        </w:rPr>
      </w:pPr>
      <w:r w:rsidRPr="00B25259">
        <w:rPr>
          <w:b w:val="0"/>
        </w:rPr>
        <w:t>CAPACITY LEVELS</w:t>
      </w:r>
    </w:p>
    <w:p w:rsidR="00B25259" w:rsidRPr="00407DBA" w:rsidRDefault="00201E86" w:rsidP="00201E86">
      <w:pPr>
        <w:pStyle w:val="Heading3"/>
        <w:numPr>
          <w:ilvl w:val="0"/>
          <w:numId w:val="0"/>
        </w:numPr>
        <w:ind w:left="1440" w:right="720" w:hanging="720"/>
        <w:rPr>
          <w:b w:val="0"/>
        </w:rPr>
      </w:pPr>
      <w:r>
        <w:tab/>
      </w:r>
      <w:r w:rsidR="00B25259" w:rsidRPr="00B25259">
        <w:rPr>
          <w:b w:val="0"/>
        </w:rPr>
        <w:t xml:space="preserve">1.  The </w:t>
      </w:r>
      <w:r w:rsidR="00407DBA">
        <w:rPr>
          <w:b w:val="0"/>
        </w:rPr>
        <w:t xml:space="preserve">Settling </w:t>
      </w:r>
      <w:r w:rsidR="00B25259" w:rsidRPr="00B25259">
        <w:rPr>
          <w:b w:val="0"/>
        </w:rPr>
        <w:t xml:space="preserve">Parties have agreed that the total level of capacity proposed for the Peoples and Peoples-Equitable Divisions for the projected period commencing October 1, 2016 (which includes 10,000 </w:t>
      </w:r>
      <w:proofErr w:type="spellStart"/>
      <w:r w:rsidR="00B25259" w:rsidRPr="00B25259">
        <w:rPr>
          <w:b w:val="0"/>
        </w:rPr>
        <w:t>Dth</w:t>
      </w:r>
      <w:proofErr w:type="spellEnd"/>
      <w:r w:rsidR="00B25259" w:rsidRPr="00B25259">
        <w:rPr>
          <w:b w:val="0"/>
        </w:rPr>
        <w:t xml:space="preserve">/day of </w:t>
      </w:r>
      <w:proofErr w:type="spellStart"/>
      <w:r w:rsidR="00B25259" w:rsidRPr="00B25259">
        <w:rPr>
          <w:b w:val="0"/>
        </w:rPr>
        <w:t>Equitrans</w:t>
      </w:r>
      <w:proofErr w:type="spellEnd"/>
      <w:r w:rsidR="00B25259" w:rsidRPr="00B25259">
        <w:rPr>
          <w:b w:val="0"/>
        </w:rPr>
        <w:t xml:space="preserve"> storage and related transportation capacity released to Peoples by Peoples TWP beginning April 1, 2016), is appropriate and should be approved.  The Settling Parties have agreed that the Settlement Agreement is not intended to approve any methodology for determining capacity requirements or design day criteria in any future proceeding.  </w:t>
      </w:r>
      <w:proofErr w:type="gramStart"/>
      <w:r w:rsidR="00B25259" w:rsidRPr="00407DBA">
        <w:rPr>
          <w:b w:val="0"/>
        </w:rPr>
        <w:t>(Settlement Petition ¶ 29.)</w:t>
      </w:r>
      <w:proofErr w:type="gramEnd"/>
    </w:p>
    <w:p w:rsidR="00B25259" w:rsidRPr="00B25259" w:rsidRDefault="00B25259" w:rsidP="00B25259">
      <w:pPr>
        <w:pStyle w:val="Heading2"/>
        <w:rPr>
          <w:b w:val="0"/>
        </w:rPr>
      </w:pPr>
      <w:r w:rsidRPr="00B25259">
        <w:rPr>
          <w:b w:val="0"/>
        </w:rPr>
        <w:t xml:space="preserve">retainage AND LOST AND UNACCOUNTED FOR GAS </w:t>
      </w:r>
    </w:p>
    <w:p w:rsidR="00B25259" w:rsidRPr="00407DBA" w:rsidRDefault="00201E86" w:rsidP="00201E86">
      <w:pPr>
        <w:pStyle w:val="Heading3"/>
        <w:numPr>
          <w:ilvl w:val="0"/>
          <w:numId w:val="0"/>
        </w:numPr>
        <w:ind w:left="1440" w:right="720" w:hanging="720"/>
        <w:rPr>
          <w:b w:val="0"/>
        </w:rPr>
      </w:pPr>
      <w:r>
        <w:rPr>
          <w:b w:val="0"/>
        </w:rPr>
        <w:tab/>
      </w:r>
      <w:r w:rsidR="00A12C87">
        <w:rPr>
          <w:b w:val="0"/>
        </w:rPr>
        <w:t>2.</w:t>
      </w:r>
      <w:r w:rsidR="00A12C87">
        <w:rPr>
          <w:b w:val="0"/>
        </w:rPr>
        <w:tab/>
      </w:r>
      <w:r w:rsidR="00B25259">
        <w:rPr>
          <w:b w:val="0"/>
        </w:rPr>
        <w:t xml:space="preserve"> </w:t>
      </w:r>
      <w:r w:rsidR="00B25259" w:rsidRPr="00B25259">
        <w:rPr>
          <w:b w:val="0"/>
        </w:rPr>
        <w:t>The Settling Parties have agreed that effective October 1, 2016, the tariffed retainage rate for all rate classes of both the Peoples and Peoples-Equitable Divisions shall be 5.25% as presented in Peoples Statement No. 1-R.</w:t>
      </w:r>
      <w:r w:rsidR="00B25259">
        <w:t xml:space="preserve">  </w:t>
      </w:r>
      <w:proofErr w:type="gramStart"/>
      <w:r w:rsidR="00B25259" w:rsidRPr="00407DBA">
        <w:rPr>
          <w:b w:val="0"/>
        </w:rPr>
        <w:t>(Settlement Petition ¶ 30.)</w:t>
      </w:r>
      <w:proofErr w:type="gramEnd"/>
    </w:p>
    <w:p w:rsidR="00BA4E4E" w:rsidRPr="00407DBA" w:rsidRDefault="00B25259" w:rsidP="00201E86">
      <w:pPr>
        <w:pStyle w:val="Heading3"/>
        <w:numPr>
          <w:ilvl w:val="0"/>
          <w:numId w:val="0"/>
        </w:numPr>
        <w:ind w:left="1440" w:right="720" w:hanging="720"/>
        <w:rPr>
          <w:b w:val="0"/>
        </w:rPr>
      </w:pPr>
      <w:r>
        <w:tab/>
      </w:r>
      <w:r w:rsidR="00A12C87" w:rsidRPr="00A12C87">
        <w:rPr>
          <w:b w:val="0"/>
        </w:rPr>
        <w:t>3.</w:t>
      </w:r>
      <w:r w:rsidR="00A12C87">
        <w:tab/>
      </w:r>
      <w:r w:rsidRPr="00B25259">
        <w:rPr>
          <w:b w:val="0"/>
        </w:rPr>
        <w:t>In the 1307(f)-2017 Filing, the Compan</w:t>
      </w:r>
      <w:r w:rsidR="003D5EF4">
        <w:rPr>
          <w:b w:val="0"/>
        </w:rPr>
        <w:t>y</w:t>
      </w:r>
      <w:r w:rsidRPr="00B25259">
        <w:rPr>
          <w:b w:val="0"/>
        </w:rPr>
        <w:t xml:space="preserve"> will provide a reconciliation of the volumes used to calculate retainage in the 1307(f) filing with the volumes reported in the annual Lost and Unaccounted for Gas (UFG) report</w:t>
      </w:r>
      <w:r w:rsidRPr="00407DBA">
        <w:rPr>
          <w:b w:val="0"/>
        </w:rPr>
        <w:t>.</w:t>
      </w:r>
      <w:r w:rsidR="00BA4E4E" w:rsidRPr="00407DBA">
        <w:rPr>
          <w:b w:val="0"/>
        </w:rPr>
        <w:t xml:space="preserve">  </w:t>
      </w:r>
      <w:proofErr w:type="gramStart"/>
      <w:r w:rsidR="00BA4E4E" w:rsidRPr="00407DBA">
        <w:rPr>
          <w:b w:val="0"/>
        </w:rPr>
        <w:t>(Settlement Petition ¶ 31.)</w:t>
      </w:r>
      <w:proofErr w:type="gramEnd"/>
    </w:p>
    <w:p w:rsidR="00BA4E4E" w:rsidRPr="00407DBA" w:rsidRDefault="00BA4E4E" w:rsidP="00201E86">
      <w:pPr>
        <w:pStyle w:val="Heading3"/>
        <w:numPr>
          <w:ilvl w:val="0"/>
          <w:numId w:val="0"/>
        </w:numPr>
        <w:ind w:left="1440" w:right="720" w:hanging="720"/>
        <w:rPr>
          <w:b w:val="0"/>
        </w:rPr>
      </w:pPr>
      <w:r>
        <w:rPr>
          <w:b w:val="0"/>
        </w:rPr>
        <w:tab/>
      </w:r>
      <w:r w:rsidR="00A12C87">
        <w:rPr>
          <w:b w:val="0"/>
        </w:rPr>
        <w:t>4.</w:t>
      </w:r>
      <w:r w:rsidR="00A12C87">
        <w:rPr>
          <w:b w:val="0"/>
        </w:rPr>
        <w:tab/>
      </w:r>
      <w:r w:rsidR="00B25259" w:rsidRPr="00B25259">
        <w:rPr>
          <w:b w:val="0"/>
        </w:rPr>
        <w:t>The newly negotiated waivers of retainage contained in Highly Confidential Peoples Exhibit No. 4 should be approved.</w:t>
      </w:r>
      <w:r>
        <w:rPr>
          <w:b w:val="0"/>
        </w:rPr>
        <w:t xml:space="preserve">  </w:t>
      </w:r>
      <w:proofErr w:type="gramStart"/>
      <w:r w:rsidRPr="00407DBA">
        <w:rPr>
          <w:b w:val="0"/>
        </w:rPr>
        <w:t>(Settlement Petition ¶ 32.)</w:t>
      </w:r>
      <w:proofErr w:type="gramEnd"/>
    </w:p>
    <w:p w:rsidR="00BA4E4E" w:rsidRPr="00407DBA" w:rsidRDefault="00A12C87" w:rsidP="00201E86">
      <w:pPr>
        <w:pStyle w:val="Heading3"/>
        <w:numPr>
          <w:ilvl w:val="0"/>
          <w:numId w:val="0"/>
        </w:numPr>
        <w:ind w:left="1440" w:right="720"/>
        <w:rPr>
          <w:b w:val="0"/>
        </w:rPr>
      </w:pPr>
      <w:r>
        <w:rPr>
          <w:b w:val="0"/>
        </w:rPr>
        <w:t>5.</w:t>
      </w:r>
      <w:r>
        <w:rPr>
          <w:b w:val="0"/>
        </w:rPr>
        <w:tab/>
      </w:r>
      <w:r w:rsidR="00B25259" w:rsidRPr="00BA4E4E">
        <w:rPr>
          <w:b w:val="0"/>
        </w:rPr>
        <w:t xml:space="preserve">For new or renegotiated contracts entered into before September 30, 2017, retainage for customers with negotiated delivery rates above $0.38 per </w:t>
      </w:r>
      <w:proofErr w:type="spellStart"/>
      <w:r w:rsidR="00B25259" w:rsidRPr="00BA4E4E">
        <w:rPr>
          <w:b w:val="0"/>
        </w:rPr>
        <w:t>Mcf</w:t>
      </w:r>
      <w:proofErr w:type="spellEnd"/>
      <w:r w:rsidR="00B25259" w:rsidRPr="00BA4E4E">
        <w:rPr>
          <w:b w:val="0"/>
        </w:rPr>
        <w:t xml:space="preserve"> will not be discounted from the full tariff retainage rate at a greater percentage than the delivery rate is discounted from the applicable full tariff delivery rate.</w:t>
      </w:r>
      <w:r w:rsidR="00B25259" w:rsidRPr="006304C2">
        <w:t xml:space="preserve"> </w:t>
      </w:r>
      <w:proofErr w:type="gramStart"/>
      <w:r w:rsidR="00BA4E4E" w:rsidRPr="00407DBA">
        <w:rPr>
          <w:b w:val="0"/>
        </w:rPr>
        <w:t>(Settlement Petition ¶ 33.)</w:t>
      </w:r>
      <w:proofErr w:type="gramEnd"/>
    </w:p>
    <w:p w:rsidR="00BA4E4E" w:rsidRPr="00407DBA" w:rsidRDefault="00A12C87" w:rsidP="00201E86">
      <w:pPr>
        <w:pStyle w:val="Heading3"/>
        <w:numPr>
          <w:ilvl w:val="0"/>
          <w:numId w:val="0"/>
        </w:numPr>
        <w:ind w:left="1440" w:right="720"/>
        <w:rPr>
          <w:b w:val="0"/>
        </w:rPr>
      </w:pPr>
      <w:r>
        <w:rPr>
          <w:b w:val="0"/>
        </w:rPr>
        <w:t>6.</w:t>
      </w:r>
      <w:r>
        <w:rPr>
          <w:b w:val="0"/>
        </w:rPr>
        <w:tab/>
      </w:r>
      <w:r w:rsidR="00B25259" w:rsidRPr="00BA4E4E">
        <w:rPr>
          <w:b w:val="0"/>
        </w:rPr>
        <w:t xml:space="preserve">It is acknowledged </w:t>
      </w:r>
      <w:r w:rsidR="00BA4E4E" w:rsidRPr="00BA4E4E">
        <w:rPr>
          <w:b w:val="0"/>
        </w:rPr>
        <w:t xml:space="preserve">by the Settling Parties </w:t>
      </w:r>
      <w:r w:rsidR="00B25259" w:rsidRPr="00BA4E4E">
        <w:rPr>
          <w:b w:val="0"/>
        </w:rPr>
        <w:t xml:space="preserve">that Peoples’ UFG percentage for the 12-month period ending August 31, 2015 is in compliance with the Commission’s regulations at 52 Pa. Code </w:t>
      </w:r>
      <w:r w:rsidR="00B25259" w:rsidRPr="00BA4E4E">
        <w:rPr>
          <w:b w:val="0"/>
        </w:rPr>
        <w:lastRenderedPageBreak/>
        <w:t>§</w:t>
      </w:r>
      <w:r w:rsidR="00620CAF">
        <w:rPr>
          <w:b w:val="0"/>
        </w:rPr>
        <w:t> </w:t>
      </w:r>
      <w:r w:rsidR="00B25259" w:rsidRPr="00BA4E4E">
        <w:rPr>
          <w:b w:val="0"/>
        </w:rPr>
        <w:t>59.111(c)(1).  The Company commits to continue its efforts to reduce UFG.</w:t>
      </w:r>
      <w:r w:rsidR="00BA4E4E">
        <w:t xml:space="preserve">  </w:t>
      </w:r>
      <w:proofErr w:type="gramStart"/>
      <w:r w:rsidR="00BA4E4E" w:rsidRPr="00407DBA">
        <w:rPr>
          <w:b w:val="0"/>
        </w:rPr>
        <w:t>(Settlement Petition ¶ 34.)</w:t>
      </w:r>
      <w:proofErr w:type="gramEnd"/>
    </w:p>
    <w:p w:rsidR="00B25259" w:rsidRPr="005D32E9" w:rsidRDefault="00B25259" w:rsidP="00B25259">
      <w:pPr>
        <w:pStyle w:val="Heading2"/>
        <w:keepNext/>
        <w:rPr>
          <w:b w:val="0"/>
        </w:rPr>
      </w:pPr>
      <w:r w:rsidRPr="005D32E9">
        <w:rPr>
          <w:b w:val="0"/>
        </w:rPr>
        <w:t>PRODUCTION INCENTIVE</w:t>
      </w:r>
    </w:p>
    <w:p w:rsidR="008B42BE" w:rsidRPr="00407DBA" w:rsidRDefault="001D122A" w:rsidP="00201E86">
      <w:pPr>
        <w:pStyle w:val="Heading3"/>
        <w:numPr>
          <w:ilvl w:val="0"/>
          <w:numId w:val="0"/>
        </w:numPr>
        <w:ind w:left="1440" w:right="720" w:hanging="720"/>
        <w:rPr>
          <w:b w:val="0"/>
        </w:rPr>
      </w:pPr>
      <w:r>
        <w:rPr>
          <w:b w:val="0"/>
        </w:rPr>
        <w:tab/>
      </w:r>
      <w:r w:rsidR="00A12C87">
        <w:rPr>
          <w:b w:val="0"/>
        </w:rPr>
        <w:t>7.</w:t>
      </w:r>
      <w:r w:rsidR="00A12C87">
        <w:rPr>
          <w:b w:val="0"/>
        </w:rPr>
        <w:tab/>
      </w:r>
      <w:r w:rsidR="008B42BE">
        <w:rPr>
          <w:b w:val="0"/>
        </w:rPr>
        <w:t xml:space="preserve"> The Settling Parties have agreed that p</w:t>
      </w:r>
      <w:r w:rsidR="00B25259" w:rsidRPr="00BA4E4E">
        <w:rPr>
          <w:b w:val="0"/>
        </w:rPr>
        <w:t>roduction incentives, in the form of higher gas purchase prices, may be offered in discrete areas of the Company’s system that: (a) are experiencing declining receipts of local gas volumes, would improve service reliability with additional local gas volumes, and have no current economically viable alternative to receipts of local gas to serve customers; or (b) have limited sources of gas supply feeding the system, would improve service reliability with additional supply feeds, and have no current economically viable alternatives to such additional supply feeds in order to improve service reliability, all as described in Peoples Statement No. 2.</w:t>
      </w:r>
      <w:r w:rsidR="008B42BE">
        <w:rPr>
          <w:b w:val="0"/>
        </w:rPr>
        <w:t xml:space="preserve">  </w:t>
      </w:r>
      <w:proofErr w:type="gramStart"/>
      <w:r w:rsidR="008B42BE" w:rsidRPr="00407DBA">
        <w:rPr>
          <w:b w:val="0"/>
        </w:rPr>
        <w:t>(Settlement Petition ¶ 35.)</w:t>
      </w:r>
      <w:proofErr w:type="gramEnd"/>
    </w:p>
    <w:p w:rsidR="008B42BE" w:rsidRDefault="001D122A" w:rsidP="00A77482">
      <w:pPr>
        <w:pStyle w:val="Heading3"/>
        <w:numPr>
          <w:ilvl w:val="0"/>
          <w:numId w:val="0"/>
        </w:numPr>
        <w:spacing w:after="0"/>
        <w:ind w:left="1440" w:right="720" w:hanging="720"/>
        <w:rPr>
          <w:b w:val="0"/>
        </w:rPr>
      </w:pPr>
      <w:r>
        <w:rPr>
          <w:b w:val="0"/>
          <w:bCs w:val="0"/>
        </w:rPr>
        <w:tab/>
      </w:r>
      <w:r w:rsidR="00A12C87">
        <w:rPr>
          <w:b w:val="0"/>
          <w:bCs w:val="0"/>
        </w:rPr>
        <w:t>8.</w:t>
      </w:r>
      <w:r w:rsidR="00A12C87">
        <w:rPr>
          <w:b w:val="0"/>
          <w:bCs w:val="0"/>
        </w:rPr>
        <w:tab/>
      </w:r>
      <w:r w:rsidR="008B42BE">
        <w:rPr>
          <w:b w:val="0"/>
          <w:bCs w:val="0"/>
        </w:rPr>
        <w:t xml:space="preserve">The Settling Parties </w:t>
      </w:r>
      <w:r w:rsidR="00407DBA">
        <w:rPr>
          <w:b w:val="0"/>
          <w:bCs w:val="0"/>
        </w:rPr>
        <w:t xml:space="preserve">have </w:t>
      </w:r>
      <w:r w:rsidR="008B42BE">
        <w:rPr>
          <w:b w:val="0"/>
          <w:bCs w:val="0"/>
        </w:rPr>
        <w:t>agreed that, f</w:t>
      </w:r>
      <w:r w:rsidR="00B25259" w:rsidRPr="00BA4E4E">
        <w:rPr>
          <w:b w:val="0"/>
        </w:rPr>
        <w:t>or settlement purposes, the cost of any production incentive incurred during the 2017 1307(f) historic review period will be separately identified in the Company’s 2017 1307(f) filing.  The reasonableness of the Company’s production incentive calculation will be subject to review, and the allocation of production incentive costs to the various customer service classes (e.g., PGC and transportation service) will be addressed by the parties in the Company’s 2017 1307(f) filing.</w:t>
      </w:r>
      <w:r w:rsidR="008B42BE">
        <w:rPr>
          <w:b w:val="0"/>
          <w:bCs w:val="0"/>
        </w:rPr>
        <w:t xml:space="preserve">  </w:t>
      </w:r>
      <w:proofErr w:type="gramStart"/>
      <w:r w:rsidR="008B42BE" w:rsidRPr="00407DBA">
        <w:rPr>
          <w:b w:val="0"/>
        </w:rPr>
        <w:t>(Settlement Petition ¶ 36.)</w:t>
      </w:r>
      <w:proofErr w:type="gramEnd"/>
    </w:p>
    <w:p w:rsidR="00A77482" w:rsidRPr="00A77482" w:rsidRDefault="00A77482" w:rsidP="00A77482">
      <w:pPr>
        <w:pStyle w:val="BodyText2"/>
        <w:spacing w:after="0" w:line="240" w:lineRule="auto"/>
      </w:pPr>
    </w:p>
    <w:p w:rsidR="00B25259" w:rsidRDefault="00B25259" w:rsidP="00B3232D">
      <w:pPr>
        <w:pStyle w:val="Heading2"/>
        <w:keepNext/>
        <w:jc w:val="left"/>
      </w:pPr>
      <w:r>
        <w:t>MISCELLANEOUS</w:t>
      </w:r>
    </w:p>
    <w:p w:rsidR="00B25259" w:rsidRDefault="00EA50B3" w:rsidP="0029288A">
      <w:pPr>
        <w:pStyle w:val="ListNumber"/>
        <w:numPr>
          <w:ilvl w:val="0"/>
          <w:numId w:val="0"/>
        </w:numPr>
        <w:spacing w:line="240" w:lineRule="auto"/>
        <w:ind w:left="1440" w:right="720"/>
        <w:jc w:val="both"/>
      </w:pPr>
      <w:r>
        <w:t>9.</w:t>
      </w:r>
      <w:r>
        <w:tab/>
      </w:r>
      <w:r w:rsidR="007B2B6D">
        <w:t>E</w:t>
      </w:r>
      <w:r w:rsidR="00B25259">
        <w:t>xcept as revised by th</w:t>
      </w:r>
      <w:r w:rsidR="008B42BE">
        <w:t>e</w:t>
      </w:r>
      <w:r w:rsidR="00B25259">
        <w:t xml:space="preserve"> Settlement, the proposed rates and other requested approvals contained in the PGC filings of the Peoples and Peoples-Equitable Divisions of Peoples should be approved.  This approval includes the results of the Requests for Proposals (“RFPs”) issued in 2016 for TETCO and TGP delivered supply for the winters of 2016-2017 and 2017-2018.  Comparisons of the current rates and proposed changes in gas costs for sales customers are provided below:</w:t>
      </w:r>
    </w:p>
    <w:p w:rsidR="00657306" w:rsidRDefault="00657306" w:rsidP="005D32E9">
      <w:pPr>
        <w:pStyle w:val="ListNumber"/>
        <w:numPr>
          <w:ilvl w:val="0"/>
          <w:numId w:val="0"/>
        </w:numPr>
        <w:spacing w:line="360" w:lineRule="auto"/>
        <w:ind w:left="1440"/>
      </w:pPr>
    </w:p>
    <w:p w:rsidR="001C7229" w:rsidRDefault="001C7229" w:rsidP="005D32E9">
      <w:pPr>
        <w:pStyle w:val="ListNumber"/>
        <w:numPr>
          <w:ilvl w:val="0"/>
          <w:numId w:val="0"/>
        </w:numPr>
        <w:spacing w:line="360" w:lineRule="auto"/>
        <w:ind w:left="1440"/>
        <w:rPr>
          <w:b/>
          <w:u w:val="single"/>
        </w:rPr>
      </w:pPr>
      <w:r w:rsidRPr="001C7229">
        <w:rPr>
          <w:b/>
          <w:u w:val="single"/>
        </w:rPr>
        <w:t>Peoples Natural Gas</w:t>
      </w:r>
    </w:p>
    <w:p w:rsidR="001C7229" w:rsidRDefault="001C7229" w:rsidP="001C7229">
      <w:pPr>
        <w:pStyle w:val="ListNumber"/>
        <w:numPr>
          <w:ilvl w:val="0"/>
          <w:numId w:val="0"/>
        </w:numPr>
        <w:spacing w:line="240" w:lineRule="auto"/>
        <w:ind w:left="1440"/>
      </w:pPr>
      <w:r>
        <w:tab/>
      </w:r>
      <w:r>
        <w:tab/>
      </w:r>
      <w:r>
        <w:tab/>
        <w:t>Existing</w:t>
      </w:r>
      <w:r>
        <w:tab/>
      </w:r>
      <w:r>
        <w:tab/>
        <w:t>Gas Cost</w:t>
      </w:r>
      <w:r>
        <w:tab/>
        <w:t>Percent</w:t>
      </w:r>
    </w:p>
    <w:p w:rsidR="001C7229" w:rsidRDefault="001C7229" w:rsidP="001C7229">
      <w:pPr>
        <w:pStyle w:val="ListNumber"/>
        <w:numPr>
          <w:ilvl w:val="0"/>
          <w:numId w:val="0"/>
        </w:numPr>
        <w:spacing w:line="240" w:lineRule="auto"/>
        <w:ind w:left="1440"/>
      </w:pPr>
      <w:r>
        <w:t>Rate Schedule</w:t>
      </w:r>
      <w:r>
        <w:tab/>
      </w:r>
      <w:r>
        <w:tab/>
        <w:t>Tariff Rates 1/</w:t>
      </w:r>
      <w:r>
        <w:tab/>
      </w:r>
      <w:r>
        <w:tab/>
        <w:t>Change 2/</w:t>
      </w:r>
      <w:r>
        <w:tab/>
        <w:t>Change</w:t>
      </w:r>
    </w:p>
    <w:p w:rsidR="001C7229" w:rsidRDefault="001C7229" w:rsidP="001C7229">
      <w:pPr>
        <w:pStyle w:val="ListNumber"/>
        <w:numPr>
          <w:ilvl w:val="0"/>
          <w:numId w:val="0"/>
        </w:numPr>
        <w:spacing w:line="240" w:lineRule="auto"/>
        <w:ind w:left="1440"/>
      </w:pPr>
    </w:p>
    <w:p w:rsidR="001C7229" w:rsidRDefault="001C7229" w:rsidP="007831C0">
      <w:pPr>
        <w:pStyle w:val="ListNumber"/>
        <w:numPr>
          <w:ilvl w:val="0"/>
          <w:numId w:val="0"/>
        </w:numPr>
        <w:spacing w:line="240" w:lineRule="auto"/>
        <w:ind w:left="1440"/>
        <w:jc w:val="both"/>
      </w:pPr>
      <w:r>
        <w:t>RS</w:t>
      </w:r>
      <w:r>
        <w:tab/>
      </w:r>
      <w:r>
        <w:tab/>
      </w:r>
      <w:r w:rsidR="007831C0">
        <w:tab/>
      </w:r>
      <w:r>
        <w:t>$6.6515</w:t>
      </w:r>
      <w:r>
        <w:tab/>
      </w:r>
      <w:r>
        <w:tab/>
        <w:t>$0.5145</w:t>
      </w:r>
      <w:r>
        <w:tab/>
        <w:t>7.7%</w:t>
      </w:r>
    </w:p>
    <w:p w:rsidR="001C7229" w:rsidRDefault="001C7229" w:rsidP="001C7229">
      <w:pPr>
        <w:pStyle w:val="ListNumber"/>
        <w:numPr>
          <w:ilvl w:val="0"/>
          <w:numId w:val="0"/>
        </w:numPr>
        <w:spacing w:line="240" w:lineRule="auto"/>
        <w:ind w:left="1440"/>
      </w:pPr>
      <w:r>
        <w:t>SGS</w:t>
      </w:r>
      <w:r w:rsidR="007831C0">
        <w:t xml:space="preserve"> </w:t>
      </w:r>
      <w:r>
        <w:t>-</w:t>
      </w:r>
      <w:r w:rsidR="007831C0">
        <w:t xml:space="preserve"> </w:t>
      </w:r>
      <w:r>
        <w:t>Commercial</w:t>
      </w:r>
      <w:r>
        <w:tab/>
        <w:t>$5.3280</w:t>
      </w:r>
      <w:r>
        <w:tab/>
      </w:r>
      <w:r>
        <w:tab/>
        <w:t>$0.4356</w:t>
      </w:r>
      <w:r>
        <w:tab/>
        <w:t>8.2%</w:t>
      </w:r>
    </w:p>
    <w:p w:rsidR="007831C0" w:rsidRDefault="007831C0" w:rsidP="001C7229">
      <w:pPr>
        <w:pStyle w:val="ListNumber"/>
        <w:numPr>
          <w:ilvl w:val="0"/>
          <w:numId w:val="0"/>
        </w:numPr>
        <w:spacing w:line="240" w:lineRule="auto"/>
        <w:ind w:left="1440"/>
      </w:pPr>
      <w:r>
        <w:t>SGS - Industrial</w:t>
      </w:r>
      <w:r>
        <w:tab/>
        <w:t>$4.8793</w:t>
      </w:r>
      <w:r>
        <w:tab/>
      </w:r>
      <w:r>
        <w:tab/>
        <w:t>$0.4356</w:t>
      </w:r>
      <w:r>
        <w:tab/>
        <w:t>8.9%</w:t>
      </w:r>
    </w:p>
    <w:p w:rsidR="0071741D" w:rsidRDefault="0071741D" w:rsidP="001C7229">
      <w:pPr>
        <w:pStyle w:val="ListNumber"/>
        <w:numPr>
          <w:ilvl w:val="0"/>
          <w:numId w:val="0"/>
        </w:numPr>
        <w:spacing w:line="240" w:lineRule="auto"/>
        <w:ind w:left="1440"/>
      </w:pPr>
      <w:r>
        <w:t>MGS - Commercial</w:t>
      </w:r>
      <w:r>
        <w:tab/>
        <w:t>$5.1561</w:t>
      </w:r>
      <w:r>
        <w:tab/>
      </w:r>
      <w:r>
        <w:tab/>
        <w:t>$0.3907</w:t>
      </w:r>
      <w:r>
        <w:tab/>
        <w:t>7.6%</w:t>
      </w:r>
    </w:p>
    <w:p w:rsidR="0071741D" w:rsidRDefault="0071741D" w:rsidP="001C7229">
      <w:pPr>
        <w:pStyle w:val="ListNumber"/>
        <w:numPr>
          <w:ilvl w:val="0"/>
          <w:numId w:val="0"/>
        </w:numPr>
        <w:spacing w:line="240" w:lineRule="auto"/>
        <w:ind w:left="1440"/>
      </w:pPr>
      <w:r>
        <w:t>MGS - Industrial</w:t>
      </w:r>
      <w:r>
        <w:tab/>
        <w:t>$4.4636</w:t>
      </w:r>
      <w:r>
        <w:tab/>
      </w:r>
      <w:r>
        <w:tab/>
        <w:t>$0.3908</w:t>
      </w:r>
      <w:r>
        <w:tab/>
        <w:t>8.8%</w:t>
      </w:r>
    </w:p>
    <w:p w:rsidR="0071741D" w:rsidRDefault="0071741D" w:rsidP="001C7229">
      <w:pPr>
        <w:pStyle w:val="ListNumber"/>
        <w:numPr>
          <w:ilvl w:val="0"/>
          <w:numId w:val="0"/>
        </w:numPr>
        <w:spacing w:line="240" w:lineRule="auto"/>
        <w:ind w:left="1440"/>
      </w:pPr>
      <w:r>
        <w:t>LGS - Commercial</w:t>
      </w:r>
      <w:r>
        <w:tab/>
        <w:t>$5.2288</w:t>
      </w:r>
      <w:r>
        <w:tab/>
      </w:r>
      <w:r>
        <w:tab/>
        <w:t>$0.4527</w:t>
      </w:r>
      <w:r>
        <w:tab/>
        <w:t>8.7%</w:t>
      </w:r>
    </w:p>
    <w:p w:rsidR="0071741D" w:rsidRDefault="0071741D" w:rsidP="001C7229">
      <w:pPr>
        <w:pStyle w:val="ListNumber"/>
        <w:numPr>
          <w:ilvl w:val="0"/>
          <w:numId w:val="0"/>
        </w:numPr>
        <w:spacing w:line="240" w:lineRule="auto"/>
        <w:ind w:left="1440"/>
      </w:pPr>
      <w:r>
        <w:t>LGS - Industrial</w:t>
      </w:r>
      <w:r>
        <w:tab/>
        <w:t>$4.5677</w:t>
      </w:r>
      <w:r>
        <w:tab/>
      </w:r>
      <w:r>
        <w:tab/>
        <w:t>$0.4527</w:t>
      </w:r>
      <w:r>
        <w:tab/>
        <w:t>9.9%</w:t>
      </w:r>
    </w:p>
    <w:p w:rsidR="0071741D" w:rsidRDefault="0071741D" w:rsidP="001C7229">
      <w:pPr>
        <w:pStyle w:val="ListNumber"/>
        <w:numPr>
          <w:ilvl w:val="0"/>
          <w:numId w:val="0"/>
        </w:numPr>
        <w:spacing w:line="240" w:lineRule="auto"/>
        <w:ind w:left="1440"/>
      </w:pPr>
      <w:r>
        <w:lastRenderedPageBreak/>
        <w:t>1/  Peoples net billing rate effective March 1, 2016</w:t>
      </w:r>
    </w:p>
    <w:p w:rsidR="0071741D" w:rsidRDefault="0071741D" w:rsidP="001C7229">
      <w:pPr>
        <w:pStyle w:val="ListNumber"/>
        <w:numPr>
          <w:ilvl w:val="0"/>
          <w:numId w:val="0"/>
        </w:numPr>
        <w:spacing w:line="240" w:lineRule="auto"/>
        <w:ind w:left="1440"/>
      </w:pPr>
      <w:r>
        <w:t>2/  Reflects the proposed gas cost rate change and the settlement rate change</w:t>
      </w:r>
    </w:p>
    <w:p w:rsidR="006B33B8" w:rsidRDefault="006B33B8" w:rsidP="001C7229">
      <w:pPr>
        <w:pStyle w:val="ListNumber"/>
        <w:numPr>
          <w:ilvl w:val="0"/>
          <w:numId w:val="0"/>
        </w:numPr>
        <w:spacing w:line="240" w:lineRule="auto"/>
        <w:ind w:left="1440"/>
      </w:pPr>
    </w:p>
    <w:p w:rsidR="00764474" w:rsidRDefault="00764474" w:rsidP="00764474">
      <w:pPr>
        <w:pStyle w:val="ListNumber"/>
        <w:numPr>
          <w:ilvl w:val="0"/>
          <w:numId w:val="0"/>
        </w:numPr>
        <w:spacing w:line="240" w:lineRule="auto"/>
        <w:ind w:left="1440"/>
        <w:rPr>
          <w:b/>
          <w:u w:val="single"/>
        </w:rPr>
      </w:pPr>
    </w:p>
    <w:p w:rsidR="006B33B8" w:rsidRDefault="006B33B8" w:rsidP="006B33B8">
      <w:pPr>
        <w:pStyle w:val="ListNumber"/>
        <w:numPr>
          <w:ilvl w:val="0"/>
          <w:numId w:val="0"/>
        </w:numPr>
        <w:spacing w:line="360" w:lineRule="auto"/>
        <w:ind w:left="1440"/>
        <w:rPr>
          <w:b/>
          <w:u w:val="single"/>
        </w:rPr>
      </w:pPr>
      <w:r w:rsidRPr="001C7229">
        <w:rPr>
          <w:b/>
          <w:u w:val="single"/>
        </w:rPr>
        <w:t>Peoples Natural Gas</w:t>
      </w:r>
      <w:r>
        <w:rPr>
          <w:b/>
          <w:u w:val="single"/>
        </w:rPr>
        <w:t xml:space="preserve"> - Equitable Division</w:t>
      </w:r>
    </w:p>
    <w:p w:rsidR="006B33B8" w:rsidRDefault="006B33B8" w:rsidP="006B33B8">
      <w:pPr>
        <w:pStyle w:val="ListNumber"/>
        <w:numPr>
          <w:ilvl w:val="0"/>
          <w:numId w:val="0"/>
        </w:numPr>
        <w:spacing w:line="240" w:lineRule="auto"/>
        <w:ind w:left="1440"/>
      </w:pPr>
      <w:r>
        <w:tab/>
      </w:r>
      <w:r>
        <w:tab/>
      </w:r>
      <w:r>
        <w:tab/>
        <w:t>Existing</w:t>
      </w:r>
      <w:r>
        <w:tab/>
      </w:r>
      <w:r>
        <w:tab/>
        <w:t>Gas Cost</w:t>
      </w:r>
      <w:r>
        <w:tab/>
        <w:t>Percent</w:t>
      </w:r>
    </w:p>
    <w:p w:rsidR="006B33B8" w:rsidRDefault="006B33B8" w:rsidP="006B33B8">
      <w:pPr>
        <w:pStyle w:val="ListNumber"/>
        <w:numPr>
          <w:ilvl w:val="0"/>
          <w:numId w:val="0"/>
        </w:numPr>
        <w:spacing w:line="240" w:lineRule="auto"/>
        <w:ind w:left="1440"/>
      </w:pPr>
      <w:r>
        <w:t>Rate Schedule</w:t>
      </w:r>
      <w:r>
        <w:tab/>
      </w:r>
      <w:r>
        <w:tab/>
        <w:t>Tariff Rates 1/</w:t>
      </w:r>
      <w:r>
        <w:tab/>
      </w:r>
      <w:r>
        <w:tab/>
        <w:t>Change 2/</w:t>
      </w:r>
      <w:r>
        <w:tab/>
        <w:t>Change</w:t>
      </w:r>
    </w:p>
    <w:p w:rsidR="006B33B8" w:rsidRDefault="006B33B8" w:rsidP="006B33B8">
      <w:pPr>
        <w:pStyle w:val="ListNumber"/>
        <w:numPr>
          <w:ilvl w:val="0"/>
          <w:numId w:val="0"/>
        </w:numPr>
        <w:spacing w:line="240" w:lineRule="auto"/>
        <w:ind w:left="1440"/>
      </w:pPr>
    </w:p>
    <w:p w:rsidR="006B33B8" w:rsidRDefault="006B33B8" w:rsidP="006B33B8">
      <w:pPr>
        <w:pStyle w:val="ListNumber"/>
        <w:numPr>
          <w:ilvl w:val="0"/>
          <w:numId w:val="0"/>
        </w:numPr>
        <w:spacing w:line="240" w:lineRule="auto"/>
        <w:ind w:left="1440"/>
        <w:jc w:val="both"/>
      </w:pPr>
      <w:r>
        <w:t>RS</w:t>
      </w:r>
      <w:r>
        <w:tab/>
      </w:r>
      <w:r>
        <w:tab/>
      </w:r>
      <w:r>
        <w:tab/>
        <w:t>$6.3246</w:t>
      </w:r>
      <w:r>
        <w:tab/>
      </w:r>
      <w:r>
        <w:tab/>
        <w:t>$0.5137</w:t>
      </w:r>
      <w:r>
        <w:tab/>
        <w:t>8.1%</w:t>
      </w:r>
    </w:p>
    <w:p w:rsidR="006B33B8" w:rsidRDefault="006B33B8" w:rsidP="006B33B8">
      <w:pPr>
        <w:pStyle w:val="ListNumber"/>
        <w:numPr>
          <w:ilvl w:val="0"/>
          <w:numId w:val="0"/>
        </w:numPr>
        <w:spacing w:line="240" w:lineRule="auto"/>
        <w:ind w:left="1440"/>
      </w:pPr>
      <w:r>
        <w:t>GSS</w:t>
      </w:r>
      <w:r>
        <w:tab/>
      </w:r>
      <w:r>
        <w:tab/>
      </w:r>
      <w:r>
        <w:tab/>
        <w:t>$5.5073</w:t>
      </w:r>
      <w:r>
        <w:tab/>
      </w:r>
      <w:r>
        <w:tab/>
        <w:t>$0.4354</w:t>
      </w:r>
      <w:r>
        <w:tab/>
        <w:t>7.9%</w:t>
      </w:r>
    </w:p>
    <w:p w:rsidR="006B33B8" w:rsidRDefault="006B33B8" w:rsidP="006B33B8">
      <w:pPr>
        <w:pStyle w:val="ListNumber"/>
        <w:numPr>
          <w:ilvl w:val="0"/>
          <w:numId w:val="0"/>
        </w:numPr>
        <w:spacing w:line="240" w:lineRule="auto"/>
        <w:ind w:left="1440"/>
      </w:pPr>
      <w:r>
        <w:t>GSL</w:t>
      </w:r>
      <w:r>
        <w:tab/>
      </w:r>
      <w:r>
        <w:tab/>
      </w:r>
      <w:r>
        <w:tab/>
        <w:t>$5.2475</w:t>
      </w:r>
      <w:r>
        <w:tab/>
      </w:r>
      <w:r>
        <w:tab/>
        <w:t>$0.3906</w:t>
      </w:r>
      <w:r>
        <w:tab/>
        <w:t>7.4%</w:t>
      </w:r>
    </w:p>
    <w:p w:rsidR="006B33B8" w:rsidRDefault="006B33B8" w:rsidP="006B33B8">
      <w:pPr>
        <w:pStyle w:val="ListNumber"/>
        <w:numPr>
          <w:ilvl w:val="0"/>
          <w:numId w:val="0"/>
        </w:numPr>
        <w:spacing w:line="240" w:lineRule="auto"/>
        <w:ind w:left="1440"/>
      </w:pPr>
      <w:r>
        <w:t xml:space="preserve">GSL &gt; 25,000 </w:t>
      </w:r>
      <w:proofErr w:type="spellStart"/>
      <w:r>
        <w:t>Mcf</w:t>
      </w:r>
      <w:proofErr w:type="spellEnd"/>
      <w:r>
        <w:t>/</w:t>
      </w:r>
      <w:proofErr w:type="spellStart"/>
      <w:r>
        <w:t>yr</w:t>
      </w:r>
      <w:proofErr w:type="spellEnd"/>
      <w:r>
        <w:tab/>
        <w:t>$5.1114</w:t>
      </w:r>
      <w:r>
        <w:tab/>
      </w:r>
      <w:r>
        <w:tab/>
        <w:t>$0.4525</w:t>
      </w:r>
      <w:r>
        <w:tab/>
        <w:t>8.9%</w:t>
      </w:r>
    </w:p>
    <w:p w:rsidR="006B33B8" w:rsidRDefault="006B33B8" w:rsidP="006B33B8">
      <w:pPr>
        <w:pStyle w:val="ListNumber"/>
        <w:numPr>
          <w:ilvl w:val="0"/>
          <w:numId w:val="0"/>
        </w:numPr>
        <w:spacing w:line="240" w:lineRule="auto"/>
        <w:ind w:left="1440"/>
      </w:pPr>
    </w:p>
    <w:p w:rsidR="006B33B8" w:rsidRDefault="006B33B8" w:rsidP="006B33B8">
      <w:pPr>
        <w:pStyle w:val="ListNumber"/>
        <w:numPr>
          <w:ilvl w:val="0"/>
          <w:numId w:val="0"/>
        </w:numPr>
        <w:spacing w:line="240" w:lineRule="auto"/>
        <w:ind w:left="1440"/>
      </w:pPr>
      <w:r>
        <w:t>1/  Peoples-Equitable Division net billing rate effective March 1, 2016</w:t>
      </w:r>
    </w:p>
    <w:p w:rsidR="006B33B8" w:rsidRPr="001C7229" w:rsidRDefault="006B33B8" w:rsidP="006B33B8">
      <w:pPr>
        <w:pStyle w:val="ListNumber"/>
        <w:numPr>
          <w:ilvl w:val="0"/>
          <w:numId w:val="0"/>
        </w:numPr>
        <w:spacing w:line="240" w:lineRule="auto"/>
        <w:ind w:left="1440"/>
      </w:pPr>
      <w:r>
        <w:t>2/  Reflects the proposed gas cost rate change and the settlement rate change</w:t>
      </w:r>
    </w:p>
    <w:p w:rsidR="00B25259" w:rsidRDefault="00B25259" w:rsidP="00B25259">
      <w:pPr>
        <w:pStyle w:val="ListNumber"/>
        <w:numPr>
          <w:ilvl w:val="0"/>
          <w:numId w:val="0"/>
        </w:numPr>
        <w:spacing w:line="240" w:lineRule="auto"/>
        <w:ind w:left="720"/>
      </w:pPr>
      <w:r w:rsidRPr="002C5A62" w:rsidDel="00831C5D">
        <w:t xml:space="preserve"> </w:t>
      </w:r>
    </w:p>
    <w:p w:rsidR="008B42BE" w:rsidRPr="00407DBA" w:rsidRDefault="008B42BE" w:rsidP="00355929">
      <w:pPr>
        <w:pStyle w:val="Heading3"/>
        <w:numPr>
          <w:ilvl w:val="0"/>
          <w:numId w:val="0"/>
        </w:numPr>
        <w:spacing w:after="0"/>
        <w:rPr>
          <w:b w:val="0"/>
        </w:rPr>
      </w:pPr>
      <w:proofErr w:type="gramStart"/>
      <w:r w:rsidRPr="00407DBA">
        <w:rPr>
          <w:b w:val="0"/>
        </w:rPr>
        <w:t>(Settlement Petition ¶ 37.)</w:t>
      </w:r>
      <w:proofErr w:type="gramEnd"/>
    </w:p>
    <w:p w:rsidR="008B42BE" w:rsidRDefault="008B42BE" w:rsidP="008B42BE">
      <w:pPr>
        <w:pStyle w:val="ListNumber"/>
        <w:numPr>
          <w:ilvl w:val="0"/>
          <w:numId w:val="0"/>
        </w:numPr>
        <w:spacing w:line="240" w:lineRule="auto"/>
      </w:pPr>
    </w:p>
    <w:p w:rsidR="008B42BE" w:rsidRPr="00407DBA" w:rsidRDefault="008B42BE" w:rsidP="008612D9">
      <w:pPr>
        <w:pStyle w:val="Heading3"/>
        <w:numPr>
          <w:ilvl w:val="0"/>
          <w:numId w:val="0"/>
        </w:numPr>
        <w:ind w:left="1440" w:right="720" w:hanging="720"/>
        <w:rPr>
          <w:b w:val="0"/>
        </w:rPr>
      </w:pPr>
      <w:r>
        <w:t xml:space="preserve">           </w:t>
      </w:r>
      <w:r w:rsidRPr="008B42BE">
        <w:rPr>
          <w:b w:val="0"/>
        </w:rPr>
        <w:t xml:space="preserve"> </w:t>
      </w:r>
      <w:r w:rsidR="00A12C87">
        <w:rPr>
          <w:b w:val="0"/>
        </w:rPr>
        <w:t>10.</w:t>
      </w:r>
      <w:r w:rsidR="00A12C87">
        <w:rPr>
          <w:b w:val="0"/>
        </w:rPr>
        <w:tab/>
      </w:r>
      <w:r w:rsidR="00B25259" w:rsidRPr="008B42BE">
        <w:rPr>
          <w:b w:val="0"/>
        </w:rPr>
        <w:t>In accordance with the provisions of 52 Pa. Code § 53.64(</w:t>
      </w:r>
      <w:proofErr w:type="spellStart"/>
      <w:r w:rsidR="00B25259" w:rsidRPr="008B42BE">
        <w:rPr>
          <w:b w:val="0"/>
        </w:rPr>
        <w:t>i</w:t>
      </w:r>
      <w:proofErr w:type="spellEnd"/>
      <w:proofErr w:type="gramStart"/>
      <w:r w:rsidR="00B25259" w:rsidRPr="008B42BE">
        <w:rPr>
          <w:b w:val="0"/>
        </w:rPr>
        <w:t>)(</w:t>
      </w:r>
      <w:proofErr w:type="gramEnd"/>
      <w:r w:rsidR="00B25259" w:rsidRPr="008B42BE">
        <w:rPr>
          <w:b w:val="0"/>
        </w:rPr>
        <w:t>5), the Company’s compliance filing in this proceeding will reflect updated actual and projected over/</w:t>
      </w:r>
      <w:proofErr w:type="spellStart"/>
      <w:r w:rsidR="00B25259" w:rsidRPr="008B42BE">
        <w:rPr>
          <w:b w:val="0"/>
        </w:rPr>
        <w:t>undercollections</w:t>
      </w:r>
      <w:proofErr w:type="spellEnd"/>
      <w:r w:rsidR="00B25259" w:rsidRPr="008B42BE">
        <w:rPr>
          <w:b w:val="0"/>
        </w:rPr>
        <w:t xml:space="preserve"> through September 30, 2016.</w:t>
      </w:r>
      <w:r w:rsidRPr="008B42BE">
        <w:rPr>
          <w:b w:val="0"/>
        </w:rPr>
        <w:t xml:space="preserve">  </w:t>
      </w:r>
      <w:proofErr w:type="gramStart"/>
      <w:r w:rsidRPr="00407DBA">
        <w:rPr>
          <w:b w:val="0"/>
        </w:rPr>
        <w:t>(Settlement Petition ¶ 38.)</w:t>
      </w:r>
      <w:proofErr w:type="gramEnd"/>
    </w:p>
    <w:p w:rsidR="008B42BE" w:rsidRPr="00407DBA" w:rsidRDefault="008B42BE" w:rsidP="008612D9">
      <w:pPr>
        <w:pStyle w:val="Heading3"/>
        <w:numPr>
          <w:ilvl w:val="0"/>
          <w:numId w:val="0"/>
        </w:numPr>
        <w:ind w:left="1440" w:right="720" w:hanging="720"/>
        <w:rPr>
          <w:b w:val="0"/>
        </w:rPr>
      </w:pPr>
      <w:r>
        <w:rPr>
          <w:b w:val="0"/>
        </w:rPr>
        <w:t xml:space="preserve">            </w:t>
      </w:r>
      <w:r w:rsidR="00A12C87">
        <w:rPr>
          <w:b w:val="0"/>
        </w:rPr>
        <w:t>11.</w:t>
      </w:r>
      <w:r w:rsidR="00A12C87">
        <w:rPr>
          <w:b w:val="0"/>
        </w:rPr>
        <w:tab/>
      </w:r>
      <w:r w:rsidR="00B25259" w:rsidRPr="008B42BE">
        <w:rPr>
          <w:b w:val="0"/>
        </w:rPr>
        <w:t>The Joint Petitioners agree to the updated balancing rate calculation provided in Revised Peoples Exhibit No. 12.</w:t>
      </w:r>
      <w:r>
        <w:t xml:space="preserve">  </w:t>
      </w:r>
      <w:proofErr w:type="gramStart"/>
      <w:r w:rsidRPr="00407DBA">
        <w:rPr>
          <w:b w:val="0"/>
        </w:rPr>
        <w:t>(Settlement Petition ¶ 39.)</w:t>
      </w:r>
      <w:proofErr w:type="gramEnd"/>
    </w:p>
    <w:p w:rsidR="00304E9F" w:rsidRPr="00B26193" w:rsidRDefault="00304E9F" w:rsidP="00B26193">
      <w:pPr>
        <w:pStyle w:val="Heading1"/>
        <w:keepNext/>
        <w:numPr>
          <w:ilvl w:val="0"/>
          <w:numId w:val="0"/>
        </w:numPr>
        <w:ind w:left="720" w:hanging="720"/>
        <w:rPr>
          <w:b w:val="0"/>
        </w:rPr>
      </w:pPr>
      <w:r w:rsidRPr="00B26193">
        <w:rPr>
          <w:b w:val="0"/>
        </w:rPr>
        <w:t>conditions of settlement</w:t>
      </w:r>
    </w:p>
    <w:p w:rsidR="00B26193" w:rsidRPr="00407DBA" w:rsidRDefault="00B26193" w:rsidP="0089558D">
      <w:pPr>
        <w:pStyle w:val="Heading3"/>
        <w:numPr>
          <w:ilvl w:val="0"/>
          <w:numId w:val="0"/>
        </w:numPr>
        <w:ind w:left="1440" w:right="720"/>
        <w:rPr>
          <w:b w:val="0"/>
        </w:rPr>
      </w:pPr>
      <w:r w:rsidRPr="00B26193">
        <w:rPr>
          <w:b w:val="0"/>
        </w:rPr>
        <w:t>1.</w:t>
      </w:r>
      <w:r w:rsidR="00A12C87">
        <w:rPr>
          <w:b w:val="0"/>
        </w:rPr>
        <w:tab/>
      </w:r>
      <w:r w:rsidR="00304E9F" w:rsidRPr="00B26193">
        <w:rPr>
          <w:b w:val="0"/>
        </w:rPr>
        <w:t>Th</w:t>
      </w:r>
      <w:r w:rsidRPr="00B26193">
        <w:rPr>
          <w:b w:val="0"/>
        </w:rPr>
        <w:t>e</w:t>
      </w:r>
      <w:r w:rsidR="00304E9F" w:rsidRPr="00B26193">
        <w:rPr>
          <w:b w:val="0"/>
        </w:rPr>
        <w:t xml:space="preserve"> </w:t>
      </w:r>
      <w:r w:rsidR="00A12C87">
        <w:rPr>
          <w:b w:val="0"/>
        </w:rPr>
        <w:t xml:space="preserve">Settling Parties have agreed that the </w:t>
      </w:r>
      <w:r w:rsidR="00304E9F" w:rsidRPr="00B26193">
        <w:rPr>
          <w:b w:val="0"/>
        </w:rPr>
        <w:t>Settlement is conditioned upon the Commission’s approval of the terms and conditions contained in th</w:t>
      </w:r>
      <w:r w:rsidRPr="00B26193">
        <w:rPr>
          <w:b w:val="0"/>
        </w:rPr>
        <w:t>e</w:t>
      </w:r>
      <w:r w:rsidR="00304E9F" w:rsidRPr="00B26193">
        <w:rPr>
          <w:b w:val="0"/>
        </w:rPr>
        <w:t xml:space="preserve"> Settlement without modification.  Th</w:t>
      </w:r>
      <w:r w:rsidRPr="00B26193">
        <w:rPr>
          <w:b w:val="0"/>
        </w:rPr>
        <w:t xml:space="preserve">e </w:t>
      </w:r>
      <w:r w:rsidR="00304E9F" w:rsidRPr="00B26193">
        <w:rPr>
          <w:b w:val="0"/>
        </w:rPr>
        <w:t>Settlement shall become effective on the date on which the Commission enters a final order that adopts the terms and conditions of th</w:t>
      </w:r>
      <w:r w:rsidRPr="00B26193">
        <w:rPr>
          <w:b w:val="0"/>
        </w:rPr>
        <w:t>e</w:t>
      </w:r>
      <w:r w:rsidR="00304E9F" w:rsidRPr="00B26193">
        <w:rPr>
          <w:b w:val="0"/>
        </w:rPr>
        <w:t xml:space="preserve"> Settlement.  If the Commission enters a final order that approves th</w:t>
      </w:r>
      <w:r w:rsidRPr="00B26193">
        <w:rPr>
          <w:b w:val="0"/>
        </w:rPr>
        <w:t>e</w:t>
      </w:r>
      <w:r w:rsidR="00304E9F" w:rsidRPr="00B26193">
        <w:rPr>
          <w:b w:val="0"/>
        </w:rPr>
        <w:t xml:space="preserve"> Settlement, but with one or more modifications, th</w:t>
      </w:r>
      <w:r w:rsidRPr="00B26193">
        <w:rPr>
          <w:b w:val="0"/>
        </w:rPr>
        <w:t>e</w:t>
      </w:r>
      <w:r w:rsidR="00304E9F" w:rsidRPr="00B26193">
        <w:rPr>
          <w:b w:val="0"/>
        </w:rPr>
        <w:t xml:space="preserve"> Settlement shall nonetheless become effective unless one or more of the Joint Petitioners elects to withdraw from the Settlement.  Such election to withdraw must be made in writing, filed with the Secretary of the Commission, and served upon all parties within five business days after the entry of an Order modifying the Settlement.  In such event, the Settlement shall be void and of no effect. </w:t>
      </w:r>
      <w:r w:rsidRPr="00B26193">
        <w:rPr>
          <w:b w:val="0"/>
        </w:rPr>
        <w:t xml:space="preserve"> </w:t>
      </w:r>
      <w:proofErr w:type="gramStart"/>
      <w:r w:rsidRPr="00407DBA">
        <w:rPr>
          <w:b w:val="0"/>
        </w:rPr>
        <w:t>(Settlement Petition ¶ 92.)</w:t>
      </w:r>
      <w:proofErr w:type="gramEnd"/>
    </w:p>
    <w:p w:rsidR="00B26193" w:rsidRPr="00407DBA" w:rsidRDefault="00B26193" w:rsidP="0089558D">
      <w:pPr>
        <w:pStyle w:val="Heading3"/>
        <w:numPr>
          <w:ilvl w:val="0"/>
          <w:numId w:val="0"/>
        </w:numPr>
        <w:ind w:left="1440" w:right="720"/>
        <w:rPr>
          <w:b w:val="0"/>
        </w:rPr>
      </w:pPr>
      <w:r w:rsidRPr="00B26193">
        <w:rPr>
          <w:b w:val="0"/>
        </w:rPr>
        <w:t>2.</w:t>
      </w:r>
      <w:r w:rsidR="00A12C87">
        <w:rPr>
          <w:b w:val="0"/>
        </w:rPr>
        <w:tab/>
      </w:r>
      <w:r w:rsidR="00304E9F" w:rsidRPr="00B26193">
        <w:rPr>
          <w:b w:val="0"/>
        </w:rPr>
        <w:t xml:space="preserve">The </w:t>
      </w:r>
      <w:r w:rsidR="00A12C87">
        <w:rPr>
          <w:b w:val="0"/>
        </w:rPr>
        <w:t>S</w:t>
      </w:r>
      <w:r w:rsidR="00657306">
        <w:rPr>
          <w:b w:val="0"/>
        </w:rPr>
        <w:t>e</w:t>
      </w:r>
      <w:r w:rsidR="00A12C87">
        <w:rPr>
          <w:b w:val="0"/>
        </w:rPr>
        <w:t>t</w:t>
      </w:r>
      <w:r w:rsidR="00657306">
        <w:rPr>
          <w:b w:val="0"/>
        </w:rPr>
        <w:t>t</w:t>
      </w:r>
      <w:r w:rsidR="00A12C87">
        <w:rPr>
          <w:b w:val="0"/>
        </w:rPr>
        <w:t>ling Parties</w:t>
      </w:r>
      <w:r w:rsidR="00304E9F" w:rsidRPr="00B26193">
        <w:rPr>
          <w:b w:val="0"/>
        </w:rPr>
        <w:t xml:space="preserve"> acknowledge and agree that th</w:t>
      </w:r>
      <w:r w:rsidRPr="00B26193">
        <w:rPr>
          <w:b w:val="0"/>
        </w:rPr>
        <w:t>e</w:t>
      </w:r>
      <w:r w:rsidR="00304E9F" w:rsidRPr="00B26193">
        <w:rPr>
          <w:b w:val="0"/>
        </w:rPr>
        <w:t xml:space="preserve"> Settlement, if approved, shall have the same force and effect as if the Joint Petitioners </w:t>
      </w:r>
      <w:r w:rsidR="00304E9F" w:rsidRPr="00B26193">
        <w:rPr>
          <w:b w:val="0"/>
        </w:rPr>
        <w:lastRenderedPageBreak/>
        <w:t xml:space="preserve">had fully litigated this proceeding resulting in the establishment of rates that are just and reasonable. </w:t>
      </w:r>
      <w:proofErr w:type="gramStart"/>
      <w:r w:rsidRPr="00407DBA">
        <w:rPr>
          <w:b w:val="0"/>
        </w:rPr>
        <w:t>(Settlement Petition ¶ 93.)</w:t>
      </w:r>
      <w:proofErr w:type="gramEnd"/>
    </w:p>
    <w:p w:rsidR="00B26193" w:rsidRPr="00407DBA" w:rsidRDefault="00B26193" w:rsidP="0089558D">
      <w:pPr>
        <w:pStyle w:val="Heading3"/>
        <w:numPr>
          <w:ilvl w:val="0"/>
          <w:numId w:val="0"/>
        </w:numPr>
        <w:ind w:left="1440" w:right="720"/>
        <w:rPr>
          <w:b w:val="0"/>
        </w:rPr>
      </w:pPr>
      <w:r w:rsidRPr="00B26193">
        <w:rPr>
          <w:b w:val="0"/>
        </w:rPr>
        <w:t>3</w:t>
      </w:r>
      <w:r w:rsidR="00A12C87">
        <w:rPr>
          <w:b w:val="0"/>
        </w:rPr>
        <w:t>.</w:t>
      </w:r>
      <w:r w:rsidR="00A12C87">
        <w:rPr>
          <w:b w:val="0"/>
        </w:rPr>
        <w:tab/>
      </w:r>
      <w:r w:rsidR="00304E9F" w:rsidRPr="00B26193">
        <w:rPr>
          <w:b w:val="0"/>
        </w:rPr>
        <w:t>Th</w:t>
      </w:r>
      <w:r w:rsidRPr="00B26193">
        <w:rPr>
          <w:b w:val="0"/>
        </w:rPr>
        <w:t>e</w:t>
      </w:r>
      <w:r w:rsidR="00304E9F" w:rsidRPr="00B26193">
        <w:rPr>
          <w:b w:val="0"/>
        </w:rPr>
        <w:t xml:space="preserve"> Settlement proposed by the Joint Petitioners</w:t>
      </w:r>
      <w:r w:rsidRPr="00B26193">
        <w:rPr>
          <w:b w:val="0"/>
        </w:rPr>
        <w:t xml:space="preserve"> is intended </w:t>
      </w:r>
      <w:r w:rsidR="00304E9F" w:rsidRPr="00B26193">
        <w:rPr>
          <w:b w:val="0"/>
        </w:rPr>
        <w:t>to settle all of their issues in the instant proceeding</w:t>
      </w:r>
      <w:r w:rsidR="00407DBA">
        <w:rPr>
          <w:b w:val="0"/>
        </w:rPr>
        <w:t>s</w:t>
      </w:r>
      <w:r w:rsidR="00304E9F" w:rsidRPr="00B26193">
        <w:rPr>
          <w:b w:val="0"/>
        </w:rPr>
        <w:t xml:space="preserve">.  If the Commission does not approve the Settlement and the proceedings continue, the Joint Petitioners reserve their respective rights to present additional testimony and to conduct full cross-examination, briefing, and argument.  The Settlement is made without any admission against, or prejudice to, any position that any party may adopt in the event of any subsequent litigation of these proceedings, or in any other proceeding. </w:t>
      </w:r>
      <w:proofErr w:type="gramStart"/>
      <w:r w:rsidRPr="00407DBA">
        <w:rPr>
          <w:b w:val="0"/>
        </w:rPr>
        <w:t>(Settlement Petition ¶</w:t>
      </w:r>
      <w:r w:rsidR="0089558D">
        <w:rPr>
          <w:b w:val="0"/>
        </w:rPr>
        <w:t> </w:t>
      </w:r>
      <w:r w:rsidRPr="00407DBA">
        <w:rPr>
          <w:b w:val="0"/>
        </w:rPr>
        <w:t>94.)</w:t>
      </w:r>
      <w:proofErr w:type="gramEnd"/>
    </w:p>
    <w:p w:rsidR="00B26193" w:rsidRPr="00407DBA" w:rsidRDefault="00B26193" w:rsidP="0089558D">
      <w:pPr>
        <w:pStyle w:val="Heading3"/>
        <w:numPr>
          <w:ilvl w:val="0"/>
          <w:numId w:val="0"/>
        </w:numPr>
        <w:ind w:left="1440" w:right="720"/>
        <w:rPr>
          <w:b w:val="0"/>
        </w:rPr>
      </w:pPr>
      <w:r w:rsidRPr="00B26193">
        <w:rPr>
          <w:b w:val="0"/>
        </w:rPr>
        <w:t>4.</w:t>
      </w:r>
      <w:r w:rsidR="00A12C87">
        <w:rPr>
          <w:b w:val="0"/>
        </w:rPr>
        <w:tab/>
      </w:r>
      <w:r w:rsidR="00304E9F" w:rsidRPr="00B26193">
        <w:rPr>
          <w:b w:val="0"/>
        </w:rPr>
        <w:t>The Joint Petitioners acknowledge that the Settlement reflects a compromise of competing positions and does not necessarily reflect any party’s position with respect to any issues raised in th</w:t>
      </w:r>
      <w:r w:rsidR="00407DBA">
        <w:rPr>
          <w:b w:val="0"/>
        </w:rPr>
        <w:t>ese</w:t>
      </w:r>
      <w:r w:rsidR="00304E9F" w:rsidRPr="00B26193">
        <w:rPr>
          <w:b w:val="0"/>
        </w:rPr>
        <w:t xml:space="preserve"> proceeding</w:t>
      </w:r>
      <w:r w:rsidR="00407DBA">
        <w:rPr>
          <w:b w:val="0"/>
        </w:rPr>
        <w:t>s</w:t>
      </w:r>
      <w:r w:rsidR="00304E9F" w:rsidRPr="00B26193">
        <w:rPr>
          <w:b w:val="0"/>
        </w:rPr>
        <w:t>.  Th</w:t>
      </w:r>
      <w:r w:rsidRPr="00B26193">
        <w:rPr>
          <w:b w:val="0"/>
        </w:rPr>
        <w:t>e</w:t>
      </w:r>
      <w:r w:rsidR="00304E9F" w:rsidRPr="00B26193">
        <w:rPr>
          <w:b w:val="0"/>
        </w:rPr>
        <w:t xml:space="preserve"> Settlement may not be cited as precedent in any future proceeding, except to the extent required </w:t>
      </w:r>
      <w:proofErr w:type="gramStart"/>
      <w:r w:rsidR="00304E9F" w:rsidRPr="00B26193">
        <w:rPr>
          <w:b w:val="0"/>
        </w:rPr>
        <w:t>to implement</w:t>
      </w:r>
      <w:proofErr w:type="gramEnd"/>
      <w:r w:rsidR="00304E9F" w:rsidRPr="00B26193">
        <w:rPr>
          <w:b w:val="0"/>
        </w:rPr>
        <w:t xml:space="preserve"> th</w:t>
      </w:r>
      <w:r w:rsidRPr="00B26193">
        <w:rPr>
          <w:b w:val="0"/>
        </w:rPr>
        <w:t>e</w:t>
      </w:r>
      <w:r w:rsidR="00304E9F" w:rsidRPr="00B26193">
        <w:rPr>
          <w:b w:val="0"/>
        </w:rPr>
        <w:t xml:space="preserve"> Settlement. </w:t>
      </w:r>
      <w:proofErr w:type="gramStart"/>
      <w:r w:rsidRPr="00407DBA">
        <w:rPr>
          <w:b w:val="0"/>
        </w:rPr>
        <w:t>(Settlement Petition ¶ 95.)</w:t>
      </w:r>
      <w:proofErr w:type="gramEnd"/>
    </w:p>
    <w:p w:rsidR="00CE29C7" w:rsidRPr="00407DBA" w:rsidRDefault="00CE29C7" w:rsidP="0089558D">
      <w:pPr>
        <w:pStyle w:val="Heading3"/>
        <w:numPr>
          <w:ilvl w:val="0"/>
          <w:numId w:val="0"/>
        </w:numPr>
        <w:ind w:left="1440" w:right="720"/>
        <w:rPr>
          <w:b w:val="0"/>
        </w:rPr>
      </w:pPr>
      <w:r>
        <w:rPr>
          <w:b w:val="0"/>
        </w:rPr>
        <w:t>5.</w:t>
      </w:r>
      <w:r w:rsidR="00A12C87">
        <w:rPr>
          <w:b w:val="0"/>
        </w:rPr>
        <w:tab/>
      </w:r>
      <w:r w:rsidR="00304E9F" w:rsidRPr="00CE29C7">
        <w:rPr>
          <w:b w:val="0"/>
        </w:rPr>
        <w:t>Th</w:t>
      </w:r>
      <w:r w:rsidRPr="00CE29C7">
        <w:rPr>
          <w:b w:val="0"/>
        </w:rPr>
        <w:t>e</w:t>
      </w:r>
      <w:r w:rsidR="00304E9F" w:rsidRPr="00CE29C7">
        <w:rPr>
          <w:b w:val="0"/>
        </w:rPr>
        <w:t xml:space="preserve"> Settlement is being presented only in the context of th</w:t>
      </w:r>
      <w:r w:rsidR="00407DBA">
        <w:rPr>
          <w:b w:val="0"/>
        </w:rPr>
        <w:t>ese</w:t>
      </w:r>
      <w:r w:rsidR="00304E9F" w:rsidRPr="00CE29C7">
        <w:rPr>
          <w:b w:val="0"/>
        </w:rPr>
        <w:t xml:space="preserve"> proceeding</w:t>
      </w:r>
      <w:r w:rsidR="00407DBA">
        <w:rPr>
          <w:b w:val="0"/>
        </w:rPr>
        <w:t>s</w:t>
      </w:r>
      <w:r w:rsidR="00304E9F" w:rsidRPr="00CE29C7">
        <w:rPr>
          <w:b w:val="0"/>
        </w:rPr>
        <w:t xml:space="preserve"> in an effort to resolve the proceeding in a manner which is fair and reasonable.  The Settlement is presented without prejudice to any position which any of the Joint Petitioners may have advanced and without prejudice to the position any of the Joint Petitioners may advance in the future on the merits of the issues in future proceedings except to the extent necessary to effectuate the terms and conditions of the Settlement.  Th</w:t>
      </w:r>
      <w:r w:rsidRPr="00CE29C7">
        <w:rPr>
          <w:b w:val="0"/>
        </w:rPr>
        <w:t>e</w:t>
      </w:r>
      <w:r w:rsidR="00304E9F" w:rsidRPr="00CE29C7">
        <w:rPr>
          <w:b w:val="0"/>
        </w:rPr>
        <w:t xml:space="preserve"> Settlement does not preclude the Joint Petitioners from taking other positions in proceedings of other public utilities under Section 1307(f) of the Public Utility Code, 66 </w:t>
      </w:r>
      <w:proofErr w:type="spellStart"/>
      <w:r w:rsidR="00304E9F" w:rsidRPr="00CE29C7">
        <w:rPr>
          <w:b w:val="0"/>
        </w:rPr>
        <w:t>Pa.C.S</w:t>
      </w:r>
      <w:proofErr w:type="spellEnd"/>
      <w:r w:rsidR="00304E9F" w:rsidRPr="00CE29C7">
        <w:rPr>
          <w:b w:val="0"/>
        </w:rPr>
        <w:t>. § 1307(f), or any other proceeding.</w:t>
      </w:r>
      <w:r w:rsidR="00304E9F" w:rsidRPr="004A58B9">
        <w:t xml:space="preserve"> </w:t>
      </w:r>
      <w:r w:rsidRPr="00407DBA">
        <w:rPr>
          <w:b w:val="0"/>
        </w:rPr>
        <w:t>(Settlement Petition ¶ 96)</w:t>
      </w:r>
    </w:p>
    <w:p w:rsidR="00CE29C7" w:rsidRPr="00407DBA" w:rsidRDefault="00CE29C7" w:rsidP="00BD25FB">
      <w:pPr>
        <w:pStyle w:val="Heading3"/>
        <w:numPr>
          <w:ilvl w:val="0"/>
          <w:numId w:val="0"/>
        </w:numPr>
        <w:spacing w:after="0"/>
        <w:ind w:left="1440" w:right="720"/>
        <w:rPr>
          <w:b w:val="0"/>
        </w:rPr>
      </w:pPr>
      <w:r>
        <w:rPr>
          <w:b w:val="0"/>
        </w:rPr>
        <w:t>6.</w:t>
      </w:r>
      <w:r w:rsidR="00A12C87">
        <w:rPr>
          <w:b w:val="0"/>
        </w:rPr>
        <w:tab/>
      </w:r>
      <w:r w:rsidRPr="00CE29C7">
        <w:rPr>
          <w:b w:val="0"/>
        </w:rPr>
        <w:t xml:space="preserve">The Settling Parties have agreed that if the ALJ would </w:t>
      </w:r>
      <w:r w:rsidR="00304E9F" w:rsidRPr="00CE29C7">
        <w:rPr>
          <w:b w:val="0"/>
        </w:rPr>
        <w:t>recommend that the Commission adopt the Settlement without modification, the Joint Petitioners waive their right to file Exceptions.  Exceptions and replies thereto may be filed i</w:t>
      </w:r>
      <w:r w:rsidRPr="00CE29C7">
        <w:rPr>
          <w:b w:val="0"/>
        </w:rPr>
        <w:t xml:space="preserve">n the event the </w:t>
      </w:r>
      <w:r w:rsidR="00304E9F" w:rsidRPr="00CE29C7">
        <w:rPr>
          <w:b w:val="0"/>
        </w:rPr>
        <w:t xml:space="preserve">ALJ </w:t>
      </w:r>
      <w:r w:rsidRPr="00CE29C7">
        <w:rPr>
          <w:b w:val="0"/>
        </w:rPr>
        <w:t xml:space="preserve">would </w:t>
      </w:r>
      <w:r w:rsidR="00304E9F" w:rsidRPr="00CE29C7">
        <w:rPr>
          <w:b w:val="0"/>
        </w:rPr>
        <w:t>recommend approval of this Settlement with reservations or modifications.</w:t>
      </w:r>
      <w:r w:rsidR="00304E9F" w:rsidRPr="004A58B9">
        <w:t xml:space="preserve"> </w:t>
      </w:r>
      <w:proofErr w:type="gramStart"/>
      <w:r w:rsidRPr="00407DBA">
        <w:rPr>
          <w:b w:val="0"/>
        </w:rPr>
        <w:t>(Settlement Petition ¶</w:t>
      </w:r>
      <w:r w:rsidR="0089558D">
        <w:rPr>
          <w:b w:val="0"/>
        </w:rPr>
        <w:t> </w:t>
      </w:r>
      <w:r w:rsidRPr="00407DBA">
        <w:rPr>
          <w:b w:val="0"/>
        </w:rPr>
        <w:t>97.)</w:t>
      </w:r>
      <w:proofErr w:type="gramEnd"/>
    </w:p>
    <w:p w:rsidR="00532198" w:rsidRDefault="00532198" w:rsidP="00657306">
      <w:pPr>
        <w:spacing w:line="360" w:lineRule="auto"/>
        <w:jc w:val="center"/>
        <w:rPr>
          <w:sz w:val="24"/>
          <w:szCs w:val="24"/>
        </w:rPr>
      </w:pPr>
    </w:p>
    <w:p w:rsidR="007814EB" w:rsidRDefault="007814EB" w:rsidP="00657306">
      <w:pPr>
        <w:spacing w:line="360" w:lineRule="auto"/>
        <w:jc w:val="center"/>
        <w:rPr>
          <w:sz w:val="24"/>
          <w:szCs w:val="24"/>
        </w:rPr>
      </w:pPr>
    </w:p>
    <w:p w:rsidR="007814EB" w:rsidRDefault="007814EB" w:rsidP="00657306">
      <w:pPr>
        <w:spacing w:line="360" w:lineRule="auto"/>
        <w:jc w:val="center"/>
        <w:rPr>
          <w:sz w:val="24"/>
          <w:szCs w:val="24"/>
        </w:rPr>
      </w:pPr>
    </w:p>
    <w:p w:rsidR="007814EB" w:rsidRDefault="007814EB" w:rsidP="00657306">
      <w:pPr>
        <w:spacing w:line="360" w:lineRule="auto"/>
        <w:jc w:val="center"/>
        <w:rPr>
          <w:sz w:val="24"/>
          <w:szCs w:val="24"/>
        </w:rPr>
      </w:pPr>
    </w:p>
    <w:p w:rsidR="007814EB" w:rsidRDefault="007814EB" w:rsidP="00657306">
      <w:pPr>
        <w:spacing w:line="360" w:lineRule="auto"/>
        <w:jc w:val="center"/>
        <w:rPr>
          <w:sz w:val="24"/>
          <w:szCs w:val="24"/>
        </w:rPr>
      </w:pPr>
    </w:p>
    <w:p w:rsidR="007814EB" w:rsidRDefault="007814EB" w:rsidP="00657306">
      <w:pPr>
        <w:spacing w:line="360" w:lineRule="auto"/>
        <w:jc w:val="center"/>
        <w:rPr>
          <w:sz w:val="24"/>
          <w:szCs w:val="24"/>
        </w:rPr>
      </w:pPr>
    </w:p>
    <w:p w:rsidR="00CD5C18" w:rsidRDefault="00657306" w:rsidP="00657306">
      <w:pPr>
        <w:spacing w:line="360" w:lineRule="auto"/>
        <w:jc w:val="center"/>
        <w:rPr>
          <w:sz w:val="24"/>
          <w:szCs w:val="24"/>
          <w:u w:val="single"/>
        </w:rPr>
      </w:pPr>
      <w:r w:rsidRPr="00657306">
        <w:rPr>
          <w:sz w:val="24"/>
          <w:szCs w:val="24"/>
        </w:rPr>
        <w:lastRenderedPageBreak/>
        <w:t>I</w:t>
      </w:r>
      <w:r w:rsidR="001C2B45">
        <w:rPr>
          <w:sz w:val="24"/>
          <w:szCs w:val="24"/>
        </w:rPr>
        <w:t>V</w:t>
      </w:r>
      <w:r w:rsidRPr="00657306">
        <w:rPr>
          <w:sz w:val="24"/>
          <w:szCs w:val="24"/>
        </w:rPr>
        <w:t>.</w:t>
      </w:r>
      <w:r w:rsidRPr="00657306">
        <w:rPr>
          <w:sz w:val="24"/>
          <w:szCs w:val="24"/>
        </w:rPr>
        <w:tab/>
      </w:r>
      <w:r w:rsidR="00CD5C18" w:rsidRPr="002A7F81">
        <w:rPr>
          <w:sz w:val="24"/>
          <w:szCs w:val="24"/>
          <w:u w:val="single"/>
        </w:rPr>
        <w:t>DISCUSSION</w:t>
      </w:r>
    </w:p>
    <w:p w:rsidR="008B42BE" w:rsidRDefault="008B42BE" w:rsidP="008B42BE">
      <w:pPr>
        <w:spacing w:line="360" w:lineRule="auto"/>
        <w:rPr>
          <w:sz w:val="24"/>
          <w:szCs w:val="24"/>
          <w:u w:val="single"/>
        </w:rPr>
      </w:pPr>
    </w:p>
    <w:p w:rsidR="008B42BE" w:rsidRDefault="002F53BC" w:rsidP="001C2B45">
      <w:pPr>
        <w:pStyle w:val="ListNumber"/>
        <w:numPr>
          <w:ilvl w:val="0"/>
          <w:numId w:val="0"/>
        </w:numPr>
        <w:spacing w:line="360" w:lineRule="auto"/>
        <w:rPr>
          <w:u w:val="single"/>
        </w:rPr>
      </w:pPr>
      <w:r w:rsidRPr="002F53BC">
        <w:t>A.</w:t>
      </w:r>
      <w:r w:rsidRPr="002F53BC">
        <w:tab/>
      </w:r>
      <w:r w:rsidR="00642170" w:rsidRPr="00A12C87">
        <w:rPr>
          <w:u w:val="single"/>
        </w:rPr>
        <w:t>Applicable Legal Principles</w:t>
      </w:r>
    </w:p>
    <w:p w:rsidR="001C2B45" w:rsidRPr="00A12C87" w:rsidRDefault="001C2B45" w:rsidP="001C2B45">
      <w:pPr>
        <w:pStyle w:val="ListNumber"/>
        <w:numPr>
          <w:ilvl w:val="0"/>
          <w:numId w:val="0"/>
        </w:numPr>
        <w:spacing w:line="360" w:lineRule="auto"/>
        <w:rPr>
          <w:u w:val="single"/>
        </w:rPr>
      </w:pPr>
    </w:p>
    <w:p w:rsidR="005A56F3" w:rsidRDefault="001C2B45" w:rsidP="001C2B45">
      <w:pPr>
        <w:pStyle w:val="ListNumber"/>
        <w:numPr>
          <w:ilvl w:val="0"/>
          <w:numId w:val="0"/>
        </w:numPr>
        <w:spacing w:line="360" w:lineRule="auto"/>
        <w:ind w:firstLine="720"/>
      </w:pPr>
      <w:r>
        <w:tab/>
      </w:r>
      <w:r w:rsidR="005A56F3" w:rsidRPr="00540C01">
        <w:t xml:space="preserve">The Commission encourages parties in contested on-the-record proceedings to settle cases.  See 52 </w:t>
      </w:r>
      <w:proofErr w:type="spellStart"/>
      <w:r w:rsidR="005A56F3" w:rsidRPr="00540C01">
        <w:t>Pa.Code</w:t>
      </w:r>
      <w:proofErr w:type="spellEnd"/>
      <w:r w:rsidR="005A56F3" w:rsidRPr="00540C01">
        <w:t xml:space="preserve"> § 5.231.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imposes.</w:t>
      </w:r>
    </w:p>
    <w:p w:rsidR="001C2B45" w:rsidRDefault="001C2B45" w:rsidP="001C2B45">
      <w:pPr>
        <w:pStyle w:val="ListNumber"/>
        <w:numPr>
          <w:ilvl w:val="0"/>
          <w:numId w:val="0"/>
        </w:numPr>
        <w:spacing w:line="360" w:lineRule="auto"/>
        <w:ind w:firstLine="720"/>
      </w:pPr>
    </w:p>
    <w:p w:rsidR="005A56F3" w:rsidRDefault="001C2B45" w:rsidP="001C2B45">
      <w:pPr>
        <w:pStyle w:val="ListNumber"/>
        <w:numPr>
          <w:ilvl w:val="0"/>
          <w:numId w:val="0"/>
        </w:numPr>
        <w:spacing w:line="360" w:lineRule="auto"/>
        <w:ind w:firstLine="720"/>
      </w:pPr>
      <w:r>
        <w:tab/>
      </w:r>
      <w:r w:rsidR="005A56F3" w:rsidRPr="00540C01">
        <w:t xml:space="preserve">By definition, a “settlement” reflects a compromise of the parties’ positions and </w:t>
      </w:r>
    </w:p>
    <w:p w:rsidR="005A56F3" w:rsidRDefault="005A56F3" w:rsidP="001C2B45">
      <w:pPr>
        <w:pStyle w:val="ListNumber"/>
        <w:numPr>
          <w:ilvl w:val="0"/>
          <w:numId w:val="0"/>
        </w:numPr>
        <w:spacing w:line="360" w:lineRule="auto"/>
      </w:pPr>
      <w:proofErr w:type="gramStart"/>
      <w:r>
        <w:t>a</w:t>
      </w:r>
      <w:r w:rsidRPr="00540C01">
        <w:t>rguably</w:t>
      </w:r>
      <w:proofErr w:type="gramEnd"/>
      <w:r>
        <w:t xml:space="preserve"> </w:t>
      </w:r>
      <w:r w:rsidRPr="00540C01">
        <w:t xml:space="preserve">fosters and promotes the public interest.  When parties in a proceeding reach a settlement, the principal issue for Commission consideration is whether the agreement reached suits the public interest.  </w:t>
      </w:r>
      <w:r w:rsidRPr="00540C01">
        <w:rPr>
          <w:i/>
        </w:rPr>
        <w:t>P</w:t>
      </w:r>
      <w:r w:rsidR="001C2B45">
        <w:rPr>
          <w:i/>
        </w:rPr>
        <w:t xml:space="preserve">a. Pub. Util. </w:t>
      </w:r>
      <w:proofErr w:type="spellStart"/>
      <w:r w:rsidR="001C2B45">
        <w:rPr>
          <w:i/>
        </w:rPr>
        <w:t>Comm’n</w:t>
      </w:r>
      <w:proofErr w:type="spellEnd"/>
      <w:r w:rsidRPr="00540C01">
        <w:rPr>
          <w:i/>
        </w:rPr>
        <w:t xml:space="preserve"> v. CS Water and Sewer Associates</w:t>
      </w:r>
      <w:r w:rsidRPr="00540C01">
        <w:t xml:space="preserve">, 74 Pa. PUC 767, 771 (1991).  </w:t>
      </w:r>
    </w:p>
    <w:p w:rsidR="008A282D" w:rsidRDefault="008A282D" w:rsidP="001C2B45">
      <w:pPr>
        <w:pStyle w:val="ListNumber"/>
        <w:numPr>
          <w:ilvl w:val="0"/>
          <w:numId w:val="0"/>
        </w:numPr>
        <w:spacing w:line="360" w:lineRule="auto"/>
      </w:pPr>
    </w:p>
    <w:p w:rsidR="008A282D" w:rsidRDefault="008A282D" w:rsidP="00270D1B">
      <w:pPr>
        <w:pStyle w:val="BodyText2"/>
        <w:spacing w:after="0" w:line="360" w:lineRule="auto"/>
        <w:rPr>
          <w:color w:val="000000"/>
        </w:rPr>
      </w:pPr>
      <w:r>
        <w:tab/>
      </w:r>
      <w:r w:rsidR="0015636B">
        <w:tab/>
      </w:r>
      <w:r>
        <w:rPr>
          <w:color w:val="000000"/>
        </w:rPr>
        <w:t xml:space="preserve">The Settlement was achieved only after a comprehensive investigation of Peoples’ natural gas procurement policies and operations.  In addition to a comprehensive filing and informal discovery, </w:t>
      </w:r>
      <w:r w:rsidR="00407DBA">
        <w:rPr>
          <w:color w:val="000000"/>
        </w:rPr>
        <w:t>the Settling Parties</w:t>
      </w:r>
      <w:r>
        <w:rPr>
          <w:color w:val="000000"/>
        </w:rPr>
        <w:t xml:space="preserve"> responded to numerous formal discovery requests (many of which had multiple subparts).  In support of their positions, </w:t>
      </w:r>
      <w:r w:rsidR="003D5EF4">
        <w:t>Peoples Division, Peoples-Equitable</w:t>
      </w:r>
      <w:r>
        <w:rPr>
          <w:color w:val="000000"/>
        </w:rPr>
        <w:t>, I&amp;E, OCA and PIOGA served testimony and accompanying exhibits, which were subsequently admitted into the record at the evidentiary hearing held on June 2, 2016.  The Joint Petitioners participated in numerous settlement discussions and formal negotiations, which ultimately led to the Settlement.</w:t>
      </w:r>
    </w:p>
    <w:p w:rsidR="00B55715" w:rsidRDefault="00B55715" w:rsidP="00B55715">
      <w:pPr>
        <w:pStyle w:val="BodyText2"/>
        <w:spacing w:after="0" w:line="360" w:lineRule="auto"/>
        <w:rPr>
          <w:color w:val="000000"/>
        </w:rPr>
      </w:pPr>
    </w:p>
    <w:p w:rsidR="008A282D" w:rsidRDefault="001C2B45" w:rsidP="0015636B">
      <w:pPr>
        <w:pStyle w:val="BodyText2"/>
        <w:spacing w:after="0" w:line="360" w:lineRule="auto"/>
        <w:ind w:firstLine="720"/>
        <w:rPr>
          <w:color w:val="000000"/>
        </w:rPr>
      </w:pPr>
      <w:r>
        <w:rPr>
          <w:color w:val="000000"/>
        </w:rPr>
        <w:tab/>
      </w:r>
      <w:r w:rsidR="00407DBA">
        <w:rPr>
          <w:color w:val="000000"/>
        </w:rPr>
        <w:t xml:space="preserve">In addition, </w:t>
      </w:r>
      <w:r w:rsidR="008A282D">
        <w:rPr>
          <w:color w:val="000000"/>
        </w:rPr>
        <w:t>the Joint Petitioners, as well as their experts and counsel, have considerable experience in PGC proceedings.  Their knowledge, experience, and ability to evaluate the strengths and weaknesses of their litigation positions provided a strong base upon which to build a consensus on the settled issues.</w:t>
      </w:r>
    </w:p>
    <w:p w:rsidR="001C2B45" w:rsidRDefault="001C2B45" w:rsidP="0015636B">
      <w:pPr>
        <w:pStyle w:val="BodyText2"/>
        <w:spacing w:after="0" w:line="360" w:lineRule="auto"/>
        <w:ind w:firstLine="720"/>
        <w:rPr>
          <w:color w:val="000000"/>
        </w:rPr>
      </w:pPr>
    </w:p>
    <w:p w:rsidR="008A282D" w:rsidRDefault="001C2B45" w:rsidP="0015636B">
      <w:pPr>
        <w:pStyle w:val="BodyText2"/>
        <w:spacing w:after="0" w:line="360" w:lineRule="auto"/>
        <w:ind w:firstLine="720"/>
        <w:rPr>
          <w:color w:val="000000"/>
        </w:rPr>
      </w:pPr>
      <w:r>
        <w:rPr>
          <w:color w:val="000000"/>
        </w:rPr>
        <w:lastRenderedPageBreak/>
        <w:tab/>
      </w:r>
      <w:r w:rsidR="008A282D">
        <w:rPr>
          <w:color w:val="000000"/>
        </w:rPr>
        <w:t>For these reasons and the reasons set forth below, the Settlement is just and reasonable and Peoples’ 2016 1307(f)</w:t>
      </w:r>
      <w:r w:rsidR="008A282D">
        <w:t xml:space="preserve"> filings for its Peoples Division and Peoples-Equitable Division,</w:t>
      </w:r>
      <w:r w:rsidR="008A282D">
        <w:rPr>
          <w:color w:val="000000"/>
        </w:rPr>
        <w:t xml:space="preserve"> as modified by the Settlement, should be approved.</w:t>
      </w:r>
    </w:p>
    <w:p w:rsidR="008A282D" w:rsidRDefault="008A282D" w:rsidP="0015636B">
      <w:pPr>
        <w:pStyle w:val="BodyText2"/>
        <w:spacing w:after="0" w:line="360" w:lineRule="auto"/>
        <w:rPr>
          <w:color w:val="000000"/>
        </w:rPr>
      </w:pPr>
    </w:p>
    <w:p w:rsidR="005A56F3" w:rsidRDefault="002F53BC" w:rsidP="0015636B">
      <w:pPr>
        <w:pStyle w:val="BodyText2"/>
        <w:spacing w:after="0" w:line="360" w:lineRule="auto"/>
        <w:rPr>
          <w:u w:val="single"/>
        </w:rPr>
      </w:pPr>
      <w:r w:rsidRPr="002F53BC">
        <w:t>B.</w:t>
      </w:r>
      <w:r w:rsidRPr="002F53BC">
        <w:tab/>
      </w:r>
      <w:r w:rsidR="005A56F3" w:rsidRPr="005A56F3">
        <w:rPr>
          <w:u w:val="single"/>
        </w:rPr>
        <w:t xml:space="preserve">Statements of the </w:t>
      </w:r>
      <w:r w:rsidR="005A56F3">
        <w:rPr>
          <w:u w:val="single"/>
        </w:rPr>
        <w:t xml:space="preserve">Settling </w:t>
      </w:r>
      <w:r w:rsidR="005A56F3" w:rsidRPr="005A56F3">
        <w:rPr>
          <w:u w:val="single"/>
        </w:rPr>
        <w:t>Parties in Support of the Settlement</w:t>
      </w:r>
    </w:p>
    <w:p w:rsidR="0015636B" w:rsidRPr="00540C01" w:rsidRDefault="0015636B" w:rsidP="0015636B">
      <w:pPr>
        <w:pStyle w:val="BodyText2"/>
        <w:spacing w:after="0" w:line="360" w:lineRule="auto"/>
      </w:pPr>
    </w:p>
    <w:p w:rsidR="005A56F3" w:rsidRPr="005A56F3" w:rsidRDefault="0015636B" w:rsidP="0015636B">
      <w:pPr>
        <w:pStyle w:val="ListNumber"/>
        <w:numPr>
          <w:ilvl w:val="0"/>
          <w:numId w:val="0"/>
        </w:numPr>
        <w:spacing w:line="360" w:lineRule="auto"/>
        <w:ind w:firstLine="720"/>
      </w:pPr>
      <w:r>
        <w:tab/>
      </w:r>
      <w:r w:rsidR="005A56F3" w:rsidRPr="005A56F3">
        <w:t xml:space="preserve">For the Commission’s consideration the parties submitted separate Statements in Support of the Settlement Petition.  In their </w:t>
      </w:r>
      <w:r w:rsidR="005571C5">
        <w:t>S</w:t>
      </w:r>
      <w:r w:rsidR="005A56F3" w:rsidRPr="005A56F3">
        <w:t xml:space="preserve">tatements, </w:t>
      </w:r>
      <w:r w:rsidR="003D5EF4">
        <w:t>Peoples Division, Peoples-Equitable</w:t>
      </w:r>
      <w:r w:rsidR="005A56F3" w:rsidRPr="005A56F3">
        <w:t>, I&amp;E, OCA, OSBA and PIOGA conclude, after extensive discovery and discussion, that the Settlement is in the interests of the Compan</w:t>
      </w:r>
      <w:r w:rsidR="003D5EF4">
        <w:t>y</w:t>
      </w:r>
      <w:r w:rsidR="005A56F3" w:rsidRPr="005A56F3">
        <w:t xml:space="preserve"> and its customers, and is otherwise in the public interest.  </w:t>
      </w:r>
    </w:p>
    <w:p w:rsidR="005A56F3" w:rsidRPr="00540C01" w:rsidRDefault="005A56F3" w:rsidP="0015636B">
      <w:pPr>
        <w:pStyle w:val="ListNumber"/>
        <w:numPr>
          <w:ilvl w:val="0"/>
          <w:numId w:val="0"/>
        </w:numPr>
        <w:spacing w:line="360" w:lineRule="auto"/>
        <w:ind w:left="720"/>
      </w:pPr>
    </w:p>
    <w:p w:rsidR="005A56F3" w:rsidRDefault="0015636B" w:rsidP="0015636B">
      <w:pPr>
        <w:pStyle w:val="ListNumber"/>
        <w:numPr>
          <w:ilvl w:val="0"/>
          <w:numId w:val="0"/>
        </w:numPr>
        <w:spacing w:line="360" w:lineRule="auto"/>
        <w:ind w:firstLine="720"/>
      </w:pPr>
      <w:r>
        <w:tab/>
      </w:r>
      <w:r w:rsidR="005A56F3" w:rsidRPr="00333EF7">
        <w:t>Noting there is no opposition to the Settlement, the positions of the Settling Parties are summarized below.</w:t>
      </w:r>
    </w:p>
    <w:p w:rsidR="00FC3F8D" w:rsidRDefault="00FC3F8D" w:rsidP="002F53BC">
      <w:pPr>
        <w:pStyle w:val="Heading2"/>
        <w:keepNext/>
        <w:numPr>
          <w:ilvl w:val="0"/>
          <w:numId w:val="0"/>
        </w:numPr>
        <w:spacing w:after="0" w:line="360" w:lineRule="auto"/>
        <w:ind w:left="720" w:hanging="720"/>
        <w:rPr>
          <w:b w:val="0"/>
          <w:caps w:val="0"/>
        </w:rPr>
      </w:pPr>
    </w:p>
    <w:p w:rsidR="000740F3" w:rsidRDefault="002848E0" w:rsidP="002F53BC">
      <w:pPr>
        <w:pStyle w:val="Heading2"/>
        <w:keepNext/>
        <w:numPr>
          <w:ilvl w:val="0"/>
          <w:numId w:val="0"/>
        </w:numPr>
        <w:spacing w:after="0" w:line="360" w:lineRule="auto"/>
        <w:ind w:left="720" w:hanging="720"/>
        <w:rPr>
          <w:b w:val="0"/>
          <w:caps w:val="0"/>
          <w:u w:val="single"/>
        </w:rPr>
      </w:pPr>
      <w:r>
        <w:rPr>
          <w:b w:val="0"/>
          <w:caps w:val="0"/>
        </w:rPr>
        <w:t>C</w:t>
      </w:r>
      <w:r w:rsidR="00050B74">
        <w:rPr>
          <w:b w:val="0"/>
          <w:caps w:val="0"/>
        </w:rPr>
        <w:t>.</w:t>
      </w:r>
      <w:r w:rsidR="00050B74">
        <w:rPr>
          <w:b w:val="0"/>
          <w:caps w:val="0"/>
        </w:rPr>
        <w:tab/>
      </w:r>
      <w:r w:rsidR="002F53BC" w:rsidRPr="00050B74">
        <w:rPr>
          <w:b w:val="0"/>
          <w:caps w:val="0"/>
          <w:u w:val="single"/>
        </w:rPr>
        <w:t>Capacity Levels</w:t>
      </w:r>
    </w:p>
    <w:p w:rsidR="002F53BC" w:rsidRPr="002F53BC" w:rsidRDefault="002F53BC" w:rsidP="002F53BC">
      <w:pPr>
        <w:pStyle w:val="BodyText2"/>
        <w:spacing w:after="0" w:line="360" w:lineRule="auto"/>
      </w:pPr>
    </w:p>
    <w:p w:rsidR="008A282D" w:rsidRDefault="008A282D" w:rsidP="002F53BC">
      <w:pPr>
        <w:pStyle w:val="Heading3"/>
        <w:tabs>
          <w:tab w:val="clear" w:pos="2160"/>
          <w:tab w:val="num" w:pos="1440"/>
        </w:tabs>
        <w:spacing w:after="0" w:line="360" w:lineRule="auto"/>
        <w:ind w:hanging="1440"/>
        <w:rPr>
          <w:b w:val="0"/>
          <w:u w:val="single"/>
        </w:rPr>
      </w:pPr>
      <w:r w:rsidRPr="00050B74">
        <w:rPr>
          <w:b w:val="0"/>
          <w:u w:val="single"/>
        </w:rPr>
        <w:t>Peoples</w:t>
      </w:r>
      <w:r w:rsidR="0015636B" w:rsidRPr="00050B74">
        <w:rPr>
          <w:b w:val="0"/>
          <w:u w:val="single"/>
        </w:rPr>
        <w:t>’</w:t>
      </w:r>
      <w:r w:rsidRPr="00050B74">
        <w:rPr>
          <w:b w:val="0"/>
          <w:u w:val="single"/>
        </w:rPr>
        <w:t xml:space="preserve"> Position</w:t>
      </w:r>
    </w:p>
    <w:p w:rsidR="002F53BC" w:rsidRPr="002F53BC" w:rsidRDefault="002F53BC" w:rsidP="002F53BC">
      <w:pPr>
        <w:pStyle w:val="BodyText2"/>
        <w:spacing w:after="0" w:line="360" w:lineRule="auto"/>
      </w:pPr>
    </w:p>
    <w:p w:rsidR="000740F3" w:rsidRDefault="00050B74" w:rsidP="00050B74">
      <w:pPr>
        <w:pStyle w:val="BodyText2"/>
        <w:spacing w:after="0" w:line="360" w:lineRule="auto"/>
        <w:ind w:firstLine="720"/>
      </w:pPr>
      <w:r>
        <w:tab/>
      </w:r>
      <w:r w:rsidR="000740F3">
        <w:t>In this proceeding, the Company</w:t>
      </w:r>
      <w:r w:rsidR="00B84EC5">
        <w:t xml:space="preserve"> explains that it</w:t>
      </w:r>
      <w:r w:rsidR="000740F3">
        <w:t xml:space="preserve"> proposed for the projected period to acquire additional </w:t>
      </w:r>
      <w:proofErr w:type="spellStart"/>
      <w:r w:rsidR="000740F3">
        <w:t>Equitrans</w:t>
      </w:r>
      <w:proofErr w:type="spellEnd"/>
      <w:r w:rsidR="000740F3">
        <w:t>, LP (</w:t>
      </w:r>
      <w:proofErr w:type="spellStart"/>
      <w:r w:rsidR="000740F3">
        <w:t>Equitrans</w:t>
      </w:r>
      <w:proofErr w:type="spellEnd"/>
      <w:r w:rsidR="000740F3">
        <w:t xml:space="preserve">) services for a one-year period.  </w:t>
      </w:r>
      <w:proofErr w:type="gramStart"/>
      <w:r w:rsidR="000740F3" w:rsidRPr="00C66A1B">
        <w:t>(Peoples Statement No. 2, p. 21.)</w:t>
      </w:r>
      <w:proofErr w:type="gramEnd"/>
      <w:r w:rsidR="000740F3">
        <w:t xml:space="preserve">  </w:t>
      </w:r>
      <w:r w:rsidR="000740F3" w:rsidRPr="00C66A1B">
        <w:t xml:space="preserve">These services would be </w:t>
      </w:r>
      <w:r w:rsidR="000740F3">
        <w:t xml:space="preserve">a portion of </w:t>
      </w:r>
      <w:r w:rsidR="000740F3" w:rsidRPr="00C66A1B">
        <w:t xml:space="preserve">the </w:t>
      </w:r>
      <w:proofErr w:type="spellStart"/>
      <w:r w:rsidR="000740F3" w:rsidRPr="00C66A1B">
        <w:t>Equitrans</w:t>
      </w:r>
      <w:proofErr w:type="spellEnd"/>
      <w:r w:rsidR="000740F3" w:rsidRPr="00C66A1B">
        <w:t xml:space="preserve"> storage service that </w:t>
      </w:r>
      <w:r w:rsidR="000740F3">
        <w:t xml:space="preserve">Peoples’ affiliate, </w:t>
      </w:r>
      <w:r w:rsidR="000740F3" w:rsidRPr="00C66A1B">
        <w:t>Peoples TWP</w:t>
      </w:r>
      <w:r w:rsidR="000740F3">
        <w:t xml:space="preserve"> LLC (Peoples TWP),</w:t>
      </w:r>
      <w:r w:rsidR="000740F3" w:rsidRPr="00C66A1B">
        <w:t xml:space="preserve"> currently has under contract with </w:t>
      </w:r>
      <w:proofErr w:type="spellStart"/>
      <w:r w:rsidR="000740F3" w:rsidRPr="00C66A1B">
        <w:t>Equitrans</w:t>
      </w:r>
      <w:proofErr w:type="spellEnd"/>
      <w:r w:rsidR="000740F3" w:rsidRPr="00C66A1B">
        <w:t xml:space="preserve">, which </w:t>
      </w:r>
      <w:r w:rsidR="000740F3">
        <w:t xml:space="preserve">portion </w:t>
      </w:r>
      <w:r w:rsidR="000740F3" w:rsidRPr="00C66A1B">
        <w:t>consist</w:t>
      </w:r>
      <w:r w:rsidR="000740F3">
        <w:t>s</w:t>
      </w:r>
      <w:r w:rsidR="000740F3" w:rsidRPr="00C66A1B">
        <w:t xml:space="preserve"> of 545,455 </w:t>
      </w:r>
      <w:proofErr w:type="spellStart"/>
      <w:r w:rsidR="000740F3" w:rsidRPr="00C66A1B">
        <w:t>Dth</w:t>
      </w:r>
      <w:proofErr w:type="spellEnd"/>
      <w:r w:rsidR="000740F3" w:rsidRPr="00C66A1B">
        <w:t xml:space="preserve"> of storage capacity under Rate GSS, 10,000 </w:t>
      </w:r>
      <w:proofErr w:type="spellStart"/>
      <w:r w:rsidR="000740F3" w:rsidRPr="00C66A1B">
        <w:t>Dth</w:t>
      </w:r>
      <w:proofErr w:type="spellEnd"/>
      <w:r w:rsidR="000740F3" w:rsidRPr="00C66A1B">
        <w:t xml:space="preserve">/day of storage deliverability, and 10,000 </w:t>
      </w:r>
      <w:proofErr w:type="spellStart"/>
      <w:r w:rsidR="000740F3" w:rsidRPr="00C66A1B">
        <w:t>Dth</w:t>
      </w:r>
      <w:proofErr w:type="spellEnd"/>
      <w:r w:rsidR="000740F3" w:rsidRPr="00C66A1B">
        <w:t xml:space="preserve">/day of firm transportation under Rate FTS.  </w:t>
      </w:r>
      <w:proofErr w:type="gramStart"/>
      <w:r w:rsidR="000740F3" w:rsidRPr="00C66A1B">
        <w:t>(Peoples Statement No. 2, p. 21.)</w:t>
      </w:r>
      <w:proofErr w:type="gramEnd"/>
      <w:r w:rsidR="000740F3">
        <w:t xml:space="preserve">  </w:t>
      </w:r>
      <w:proofErr w:type="gramStart"/>
      <w:r w:rsidR="000740F3" w:rsidRPr="00C66A1B">
        <w:t>Peoples has</w:t>
      </w:r>
      <w:proofErr w:type="gramEnd"/>
      <w:r w:rsidR="000740F3" w:rsidRPr="00C66A1B">
        <w:t xml:space="preserve"> proposed to acquire the service by capacity release from Peoples TWP at the same rates that Peoples TWP pays for the services.  </w:t>
      </w:r>
      <w:proofErr w:type="gramStart"/>
      <w:r w:rsidR="000740F3" w:rsidRPr="00C66A1B">
        <w:t>(Peoples Statement No. 2, p. 21</w:t>
      </w:r>
      <w:r w:rsidR="005571C5">
        <w:t>, Peoples Statement in Support, p. 3</w:t>
      </w:r>
      <w:r w:rsidR="000740F3" w:rsidRPr="00C66A1B">
        <w:t>.)</w:t>
      </w:r>
      <w:proofErr w:type="gramEnd"/>
      <w:r w:rsidR="000740F3">
        <w:t xml:space="preserve">  </w:t>
      </w:r>
    </w:p>
    <w:p w:rsidR="002F53BC" w:rsidRDefault="002F53BC" w:rsidP="00050B74">
      <w:pPr>
        <w:pStyle w:val="BodyText2"/>
        <w:spacing w:after="0" w:line="360" w:lineRule="auto"/>
        <w:ind w:firstLine="720"/>
      </w:pPr>
    </w:p>
    <w:p w:rsidR="005571C5" w:rsidRDefault="002F53BC" w:rsidP="00050B74">
      <w:pPr>
        <w:pStyle w:val="BodyText2"/>
        <w:spacing w:after="0" w:line="360" w:lineRule="auto"/>
        <w:ind w:firstLine="720"/>
      </w:pPr>
      <w:r>
        <w:tab/>
      </w:r>
      <w:r w:rsidR="00B84EC5">
        <w:t xml:space="preserve">According to </w:t>
      </w:r>
      <w:r w:rsidR="000740F3" w:rsidRPr="00C66A1B">
        <w:t>Peoples</w:t>
      </w:r>
      <w:r w:rsidR="00B84EC5">
        <w:t xml:space="preserve">, its </w:t>
      </w:r>
      <w:r w:rsidR="000740F3" w:rsidRPr="00C66A1B">
        <w:t xml:space="preserve">design day requirements exceed its design day supplies, whereas Peoples TWP’s design day requirements are less than its available design day supply.  </w:t>
      </w:r>
      <w:proofErr w:type="gramStart"/>
      <w:r w:rsidR="000740F3" w:rsidRPr="00C66A1B">
        <w:lastRenderedPageBreak/>
        <w:t>(Peoples Statement No. 2, p. 22.)</w:t>
      </w:r>
      <w:proofErr w:type="gramEnd"/>
      <w:r w:rsidR="000740F3">
        <w:t xml:space="preserve">  </w:t>
      </w:r>
      <w:r w:rsidR="00B84EC5">
        <w:t>Accordingly, Peoples explains, t</w:t>
      </w:r>
      <w:r w:rsidR="000740F3" w:rsidRPr="00C66A1B">
        <w:t xml:space="preserve">he capacity release process between Peoples and Peoples TWP provides a very cost-effective means to adjust available supplies between the </w:t>
      </w:r>
      <w:r w:rsidR="00BF1D31">
        <w:t>C</w:t>
      </w:r>
      <w:r w:rsidR="000740F3" w:rsidRPr="00C66A1B">
        <w:t xml:space="preserve">ompanies over a short-term without having to make new off-system, contractual commitments.  </w:t>
      </w:r>
      <w:proofErr w:type="gramStart"/>
      <w:r w:rsidR="000740F3" w:rsidRPr="00C66A1B">
        <w:t>(Peoples Statement No. 2, p. 22</w:t>
      </w:r>
      <w:r w:rsidR="005571C5">
        <w:t>, Peoples Statement in Support, p. 3</w:t>
      </w:r>
      <w:r w:rsidR="005571C5" w:rsidRPr="00C66A1B">
        <w:t>.)</w:t>
      </w:r>
      <w:proofErr w:type="gramEnd"/>
      <w:r w:rsidR="005571C5">
        <w:t xml:space="preserve">  </w:t>
      </w:r>
    </w:p>
    <w:p w:rsidR="00050B74" w:rsidRDefault="00050B74" w:rsidP="00050B74">
      <w:pPr>
        <w:pStyle w:val="BodyText2"/>
        <w:spacing w:after="0" w:line="360" w:lineRule="auto"/>
        <w:ind w:firstLine="720"/>
      </w:pPr>
    </w:p>
    <w:p w:rsidR="005571C5" w:rsidRDefault="00050B74" w:rsidP="00050B74">
      <w:pPr>
        <w:pStyle w:val="BodyText2"/>
        <w:spacing w:after="0" w:line="360" w:lineRule="auto"/>
        <w:ind w:firstLine="720"/>
      </w:pPr>
      <w:r>
        <w:tab/>
      </w:r>
      <w:proofErr w:type="gramStart"/>
      <w:r w:rsidR="00B84EC5">
        <w:t>Peoples avers</w:t>
      </w:r>
      <w:proofErr w:type="gramEnd"/>
      <w:r w:rsidR="00B84EC5">
        <w:t xml:space="preserve"> that b</w:t>
      </w:r>
      <w:r w:rsidR="000740F3">
        <w:t xml:space="preserve">oth Peoples’ total proposed capacity levels and the acquisition of the </w:t>
      </w:r>
      <w:proofErr w:type="spellStart"/>
      <w:r w:rsidR="000740F3">
        <w:t>Equitrans</w:t>
      </w:r>
      <w:proofErr w:type="spellEnd"/>
      <w:r w:rsidR="000740F3">
        <w:t xml:space="preserve"> services by capacity release from Peoples TWP were unopposed.  Under the Settlement, the Joint Petitioners </w:t>
      </w:r>
      <w:r w:rsidR="00B84EC5">
        <w:t xml:space="preserve">have agreed </w:t>
      </w:r>
      <w:r w:rsidR="000740F3">
        <w:t xml:space="preserve">that the total level of capacity proposed for both Divisions for the projected period is reasonable.  </w:t>
      </w:r>
      <w:proofErr w:type="gramStart"/>
      <w:r w:rsidR="000740F3">
        <w:t>(Settlement ¶ 29.)</w:t>
      </w:r>
      <w:proofErr w:type="gramEnd"/>
      <w:r w:rsidR="000740F3">
        <w:t xml:space="preserve">  The Settlement clarifies that it is not intended to approve any methodology for determining capacity requirements or design day criteria in any future proceeding.  </w:t>
      </w:r>
      <w:proofErr w:type="gramStart"/>
      <w:r w:rsidR="000740F3">
        <w:t>(Settlement ¶ 29</w:t>
      </w:r>
      <w:r w:rsidR="005571C5">
        <w:t>, Peoples Statement in Support, p. 4</w:t>
      </w:r>
      <w:r w:rsidR="005571C5" w:rsidRPr="00C66A1B">
        <w:t>.)</w:t>
      </w:r>
      <w:proofErr w:type="gramEnd"/>
      <w:r w:rsidR="005571C5">
        <w:t xml:space="preserve">  </w:t>
      </w:r>
    </w:p>
    <w:p w:rsidR="00050B74" w:rsidRDefault="00050B74" w:rsidP="00050B74">
      <w:pPr>
        <w:pStyle w:val="BodyText2"/>
        <w:spacing w:after="0" w:line="360" w:lineRule="auto"/>
        <w:ind w:firstLine="720"/>
      </w:pPr>
    </w:p>
    <w:p w:rsidR="000740F3" w:rsidRDefault="00050B74" w:rsidP="00050B74">
      <w:pPr>
        <w:pStyle w:val="BodyText2"/>
        <w:spacing w:after="0" w:line="360" w:lineRule="auto"/>
        <w:ind w:firstLine="720"/>
      </w:pPr>
      <w:r>
        <w:tab/>
      </w:r>
      <w:r w:rsidR="000740F3">
        <w:t>Given the lack of opposition on this issue, Peoples</w:t>
      </w:r>
      <w:r w:rsidR="00B84EC5">
        <w:t xml:space="preserve"> asserts </w:t>
      </w:r>
      <w:r w:rsidR="000740F3">
        <w:t xml:space="preserve">that this </w:t>
      </w:r>
      <w:r w:rsidR="00224807">
        <w:t>S</w:t>
      </w:r>
      <w:r w:rsidR="000740F3">
        <w:t>ettlement provision is just and reasonable and in the public interest</w:t>
      </w:r>
      <w:r w:rsidR="00B84EC5">
        <w:t xml:space="preserve"> and </w:t>
      </w:r>
      <w:r w:rsidR="000740F3">
        <w:t>should be approved without modification.</w:t>
      </w:r>
    </w:p>
    <w:p w:rsidR="001D62A6" w:rsidRDefault="001D62A6" w:rsidP="00050B74">
      <w:pPr>
        <w:pStyle w:val="BodyText2"/>
        <w:spacing w:after="0" w:line="360" w:lineRule="auto"/>
        <w:ind w:firstLine="720"/>
      </w:pPr>
    </w:p>
    <w:p w:rsidR="00722BA6" w:rsidRDefault="00722BA6" w:rsidP="00DB6210">
      <w:pPr>
        <w:pStyle w:val="Heading3"/>
        <w:spacing w:after="0" w:line="360" w:lineRule="auto"/>
        <w:ind w:left="1440"/>
        <w:jc w:val="left"/>
        <w:rPr>
          <w:b w:val="0"/>
          <w:u w:val="single"/>
        </w:rPr>
      </w:pPr>
      <w:r w:rsidRPr="00050B74">
        <w:rPr>
          <w:b w:val="0"/>
          <w:u w:val="single"/>
        </w:rPr>
        <w:t>OCA’</w:t>
      </w:r>
      <w:r w:rsidR="00B84EC5" w:rsidRPr="00050B74">
        <w:rPr>
          <w:b w:val="0"/>
          <w:u w:val="single"/>
        </w:rPr>
        <w:t>s Position</w:t>
      </w:r>
    </w:p>
    <w:p w:rsidR="00DB6210" w:rsidRPr="00DB6210" w:rsidRDefault="00DB6210" w:rsidP="00DB6210">
      <w:pPr>
        <w:pStyle w:val="BodyText2"/>
        <w:spacing w:after="0" w:line="360" w:lineRule="auto"/>
      </w:pPr>
    </w:p>
    <w:p w:rsidR="00722BA6" w:rsidRPr="005571C5" w:rsidRDefault="00050B74" w:rsidP="00050B74">
      <w:pPr>
        <w:pStyle w:val="ListParagraph"/>
        <w:spacing w:line="360" w:lineRule="auto"/>
        <w:ind w:left="0" w:firstLine="720"/>
        <w:rPr>
          <w:rFonts w:eastAsia="Calibri"/>
          <w:sz w:val="24"/>
          <w:szCs w:val="24"/>
        </w:rPr>
      </w:pPr>
      <w:r>
        <w:rPr>
          <w:rFonts w:eastAsia="Calibri"/>
          <w:sz w:val="24"/>
          <w:szCs w:val="24"/>
        </w:rPr>
        <w:tab/>
      </w:r>
      <w:r w:rsidR="00B84EC5" w:rsidRPr="005571C5">
        <w:rPr>
          <w:rFonts w:eastAsia="Calibri"/>
          <w:sz w:val="24"/>
          <w:szCs w:val="24"/>
        </w:rPr>
        <w:t>According to OCA, t</w:t>
      </w:r>
      <w:r w:rsidR="00722BA6" w:rsidRPr="005571C5">
        <w:rPr>
          <w:rFonts w:eastAsia="Calibri"/>
          <w:sz w:val="24"/>
          <w:szCs w:val="24"/>
        </w:rPr>
        <w:t>h</w:t>
      </w:r>
      <w:r w:rsidR="005571C5">
        <w:rPr>
          <w:rFonts w:eastAsia="Calibri"/>
          <w:sz w:val="24"/>
          <w:szCs w:val="24"/>
        </w:rPr>
        <w:t xml:space="preserve">e Settling Parties have </w:t>
      </w:r>
      <w:r w:rsidR="00722BA6" w:rsidRPr="005571C5">
        <w:rPr>
          <w:rFonts w:eastAsia="Calibri"/>
          <w:sz w:val="24"/>
          <w:szCs w:val="24"/>
        </w:rPr>
        <w:t>agree</w:t>
      </w:r>
      <w:r w:rsidR="005571C5">
        <w:rPr>
          <w:rFonts w:eastAsia="Calibri"/>
          <w:sz w:val="24"/>
          <w:szCs w:val="24"/>
        </w:rPr>
        <w:t>d</w:t>
      </w:r>
      <w:r w:rsidR="00722BA6" w:rsidRPr="005571C5">
        <w:rPr>
          <w:rFonts w:eastAsia="Calibri"/>
          <w:sz w:val="24"/>
          <w:szCs w:val="24"/>
        </w:rPr>
        <w:t xml:space="preserve"> that the proposed total level of capacity (</w:t>
      </w:r>
      <w:r w:rsidR="00722BA6" w:rsidRPr="005571C5">
        <w:rPr>
          <w:rFonts w:eastAsia="Calibri"/>
          <w:i/>
          <w:sz w:val="24"/>
          <w:szCs w:val="24"/>
        </w:rPr>
        <w:t>i.e.</w:t>
      </w:r>
      <w:r w:rsidR="00722BA6" w:rsidRPr="005571C5">
        <w:rPr>
          <w:rFonts w:eastAsia="Calibri"/>
          <w:sz w:val="24"/>
          <w:szCs w:val="24"/>
        </w:rPr>
        <w:t xml:space="preserve">, design day requirement of 1,238.5 </w:t>
      </w:r>
      <w:proofErr w:type="spellStart"/>
      <w:r w:rsidR="00722BA6" w:rsidRPr="005571C5">
        <w:rPr>
          <w:rFonts w:eastAsia="Calibri"/>
          <w:sz w:val="24"/>
          <w:szCs w:val="24"/>
        </w:rPr>
        <w:t>MMcf</w:t>
      </w:r>
      <w:proofErr w:type="spellEnd"/>
      <w:r w:rsidR="00722BA6" w:rsidRPr="005571C5">
        <w:rPr>
          <w:rFonts w:eastAsia="Calibri"/>
          <w:sz w:val="24"/>
          <w:szCs w:val="24"/>
        </w:rPr>
        <w:t xml:space="preserve">) for Peoples </w:t>
      </w:r>
      <w:r w:rsidR="003D5EF4">
        <w:rPr>
          <w:rFonts w:eastAsia="Calibri"/>
          <w:sz w:val="24"/>
          <w:szCs w:val="24"/>
        </w:rPr>
        <w:t xml:space="preserve">Division </w:t>
      </w:r>
      <w:r w:rsidR="00722BA6" w:rsidRPr="005571C5">
        <w:rPr>
          <w:rFonts w:eastAsia="Calibri"/>
          <w:sz w:val="24"/>
          <w:szCs w:val="24"/>
        </w:rPr>
        <w:t xml:space="preserve">and Peoples-Equitable for the projected period beginning October 1, 2016, (including the 10,000 </w:t>
      </w:r>
      <w:proofErr w:type="spellStart"/>
      <w:r w:rsidR="00722BA6" w:rsidRPr="005571C5">
        <w:rPr>
          <w:rFonts w:eastAsia="Calibri"/>
          <w:sz w:val="24"/>
          <w:szCs w:val="24"/>
        </w:rPr>
        <w:t>Dth</w:t>
      </w:r>
      <w:proofErr w:type="spellEnd"/>
      <w:r w:rsidR="00722BA6" w:rsidRPr="005571C5">
        <w:rPr>
          <w:rFonts w:eastAsia="Calibri"/>
          <w:sz w:val="24"/>
          <w:szCs w:val="24"/>
        </w:rPr>
        <w:t xml:space="preserve">/day of </w:t>
      </w:r>
      <w:proofErr w:type="spellStart"/>
      <w:r w:rsidR="00722BA6" w:rsidRPr="005571C5">
        <w:rPr>
          <w:rFonts w:eastAsia="Calibri"/>
          <w:sz w:val="24"/>
          <w:szCs w:val="24"/>
        </w:rPr>
        <w:t>Equitrans</w:t>
      </w:r>
      <w:proofErr w:type="spellEnd"/>
      <w:r w:rsidR="00722BA6" w:rsidRPr="005571C5">
        <w:rPr>
          <w:rFonts w:eastAsia="Calibri"/>
          <w:sz w:val="24"/>
          <w:szCs w:val="24"/>
        </w:rPr>
        <w:t xml:space="preserve"> storage and related transportation capacity released to Peoples by Peoples TWP) is appropriate and should be approved.  The OCA did not take a position with respect to capacity levels in this proceeding but </w:t>
      </w:r>
      <w:r w:rsidR="006D0518" w:rsidRPr="005571C5">
        <w:rPr>
          <w:rFonts w:eastAsia="Calibri"/>
          <w:sz w:val="24"/>
          <w:szCs w:val="24"/>
        </w:rPr>
        <w:t xml:space="preserve">explains that it </w:t>
      </w:r>
      <w:r w:rsidR="00722BA6" w:rsidRPr="005571C5">
        <w:rPr>
          <w:rFonts w:eastAsia="Calibri"/>
          <w:sz w:val="24"/>
          <w:szCs w:val="24"/>
        </w:rPr>
        <w:t xml:space="preserve">has no objection to the levels proposed by </w:t>
      </w:r>
      <w:r w:rsidR="003D5EF4">
        <w:rPr>
          <w:sz w:val="24"/>
          <w:szCs w:val="24"/>
        </w:rPr>
        <w:t>Peoples Division</w:t>
      </w:r>
      <w:r w:rsidR="00615C63">
        <w:rPr>
          <w:sz w:val="24"/>
          <w:szCs w:val="24"/>
        </w:rPr>
        <w:t xml:space="preserve"> and</w:t>
      </w:r>
      <w:r w:rsidR="003D5EF4">
        <w:rPr>
          <w:sz w:val="24"/>
          <w:szCs w:val="24"/>
        </w:rPr>
        <w:t xml:space="preserve"> Peoples-Equitable</w:t>
      </w:r>
      <w:r w:rsidR="00722BA6" w:rsidRPr="005571C5">
        <w:rPr>
          <w:rFonts w:eastAsia="Calibri"/>
          <w:sz w:val="24"/>
          <w:szCs w:val="24"/>
        </w:rPr>
        <w:t>.</w:t>
      </w:r>
      <w:r w:rsidR="005571C5">
        <w:rPr>
          <w:rFonts w:eastAsia="Calibri"/>
          <w:sz w:val="24"/>
          <w:szCs w:val="24"/>
        </w:rPr>
        <w:t xml:space="preserve">  </w:t>
      </w:r>
      <w:proofErr w:type="gramStart"/>
      <w:r w:rsidR="005571C5">
        <w:rPr>
          <w:rFonts w:eastAsia="Calibri"/>
          <w:sz w:val="24"/>
          <w:szCs w:val="24"/>
        </w:rPr>
        <w:t>(OCA Statement in Support, p.3.)</w:t>
      </w:r>
      <w:proofErr w:type="gramEnd"/>
    </w:p>
    <w:p w:rsidR="00722BA6" w:rsidRDefault="00722BA6" w:rsidP="008035E4">
      <w:pPr>
        <w:pStyle w:val="BodyText2"/>
        <w:spacing w:after="0" w:line="360" w:lineRule="auto"/>
      </w:pPr>
    </w:p>
    <w:p w:rsidR="001D62A6" w:rsidRDefault="001D62A6" w:rsidP="008035E4">
      <w:pPr>
        <w:pStyle w:val="BodyText2"/>
        <w:spacing w:after="0" w:line="360" w:lineRule="auto"/>
      </w:pPr>
    </w:p>
    <w:p w:rsidR="001D62A6" w:rsidRDefault="001D62A6" w:rsidP="008035E4">
      <w:pPr>
        <w:pStyle w:val="BodyText2"/>
        <w:spacing w:after="0" w:line="360" w:lineRule="auto"/>
      </w:pPr>
    </w:p>
    <w:p w:rsidR="001D62A6" w:rsidRDefault="001D62A6" w:rsidP="008035E4">
      <w:pPr>
        <w:pStyle w:val="BodyText2"/>
        <w:spacing w:after="0" w:line="360" w:lineRule="auto"/>
      </w:pPr>
    </w:p>
    <w:p w:rsidR="001D62A6" w:rsidRDefault="001D62A6" w:rsidP="008035E4">
      <w:pPr>
        <w:pStyle w:val="BodyText2"/>
        <w:spacing w:after="0" w:line="360" w:lineRule="auto"/>
      </w:pPr>
    </w:p>
    <w:p w:rsidR="001D62A6" w:rsidRDefault="001D62A6" w:rsidP="008035E4">
      <w:pPr>
        <w:pStyle w:val="BodyText2"/>
        <w:spacing w:after="0" w:line="360" w:lineRule="auto"/>
      </w:pPr>
    </w:p>
    <w:p w:rsidR="000740F3" w:rsidRDefault="00394312" w:rsidP="002F53BC">
      <w:pPr>
        <w:pStyle w:val="Heading2"/>
        <w:numPr>
          <w:ilvl w:val="0"/>
          <w:numId w:val="0"/>
        </w:numPr>
        <w:spacing w:after="0" w:line="360" w:lineRule="auto"/>
        <w:ind w:left="720" w:hanging="720"/>
        <w:rPr>
          <w:b w:val="0"/>
          <w:caps w:val="0"/>
          <w:u w:val="single"/>
        </w:rPr>
      </w:pPr>
      <w:r>
        <w:rPr>
          <w:b w:val="0"/>
        </w:rPr>
        <w:lastRenderedPageBreak/>
        <w:t>D</w:t>
      </w:r>
      <w:r w:rsidR="00050B74" w:rsidRPr="00050B74">
        <w:rPr>
          <w:b w:val="0"/>
        </w:rPr>
        <w:t>.</w:t>
      </w:r>
      <w:r w:rsidR="00050B74" w:rsidRPr="00050B74">
        <w:rPr>
          <w:b w:val="0"/>
        </w:rPr>
        <w:tab/>
      </w:r>
      <w:r w:rsidR="00050B74" w:rsidRPr="00050B74">
        <w:rPr>
          <w:b w:val="0"/>
          <w:caps w:val="0"/>
          <w:u w:val="single"/>
        </w:rPr>
        <w:t xml:space="preserve">Retainage </w:t>
      </w:r>
      <w:r w:rsidR="00050B74">
        <w:rPr>
          <w:b w:val="0"/>
          <w:caps w:val="0"/>
          <w:u w:val="single"/>
        </w:rPr>
        <w:t>a</w:t>
      </w:r>
      <w:r w:rsidR="00050B74" w:rsidRPr="00050B74">
        <w:rPr>
          <w:b w:val="0"/>
          <w:caps w:val="0"/>
          <w:u w:val="single"/>
        </w:rPr>
        <w:t xml:space="preserve">nd Lost </w:t>
      </w:r>
      <w:r w:rsidR="00050B74">
        <w:rPr>
          <w:b w:val="0"/>
          <w:caps w:val="0"/>
          <w:u w:val="single"/>
        </w:rPr>
        <w:t>a</w:t>
      </w:r>
      <w:r w:rsidR="00050B74" w:rsidRPr="00050B74">
        <w:rPr>
          <w:b w:val="0"/>
          <w:caps w:val="0"/>
          <w:u w:val="single"/>
        </w:rPr>
        <w:t xml:space="preserve">nd Unaccounted </w:t>
      </w:r>
      <w:r w:rsidR="00050B74">
        <w:rPr>
          <w:b w:val="0"/>
          <w:caps w:val="0"/>
          <w:u w:val="single"/>
        </w:rPr>
        <w:t>f</w:t>
      </w:r>
      <w:r w:rsidR="00050B74" w:rsidRPr="00050B74">
        <w:rPr>
          <w:b w:val="0"/>
          <w:caps w:val="0"/>
          <w:u w:val="single"/>
        </w:rPr>
        <w:t>or Gas</w:t>
      </w:r>
    </w:p>
    <w:p w:rsidR="002F53BC" w:rsidRPr="002F53BC" w:rsidRDefault="002F53BC" w:rsidP="002F53BC">
      <w:pPr>
        <w:pStyle w:val="BodyText2"/>
        <w:spacing w:after="0" w:line="360" w:lineRule="auto"/>
      </w:pPr>
    </w:p>
    <w:p w:rsidR="00722BA6" w:rsidRPr="002F53BC" w:rsidRDefault="00050B74" w:rsidP="002F53BC">
      <w:pPr>
        <w:pStyle w:val="Heading3"/>
        <w:numPr>
          <w:ilvl w:val="0"/>
          <w:numId w:val="0"/>
        </w:numPr>
        <w:spacing w:line="360" w:lineRule="auto"/>
        <w:ind w:left="1440" w:hanging="720"/>
        <w:rPr>
          <w:b w:val="0"/>
        </w:rPr>
      </w:pPr>
      <w:r>
        <w:rPr>
          <w:b w:val="0"/>
        </w:rPr>
        <w:t>1.</w:t>
      </w:r>
      <w:r>
        <w:rPr>
          <w:b w:val="0"/>
        </w:rPr>
        <w:tab/>
      </w:r>
      <w:r w:rsidR="00722BA6" w:rsidRPr="00050B74">
        <w:rPr>
          <w:b w:val="0"/>
          <w:u w:val="single"/>
        </w:rPr>
        <w:t>Peoples</w:t>
      </w:r>
      <w:r w:rsidR="002F53BC">
        <w:rPr>
          <w:b w:val="0"/>
          <w:u w:val="single"/>
        </w:rPr>
        <w:t>’</w:t>
      </w:r>
      <w:r w:rsidR="00722BA6" w:rsidRPr="00050B74">
        <w:rPr>
          <w:b w:val="0"/>
          <w:u w:val="single"/>
        </w:rPr>
        <w:t xml:space="preserve"> Position</w:t>
      </w:r>
    </w:p>
    <w:p w:rsidR="000740F3" w:rsidRDefault="002F53BC" w:rsidP="002F53BC">
      <w:pPr>
        <w:pStyle w:val="Heading4"/>
        <w:numPr>
          <w:ilvl w:val="0"/>
          <w:numId w:val="0"/>
        </w:numPr>
        <w:spacing w:after="0"/>
        <w:ind w:left="2160" w:hanging="720"/>
        <w:rPr>
          <w:b w:val="0"/>
        </w:rPr>
      </w:pPr>
      <w:r>
        <w:rPr>
          <w:b w:val="0"/>
        </w:rPr>
        <w:t>a.</w:t>
      </w:r>
      <w:r>
        <w:rPr>
          <w:b w:val="0"/>
        </w:rPr>
        <w:tab/>
      </w:r>
      <w:r w:rsidR="000740F3" w:rsidRPr="00670A1B">
        <w:rPr>
          <w:b w:val="0"/>
          <w:u w:val="single"/>
        </w:rPr>
        <w:t>Retainage</w:t>
      </w:r>
    </w:p>
    <w:p w:rsidR="002F53BC" w:rsidRPr="002F53BC" w:rsidRDefault="002F53BC" w:rsidP="002F53BC">
      <w:pPr>
        <w:pStyle w:val="BodyText2"/>
        <w:spacing w:after="0" w:line="360" w:lineRule="auto"/>
      </w:pPr>
    </w:p>
    <w:p w:rsidR="000740F3" w:rsidRDefault="002F53BC" w:rsidP="002F53BC">
      <w:pPr>
        <w:pStyle w:val="BodyText2"/>
        <w:spacing w:after="0" w:line="360" w:lineRule="auto"/>
        <w:ind w:firstLine="720"/>
      </w:pPr>
      <w:r>
        <w:tab/>
      </w:r>
      <w:r w:rsidR="000740F3">
        <w:t xml:space="preserve">Retainage represents the extra gas needed to account for unaccounted for gas (UFG) and company use (CU) gas for customers to receive the amount of gas needed.  </w:t>
      </w:r>
      <w:proofErr w:type="gramStart"/>
      <w:r w:rsidR="000740F3">
        <w:t>(I&amp;E Statement No. 1, p. 6.)</w:t>
      </w:r>
      <w:proofErr w:type="gramEnd"/>
      <w:r w:rsidR="000740F3">
        <w:t xml:space="preserve">  Transportation customers are charged for retainage because they are required to supply extra gas to meet this requirement.  </w:t>
      </w:r>
      <w:proofErr w:type="gramStart"/>
      <w:r w:rsidR="000740F3">
        <w:t>(I&amp;E Statement No. 1, p. 6.)</w:t>
      </w:r>
      <w:proofErr w:type="gramEnd"/>
      <w:r w:rsidR="000740F3">
        <w:t xml:space="preserve">  </w:t>
      </w:r>
      <w:r w:rsidR="006D0518">
        <w:t xml:space="preserve">Peoples explains that </w:t>
      </w:r>
      <w:r w:rsidR="000740F3">
        <w:t xml:space="preserve">PGC customers are not charged for retainage directly because they pay for UFG and CU in their PGC rate, but any retainage that is not recovered from transportation customers is assessed to PGC customers.  </w:t>
      </w:r>
      <w:proofErr w:type="gramStart"/>
      <w:r w:rsidR="000740F3">
        <w:t>(I&amp;E Statement No. 1, p. 6</w:t>
      </w:r>
      <w:r w:rsidR="005571C5">
        <w:t>, Peoples Statement in Support, p. 4.)</w:t>
      </w:r>
      <w:proofErr w:type="gramEnd"/>
    </w:p>
    <w:p w:rsidR="002F53BC" w:rsidRDefault="002F53BC" w:rsidP="002F53BC">
      <w:pPr>
        <w:pStyle w:val="BodyText2"/>
        <w:spacing w:after="0" w:line="360" w:lineRule="auto"/>
        <w:ind w:firstLine="720"/>
      </w:pPr>
    </w:p>
    <w:p w:rsidR="005571C5" w:rsidRDefault="002F53BC" w:rsidP="002F53BC">
      <w:pPr>
        <w:pStyle w:val="BodyText2"/>
        <w:spacing w:after="0" w:line="360" w:lineRule="auto"/>
        <w:ind w:firstLine="720"/>
      </w:pPr>
      <w:r>
        <w:tab/>
      </w:r>
      <w:r w:rsidR="000740F3">
        <w:t xml:space="preserve">Peoples initially proposed a retainage rate of 5.2%.  </w:t>
      </w:r>
      <w:proofErr w:type="gramStart"/>
      <w:r w:rsidR="000740F3">
        <w:t>(Peoples Statement No. 1, p.</w:t>
      </w:r>
      <w:r>
        <w:t> </w:t>
      </w:r>
      <w:r w:rsidR="000740F3">
        <w:t>13.)</w:t>
      </w:r>
      <w:proofErr w:type="gramEnd"/>
      <w:r w:rsidR="000740F3">
        <w:t xml:space="preserve">  The Company </w:t>
      </w:r>
      <w:r w:rsidR="006D0518">
        <w:t xml:space="preserve">explains that it </w:t>
      </w:r>
      <w:r w:rsidR="000740F3">
        <w:t xml:space="preserve">developed this rate by using the two-year average of UFG/CU and applying it to the projected usage for the Peoples system to create a projection of total system retainage needs for the forecast period.  </w:t>
      </w:r>
      <w:proofErr w:type="gramStart"/>
      <w:r w:rsidR="000740F3">
        <w:t>(Peoples Statement No. 1, pp. 13-14.)</w:t>
      </w:r>
      <w:proofErr w:type="gramEnd"/>
      <w:r w:rsidR="000740F3">
        <w:t xml:space="preserve">  Peoples then made adjustments that reduce those needs to account for:  (1) the Allegheny Valley Connector (AVC) adjustment associated with the transfer of Peoples’ assets to EQT Corporation; and (2) the negotiated retainage rate customers of both Divisions.  </w:t>
      </w:r>
      <w:proofErr w:type="gramStart"/>
      <w:r w:rsidR="000740F3">
        <w:t>(Peoples Statement No. 1, pp. 13-14.)</w:t>
      </w:r>
      <w:proofErr w:type="gramEnd"/>
      <w:r w:rsidR="000740F3">
        <w:t xml:space="preserve">  Further, the Company explained it discounts a customer’s retainage rate when certain competitive circumstances exist and when the discount passes the established net benefit test.  (Peoples Statement No. 1, pp. 15-20; </w:t>
      </w:r>
      <w:r w:rsidR="000740F3">
        <w:rPr>
          <w:i/>
        </w:rPr>
        <w:t xml:space="preserve">see </w:t>
      </w:r>
      <w:r w:rsidR="000740F3">
        <w:t>Highly Confidential Peoples Exhibit No. 4</w:t>
      </w:r>
      <w:r w:rsidR="005571C5">
        <w:t>, Peoples Statement in Support, p. 5.)</w:t>
      </w:r>
    </w:p>
    <w:p w:rsidR="000740F3" w:rsidRDefault="000740F3" w:rsidP="002F53BC">
      <w:pPr>
        <w:pStyle w:val="BodyText2"/>
        <w:spacing w:after="0" w:line="360" w:lineRule="auto"/>
        <w:ind w:firstLine="720"/>
      </w:pPr>
      <w:r>
        <w:t xml:space="preserve">  </w:t>
      </w:r>
    </w:p>
    <w:p w:rsidR="005571C5" w:rsidRDefault="002F53BC" w:rsidP="000B3A18">
      <w:pPr>
        <w:pStyle w:val="BodyText2"/>
        <w:spacing w:after="0" w:line="360" w:lineRule="auto"/>
        <w:ind w:firstLine="720"/>
      </w:pPr>
      <w:r>
        <w:tab/>
      </w:r>
      <w:r w:rsidR="000740F3">
        <w:t xml:space="preserve">In testimony, </w:t>
      </w:r>
      <w:r w:rsidR="006D0518">
        <w:t xml:space="preserve">Peoples explained that </w:t>
      </w:r>
      <w:r w:rsidR="000740F3">
        <w:t xml:space="preserve">I&amp;E supported the Company’s proposed retainage rate of 5.2% because it equaled UFG and CU.  </w:t>
      </w:r>
      <w:proofErr w:type="gramStart"/>
      <w:r w:rsidR="000740F3">
        <w:t>(I&amp;E Statement No. 1, p. 9</w:t>
      </w:r>
      <w:r w:rsidR="005571C5">
        <w:t>, Peoples Statement in Support, p. 5.)</w:t>
      </w:r>
      <w:proofErr w:type="gramEnd"/>
      <w:r w:rsidR="005571C5">
        <w:t xml:space="preserve"> </w:t>
      </w:r>
      <w:r w:rsidR="000740F3">
        <w:t xml:space="preserve"> However, OCA expressed a concern with the calculation of the proposed retainage charge on page one of Peoples Exhibit No. 3.  </w:t>
      </w:r>
      <w:proofErr w:type="gramStart"/>
      <w:r w:rsidR="000740F3">
        <w:t>(OCA Statement No. 1, p. 3</w:t>
      </w:r>
      <w:r w:rsidR="005571C5">
        <w:t>, Peoples Statement in Support, p. 5.)</w:t>
      </w:r>
      <w:proofErr w:type="gramEnd"/>
      <w:r w:rsidR="005571C5">
        <w:t xml:space="preserve">  </w:t>
      </w:r>
      <w:r w:rsidR="000740F3">
        <w:t xml:space="preserve">Further, OCA argued that Peoples should not be able to discount retainage charges to a transportation customer by a greater percentage than it discounts </w:t>
      </w:r>
      <w:r w:rsidR="000740F3">
        <w:lastRenderedPageBreak/>
        <w:t xml:space="preserve">the applicable delivery rates to a customer, noting that a similar provision is in Peoples TWP’s tariff.  </w:t>
      </w:r>
      <w:proofErr w:type="gramStart"/>
      <w:r w:rsidR="000740F3">
        <w:t>(OCA Statement No. 1, p. 6</w:t>
      </w:r>
      <w:r w:rsidR="005571C5">
        <w:t>, Peoples Statement in Support, p. 5.)</w:t>
      </w:r>
      <w:proofErr w:type="gramEnd"/>
    </w:p>
    <w:p w:rsidR="002F53BC" w:rsidRDefault="002F53BC" w:rsidP="002F53BC">
      <w:pPr>
        <w:pStyle w:val="BodyText2"/>
        <w:spacing w:after="0" w:line="360" w:lineRule="auto"/>
        <w:ind w:firstLine="720"/>
      </w:pPr>
    </w:p>
    <w:p w:rsidR="005571C5" w:rsidRDefault="000740F3" w:rsidP="002F53BC">
      <w:pPr>
        <w:pStyle w:val="BodyText2"/>
        <w:spacing w:after="0" w:line="360" w:lineRule="auto"/>
        <w:ind w:firstLine="720"/>
      </w:pPr>
      <w:r w:rsidRPr="006D6CC5">
        <w:t xml:space="preserve"> </w:t>
      </w:r>
      <w:r>
        <w:t xml:space="preserve"> </w:t>
      </w:r>
      <w:r w:rsidR="002F53BC">
        <w:tab/>
      </w:r>
      <w:r w:rsidR="006D0518">
        <w:t>According to Peoples, i</w:t>
      </w:r>
      <w:r>
        <w:t xml:space="preserve">n rebuttal, </w:t>
      </w:r>
      <w:r w:rsidR="006D0518">
        <w:t>it</w:t>
      </w:r>
      <w:r>
        <w:t xml:space="preserve"> presented a Revised Peoples Exhibit No. 3, which corrected the retainage rate calculation on Peoples Exhibit No. 3 and addressed OCA’s concern with the calculation.  </w:t>
      </w:r>
      <w:proofErr w:type="gramStart"/>
      <w:r>
        <w:t xml:space="preserve">(Peoples Statement No. 1-R, pp. 2-3; </w:t>
      </w:r>
      <w:r>
        <w:rPr>
          <w:i/>
        </w:rPr>
        <w:t xml:space="preserve">see </w:t>
      </w:r>
      <w:r>
        <w:t>Revised Peoples Exhibit No. 3.)</w:t>
      </w:r>
      <w:proofErr w:type="gramEnd"/>
      <w:r>
        <w:t xml:space="preserve">  With these corrections made, Peoples proposed a retainage rate for non-discounted customers of 5.25% instead of 5.2%.  </w:t>
      </w:r>
      <w:proofErr w:type="gramStart"/>
      <w:r>
        <w:t>(Peoples Statement No. 1-R, p. 3</w:t>
      </w:r>
      <w:r w:rsidR="005571C5">
        <w:t>, Peoples Statement in Support, p. 5.)</w:t>
      </w:r>
      <w:proofErr w:type="gramEnd"/>
    </w:p>
    <w:p w:rsidR="002F53BC" w:rsidRDefault="002F53BC" w:rsidP="002F53BC">
      <w:pPr>
        <w:pStyle w:val="BodyText2"/>
        <w:spacing w:after="0" w:line="360" w:lineRule="auto"/>
        <w:ind w:firstLine="720"/>
      </w:pPr>
    </w:p>
    <w:p w:rsidR="005571C5" w:rsidRDefault="000740F3" w:rsidP="002F53BC">
      <w:pPr>
        <w:pStyle w:val="BodyText2"/>
        <w:spacing w:after="0" w:line="360" w:lineRule="auto"/>
        <w:ind w:firstLine="720"/>
      </w:pPr>
      <w:r>
        <w:t xml:space="preserve">  </w:t>
      </w:r>
      <w:r w:rsidR="002F53BC">
        <w:tab/>
      </w:r>
      <w:r w:rsidR="006D0518">
        <w:t xml:space="preserve">Peoples explains that it </w:t>
      </w:r>
      <w:r>
        <w:t xml:space="preserve">disagreed with OCA’s recommendation that the Company not be able to discount retainage rates by a greater percentage than the discount to base rate charges that Peoples grants a customer.  </w:t>
      </w:r>
      <w:proofErr w:type="gramStart"/>
      <w:r>
        <w:t>(Peoples Statement No. 1-R, p. 3.)</w:t>
      </w:r>
      <w:proofErr w:type="gramEnd"/>
      <w:r>
        <w:t xml:space="preserve">  The Company explained that imposing this restriction on Peoples would not place the Company and Peoples TWP on equal footing, because Peoples TWP’s tariff also enables it to negotiate balancing charges to address competitive conditions whereas Peoples’ tariff provides no such authority.  </w:t>
      </w:r>
      <w:proofErr w:type="gramStart"/>
      <w:r>
        <w:t>(Peoples Statement No. 1-R, pp. 3-4</w:t>
      </w:r>
      <w:r w:rsidR="005571C5">
        <w:t>, Peoples Statement in Support, p. 6.)</w:t>
      </w:r>
      <w:proofErr w:type="gramEnd"/>
    </w:p>
    <w:p w:rsidR="002F53BC" w:rsidRDefault="002F53BC" w:rsidP="002F53BC">
      <w:pPr>
        <w:pStyle w:val="BodyText2"/>
        <w:spacing w:after="0" w:line="360" w:lineRule="auto"/>
        <w:ind w:firstLine="720"/>
      </w:pPr>
    </w:p>
    <w:p w:rsidR="005571C5" w:rsidRDefault="002F53BC" w:rsidP="002F53BC">
      <w:pPr>
        <w:pStyle w:val="BodyText2"/>
        <w:spacing w:after="0" w:line="360" w:lineRule="auto"/>
        <w:ind w:firstLine="720"/>
      </w:pPr>
      <w:r>
        <w:tab/>
      </w:r>
      <w:proofErr w:type="gramStart"/>
      <w:r w:rsidR="00EE330F" w:rsidRPr="00EE330F">
        <w:t>Peoples explains</w:t>
      </w:r>
      <w:proofErr w:type="gramEnd"/>
      <w:r w:rsidR="00EE330F" w:rsidRPr="00EE330F">
        <w:t xml:space="preserve"> that u</w:t>
      </w:r>
      <w:r w:rsidR="000740F3" w:rsidRPr="00EE330F">
        <w:t xml:space="preserve">nder the Settlement, the tariffed retainage rate for all classes shall be 5.25%, as presented in Peoples Statement No. 1-R.  </w:t>
      </w:r>
      <w:proofErr w:type="gramStart"/>
      <w:r w:rsidR="000740F3" w:rsidRPr="00EE330F">
        <w:t>(Settlement ¶ 30.)</w:t>
      </w:r>
      <w:proofErr w:type="gramEnd"/>
      <w:r w:rsidR="000740F3" w:rsidRPr="00EE330F">
        <w:t xml:space="preserve">  Regarding discounted retainage rates,</w:t>
      </w:r>
      <w:r w:rsidR="00EE330F" w:rsidRPr="00EE330F">
        <w:t xml:space="preserve"> Peoples asserts </w:t>
      </w:r>
      <w:r w:rsidR="000740F3" w:rsidRPr="00EE330F">
        <w:t xml:space="preserve">the Settlement provides that the newly negotiated waivers of retainage in Highly Confidential Peoples Exhibit No. 4 should be approved.  </w:t>
      </w:r>
      <w:proofErr w:type="gramStart"/>
      <w:r w:rsidR="000740F3" w:rsidRPr="00EE330F">
        <w:t>(Settlement ¶ 32.)</w:t>
      </w:r>
      <w:proofErr w:type="gramEnd"/>
      <w:r w:rsidR="000740F3" w:rsidRPr="00EE330F">
        <w:t xml:space="preserve">  However, for new or renegotiated contracts entered into before September 30, 2017, retainage for customers with negotiated delivery rates above $0.38 per </w:t>
      </w:r>
      <w:proofErr w:type="spellStart"/>
      <w:r w:rsidR="000740F3" w:rsidRPr="00EE330F">
        <w:t>Mcf</w:t>
      </w:r>
      <w:proofErr w:type="spellEnd"/>
      <w:r w:rsidR="000740F3" w:rsidRPr="00EE330F">
        <w:t xml:space="preserve"> will not be discounted from the full tariff retainage rate at a greater percentage than the delivery rate is discounted from the applicable full tariff delivery rate.  </w:t>
      </w:r>
      <w:proofErr w:type="gramStart"/>
      <w:r w:rsidR="000740F3" w:rsidRPr="00EE330F">
        <w:t>(Settlement ¶ 33.)</w:t>
      </w:r>
      <w:proofErr w:type="gramEnd"/>
      <w:r w:rsidR="000740F3" w:rsidRPr="00EE330F">
        <w:t xml:space="preserve">  </w:t>
      </w:r>
      <w:r w:rsidR="00EE330F" w:rsidRPr="00EE330F">
        <w:t>According to Peoples, t</w:t>
      </w:r>
      <w:r w:rsidR="000740F3" w:rsidRPr="00EE330F">
        <w:t>his provision will grant the Company continued flexibility in trying to retain the most highly competitive customers, which benefits all customers on the system.</w:t>
      </w:r>
      <w:r w:rsidR="005571C5">
        <w:t xml:space="preserve">  </w:t>
      </w:r>
      <w:proofErr w:type="gramStart"/>
      <w:r w:rsidR="005571C5">
        <w:t>(Peoples Statement in Support, p. 6.)</w:t>
      </w:r>
      <w:proofErr w:type="gramEnd"/>
    </w:p>
    <w:p w:rsidR="007D1F82" w:rsidRDefault="007D1F82" w:rsidP="002F53BC">
      <w:pPr>
        <w:pStyle w:val="BodyText2"/>
        <w:spacing w:after="0" w:line="360" w:lineRule="auto"/>
        <w:ind w:firstLine="720"/>
      </w:pPr>
    </w:p>
    <w:p w:rsidR="000740F3" w:rsidRDefault="002F53BC" w:rsidP="002F53BC">
      <w:pPr>
        <w:pStyle w:val="BodyText2"/>
        <w:spacing w:after="0" w:line="360" w:lineRule="auto"/>
        <w:ind w:firstLine="720"/>
      </w:pPr>
      <w:r>
        <w:lastRenderedPageBreak/>
        <w:tab/>
      </w:r>
      <w:proofErr w:type="gramStart"/>
      <w:r w:rsidR="00EE330F">
        <w:t>Peoples asserts</w:t>
      </w:r>
      <w:proofErr w:type="gramEnd"/>
      <w:r w:rsidR="00EE330F">
        <w:t xml:space="preserve"> these </w:t>
      </w:r>
      <w:r w:rsidR="00224807">
        <w:t>S</w:t>
      </w:r>
      <w:r w:rsidR="000740F3">
        <w:t>ettlement provisions reflect a reasonable compromise of the parties’ litigation positions and, therefore, should be approved without modification.</w:t>
      </w:r>
    </w:p>
    <w:p w:rsidR="002F53BC" w:rsidRDefault="002F53BC" w:rsidP="002F53BC">
      <w:pPr>
        <w:pStyle w:val="BodyText2"/>
        <w:spacing w:after="0" w:line="360" w:lineRule="auto"/>
        <w:ind w:firstLine="720"/>
      </w:pPr>
    </w:p>
    <w:p w:rsidR="000740F3" w:rsidRDefault="00D20554" w:rsidP="002F53BC">
      <w:pPr>
        <w:pStyle w:val="Heading4"/>
        <w:numPr>
          <w:ilvl w:val="0"/>
          <w:numId w:val="0"/>
        </w:numPr>
        <w:spacing w:after="0" w:line="360" w:lineRule="auto"/>
        <w:ind w:left="2160" w:hanging="720"/>
        <w:rPr>
          <w:b w:val="0"/>
          <w:u w:val="single"/>
        </w:rPr>
      </w:pPr>
      <w:r>
        <w:rPr>
          <w:b w:val="0"/>
        </w:rPr>
        <w:t>b</w:t>
      </w:r>
      <w:r w:rsidR="002F53BC">
        <w:rPr>
          <w:b w:val="0"/>
        </w:rPr>
        <w:t>.</w:t>
      </w:r>
      <w:r w:rsidR="002F53BC">
        <w:rPr>
          <w:b w:val="0"/>
        </w:rPr>
        <w:tab/>
      </w:r>
      <w:r w:rsidR="000740F3" w:rsidRPr="002F53BC">
        <w:rPr>
          <w:b w:val="0"/>
          <w:u w:val="single"/>
        </w:rPr>
        <w:t>Unaccounted for Gas</w:t>
      </w:r>
    </w:p>
    <w:p w:rsidR="002F53BC" w:rsidRPr="002F53BC" w:rsidRDefault="002F53BC" w:rsidP="002F53BC">
      <w:pPr>
        <w:pStyle w:val="BodyText2"/>
        <w:spacing w:after="0" w:line="360" w:lineRule="auto"/>
      </w:pPr>
    </w:p>
    <w:p w:rsidR="00A47987" w:rsidRDefault="00685B66" w:rsidP="002F53BC">
      <w:pPr>
        <w:pStyle w:val="BodyText2"/>
        <w:spacing w:after="0" w:line="360" w:lineRule="auto"/>
        <w:ind w:firstLine="720"/>
      </w:pPr>
      <w:r>
        <w:tab/>
      </w:r>
      <w:r w:rsidR="00EE330F">
        <w:t>According to Peoples</w:t>
      </w:r>
      <w:r w:rsidR="001E1D81">
        <w:t xml:space="preserve"> Division and Peoples-Equitable</w:t>
      </w:r>
      <w:r w:rsidR="00EE330F">
        <w:t xml:space="preserve">, </w:t>
      </w:r>
      <w:r w:rsidR="000740F3">
        <w:t xml:space="preserve">I&amp;E recognized that Peoples’ distribution function UFG is within the target levels contained in the applicable Commission regulations.  </w:t>
      </w:r>
      <w:proofErr w:type="gramStart"/>
      <w:r w:rsidR="000740F3">
        <w:t>(I&amp;E Statement No.</w:t>
      </w:r>
      <w:r>
        <w:t> </w:t>
      </w:r>
      <w:r w:rsidR="000740F3">
        <w:t>1, p. 5</w:t>
      </w:r>
      <w:r w:rsidR="00A47987">
        <w:t>, Peoples Statement in Support, p. 6.)</w:t>
      </w:r>
      <w:proofErr w:type="gramEnd"/>
      <w:r w:rsidR="00A47987">
        <w:t xml:space="preserve">  </w:t>
      </w:r>
      <w:r w:rsidR="000740F3">
        <w:t>In fact, Peoples’</w:t>
      </w:r>
      <w:r w:rsidR="000740F3" w:rsidRPr="002B1D60">
        <w:t xml:space="preserve"> </w:t>
      </w:r>
      <w:r w:rsidR="000740F3">
        <w:t xml:space="preserve">total system </w:t>
      </w:r>
      <w:r w:rsidR="000740F3" w:rsidRPr="002B1D60">
        <w:t xml:space="preserve">UFG for the 12-months ended August 2015 was </w:t>
      </w:r>
      <w:r w:rsidR="000740F3">
        <w:t>4.40%,</w:t>
      </w:r>
      <w:r w:rsidR="000740F3" w:rsidRPr="002B1D60">
        <w:t xml:space="preserve"> below the </w:t>
      </w:r>
      <w:r w:rsidR="000740F3">
        <w:t xml:space="preserve">distribution system only </w:t>
      </w:r>
      <w:r w:rsidR="000740F3" w:rsidRPr="002B1D60">
        <w:t xml:space="preserve">target of 4.50% under the Commission’s regulations.  See 52 </w:t>
      </w:r>
      <w:proofErr w:type="spellStart"/>
      <w:r w:rsidR="000740F3" w:rsidRPr="002B1D60">
        <w:t>Pa.Code</w:t>
      </w:r>
      <w:proofErr w:type="spellEnd"/>
      <w:r w:rsidR="000740F3" w:rsidRPr="002B1D60">
        <w:t xml:space="preserve"> § 59.111(c</w:t>
      </w:r>
      <w:proofErr w:type="gramStart"/>
      <w:r w:rsidR="000740F3" w:rsidRPr="002B1D60">
        <w:t>)(</w:t>
      </w:r>
      <w:proofErr w:type="gramEnd"/>
      <w:r w:rsidR="000740F3" w:rsidRPr="002B1D60">
        <w:t>1); (Peoples Statement No. 2-R, p.</w:t>
      </w:r>
      <w:r>
        <w:t> </w:t>
      </w:r>
      <w:r w:rsidR="000740F3" w:rsidRPr="002B1D60">
        <w:t>2</w:t>
      </w:r>
      <w:r w:rsidR="00A47987">
        <w:t xml:space="preserve">, Peoples Statement in Support, p. 6.)  </w:t>
      </w:r>
      <w:r w:rsidR="000740F3">
        <w:t xml:space="preserve"> However, I&amp;E stated that Peoples should reduce its UFG on a total system basis, noting a high level of UFG on Peoples’ gathering system and an increase in UFG on a total system basis.  </w:t>
      </w:r>
      <w:proofErr w:type="gramStart"/>
      <w:r w:rsidR="000740F3">
        <w:t>(I&amp;E Statement No. 1, p. 6</w:t>
      </w:r>
      <w:r w:rsidR="00A47987">
        <w:t>, Peoples Statement in Support, p. 7.)</w:t>
      </w:r>
      <w:proofErr w:type="gramEnd"/>
    </w:p>
    <w:p w:rsidR="00685B66" w:rsidRDefault="00685B66" w:rsidP="002F53BC">
      <w:pPr>
        <w:pStyle w:val="BodyText2"/>
        <w:spacing w:after="0" w:line="360" w:lineRule="auto"/>
        <w:ind w:firstLine="720"/>
      </w:pPr>
    </w:p>
    <w:p w:rsidR="00A47987" w:rsidRDefault="000740F3" w:rsidP="002F53BC">
      <w:pPr>
        <w:pStyle w:val="BodyText2"/>
        <w:spacing w:after="0" w:line="360" w:lineRule="auto"/>
        <w:ind w:firstLine="720"/>
      </w:pPr>
      <w:r>
        <w:t xml:space="preserve">  </w:t>
      </w:r>
      <w:r w:rsidR="00685B66">
        <w:tab/>
      </w:r>
      <w:r>
        <w:t xml:space="preserve">In rebuttal, Peoples noted that it is normal to see upward and downward fluctuations in UFG percentages from year to year.  </w:t>
      </w:r>
      <w:proofErr w:type="gramStart"/>
      <w:r>
        <w:t>(Peoples Statement No. 2-R, p. 2</w:t>
      </w:r>
      <w:r w:rsidR="00A47987">
        <w:t>, Peoples Statement in Support, p. 7.)</w:t>
      </w:r>
      <w:proofErr w:type="gramEnd"/>
      <w:r w:rsidR="00A47987">
        <w:t xml:space="preserve">  </w:t>
      </w:r>
      <w:r>
        <w:t xml:space="preserve"> Moreover, the Company explained it had effective measures in place to continue reducing UFG over the long-term.  </w:t>
      </w:r>
      <w:proofErr w:type="gramStart"/>
      <w:r>
        <w:t>(Peoples Statement No. 2-R, p. 3</w:t>
      </w:r>
      <w:r w:rsidR="00A47987">
        <w:t>, Peoples Statement in Support, p. 7.)</w:t>
      </w:r>
      <w:proofErr w:type="gramEnd"/>
      <w:r w:rsidR="00A47987">
        <w:t xml:space="preserve">  </w:t>
      </w:r>
      <w:r>
        <w:t xml:space="preserve"> Under Peoples’ UFG mitigation plan</w:t>
      </w:r>
      <w:r w:rsidRPr="0027727E">
        <w:t xml:space="preserve">, </w:t>
      </w:r>
      <w:r>
        <w:t>the Company</w:t>
      </w:r>
      <w:r w:rsidRPr="0027727E">
        <w:t xml:space="preserve"> has increased leak repair on Class 2 and Class 3 leaks to reduce the duration of leaks and resulting UFG.  </w:t>
      </w:r>
      <w:proofErr w:type="gramStart"/>
      <w:r>
        <w:t>(Peoples Statement No. 2-R, p. 2</w:t>
      </w:r>
      <w:r w:rsidR="00A47987">
        <w:t>, Peoples Statement in Support, p. 7.)</w:t>
      </w:r>
      <w:proofErr w:type="gramEnd"/>
      <w:r w:rsidR="00A47987">
        <w:t xml:space="preserve">  </w:t>
      </w:r>
      <w:r w:rsidRPr="0027727E">
        <w:t>These actions</w:t>
      </w:r>
      <w:r w:rsidR="00EE330F">
        <w:t>, according to Peoples</w:t>
      </w:r>
      <w:proofErr w:type="gramStart"/>
      <w:r w:rsidR="00EE330F">
        <w:t xml:space="preserve">, </w:t>
      </w:r>
      <w:r w:rsidRPr="0027727E">
        <w:t xml:space="preserve"> also</w:t>
      </w:r>
      <w:proofErr w:type="gramEnd"/>
      <w:r w:rsidRPr="0027727E">
        <w:t xml:space="preserve"> involve more frequent monitoring of high or low volume meters to ensure they are operating within an acceptable measurement range.  </w:t>
      </w:r>
      <w:proofErr w:type="gramStart"/>
      <w:r>
        <w:t>(Peoples Statement No. 2-R, pp. 2-3</w:t>
      </w:r>
      <w:r w:rsidR="00A47987">
        <w:t>, Peoples Statement in Support, p. 7.)</w:t>
      </w:r>
      <w:proofErr w:type="gramEnd"/>
      <w:r w:rsidR="00A47987">
        <w:t xml:space="preserve"> </w:t>
      </w:r>
      <w:r>
        <w:t xml:space="preserve"> </w:t>
      </w:r>
      <w:proofErr w:type="gramStart"/>
      <w:r w:rsidRPr="0027727E">
        <w:t>Peoples</w:t>
      </w:r>
      <w:r w:rsidR="00EE330F">
        <w:t xml:space="preserve"> explains</w:t>
      </w:r>
      <w:proofErr w:type="gramEnd"/>
      <w:r w:rsidR="00EE330F">
        <w:t xml:space="preserve"> that it </w:t>
      </w:r>
      <w:r w:rsidRPr="0027727E">
        <w:t xml:space="preserve">also reviews producer and customer meters that appear inactive to mitigate gas theft or unintended reverse flow.  </w:t>
      </w:r>
      <w:proofErr w:type="gramStart"/>
      <w:r>
        <w:t>(Peoples Statement No. 2-R, p. 3</w:t>
      </w:r>
      <w:r w:rsidR="00A47987">
        <w:t>, Peoples Statement in Support, p. 7.)</w:t>
      </w:r>
      <w:proofErr w:type="gramEnd"/>
      <w:r w:rsidR="00A47987">
        <w:t xml:space="preserve">  </w:t>
      </w:r>
      <w:r>
        <w:t xml:space="preserve"> </w:t>
      </w:r>
      <w:r w:rsidRPr="0027727E">
        <w:t>Finally, Peoples</w:t>
      </w:r>
      <w:r w:rsidR="00EE330F">
        <w:t xml:space="preserve"> asserts it </w:t>
      </w:r>
      <w:r w:rsidRPr="0027727E">
        <w:t>monitors system pressures to make sure the Company is not operating at pressures higher than what is required to serve its customers, thus reducing gas loss through pipe l</w:t>
      </w:r>
      <w:r>
        <w:t xml:space="preserve">eakage or measurement errors.  </w:t>
      </w:r>
      <w:proofErr w:type="gramStart"/>
      <w:r>
        <w:t>(Peoples Statement No. 2-R, p. 3</w:t>
      </w:r>
      <w:r w:rsidR="00A47987">
        <w:t>, Peoples Statement in Support, p. 7.)</w:t>
      </w:r>
      <w:proofErr w:type="gramEnd"/>
    </w:p>
    <w:p w:rsidR="004E6C9C" w:rsidRDefault="004E6C9C" w:rsidP="002F53BC">
      <w:pPr>
        <w:pStyle w:val="BodyText2"/>
        <w:spacing w:after="0" w:line="360" w:lineRule="auto"/>
        <w:ind w:firstLine="720"/>
      </w:pPr>
    </w:p>
    <w:p w:rsidR="00A47987" w:rsidRDefault="00685B66" w:rsidP="002F53BC">
      <w:pPr>
        <w:pStyle w:val="BodyText2"/>
        <w:spacing w:after="0" w:line="360" w:lineRule="auto"/>
        <w:ind w:firstLine="720"/>
      </w:pPr>
      <w:r>
        <w:lastRenderedPageBreak/>
        <w:tab/>
      </w:r>
      <w:r w:rsidR="000740F3">
        <w:t xml:space="preserve">Under the Settlement, the Joint Petitioners acknowledge that Peoples’ UFG percentage for the 12-month period ending August 31, 2015, is in compliance with the Commission’s regulations.  </w:t>
      </w:r>
      <w:proofErr w:type="gramStart"/>
      <w:r w:rsidR="000740F3">
        <w:t>(Settlement ¶ 34.)</w:t>
      </w:r>
      <w:proofErr w:type="gramEnd"/>
      <w:r w:rsidR="000740F3" w:rsidRPr="00EE45C7">
        <w:t xml:space="preserve"> </w:t>
      </w:r>
      <w:r w:rsidR="000740F3">
        <w:t xml:space="preserve"> Furthermore, Peoples has committed to continue its efforts to reduce UFG.  </w:t>
      </w:r>
      <w:proofErr w:type="gramStart"/>
      <w:r w:rsidR="000740F3">
        <w:t>(Settlement ¶ 34.)</w:t>
      </w:r>
      <w:proofErr w:type="gramEnd"/>
      <w:r w:rsidR="000740F3" w:rsidRPr="00EE45C7">
        <w:t xml:space="preserve"> </w:t>
      </w:r>
      <w:r w:rsidR="000740F3">
        <w:t xml:space="preserve"> The Company </w:t>
      </w:r>
      <w:r w:rsidR="00EE330F">
        <w:t xml:space="preserve">has agreed to </w:t>
      </w:r>
      <w:r w:rsidR="000740F3">
        <w:t xml:space="preserve">provide a reconciliation of the volumes used to calculate retainage in the 1307(f)-2017 filing with the volumes reported in the annual UFG report.  </w:t>
      </w:r>
      <w:proofErr w:type="gramStart"/>
      <w:r w:rsidR="000740F3">
        <w:t>(Settlement ¶ 31</w:t>
      </w:r>
      <w:r w:rsidR="00A47987">
        <w:t>, Peoples Statement in Support, pp.</w:t>
      </w:r>
      <w:r>
        <w:t> </w:t>
      </w:r>
      <w:r w:rsidR="00A47987">
        <w:t>7-8.)</w:t>
      </w:r>
      <w:proofErr w:type="gramEnd"/>
    </w:p>
    <w:p w:rsidR="00722BA6" w:rsidRDefault="000740F3" w:rsidP="002F53BC">
      <w:pPr>
        <w:pStyle w:val="BodyText2"/>
        <w:spacing w:after="0" w:line="360" w:lineRule="auto"/>
        <w:ind w:firstLine="720"/>
      </w:pPr>
      <w:r>
        <w:t xml:space="preserve">  </w:t>
      </w:r>
    </w:p>
    <w:p w:rsidR="00722BA6" w:rsidRPr="00685B66" w:rsidRDefault="005740E4" w:rsidP="00AA027F">
      <w:pPr>
        <w:pStyle w:val="Heading3"/>
        <w:numPr>
          <w:ilvl w:val="0"/>
          <w:numId w:val="0"/>
        </w:numPr>
        <w:spacing w:after="0" w:line="360" w:lineRule="auto"/>
        <w:ind w:left="1440" w:hanging="720"/>
        <w:rPr>
          <w:b w:val="0"/>
          <w:u w:val="single"/>
        </w:rPr>
      </w:pPr>
      <w:r w:rsidRPr="005740E4">
        <w:rPr>
          <w:b w:val="0"/>
        </w:rPr>
        <w:t>2.</w:t>
      </w:r>
      <w:r w:rsidRPr="005740E4">
        <w:rPr>
          <w:b w:val="0"/>
        </w:rPr>
        <w:tab/>
      </w:r>
      <w:r w:rsidR="00722BA6" w:rsidRPr="00685B66">
        <w:rPr>
          <w:b w:val="0"/>
          <w:u w:val="single"/>
        </w:rPr>
        <w:t>OCA’s Position</w:t>
      </w:r>
    </w:p>
    <w:p w:rsidR="00EE330F" w:rsidRDefault="00EE330F" w:rsidP="00685B66">
      <w:pPr>
        <w:pStyle w:val="ListNumber"/>
        <w:numPr>
          <w:ilvl w:val="0"/>
          <w:numId w:val="0"/>
        </w:numPr>
        <w:spacing w:line="360" w:lineRule="auto"/>
        <w:ind w:firstLine="720"/>
        <w:rPr>
          <w:b/>
        </w:rPr>
      </w:pPr>
    </w:p>
    <w:p w:rsidR="00722BA6" w:rsidRDefault="00685B66" w:rsidP="00685B66">
      <w:pPr>
        <w:pStyle w:val="ListNumber"/>
        <w:numPr>
          <w:ilvl w:val="0"/>
          <w:numId w:val="0"/>
        </w:numPr>
        <w:spacing w:line="360" w:lineRule="auto"/>
        <w:ind w:firstLine="720"/>
      </w:pPr>
      <w:r>
        <w:tab/>
      </w:r>
      <w:r w:rsidR="00F81175" w:rsidRPr="005C6B59">
        <w:t>OCA explains t</w:t>
      </w:r>
      <w:r w:rsidR="00722BA6" w:rsidRPr="005C6B59">
        <w:t xml:space="preserve">he Settlement provides that effective October 1, 2016, the tariffed retainage rate for all rate classes of both Peoples </w:t>
      </w:r>
      <w:r w:rsidR="001E1D81">
        <w:t xml:space="preserve">Division </w:t>
      </w:r>
      <w:r w:rsidR="00722BA6" w:rsidRPr="005C6B59">
        <w:t>and Peoples-Equitable will be 5.25%.  In its 2017 PGC filing the Companies will provide a reconciliation of the volumes used to calculate retainage in the PGC filing with the volumes reported in the annual Lost and Unaccounted for Gas (UFG) report.</w:t>
      </w:r>
      <w:r w:rsidR="00F81175" w:rsidRPr="005C6B59">
        <w:t xml:space="preserve">  OCA notes t</w:t>
      </w:r>
      <w:r w:rsidR="00722BA6" w:rsidRPr="005C6B59">
        <w:t xml:space="preserve">he Settlement also provides for the approval of all newly negotiated waivers of retainage for customers eligible for such waiver.  </w:t>
      </w:r>
      <w:r w:rsidR="00A47987">
        <w:t>(OCA Statement in Support, p. 3.)</w:t>
      </w:r>
    </w:p>
    <w:p w:rsidR="00685B66" w:rsidRPr="005C6B59" w:rsidRDefault="00685B66" w:rsidP="00685B66">
      <w:pPr>
        <w:pStyle w:val="ListNumber"/>
        <w:numPr>
          <w:ilvl w:val="0"/>
          <w:numId w:val="0"/>
        </w:numPr>
        <w:spacing w:line="360" w:lineRule="auto"/>
        <w:ind w:firstLine="720"/>
      </w:pPr>
    </w:p>
    <w:p w:rsidR="00A47987" w:rsidRDefault="00685B66" w:rsidP="00685B66">
      <w:pPr>
        <w:pStyle w:val="ListNumber"/>
        <w:numPr>
          <w:ilvl w:val="0"/>
          <w:numId w:val="0"/>
        </w:numPr>
        <w:spacing w:line="360" w:lineRule="auto"/>
        <w:ind w:firstLine="720"/>
      </w:pPr>
      <w:r>
        <w:tab/>
      </w:r>
      <w:r w:rsidR="00722BA6" w:rsidRPr="005C6B59">
        <w:t xml:space="preserve">With respect to new or renegotiated contracts entered into before September 30, 2017, </w:t>
      </w:r>
      <w:r w:rsidR="00F81175" w:rsidRPr="005C6B59">
        <w:t xml:space="preserve">OCA explains </w:t>
      </w:r>
      <w:r w:rsidR="00722BA6" w:rsidRPr="005C6B59">
        <w:t xml:space="preserve">the Settlement provides that retainage for customers with negotiated delivery rates above $0.38 per </w:t>
      </w:r>
      <w:proofErr w:type="spellStart"/>
      <w:r w:rsidR="00722BA6" w:rsidRPr="005C6B59">
        <w:t>Mcf</w:t>
      </w:r>
      <w:proofErr w:type="spellEnd"/>
      <w:r w:rsidR="00722BA6" w:rsidRPr="005C6B59">
        <w:t xml:space="preserve"> will not be discounted from the full tariff retainage rate at a greater percentage than the delivery rate is discounted from the applicable full tariff delivery rate. </w:t>
      </w:r>
      <w:r w:rsidR="00A47987">
        <w:t>(OCA Statement in Support, p. 3.)</w:t>
      </w:r>
    </w:p>
    <w:p w:rsidR="001E1D81" w:rsidRDefault="001E1D81" w:rsidP="00685B66">
      <w:pPr>
        <w:pStyle w:val="ListNumber"/>
        <w:numPr>
          <w:ilvl w:val="0"/>
          <w:numId w:val="0"/>
        </w:numPr>
        <w:spacing w:line="360" w:lineRule="auto"/>
        <w:ind w:firstLine="720"/>
      </w:pPr>
    </w:p>
    <w:p w:rsidR="00A47987" w:rsidRDefault="00685B66" w:rsidP="00685B66">
      <w:pPr>
        <w:pStyle w:val="ListNumber"/>
        <w:numPr>
          <w:ilvl w:val="0"/>
          <w:numId w:val="0"/>
        </w:numPr>
        <w:spacing w:line="360" w:lineRule="auto"/>
        <w:ind w:firstLine="720"/>
      </w:pPr>
      <w:r>
        <w:tab/>
      </w:r>
      <w:r w:rsidR="00F81175" w:rsidRPr="005C6B59">
        <w:t>According to OCA, t</w:t>
      </w:r>
      <w:r w:rsidR="00722BA6" w:rsidRPr="005C6B59">
        <w:t xml:space="preserve">he Settlement also confirms that the Companies’ UFG percentage for the 12-month period ending August 31, 2015 is in compliance with the Commission’s regulations at 52 </w:t>
      </w:r>
      <w:proofErr w:type="spellStart"/>
      <w:r w:rsidR="00722BA6" w:rsidRPr="005C6B59">
        <w:t>Pa.Code</w:t>
      </w:r>
      <w:proofErr w:type="spellEnd"/>
      <w:r w:rsidR="00722BA6" w:rsidRPr="005C6B59">
        <w:t xml:space="preserve"> § 59.111(c)(1), and that the Company commits to continue its efforts to reduce UFG.</w:t>
      </w:r>
      <w:r w:rsidR="00A47987">
        <w:t xml:space="preserve">  (OCA Statement in Support, p. 3.)</w:t>
      </w:r>
    </w:p>
    <w:p w:rsidR="00685B66" w:rsidRPr="005C6B59" w:rsidRDefault="00685B66" w:rsidP="00685B66">
      <w:pPr>
        <w:pStyle w:val="ListNumber"/>
        <w:numPr>
          <w:ilvl w:val="0"/>
          <w:numId w:val="0"/>
        </w:numPr>
        <w:spacing w:line="360" w:lineRule="auto"/>
        <w:ind w:firstLine="720"/>
      </w:pPr>
    </w:p>
    <w:p w:rsidR="00A47987" w:rsidRPr="005C6B59" w:rsidRDefault="00685B66" w:rsidP="00685B66">
      <w:pPr>
        <w:pStyle w:val="ListNumber"/>
        <w:numPr>
          <w:ilvl w:val="0"/>
          <w:numId w:val="0"/>
        </w:numPr>
        <w:spacing w:line="360" w:lineRule="auto"/>
        <w:ind w:firstLine="720"/>
      </w:pPr>
      <w:r>
        <w:tab/>
      </w:r>
      <w:r w:rsidR="00722BA6" w:rsidRPr="005C6B59">
        <w:t xml:space="preserve">Regarding discounted retainage rates for eligible customers, OCA testified that because the discounts can be substantial, it is unreasonable to leave to the Companies’ discretion </w:t>
      </w:r>
      <w:r w:rsidR="00722BA6" w:rsidRPr="005C6B59">
        <w:lastRenderedPageBreak/>
        <w:t>the extent of these discounts considering that the foregone revenue is recovered from other customers.  OCA St. No. 1 at 6.</w:t>
      </w:r>
      <w:r w:rsidR="00DE0C6A">
        <w:t xml:space="preserve"> </w:t>
      </w:r>
      <w:r w:rsidR="00722BA6" w:rsidRPr="005C6B59">
        <w:t xml:space="preserve"> Instead, the OCA recommended that Peoples </w:t>
      </w:r>
      <w:r w:rsidR="001E1D81">
        <w:t xml:space="preserve">Division </w:t>
      </w:r>
      <w:r w:rsidR="00722BA6" w:rsidRPr="005C6B59">
        <w:t>and Peoples-Equitable be permitted to discount retainage rates by a percentage that is no greater than the percentage by which it discounts base rate charges to a particular customer.</w:t>
      </w:r>
      <w:r w:rsidR="00CD0FAB">
        <w:t xml:space="preserve"> </w:t>
      </w:r>
      <w:r w:rsidR="00722BA6" w:rsidRPr="005C6B59">
        <w:t xml:space="preserve"> </w:t>
      </w:r>
      <w:r w:rsidR="00722BA6" w:rsidRPr="00250746">
        <w:rPr>
          <w:i/>
        </w:rPr>
        <w:t>Id</w:t>
      </w:r>
      <w:r w:rsidR="00722BA6" w:rsidRPr="005C6B59">
        <w:t xml:space="preserve">.  </w:t>
      </w:r>
      <w:r w:rsidR="005C6B59" w:rsidRPr="005C6B59">
        <w:t xml:space="preserve">OCA notes that the </w:t>
      </w:r>
      <w:r w:rsidR="00722BA6" w:rsidRPr="005C6B59">
        <w:t xml:space="preserve">Settlement provides that OCA’s proposal will apply to new or renegotiated contracts entered into before September 30, 2017, where the negotiated delivery rates are above $0.38 per </w:t>
      </w:r>
      <w:proofErr w:type="spellStart"/>
      <w:r w:rsidR="00722BA6" w:rsidRPr="005C6B59">
        <w:t>Mcf</w:t>
      </w:r>
      <w:proofErr w:type="spellEnd"/>
      <w:r w:rsidR="00722BA6" w:rsidRPr="005C6B59">
        <w:t xml:space="preserve">.  </w:t>
      </w:r>
      <w:r w:rsidR="005C6B59" w:rsidRPr="005C6B59">
        <w:t xml:space="preserve">According to OCA, it </w:t>
      </w:r>
      <w:r w:rsidR="00722BA6" w:rsidRPr="005C6B59">
        <w:t xml:space="preserve">understands that there may be situations in which customers with negotiated delivery rates below $0.38 per </w:t>
      </w:r>
      <w:proofErr w:type="spellStart"/>
      <w:r w:rsidR="00722BA6" w:rsidRPr="005C6B59">
        <w:t>Mcf</w:t>
      </w:r>
      <w:proofErr w:type="spellEnd"/>
      <w:r w:rsidR="00722BA6" w:rsidRPr="005C6B59">
        <w:t xml:space="preserve"> have retainage rates discounted by a greater percentage than their delivery rate.  To achieve the discount equality that OCA seeks would require increasing the discount for delivery rates thereby causing the Companies to lose base rate revenue.  To avoid that result, OCA </w:t>
      </w:r>
      <w:r w:rsidR="005C6B59" w:rsidRPr="005C6B59">
        <w:t xml:space="preserve">explains that it </w:t>
      </w:r>
      <w:r w:rsidR="00722BA6" w:rsidRPr="005C6B59">
        <w:t xml:space="preserve">agrees that establishing the $0.38 threshold is appropriate.  </w:t>
      </w:r>
      <w:r w:rsidR="00A47987">
        <w:t>(OCA Statement in Support, p. 4.)</w:t>
      </w:r>
    </w:p>
    <w:p w:rsidR="00722BA6" w:rsidRPr="005C6B59" w:rsidRDefault="00722BA6" w:rsidP="00685B66">
      <w:pPr>
        <w:pStyle w:val="BodyText2"/>
        <w:spacing w:after="0" w:line="360" w:lineRule="auto"/>
      </w:pPr>
    </w:p>
    <w:p w:rsidR="00722BA6" w:rsidRPr="00685B66" w:rsidRDefault="00722BA6" w:rsidP="00685B66">
      <w:pPr>
        <w:pStyle w:val="Heading3"/>
        <w:tabs>
          <w:tab w:val="clear" w:pos="2160"/>
        </w:tabs>
        <w:spacing w:after="0" w:line="360" w:lineRule="auto"/>
        <w:ind w:left="1440"/>
        <w:rPr>
          <w:b w:val="0"/>
          <w:u w:val="single"/>
        </w:rPr>
      </w:pPr>
      <w:r w:rsidRPr="00685B66">
        <w:rPr>
          <w:b w:val="0"/>
          <w:u w:val="single"/>
        </w:rPr>
        <w:t>I&amp;E’s Position</w:t>
      </w:r>
    </w:p>
    <w:p w:rsidR="00170C86" w:rsidRDefault="00170C86" w:rsidP="00685B66">
      <w:pPr>
        <w:pStyle w:val="ListNumber"/>
        <w:numPr>
          <w:ilvl w:val="0"/>
          <w:numId w:val="0"/>
        </w:numPr>
        <w:spacing w:line="360" w:lineRule="auto"/>
        <w:ind w:left="720"/>
        <w:rPr>
          <w:u w:val="single"/>
        </w:rPr>
      </w:pPr>
    </w:p>
    <w:p w:rsidR="00170C86" w:rsidRDefault="00685B66" w:rsidP="00685B66">
      <w:pPr>
        <w:pStyle w:val="ListNumber"/>
        <w:numPr>
          <w:ilvl w:val="0"/>
          <w:numId w:val="0"/>
        </w:numPr>
        <w:spacing w:line="360" w:lineRule="auto"/>
        <w:ind w:firstLine="720"/>
      </w:pPr>
      <w:r>
        <w:tab/>
      </w:r>
      <w:r w:rsidR="00BC6953">
        <w:t xml:space="preserve">I&amp;E points out that the Settling Parties have agreed </w:t>
      </w:r>
      <w:r w:rsidR="00170C86" w:rsidRPr="006418DF">
        <w:t xml:space="preserve">that, effective October 1, 2016, the tariffed retainage rate for all rate classes of the Peoples Division and </w:t>
      </w:r>
      <w:r w:rsidR="00CD0FAB">
        <w:t>Peoples-</w:t>
      </w:r>
      <w:r w:rsidR="00170C86" w:rsidRPr="006418DF">
        <w:t xml:space="preserve">Equitable Division shall be 5.25%.  </w:t>
      </w:r>
      <w:r w:rsidR="00BC6953">
        <w:t xml:space="preserve">According to </w:t>
      </w:r>
      <w:proofErr w:type="gramStart"/>
      <w:r w:rsidR="00BC6953">
        <w:t>I&amp;E</w:t>
      </w:r>
      <w:proofErr w:type="gramEnd"/>
      <w:r w:rsidR="00BC6953">
        <w:t>, a</w:t>
      </w:r>
      <w:r w:rsidR="00170C86" w:rsidRPr="006418DF">
        <w:t xml:space="preserve">ny retainage not recovered from transportation customers is assessed to PGC customers; therefore, it is important to determine the appropriate retainage rate to ensure that transportation and PGC customers contribute to UFG and company use gas.  </w:t>
      </w:r>
      <w:r w:rsidR="00A47987">
        <w:t>(</w:t>
      </w:r>
      <w:r w:rsidR="00170C86" w:rsidRPr="006418DF">
        <w:t>I&amp;E St. No. 1, p. 8.</w:t>
      </w:r>
      <w:r w:rsidR="00A47987">
        <w:t>)</w:t>
      </w:r>
      <w:r w:rsidR="00170C86" w:rsidRPr="006418DF">
        <w:t xml:space="preserve">   If the retainage rate is too high, transportation customers pay more than their share of the losses.  Conversely, a retainage rate that is too low requires PGC customers to pay for the UFG and company use gas that should be paid by transportation customers.  </w:t>
      </w:r>
      <w:r w:rsidR="00A47987">
        <w:t>(I&amp;E Statement in Support, p. 3.)</w:t>
      </w:r>
      <w:r w:rsidR="00170C86" w:rsidRPr="006418DF">
        <w:t xml:space="preserve"> </w:t>
      </w:r>
    </w:p>
    <w:p w:rsidR="001E1D81" w:rsidRDefault="001E1D81" w:rsidP="00685B66">
      <w:pPr>
        <w:pStyle w:val="ListNumber"/>
        <w:numPr>
          <w:ilvl w:val="0"/>
          <w:numId w:val="0"/>
        </w:numPr>
        <w:spacing w:line="360" w:lineRule="auto"/>
        <w:ind w:firstLine="720"/>
      </w:pPr>
    </w:p>
    <w:p w:rsidR="00A47987" w:rsidRDefault="00685B66" w:rsidP="00685B66">
      <w:pPr>
        <w:pStyle w:val="ListNumber"/>
        <w:numPr>
          <w:ilvl w:val="0"/>
          <w:numId w:val="0"/>
        </w:numPr>
        <w:spacing w:line="360" w:lineRule="auto"/>
        <w:ind w:firstLine="720"/>
      </w:pPr>
      <w:r>
        <w:tab/>
      </w:r>
      <w:r w:rsidR="00BC6953" w:rsidRPr="00685B66">
        <w:t>According to I&amp;E, t</w:t>
      </w:r>
      <w:r w:rsidR="00170C86" w:rsidRPr="00685B66">
        <w:t xml:space="preserve">he Company’s current retainage rate is 5% and the filing proposed to increase the retainage rate to 5.2%.  </w:t>
      </w:r>
      <w:r w:rsidR="00A47987" w:rsidRPr="00685B66">
        <w:t>(</w:t>
      </w:r>
      <w:r w:rsidR="00170C86" w:rsidRPr="00685B66">
        <w:t>Peoples Exhibit No. 3, p. 1.</w:t>
      </w:r>
      <w:r w:rsidR="00A47987" w:rsidRPr="00685B66">
        <w:t>)</w:t>
      </w:r>
      <w:r w:rsidR="00170C86" w:rsidRPr="00685B66">
        <w:t xml:space="preserve">  I&amp;E did not object as it found that the Company’s UFG and Company use gas were equal to the proposed 5.2% retainage rate. </w:t>
      </w:r>
      <w:r w:rsidR="00A47987" w:rsidRPr="00685B66">
        <w:t>(</w:t>
      </w:r>
      <w:r w:rsidR="00170C86" w:rsidRPr="00685B66">
        <w:t>I&amp;E St. No. 1, p. 9.</w:t>
      </w:r>
      <w:r w:rsidR="00A47987" w:rsidRPr="00685B66">
        <w:t>)</w:t>
      </w:r>
      <w:r w:rsidR="00170C86" w:rsidRPr="00685B66">
        <w:t xml:space="preserve">  </w:t>
      </w:r>
      <w:r w:rsidR="00BC6953" w:rsidRPr="00685B66">
        <w:t>According to I&amp;E, d</w:t>
      </w:r>
      <w:r w:rsidR="00170C86" w:rsidRPr="00685B66">
        <w:t xml:space="preserve">uring the course of informal discovery, the Company found an error in the retainage calculation presented in its direct testimony and exhibits, which increased the retainage rate to 5.25%. </w:t>
      </w:r>
      <w:r w:rsidR="00A47987" w:rsidRPr="00685B66">
        <w:t>(</w:t>
      </w:r>
      <w:r w:rsidR="00170C86" w:rsidRPr="00685B66">
        <w:t xml:space="preserve">Peoples St. No. 1-R, </w:t>
      </w:r>
      <w:r w:rsidR="00170C86" w:rsidRPr="00685B66">
        <w:lastRenderedPageBreak/>
        <w:t>pp.</w:t>
      </w:r>
      <w:r>
        <w:t> </w:t>
      </w:r>
      <w:r w:rsidR="00170C86" w:rsidRPr="00685B66">
        <w:t>2</w:t>
      </w:r>
      <w:r>
        <w:noBreakHyphen/>
      </w:r>
      <w:r w:rsidR="00170C86" w:rsidRPr="00685B66">
        <w:t>3.</w:t>
      </w:r>
      <w:r w:rsidR="00A47987" w:rsidRPr="00685B66">
        <w:t>)</w:t>
      </w:r>
      <w:r w:rsidR="00170C86" w:rsidRPr="00685B66">
        <w:t xml:space="preserve">  I&amp;E did not object to this correction and maintains that the 5.25% proposed retainage rate is in the public interest as it appropriately distributes the share of losses caused by UFG and company use gas to transportation customers.  </w:t>
      </w:r>
      <w:r w:rsidR="00A47987" w:rsidRPr="00685B66">
        <w:t xml:space="preserve">(I&amp;E Statement in Support, p. 4.) </w:t>
      </w:r>
    </w:p>
    <w:p w:rsidR="00685B66" w:rsidRPr="00685B66" w:rsidRDefault="00685B66" w:rsidP="00685B66">
      <w:pPr>
        <w:pStyle w:val="ListNumber"/>
        <w:numPr>
          <w:ilvl w:val="0"/>
          <w:numId w:val="0"/>
        </w:numPr>
        <w:spacing w:line="360" w:lineRule="auto"/>
        <w:ind w:firstLine="720"/>
      </w:pPr>
    </w:p>
    <w:p w:rsidR="00A47987" w:rsidRPr="00685B66" w:rsidRDefault="00685B66" w:rsidP="00685B66">
      <w:pPr>
        <w:pStyle w:val="ListNumber"/>
        <w:numPr>
          <w:ilvl w:val="0"/>
          <w:numId w:val="0"/>
        </w:numPr>
        <w:spacing w:line="360" w:lineRule="auto"/>
        <w:ind w:firstLine="720"/>
      </w:pPr>
      <w:r>
        <w:tab/>
      </w:r>
      <w:r w:rsidR="00BC6953" w:rsidRPr="00685B66">
        <w:t>With regard to u</w:t>
      </w:r>
      <w:r w:rsidR="00170C86" w:rsidRPr="00685B66">
        <w:t xml:space="preserve">naccounted for </w:t>
      </w:r>
      <w:r w:rsidR="00BC6953" w:rsidRPr="00685B66">
        <w:t>g</w:t>
      </w:r>
      <w:r w:rsidR="00170C86" w:rsidRPr="00685B66">
        <w:t>as</w:t>
      </w:r>
      <w:r w:rsidR="00BC6953" w:rsidRPr="00685B66">
        <w:t xml:space="preserve">, according to </w:t>
      </w:r>
      <w:proofErr w:type="gramStart"/>
      <w:r w:rsidR="00BC6953" w:rsidRPr="00685B66">
        <w:t>I&amp;E</w:t>
      </w:r>
      <w:proofErr w:type="gramEnd"/>
      <w:r w:rsidR="00BC6953" w:rsidRPr="00685B66">
        <w:t>, t</w:t>
      </w:r>
      <w:r w:rsidR="00170C86" w:rsidRPr="00685B66">
        <w:t>he Settlement provides that Peoples will continue its efforts to reduce UFG.  Although Peoples has satisfied the Commission’s UFG metric as discussed below, this continued commitment to address UFG</w:t>
      </w:r>
      <w:r w:rsidR="00BC6953" w:rsidRPr="00685B66">
        <w:t xml:space="preserve">, according to I&amp;E, </w:t>
      </w:r>
      <w:r w:rsidR="00170C86" w:rsidRPr="00685B66">
        <w:t xml:space="preserve">is in the public interest because its UFG has increased on a total system basis.    </w:t>
      </w:r>
      <w:r w:rsidR="00A47987" w:rsidRPr="00685B66">
        <w:t xml:space="preserve">(I&amp;E Statement in Support, p. 4.) </w:t>
      </w:r>
    </w:p>
    <w:p w:rsidR="00685B66" w:rsidRPr="00685B66" w:rsidRDefault="00685B66" w:rsidP="00685B66">
      <w:pPr>
        <w:pStyle w:val="ListNumber"/>
        <w:numPr>
          <w:ilvl w:val="0"/>
          <w:numId w:val="0"/>
        </w:numPr>
        <w:spacing w:line="360" w:lineRule="auto"/>
        <w:ind w:firstLine="720"/>
      </w:pPr>
    </w:p>
    <w:p w:rsidR="00170C86" w:rsidRPr="00685B66" w:rsidRDefault="00685B66" w:rsidP="00685B66">
      <w:pPr>
        <w:spacing w:line="360" w:lineRule="auto"/>
        <w:ind w:firstLine="720"/>
        <w:rPr>
          <w:sz w:val="24"/>
          <w:szCs w:val="24"/>
        </w:rPr>
      </w:pPr>
      <w:r>
        <w:rPr>
          <w:sz w:val="24"/>
          <w:szCs w:val="24"/>
        </w:rPr>
        <w:tab/>
      </w:r>
      <w:r w:rsidR="00170C86" w:rsidRPr="00685B66">
        <w:rPr>
          <w:sz w:val="24"/>
          <w:szCs w:val="24"/>
        </w:rPr>
        <w:t xml:space="preserve">The Commission has established a uniform definition and metrics for UFG at </w:t>
      </w:r>
    </w:p>
    <w:p w:rsidR="00170C86" w:rsidRPr="00685B66" w:rsidRDefault="00685B66" w:rsidP="00170C86">
      <w:pPr>
        <w:spacing w:line="480" w:lineRule="auto"/>
        <w:rPr>
          <w:sz w:val="24"/>
          <w:szCs w:val="24"/>
        </w:rPr>
      </w:pPr>
      <w:proofErr w:type="gramStart"/>
      <w:r>
        <w:rPr>
          <w:sz w:val="24"/>
          <w:szCs w:val="24"/>
        </w:rPr>
        <w:t xml:space="preserve">52 </w:t>
      </w:r>
      <w:proofErr w:type="spellStart"/>
      <w:r>
        <w:rPr>
          <w:sz w:val="24"/>
          <w:szCs w:val="24"/>
        </w:rPr>
        <w:t>Pa.</w:t>
      </w:r>
      <w:r w:rsidR="00170C86" w:rsidRPr="00685B66">
        <w:rPr>
          <w:sz w:val="24"/>
          <w:szCs w:val="24"/>
        </w:rPr>
        <w:t>Code</w:t>
      </w:r>
      <w:proofErr w:type="spellEnd"/>
      <w:proofErr w:type="gramEnd"/>
      <w:r w:rsidR="00170C86" w:rsidRPr="00685B66">
        <w:rPr>
          <w:sz w:val="24"/>
          <w:szCs w:val="24"/>
        </w:rPr>
        <w:t xml:space="preserve"> § 59.111: </w:t>
      </w:r>
    </w:p>
    <w:p w:rsidR="008C1743" w:rsidRDefault="00170C86" w:rsidP="00685B66">
      <w:pPr>
        <w:ind w:left="2160" w:right="1440"/>
        <w:rPr>
          <w:sz w:val="24"/>
          <w:szCs w:val="24"/>
        </w:rPr>
      </w:pPr>
      <w:r w:rsidRPr="00685B66">
        <w:rPr>
          <w:sz w:val="24"/>
          <w:szCs w:val="24"/>
        </w:rPr>
        <w:t xml:space="preserve">Each NGDC and city natural gas distribution operation shall, at a minimum, reduce distribution system loss performance in accordance with the metrics in the following table, beginning with its first subsequent Purchased Gas Cost (PGC) or Gas Cost Rate (GCR) filing after August 11, 2014. The metric starts with 5% in the first </w:t>
      </w:r>
    </w:p>
    <w:p w:rsidR="007C49D1" w:rsidRDefault="00170C86" w:rsidP="00685B66">
      <w:pPr>
        <w:ind w:left="2160" w:right="1440"/>
        <w:rPr>
          <w:sz w:val="24"/>
          <w:szCs w:val="24"/>
        </w:rPr>
      </w:pPr>
      <w:proofErr w:type="gramStart"/>
      <w:r w:rsidRPr="00685B66">
        <w:rPr>
          <w:sz w:val="24"/>
          <w:szCs w:val="24"/>
        </w:rPr>
        <w:t>year</w:t>
      </w:r>
      <w:proofErr w:type="gramEnd"/>
      <w:r w:rsidRPr="00685B66">
        <w:rPr>
          <w:sz w:val="24"/>
          <w:szCs w:val="24"/>
        </w:rPr>
        <w:t xml:space="preserve"> and decreases by 0.5% every year in the subsequent </w:t>
      </w:r>
    </w:p>
    <w:p w:rsidR="00170C86" w:rsidRDefault="00170C86" w:rsidP="00685B66">
      <w:pPr>
        <w:ind w:left="2160" w:right="1440"/>
        <w:rPr>
          <w:sz w:val="24"/>
          <w:szCs w:val="24"/>
        </w:rPr>
      </w:pPr>
      <w:proofErr w:type="gramStart"/>
      <w:r w:rsidRPr="00685B66">
        <w:rPr>
          <w:sz w:val="24"/>
          <w:szCs w:val="24"/>
        </w:rPr>
        <w:t>years</w:t>
      </w:r>
      <w:proofErr w:type="gramEnd"/>
      <w:r w:rsidRPr="00685B66">
        <w:rPr>
          <w:sz w:val="24"/>
          <w:szCs w:val="24"/>
        </w:rPr>
        <w:t xml:space="preserve"> until it reaches 3% as shown in the following table: </w:t>
      </w:r>
    </w:p>
    <w:p w:rsidR="00E53A34" w:rsidRPr="00685B66" w:rsidRDefault="00E53A34" w:rsidP="00685B66">
      <w:pPr>
        <w:ind w:left="2160" w:right="1440"/>
        <w:rPr>
          <w:sz w:val="24"/>
          <w:szCs w:val="24"/>
        </w:rPr>
      </w:pPr>
    </w:p>
    <w:p w:rsidR="00170C86" w:rsidRPr="00685B66" w:rsidRDefault="00170C86" w:rsidP="00685B66">
      <w:pPr>
        <w:ind w:right="1440" w:firstLine="2160"/>
        <w:rPr>
          <w:sz w:val="24"/>
          <w:szCs w:val="24"/>
        </w:rPr>
      </w:pPr>
      <w:r w:rsidRPr="00685B66">
        <w:rPr>
          <w:sz w:val="24"/>
          <w:szCs w:val="24"/>
        </w:rPr>
        <w:tab/>
        <w:t xml:space="preserve">Year </w:t>
      </w:r>
      <w:r w:rsidRPr="00685B66">
        <w:rPr>
          <w:sz w:val="24"/>
          <w:szCs w:val="24"/>
        </w:rPr>
        <w:tab/>
        <w:t xml:space="preserve">Percent UFG </w:t>
      </w:r>
    </w:p>
    <w:p w:rsidR="00170C86" w:rsidRPr="00685B66" w:rsidRDefault="00170C86" w:rsidP="00685B66">
      <w:pPr>
        <w:ind w:right="1440" w:firstLine="2160"/>
        <w:rPr>
          <w:sz w:val="24"/>
          <w:szCs w:val="24"/>
        </w:rPr>
      </w:pPr>
      <w:r w:rsidRPr="00685B66">
        <w:rPr>
          <w:sz w:val="24"/>
          <w:szCs w:val="24"/>
        </w:rPr>
        <w:tab/>
        <w:t xml:space="preserve">1 </w:t>
      </w:r>
      <w:r w:rsidRPr="00685B66">
        <w:rPr>
          <w:sz w:val="24"/>
          <w:szCs w:val="24"/>
        </w:rPr>
        <w:tab/>
        <w:t xml:space="preserve">5.00% </w:t>
      </w:r>
    </w:p>
    <w:p w:rsidR="00170C86" w:rsidRPr="00685B66" w:rsidRDefault="00170C86" w:rsidP="00685B66">
      <w:pPr>
        <w:ind w:right="1440" w:firstLine="2160"/>
        <w:rPr>
          <w:sz w:val="24"/>
          <w:szCs w:val="24"/>
        </w:rPr>
      </w:pPr>
      <w:r w:rsidRPr="00685B66">
        <w:rPr>
          <w:sz w:val="24"/>
          <w:szCs w:val="24"/>
        </w:rPr>
        <w:tab/>
        <w:t xml:space="preserve">2 </w:t>
      </w:r>
      <w:r w:rsidRPr="00685B66">
        <w:rPr>
          <w:sz w:val="24"/>
          <w:szCs w:val="24"/>
        </w:rPr>
        <w:tab/>
        <w:t>4.50%</w:t>
      </w:r>
    </w:p>
    <w:p w:rsidR="00170C86" w:rsidRPr="00685B66" w:rsidRDefault="00170C86" w:rsidP="00685B66">
      <w:pPr>
        <w:ind w:right="1440" w:firstLine="2160"/>
        <w:rPr>
          <w:sz w:val="24"/>
          <w:szCs w:val="24"/>
        </w:rPr>
      </w:pPr>
      <w:r w:rsidRPr="00685B66">
        <w:rPr>
          <w:sz w:val="24"/>
          <w:szCs w:val="24"/>
        </w:rPr>
        <w:tab/>
        <w:t xml:space="preserve">3 </w:t>
      </w:r>
      <w:r w:rsidRPr="00685B66">
        <w:rPr>
          <w:sz w:val="24"/>
          <w:szCs w:val="24"/>
        </w:rPr>
        <w:tab/>
        <w:t xml:space="preserve">4.00% </w:t>
      </w:r>
    </w:p>
    <w:p w:rsidR="00170C86" w:rsidRPr="00685B66" w:rsidRDefault="00170C86" w:rsidP="00685B66">
      <w:pPr>
        <w:ind w:right="1440" w:firstLine="2160"/>
        <w:rPr>
          <w:sz w:val="24"/>
          <w:szCs w:val="24"/>
        </w:rPr>
      </w:pPr>
      <w:r w:rsidRPr="00685B66">
        <w:rPr>
          <w:sz w:val="24"/>
          <w:szCs w:val="24"/>
        </w:rPr>
        <w:tab/>
        <w:t xml:space="preserve">4 </w:t>
      </w:r>
      <w:r w:rsidRPr="00685B66">
        <w:rPr>
          <w:sz w:val="24"/>
          <w:szCs w:val="24"/>
        </w:rPr>
        <w:tab/>
        <w:t xml:space="preserve">3.50% </w:t>
      </w:r>
    </w:p>
    <w:p w:rsidR="00170C86" w:rsidRDefault="00170C86" w:rsidP="00685B66">
      <w:pPr>
        <w:ind w:right="1440" w:firstLine="2160"/>
        <w:rPr>
          <w:sz w:val="24"/>
          <w:szCs w:val="24"/>
        </w:rPr>
      </w:pPr>
      <w:r w:rsidRPr="00685B66">
        <w:rPr>
          <w:sz w:val="24"/>
          <w:szCs w:val="24"/>
        </w:rPr>
        <w:tab/>
        <w:t xml:space="preserve">5 </w:t>
      </w:r>
      <w:r w:rsidRPr="00685B66">
        <w:rPr>
          <w:sz w:val="24"/>
          <w:szCs w:val="24"/>
        </w:rPr>
        <w:tab/>
        <w:t xml:space="preserve">3.00% </w:t>
      </w:r>
    </w:p>
    <w:p w:rsidR="00685B66" w:rsidRPr="00685B66" w:rsidRDefault="00685B66" w:rsidP="00685B66">
      <w:pPr>
        <w:ind w:right="1440" w:firstLine="720"/>
        <w:rPr>
          <w:sz w:val="24"/>
          <w:szCs w:val="24"/>
        </w:rPr>
      </w:pPr>
    </w:p>
    <w:p w:rsidR="00A47987" w:rsidRPr="00685B66" w:rsidRDefault="00A47987" w:rsidP="00685B66">
      <w:pPr>
        <w:pStyle w:val="ListNumber"/>
        <w:numPr>
          <w:ilvl w:val="0"/>
          <w:numId w:val="0"/>
        </w:numPr>
        <w:ind w:right="1440" w:firstLine="1440"/>
      </w:pPr>
      <w:r w:rsidRPr="00685B66">
        <w:t xml:space="preserve">(I&amp;E Statement in Support, pp. 4-5.) </w:t>
      </w:r>
    </w:p>
    <w:p w:rsidR="00A47987" w:rsidRPr="00F4068B" w:rsidRDefault="00A47987" w:rsidP="00170C86">
      <w:pPr>
        <w:ind w:firstLine="720"/>
        <w:rPr>
          <w:sz w:val="26"/>
          <w:szCs w:val="26"/>
        </w:rPr>
      </w:pPr>
    </w:p>
    <w:p w:rsidR="00A47987" w:rsidRPr="00685B66" w:rsidRDefault="00685B66" w:rsidP="00685B66">
      <w:pPr>
        <w:pStyle w:val="ListNumber"/>
        <w:numPr>
          <w:ilvl w:val="0"/>
          <w:numId w:val="0"/>
        </w:numPr>
        <w:spacing w:line="360" w:lineRule="auto"/>
        <w:ind w:firstLine="720"/>
      </w:pPr>
      <w:r>
        <w:tab/>
      </w:r>
      <w:r w:rsidR="00BC6953" w:rsidRPr="00685B66">
        <w:t>I&amp;E explains, t</w:t>
      </w:r>
      <w:r w:rsidR="00170C86" w:rsidRPr="00685B66">
        <w:t>he Company’s two year average of UFG is 4.1%, which is comprised of 3.8% for the year ended August 31, 2014 and 4.4% for the year ended August 31, 2015.</w:t>
      </w:r>
      <w:r w:rsidR="00ED7E1B">
        <w:t xml:space="preserve"> </w:t>
      </w:r>
      <w:r w:rsidR="00170C86" w:rsidRPr="00685B66">
        <w:t xml:space="preserve"> </w:t>
      </w:r>
      <w:r w:rsidR="00A47987" w:rsidRPr="00685B66">
        <w:t>(</w:t>
      </w:r>
      <w:r w:rsidR="00170C86" w:rsidRPr="00685B66">
        <w:t>Peoples Exhibit No. 3, p. 1.</w:t>
      </w:r>
      <w:r w:rsidR="00A47987" w:rsidRPr="00685B66">
        <w:t>)</w:t>
      </w:r>
      <w:r w:rsidR="00170C86" w:rsidRPr="00685B66">
        <w:t xml:space="preserve">  </w:t>
      </w:r>
      <w:r w:rsidR="00262A90" w:rsidRPr="00685B66">
        <w:t>I&amp;E asserts that, a</w:t>
      </w:r>
      <w:r w:rsidR="00170C86" w:rsidRPr="00685B66">
        <w:t xml:space="preserve">lthough the Commission’s metric is satisfied, the UFG on a total system (distribution and gathering) basis has increased by 826,406 </w:t>
      </w:r>
      <w:proofErr w:type="spellStart"/>
      <w:r w:rsidR="00170C86" w:rsidRPr="00685B66">
        <w:t>Mcf</w:t>
      </w:r>
      <w:proofErr w:type="spellEnd"/>
      <w:r w:rsidR="00170C86" w:rsidRPr="00685B66">
        <w:t xml:space="preserve"> from August 31, 2014 to August 31, 2015. </w:t>
      </w:r>
      <w:r w:rsidR="00A47987" w:rsidRPr="00685B66">
        <w:t>(</w:t>
      </w:r>
      <w:r w:rsidR="00170C86" w:rsidRPr="00685B66">
        <w:t>I&amp;E Statement No. 1, p. 5.</w:t>
      </w:r>
      <w:r w:rsidR="00A47987" w:rsidRPr="00685B66">
        <w:t>)</w:t>
      </w:r>
      <w:r w:rsidR="00170C86" w:rsidRPr="00685B66">
        <w:t xml:space="preserve">  </w:t>
      </w:r>
      <w:r w:rsidR="00262A90" w:rsidRPr="00685B66">
        <w:t>I&amp;E asserts t</w:t>
      </w:r>
      <w:r w:rsidR="00170C86" w:rsidRPr="00685B66">
        <w:t xml:space="preserve">he Commission’s UFG metrics apply only to distribution system losses; however, I&amp;E is concerned </w:t>
      </w:r>
      <w:r w:rsidR="00170C86" w:rsidRPr="00685B66">
        <w:lastRenderedPageBreak/>
        <w:t xml:space="preserve">about the high levels of UFG on the gathering system and the recent UFG increase on a total system basis.  </w:t>
      </w:r>
      <w:r w:rsidR="00A47987" w:rsidRPr="00685B66">
        <w:t>(</w:t>
      </w:r>
      <w:r w:rsidR="00170C86" w:rsidRPr="00685B66">
        <w:t>I&amp;E Statement No. 1, pp. 5-6</w:t>
      </w:r>
      <w:r w:rsidR="00A47987" w:rsidRPr="00685B66">
        <w:t xml:space="preserve">, I&amp;E Statement in Support, p. 5.) </w:t>
      </w:r>
    </w:p>
    <w:p w:rsidR="00170C86" w:rsidRPr="00685B66" w:rsidRDefault="00170C86" w:rsidP="00685B66">
      <w:pPr>
        <w:spacing w:line="360" w:lineRule="auto"/>
        <w:ind w:firstLine="720"/>
        <w:rPr>
          <w:sz w:val="24"/>
          <w:szCs w:val="24"/>
        </w:rPr>
      </w:pPr>
    </w:p>
    <w:p w:rsidR="00A47987" w:rsidRPr="00685B66" w:rsidRDefault="00685B66" w:rsidP="00685B66">
      <w:pPr>
        <w:pStyle w:val="ListNumber"/>
        <w:numPr>
          <w:ilvl w:val="0"/>
          <w:numId w:val="0"/>
        </w:numPr>
        <w:spacing w:line="360" w:lineRule="auto"/>
        <w:ind w:firstLine="720"/>
      </w:pPr>
      <w:r>
        <w:tab/>
      </w:r>
      <w:r w:rsidR="00170C86" w:rsidRPr="00685B66">
        <w:t>Accordingly,</w:t>
      </w:r>
      <w:r w:rsidR="00262A90" w:rsidRPr="00685B66">
        <w:t xml:space="preserve"> I&amp;E avers </w:t>
      </w:r>
      <w:r w:rsidR="00170C86" w:rsidRPr="00685B66">
        <w:t xml:space="preserve">the Settlement requires the Company to continue its efforts to reduce UFG, which is in the public interest as it will help the Company continue to meet the Commission’s UFG metrics and reduce the cost and potential safety hazards caused by higher levels of UFG.  </w:t>
      </w:r>
      <w:r w:rsidR="00A47987" w:rsidRPr="00685B66">
        <w:t>(</w:t>
      </w:r>
      <w:r w:rsidR="00170C86" w:rsidRPr="00685B66">
        <w:t>I&amp;E Statement No. 1, p. 6</w:t>
      </w:r>
      <w:r w:rsidR="00A47987" w:rsidRPr="00685B66">
        <w:t xml:space="preserve">, I&amp;E Statement in Support, p. 5.) </w:t>
      </w:r>
    </w:p>
    <w:p w:rsidR="00170C86" w:rsidRPr="00685B66" w:rsidRDefault="00170C86" w:rsidP="00685B66">
      <w:pPr>
        <w:spacing w:line="360" w:lineRule="auto"/>
        <w:ind w:firstLine="720"/>
        <w:rPr>
          <w:sz w:val="24"/>
          <w:szCs w:val="24"/>
        </w:rPr>
      </w:pPr>
    </w:p>
    <w:p w:rsidR="00722BA6" w:rsidRDefault="00722BA6" w:rsidP="00685B66">
      <w:pPr>
        <w:pStyle w:val="Heading3"/>
        <w:tabs>
          <w:tab w:val="clear" w:pos="2160"/>
        </w:tabs>
        <w:spacing w:after="0" w:line="360" w:lineRule="auto"/>
        <w:ind w:left="1440"/>
        <w:rPr>
          <w:b w:val="0"/>
          <w:u w:val="single"/>
        </w:rPr>
      </w:pPr>
      <w:r w:rsidRPr="00685B66">
        <w:rPr>
          <w:b w:val="0"/>
          <w:u w:val="single"/>
        </w:rPr>
        <w:t>OSBA’s Position</w:t>
      </w:r>
    </w:p>
    <w:p w:rsidR="00685B66" w:rsidRPr="00685B66" w:rsidRDefault="00685B66" w:rsidP="00685B66">
      <w:pPr>
        <w:pStyle w:val="BodyText2"/>
        <w:spacing w:after="0" w:line="360" w:lineRule="auto"/>
      </w:pPr>
    </w:p>
    <w:p w:rsidR="00170C86" w:rsidRDefault="00685B66" w:rsidP="00685B66">
      <w:pPr>
        <w:tabs>
          <w:tab w:val="left" w:pos="540"/>
          <w:tab w:val="left" w:pos="720"/>
        </w:tabs>
        <w:spacing w:line="360" w:lineRule="auto"/>
        <w:ind w:firstLine="720"/>
        <w:rPr>
          <w:sz w:val="24"/>
          <w:szCs w:val="24"/>
        </w:rPr>
      </w:pPr>
      <w:r>
        <w:rPr>
          <w:sz w:val="24"/>
          <w:szCs w:val="24"/>
        </w:rPr>
        <w:tab/>
      </w:r>
      <w:r w:rsidR="00170C86" w:rsidRPr="0076449F">
        <w:rPr>
          <w:sz w:val="24"/>
          <w:szCs w:val="24"/>
        </w:rPr>
        <w:t>OSBA</w:t>
      </w:r>
      <w:r w:rsidR="00262A90">
        <w:rPr>
          <w:sz w:val="24"/>
          <w:szCs w:val="24"/>
        </w:rPr>
        <w:t xml:space="preserve"> explains that it </w:t>
      </w:r>
      <w:r w:rsidR="00170C86">
        <w:rPr>
          <w:sz w:val="24"/>
          <w:szCs w:val="24"/>
        </w:rPr>
        <w:t>was primarily concerned with w</w:t>
      </w:r>
      <w:r w:rsidR="00170C86" w:rsidRPr="00966DD3">
        <w:rPr>
          <w:sz w:val="24"/>
          <w:szCs w:val="24"/>
        </w:rPr>
        <w:t>hether Peoples’ management of un</w:t>
      </w:r>
      <w:r w:rsidR="00170C86">
        <w:rPr>
          <w:sz w:val="24"/>
          <w:szCs w:val="24"/>
        </w:rPr>
        <w:t>accounted-for gas is reasonable and w</w:t>
      </w:r>
      <w:r w:rsidR="00170C86" w:rsidRPr="00966DD3">
        <w:rPr>
          <w:sz w:val="24"/>
          <w:szCs w:val="24"/>
        </w:rPr>
        <w:t>hether Peoples’ propose</w:t>
      </w:r>
      <w:r w:rsidR="00170C86">
        <w:rPr>
          <w:sz w:val="24"/>
          <w:szCs w:val="24"/>
        </w:rPr>
        <w:t>d retainage rate is appropriate.  T</w:t>
      </w:r>
      <w:r w:rsidR="00170C86" w:rsidRPr="0076449F">
        <w:rPr>
          <w:sz w:val="24"/>
          <w:szCs w:val="24"/>
        </w:rPr>
        <w:t>he OSBA determines that its concerns have been addressed</w:t>
      </w:r>
      <w:r w:rsidR="00170C86">
        <w:rPr>
          <w:sz w:val="24"/>
          <w:szCs w:val="24"/>
        </w:rPr>
        <w:t xml:space="preserve"> satisfactorily in Section II.B of the Joint Petition</w:t>
      </w:r>
      <w:r w:rsidR="00170C86" w:rsidRPr="0076449F">
        <w:rPr>
          <w:sz w:val="24"/>
          <w:szCs w:val="24"/>
        </w:rPr>
        <w:t xml:space="preserve">, and that the </w:t>
      </w:r>
      <w:r w:rsidR="00224807">
        <w:rPr>
          <w:sz w:val="24"/>
          <w:szCs w:val="24"/>
        </w:rPr>
        <w:t>S</w:t>
      </w:r>
      <w:r w:rsidR="00170C86" w:rsidRPr="0076449F">
        <w:rPr>
          <w:sz w:val="24"/>
          <w:szCs w:val="24"/>
        </w:rPr>
        <w:t xml:space="preserve">ettlement is therefore reasonable and in the interest of </w:t>
      </w:r>
      <w:r w:rsidR="00170C86">
        <w:rPr>
          <w:sz w:val="24"/>
          <w:szCs w:val="24"/>
        </w:rPr>
        <w:t>the Companies’</w:t>
      </w:r>
      <w:r w:rsidR="00170C86" w:rsidRPr="0076449F">
        <w:rPr>
          <w:sz w:val="24"/>
          <w:szCs w:val="24"/>
        </w:rPr>
        <w:t xml:space="preserve"> Small C&amp;I customers.  </w:t>
      </w:r>
      <w:proofErr w:type="gramStart"/>
      <w:r w:rsidR="000A4496">
        <w:rPr>
          <w:sz w:val="24"/>
          <w:szCs w:val="24"/>
        </w:rPr>
        <w:t>(OSBA Statement in Support, p. 4.)</w:t>
      </w:r>
      <w:proofErr w:type="gramEnd"/>
    </w:p>
    <w:p w:rsidR="00685B66" w:rsidRPr="0076449F" w:rsidRDefault="00685B66" w:rsidP="00685B66">
      <w:pPr>
        <w:tabs>
          <w:tab w:val="left" w:pos="540"/>
          <w:tab w:val="left" w:pos="720"/>
        </w:tabs>
        <w:spacing w:line="360" w:lineRule="auto"/>
        <w:ind w:firstLine="720"/>
        <w:rPr>
          <w:sz w:val="24"/>
          <w:szCs w:val="24"/>
        </w:rPr>
      </w:pPr>
    </w:p>
    <w:p w:rsidR="000A4496" w:rsidRDefault="00685B66" w:rsidP="00685B66">
      <w:pPr>
        <w:tabs>
          <w:tab w:val="left" w:pos="540"/>
          <w:tab w:val="left" w:pos="720"/>
        </w:tabs>
        <w:spacing w:line="360" w:lineRule="auto"/>
        <w:ind w:firstLine="720"/>
        <w:rPr>
          <w:sz w:val="24"/>
          <w:szCs w:val="24"/>
        </w:rPr>
      </w:pPr>
      <w:r>
        <w:rPr>
          <w:sz w:val="24"/>
          <w:szCs w:val="24"/>
        </w:rPr>
        <w:tab/>
      </w:r>
      <w:r w:rsidR="00170C86">
        <w:rPr>
          <w:sz w:val="24"/>
          <w:szCs w:val="24"/>
        </w:rPr>
        <w:t>The Companies currently retain a uniform 5.0</w:t>
      </w:r>
      <w:r w:rsidR="00170C86" w:rsidRPr="00F37487">
        <w:rPr>
          <w:sz w:val="24"/>
          <w:szCs w:val="24"/>
        </w:rPr>
        <w:t xml:space="preserve">% of the natural gas delivered on behalf of </w:t>
      </w:r>
      <w:r w:rsidR="00170C86">
        <w:rPr>
          <w:sz w:val="24"/>
          <w:szCs w:val="24"/>
        </w:rPr>
        <w:t xml:space="preserve">all transportation rate classes, based upon the Companies’ two-year average </w:t>
      </w:r>
      <w:r w:rsidR="008F015F">
        <w:rPr>
          <w:sz w:val="24"/>
          <w:szCs w:val="24"/>
        </w:rPr>
        <w:t>UFG</w:t>
      </w:r>
      <w:r w:rsidR="00170C86">
        <w:rPr>
          <w:sz w:val="24"/>
          <w:szCs w:val="24"/>
        </w:rPr>
        <w:t xml:space="preserve"> (LUFG) and company use (CU) levels</w:t>
      </w:r>
      <w:r w:rsidR="00170C86" w:rsidRPr="00F37487">
        <w:rPr>
          <w:sz w:val="24"/>
          <w:szCs w:val="24"/>
        </w:rPr>
        <w:t>.</w:t>
      </w:r>
      <w:r w:rsidR="00170C86">
        <w:rPr>
          <w:sz w:val="24"/>
          <w:szCs w:val="24"/>
        </w:rPr>
        <w:t xml:space="preserve"> </w:t>
      </w:r>
      <w:r w:rsidR="00ED7E1B">
        <w:rPr>
          <w:sz w:val="24"/>
          <w:szCs w:val="24"/>
        </w:rPr>
        <w:t xml:space="preserve"> </w:t>
      </w:r>
      <w:r w:rsidR="00262A90">
        <w:rPr>
          <w:sz w:val="24"/>
          <w:szCs w:val="24"/>
        </w:rPr>
        <w:t xml:space="preserve">OSBA asserts that </w:t>
      </w:r>
      <w:r w:rsidR="00170C86" w:rsidRPr="00FF55FD">
        <w:rPr>
          <w:sz w:val="24"/>
          <w:szCs w:val="24"/>
        </w:rPr>
        <w:t xml:space="preserve">Peoples </w:t>
      </w:r>
      <w:r w:rsidR="00170C86">
        <w:rPr>
          <w:sz w:val="24"/>
          <w:szCs w:val="24"/>
        </w:rPr>
        <w:t>proposed</w:t>
      </w:r>
      <w:r w:rsidR="00170C86" w:rsidRPr="00FF55FD">
        <w:rPr>
          <w:sz w:val="24"/>
          <w:szCs w:val="24"/>
        </w:rPr>
        <w:t xml:space="preserve"> to adjust its existing retainage rate</w:t>
      </w:r>
      <w:r w:rsidR="00170C86">
        <w:rPr>
          <w:sz w:val="24"/>
          <w:szCs w:val="24"/>
        </w:rPr>
        <w:t xml:space="preserve"> to 5.2%</w:t>
      </w:r>
      <w:r w:rsidR="00170C86" w:rsidRPr="00FF55FD">
        <w:rPr>
          <w:sz w:val="24"/>
          <w:szCs w:val="24"/>
        </w:rPr>
        <w:t xml:space="preserve"> to reflect </w:t>
      </w:r>
      <w:r w:rsidR="00170C86">
        <w:rPr>
          <w:sz w:val="24"/>
          <w:szCs w:val="24"/>
        </w:rPr>
        <w:t>a slight increase</w:t>
      </w:r>
      <w:r w:rsidR="00170C86" w:rsidRPr="00FF55FD">
        <w:rPr>
          <w:sz w:val="24"/>
          <w:szCs w:val="24"/>
        </w:rPr>
        <w:t xml:space="preserve"> in overall LUFG/CU levels.  </w:t>
      </w:r>
      <w:r w:rsidR="00170C86">
        <w:rPr>
          <w:sz w:val="24"/>
          <w:szCs w:val="24"/>
        </w:rPr>
        <w:t>In rebuttal, Peoples revised its proposed retainage rate to 5.25% to correct a small error in its filed retainage rate analysis that was uncovered by OCA.</w:t>
      </w:r>
      <w:r w:rsidR="000A4496">
        <w:rPr>
          <w:sz w:val="24"/>
          <w:szCs w:val="24"/>
        </w:rPr>
        <w:t xml:space="preserve">  </w:t>
      </w:r>
      <w:proofErr w:type="gramStart"/>
      <w:r w:rsidR="000A4496">
        <w:rPr>
          <w:sz w:val="24"/>
          <w:szCs w:val="24"/>
        </w:rPr>
        <w:t>(OSBA Statement in Support, p. 4.)</w:t>
      </w:r>
      <w:proofErr w:type="gramEnd"/>
    </w:p>
    <w:p w:rsidR="00685B66" w:rsidRPr="0076449F" w:rsidRDefault="00685B66" w:rsidP="00685B66">
      <w:pPr>
        <w:tabs>
          <w:tab w:val="left" w:pos="540"/>
          <w:tab w:val="left" w:pos="720"/>
        </w:tabs>
        <w:spacing w:line="360" w:lineRule="auto"/>
        <w:ind w:firstLine="720"/>
        <w:rPr>
          <w:sz w:val="24"/>
          <w:szCs w:val="24"/>
        </w:rPr>
      </w:pPr>
    </w:p>
    <w:p w:rsidR="000A4496" w:rsidRPr="0076449F" w:rsidRDefault="00685B66" w:rsidP="00685B66">
      <w:pPr>
        <w:tabs>
          <w:tab w:val="left" w:pos="540"/>
          <w:tab w:val="left" w:pos="720"/>
        </w:tabs>
        <w:spacing w:line="360" w:lineRule="auto"/>
        <w:ind w:firstLine="720"/>
        <w:rPr>
          <w:sz w:val="24"/>
          <w:szCs w:val="24"/>
        </w:rPr>
      </w:pPr>
      <w:r>
        <w:rPr>
          <w:sz w:val="24"/>
          <w:szCs w:val="24"/>
        </w:rPr>
        <w:tab/>
      </w:r>
      <w:r w:rsidR="00262A90">
        <w:rPr>
          <w:sz w:val="24"/>
          <w:szCs w:val="24"/>
        </w:rPr>
        <w:t xml:space="preserve">OSBA notes that the </w:t>
      </w:r>
      <w:r w:rsidR="00224807">
        <w:rPr>
          <w:sz w:val="24"/>
          <w:szCs w:val="24"/>
        </w:rPr>
        <w:t>S</w:t>
      </w:r>
      <w:r w:rsidR="00170C86">
        <w:rPr>
          <w:sz w:val="24"/>
          <w:szCs w:val="24"/>
        </w:rPr>
        <w:t>ettlement proposes a uniform retainage rate of 5.25% for all rate classes.</w:t>
      </w:r>
      <w:r w:rsidR="00262A90">
        <w:rPr>
          <w:sz w:val="24"/>
          <w:szCs w:val="24"/>
        </w:rPr>
        <w:t xml:space="preserve">  </w:t>
      </w:r>
      <w:r w:rsidR="00170C86">
        <w:rPr>
          <w:sz w:val="24"/>
          <w:szCs w:val="24"/>
        </w:rPr>
        <w:t>Because (</w:t>
      </w:r>
      <w:proofErr w:type="spellStart"/>
      <w:r w:rsidR="00170C86">
        <w:rPr>
          <w:sz w:val="24"/>
          <w:szCs w:val="24"/>
        </w:rPr>
        <w:t>i</w:t>
      </w:r>
      <w:proofErr w:type="spellEnd"/>
      <w:r w:rsidR="00170C86">
        <w:rPr>
          <w:sz w:val="24"/>
          <w:szCs w:val="24"/>
        </w:rPr>
        <w:t xml:space="preserve">) the Companies’ overall LUFG/CU rate has been relatively stable since Peoples’ last Section 1307(f) proceedings, and (ii) </w:t>
      </w:r>
      <w:r w:rsidR="00170C86" w:rsidRPr="00030806">
        <w:rPr>
          <w:sz w:val="24"/>
          <w:szCs w:val="24"/>
        </w:rPr>
        <w:t xml:space="preserve">the </w:t>
      </w:r>
      <w:r w:rsidR="00170C86">
        <w:rPr>
          <w:sz w:val="24"/>
          <w:szCs w:val="24"/>
        </w:rPr>
        <w:t xml:space="preserve">uniform </w:t>
      </w:r>
      <w:r w:rsidR="00170C86" w:rsidRPr="00030806">
        <w:rPr>
          <w:sz w:val="24"/>
          <w:szCs w:val="24"/>
        </w:rPr>
        <w:t xml:space="preserve">settlement retainage rate </w:t>
      </w:r>
      <w:r w:rsidR="00170C86">
        <w:rPr>
          <w:sz w:val="24"/>
          <w:szCs w:val="24"/>
        </w:rPr>
        <w:t xml:space="preserve">of 5.25% properly reflects the Companies’ most recent overall LUFG/CU experience, the OSBA determines that the </w:t>
      </w:r>
      <w:r w:rsidR="00224807">
        <w:rPr>
          <w:sz w:val="24"/>
          <w:szCs w:val="24"/>
        </w:rPr>
        <w:t>S</w:t>
      </w:r>
      <w:r w:rsidR="00170C86">
        <w:rPr>
          <w:sz w:val="24"/>
          <w:szCs w:val="24"/>
        </w:rPr>
        <w:t>ettlement is in the best interest of the Companies’ Small C&amp;I customers.</w:t>
      </w:r>
      <w:r w:rsidR="000A4496">
        <w:rPr>
          <w:sz w:val="24"/>
          <w:szCs w:val="24"/>
        </w:rPr>
        <w:t xml:space="preserve">  </w:t>
      </w:r>
      <w:proofErr w:type="gramStart"/>
      <w:r w:rsidR="000A4496">
        <w:rPr>
          <w:sz w:val="24"/>
          <w:szCs w:val="24"/>
        </w:rPr>
        <w:t>(OSBA Statement in Support, p. 4.)</w:t>
      </w:r>
      <w:proofErr w:type="gramEnd"/>
    </w:p>
    <w:p w:rsidR="00262A90" w:rsidRDefault="00262A90" w:rsidP="00972FB7">
      <w:pPr>
        <w:spacing w:line="360" w:lineRule="auto"/>
        <w:rPr>
          <w:b/>
          <w:sz w:val="24"/>
          <w:szCs w:val="24"/>
        </w:rPr>
      </w:pPr>
    </w:p>
    <w:p w:rsidR="000740F3" w:rsidRDefault="00685B66" w:rsidP="00685B66">
      <w:pPr>
        <w:pStyle w:val="Heading2"/>
        <w:keepNext/>
        <w:spacing w:after="0" w:line="360" w:lineRule="auto"/>
        <w:ind w:left="720"/>
        <w:jc w:val="left"/>
        <w:rPr>
          <w:b w:val="0"/>
          <w:caps w:val="0"/>
          <w:u w:val="single"/>
        </w:rPr>
      </w:pPr>
      <w:r w:rsidRPr="00685B66">
        <w:rPr>
          <w:b w:val="0"/>
          <w:caps w:val="0"/>
          <w:u w:val="single"/>
        </w:rPr>
        <w:lastRenderedPageBreak/>
        <w:t>Production Incentive</w:t>
      </w:r>
    </w:p>
    <w:p w:rsidR="00685B66" w:rsidRPr="00685B66" w:rsidRDefault="00685B66" w:rsidP="00685B66">
      <w:pPr>
        <w:pStyle w:val="BodyText2"/>
        <w:spacing w:after="0" w:line="360" w:lineRule="auto"/>
      </w:pPr>
    </w:p>
    <w:p w:rsidR="00722BA6" w:rsidRDefault="00722BA6" w:rsidP="004E434A">
      <w:pPr>
        <w:pStyle w:val="Heading3"/>
        <w:tabs>
          <w:tab w:val="clear" w:pos="2160"/>
        </w:tabs>
        <w:spacing w:after="0" w:line="360" w:lineRule="auto"/>
        <w:ind w:left="1440"/>
        <w:jc w:val="left"/>
        <w:rPr>
          <w:b w:val="0"/>
          <w:u w:val="single"/>
        </w:rPr>
      </w:pPr>
      <w:r w:rsidRPr="004E434A">
        <w:rPr>
          <w:b w:val="0"/>
          <w:u w:val="single"/>
        </w:rPr>
        <w:t>Peoples</w:t>
      </w:r>
      <w:r w:rsidR="004E434A" w:rsidRPr="004E434A">
        <w:rPr>
          <w:b w:val="0"/>
          <w:u w:val="single"/>
        </w:rPr>
        <w:t>’</w:t>
      </w:r>
      <w:r w:rsidRPr="004E434A">
        <w:rPr>
          <w:b w:val="0"/>
          <w:u w:val="single"/>
        </w:rPr>
        <w:t xml:space="preserve"> Position</w:t>
      </w:r>
    </w:p>
    <w:p w:rsidR="004E434A" w:rsidRPr="004E434A" w:rsidRDefault="004E434A" w:rsidP="004E434A">
      <w:pPr>
        <w:pStyle w:val="BodyText2"/>
        <w:spacing w:after="0" w:line="360" w:lineRule="auto"/>
      </w:pPr>
    </w:p>
    <w:p w:rsidR="000740F3" w:rsidRDefault="00E1044B" w:rsidP="004E434A">
      <w:pPr>
        <w:pStyle w:val="BodyText2"/>
        <w:spacing w:after="0" w:line="360" w:lineRule="auto"/>
        <w:ind w:firstLine="720"/>
      </w:pPr>
      <w:r>
        <w:tab/>
      </w:r>
      <w:r w:rsidR="000740F3">
        <w:t xml:space="preserve">Peoples proposed a local production incentive to encourage the production of local gas in specific areas where the Company needs to receive local gas for the efficient operation of its system.  </w:t>
      </w:r>
      <w:proofErr w:type="gramStart"/>
      <w:r w:rsidR="000740F3">
        <w:t>(Peoples Statement No. 2, p. 43.)</w:t>
      </w:r>
      <w:proofErr w:type="gramEnd"/>
      <w:r w:rsidR="000740F3">
        <w:t xml:space="preserve">  A</w:t>
      </w:r>
      <w:r w:rsidR="00262A90">
        <w:t xml:space="preserve">ccording to </w:t>
      </w:r>
      <w:r w:rsidR="000740F3">
        <w:t xml:space="preserve">Peoples witness </w:t>
      </w:r>
      <w:proofErr w:type="spellStart"/>
      <w:r w:rsidR="000740F3">
        <w:t>Nehr</w:t>
      </w:r>
      <w:proofErr w:type="spellEnd"/>
      <w:r w:rsidR="000740F3">
        <w:t xml:space="preserve">, this incentive payment would only be applicable to producers in certain limited distribution areas where local production is the only realistic supply option.  </w:t>
      </w:r>
      <w:proofErr w:type="gramStart"/>
      <w:r w:rsidR="000740F3">
        <w:t>(Peoples Statement No. 2, p. 43.)</w:t>
      </w:r>
      <w:proofErr w:type="gramEnd"/>
      <w:r w:rsidR="000740F3">
        <w:t xml:space="preserve">  Further,</w:t>
      </w:r>
      <w:r w:rsidR="00262A90">
        <w:t xml:space="preserve"> according to Peoples, </w:t>
      </w:r>
      <w:r w:rsidR="000740F3">
        <w:t xml:space="preserve">the incentive payment would be an incremental variable price that is tied to existing monthly market prices.  </w:t>
      </w:r>
      <w:proofErr w:type="gramStart"/>
      <w:r w:rsidR="000740F3">
        <w:t>(Peoples Statement No. 2, p. 43.)</w:t>
      </w:r>
      <w:proofErr w:type="gramEnd"/>
      <w:r w:rsidR="000740F3">
        <w:t xml:space="preserve">  </w:t>
      </w:r>
      <w:r w:rsidR="00262A90">
        <w:t xml:space="preserve"> </w:t>
      </w:r>
      <w:proofErr w:type="gramStart"/>
      <w:r w:rsidR="00262A90">
        <w:t>Peoples asserts</w:t>
      </w:r>
      <w:proofErr w:type="gramEnd"/>
      <w:r w:rsidR="00262A90">
        <w:t xml:space="preserve"> t</w:t>
      </w:r>
      <w:r w:rsidR="000740F3">
        <w:t xml:space="preserve">he production incentive responds to the significant decrease of local gas delivered directly into Peoples’ gathering system over the last two years.  </w:t>
      </w:r>
      <w:proofErr w:type="gramStart"/>
      <w:r w:rsidR="000740F3">
        <w:t>(Peoples Statement No. 2, pp. 44-46</w:t>
      </w:r>
      <w:r w:rsidR="000A4496">
        <w:t>, Peoples Statement in Support, p. 8.)</w:t>
      </w:r>
      <w:proofErr w:type="gramEnd"/>
    </w:p>
    <w:p w:rsidR="00E1044B" w:rsidRDefault="00E1044B" w:rsidP="004E434A">
      <w:pPr>
        <w:pStyle w:val="BodyText2"/>
        <w:spacing w:after="0" w:line="360" w:lineRule="auto"/>
        <w:ind w:firstLine="720"/>
      </w:pPr>
    </w:p>
    <w:p w:rsidR="000A4496" w:rsidRDefault="00E1044B" w:rsidP="004E434A">
      <w:pPr>
        <w:pStyle w:val="BodyText2"/>
        <w:spacing w:after="0" w:line="360" w:lineRule="auto"/>
        <w:ind w:firstLine="720"/>
      </w:pPr>
      <w:r>
        <w:tab/>
      </w:r>
      <w:proofErr w:type="gramStart"/>
      <w:r w:rsidR="00262A90">
        <w:t>Peoples explains</w:t>
      </w:r>
      <w:proofErr w:type="gramEnd"/>
      <w:r w:rsidR="00262A90">
        <w:t xml:space="preserve"> that n</w:t>
      </w:r>
      <w:r w:rsidR="000740F3">
        <w:t xml:space="preserve">o party opposed the production incentive program.  In fact, </w:t>
      </w:r>
      <w:r w:rsidR="00262A90">
        <w:t xml:space="preserve">according to Peoples, </w:t>
      </w:r>
      <w:r w:rsidR="000740F3">
        <w:t xml:space="preserve">PIOGA stated that it supports Peoples’ local production incentive proposal and confirmed that there has been a reduction in natural gas drilling and development activity.  </w:t>
      </w:r>
      <w:proofErr w:type="gramStart"/>
      <w:r w:rsidR="000740F3">
        <w:t>(PIOGA Statement No. 1, pp. 3-5.)</w:t>
      </w:r>
      <w:proofErr w:type="gramEnd"/>
      <w:r w:rsidR="000740F3">
        <w:t xml:space="preserve">  OCA, however, argued that if Peoples pursues local production incentives, the above-market payments should be recovered from all customers by recovering a share of the above-market costs through Peoples’ existing charges for transportation balancing service.  </w:t>
      </w:r>
      <w:proofErr w:type="gramStart"/>
      <w:r w:rsidR="000740F3">
        <w:t>(OCA Statement No. 1-SD, p. 2</w:t>
      </w:r>
      <w:r w:rsidR="000A4496">
        <w:t>, Peoples Statement in Support, p. 8.)</w:t>
      </w:r>
      <w:proofErr w:type="gramEnd"/>
    </w:p>
    <w:p w:rsidR="00E1044B" w:rsidRDefault="00E1044B" w:rsidP="004E434A">
      <w:pPr>
        <w:pStyle w:val="BodyText2"/>
        <w:spacing w:after="0" w:line="360" w:lineRule="auto"/>
        <w:ind w:firstLine="720"/>
      </w:pPr>
    </w:p>
    <w:p w:rsidR="000A4496" w:rsidRDefault="00E1044B" w:rsidP="004E434A">
      <w:pPr>
        <w:pStyle w:val="BodyText2"/>
        <w:spacing w:after="0" w:line="360" w:lineRule="auto"/>
        <w:ind w:firstLine="720"/>
      </w:pPr>
      <w:r>
        <w:tab/>
      </w:r>
      <w:r w:rsidR="000740F3">
        <w:t xml:space="preserve">In rebuttal, Peoples responded to OCA’s cost allocation proposal and recommended that any above-market costs be isolated and then recovered through the capacity rate, which is charged to both sales and P-1 customers.  </w:t>
      </w:r>
      <w:proofErr w:type="gramStart"/>
      <w:r w:rsidR="000740F3">
        <w:t>(Peoples Statement No. 1-R, p. 5.)</w:t>
      </w:r>
      <w:proofErr w:type="gramEnd"/>
      <w:r w:rsidR="000740F3">
        <w:t xml:space="preserve">  Moreover, Peoples proposed that a portion of the above-market costs be recovered from NP-1 customers and recovered through balancing charges based on the benefit these customers receive from the incentive.  </w:t>
      </w:r>
      <w:proofErr w:type="gramStart"/>
      <w:r w:rsidR="000740F3">
        <w:t>(Peoples Statement No. 1-R, pp. 5-6</w:t>
      </w:r>
      <w:r w:rsidR="000A4496">
        <w:t>, Peoples Statement in Support, pp. 8-9.)</w:t>
      </w:r>
      <w:proofErr w:type="gramEnd"/>
    </w:p>
    <w:p w:rsidR="003756C8" w:rsidRDefault="003756C8" w:rsidP="004E434A">
      <w:pPr>
        <w:pStyle w:val="BodyText2"/>
        <w:spacing w:after="0" w:line="360" w:lineRule="auto"/>
        <w:ind w:firstLine="720"/>
      </w:pPr>
    </w:p>
    <w:p w:rsidR="000A4496" w:rsidRDefault="00E1044B" w:rsidP="004E434A">
      <w:pPr>
        <w:pStyle w:val="BodyText2"/>
        <w:spacing w:after="0" w:line="360" w:lineRule="auto"/>
        <w:ind w:firstLine="720"/>
      </w:pPr>
      <w:r>
        <w:lastRenderedPageBreak/>
        <w:tab/>
      </w:r>
      <w:r w:rsidR="00262A90">
        <w:t>Peoples explains that u</w:t>
      </w:r>
      <w:r w:rsidR="000740F3">
        <w:t xml:space="preserve">nder the Settlement, Peoples may offer production incentives, in the form of higher gas purchase prices, in discrete areas of the Company’s system that: </w:t>
      </w:r>
      <w:r w:rsidR="00ED7E1B">
        <w:t xml:space="preserve"> </w:t>
      </w:r>
      <w:r w:rsidR="000740F3">
        <w:t xml:space="preserve">(a) are experiencing </w:t>
      </w:r>
      <w:r w:rsidR="000740F3" w:rsidRPr="00B24155">
        <w:t>declining receipts of local gas volumes, would improve service reliability with additional local gas volumes, and have no current economically viable alternative to receipts of loc</w:t>
      </w:r>
      <w:r w:rsidR="000740F3">
        <w:t>al gas to serve customers; or (b</w:t>
      </w:r>
      <w:r w:rsidR="000740F3" w:rsidRPr="00B24155">
        <w:t>) have limited sources of gas supply feeding the system, would improve service reliability with additional supply feeds, and have no current economically viable alternatives to such additional supply feeds in order to improve service reliability, all as described in Peoples Statement No. 2.</w:t>
      </w:r>
      <w:r w:rsidR="000740F3">
        <w:t xml:space="preserve">  </w:t>
      </w:r>
      <w:proofErr w:type="gramStart"/>
      <w:r w:rsidR="000740F3">
        <w:t>(Settlement ¶ 35.)</w:t>
      </w:r>
      <w:proofErr w:type="gramEnd"/>
      <w:r w:rsidR="000740F3">
        <w:t xml:space="preserve"> </w:t>
      </w:r>
      <w:r w:rsidR="00262A90">
        <w:t xml:space="preserve"> </w:t>
      </w:r>
      <w:r w:rsidR="000740F3">
        <w:t xml:space="preserve"> Moreover,</w:t>
      </w:r>
      <w:r w:rsidR="00262A90">
        <w:t xml:space="preserve"> Peoples explains that </w:t>
      </w:r>
      <w:r w:rsidR="000740F3">
        <w:t xml:space="preserve">the Settlement provides that the cost of any production incentive incurred during the 2017 1307(f) historic review period will be separately identified in next year’s PGC filing.  </w:t>
      </w:r>
      <w:proofErr w:type="gramStart"/>
      <w:r w:rsidR="000740F3">
        <w:t>(Settlement ¶ 36.)</w:t>
      </w:r>
      <w:proofErr w:type="gramEnd"/>
      <w:r w:rsidR="000740F3">
        <w:t xml:space="preserve">  The reasonableness of Peoples’ production incentive calculation will be subject to review, and the parties will address the allocation of production incentive costs to the customer classes in next year’s proceeding.  </w:t>
      </w:r>
      <w:proofErr w:type="gramStart"/>
      <w:r w:rsidR="000740F3">
        <w:t>(Settlement ¶ 36</w:t>
      </w:r>
      <w:r w:rsidR="000A4496">
        <w:t>, Peoples Statement in Support, p.</w:t>
      </w:r>
      <w:r>
        <w:t> </w:t>
      </w:r>
      <w:r w:rsidR="000A4496">
        <w:t>9.)</w:t>
      </w:r>
      <w:proofErr w:type="gramEnd"/>
    </w:p>
    <w:p w:rsidR="00E1044B" w:rsidRDefault="00E1044B" w:rsidP="004E434A">
      <w:pPr>
        <w:pStyle w:val="BodyText2"/>
        <w:spacing w:after="0" w:line="360" w:lineRule="auto"/>
        <w:ind w:firstLine="720"/>
      </w:pPr>
    </w:p>
    <w:p w:rsidR="000A4496" w:rsidRDefault="00E1044B" w:rsidP="004E434A">
      <w:pPr>
        <w:pStyle w:val="BodyText2"/>
        <w:spacing w:after="0" w:line="360" w:lineRule="auto"/>
        <w:ind w:firstLine="720"/>
      </w:pPr>
      <w:r>
        <w:tab/>
      </w:r>
      <w:r w:rsidR="00C643D6">
        <w:t>Peoples asserts that t</w:t>
      </w:r>
      <w:r w:rsidR="000740F3">
        <w:t xml:space="preserve">hese settlement provisions enable </w:t>
      </w:r>
      <w:r w:rsidR="00C643D6">
        <w:t>it</w:t>
      </w:r>
      <w:r w:rsidR="000740F3">
        <w:t xml:space="preserve"> to offer a production incentive to encourage new local gas production in areas where local deliveries are declining, while allowing the parties to review the Company’s production incentives in next year’s PGC proceeding, including the cost allocation issue raised by OCA.  Therefore, </w:t>
      </w:r>
      <w:r w:rsidR="00C643D6">
        <w:t xml:space="preserve">Peoples asserts, </w:t>
      </w:r>
      <w:r w:rsidR="000740F3">
        <w:t>these provisions represent a reasonable compromise of the parties’ litigation positions and should be approved without modification.</w:t>
      </w:r>
      <w:r w:rsidR="000A4496">
        <w:t xml:space="preserve">  </w:t>
      </w:r>
      <w:proofErr w:type="gramStart"/>
      <w:r w:rsidR="000A4496">
        <w:t>(Peoples Statement in Support, p. 9.)</w:t>
      </w:r>
      <w:proofErr w:type="gramEnd"/>
    </w:p>
    <w:p w:rsidR="00D6088B" w:rsidRDefault="00D6088B" w:rsidP="004E434A">
      <w:pPr>
        <w:pStyle w:val="BodyText2"/>
        <w:spacing w:after="0" w:line="360" w:lineRule="auto"/>
        <w:ind w:firstLine="720"/>
      </w:pPr>
    </w:p>
    <w:p w:rsidR="00722BA6" w:rsidRDefault="00AD6AE0" w:rsidP="00AD6AE0">
      <w:pPr>
        <w:pStyle w:val="Heading3"/>
        <w:numPr>
          <w:ilvl w:val="0"/>
          <w:numId w:val="0"/>
        </w:numPr>
        <w:spacing w:after="0" w:line="360" w:lineRule="auto"/>
        <w:ind w:left="1440" w:hanging="720"/>
        <w:jc w:val="left"/>
        <w:rPr>
          <w:b w:val="0"/>
          <w:u w:val="single"/>
        </w:rPr>
      </w:pPr>
      <w:r w:rsidRPr="00AD6AE0">
        <w:rPr>
          <w:b w:val="0"/>
        </w:rPr>
        <w:t>2.</w:t>
      </w:r>
      <w:r w:rsidRPr="00AD6AE0">
        <w:rPr>
          <w:b w:val="0"/>
        </w:rPr>
        <w:tab/>
      </w:r>
      <w:r w:rsidR="00722BA6" w:rsidRPr="00BE0C15">
        <w:rPr>
          <w:b w:val="0"/>
          <w:u w:val="single"/>
        </w:rPr>
        <w:t>OCA’s Position</w:t>
      </w:r>
    </w:p>
    <w:p w:rsidR="00BE0C15" w:rsidRPr="00BE0C15" w:rsidRDefault="00BE0C15" w:rsidP="00BE0C15">
      <w:pPr>
        <w:pStyle w:val="BodyText2"/>
        <w:spacing w:after="0" w:line="360" w:lineRule="auto"/>
      </w:pPr>
    </w:p>
    <w:p w:rsidR="00722BA6" w:rsidRDefault="00BE0C15" w:rsidP="00BE0C15">
      <w:pPr>
        <w:spacing w:line="360" w:lineRule="auto"/>
        <w:ind w:firstLine="720"/>
        <w:rPr>
          <w:rFonts w:eastAsia="Calibri"/>
          <w:sz w:val="24"/>
          <w:szCs w:val="24"/>
        </w:rPr>
      </w:pPr>
      <w:r>
        <w:rPr>
          <w:rFonts w:eastAsia="Calibri"/>
          <w:sz w:val="24"/>
          <w:szCs w:val="24"/>
        </w:rPr>
        <w:tab/>
      </w:r>
      <w:r w:rsidR="00722BA6" w:rsidRPr="00C643D6">
        <w:rPr>
          <w:rFonts w:eastAsia="Calibri"/>
          <w:sz w:val="24"/>
          <w:szCs w:val="24"/>
        </w:rPr>
        <w:t xml:space="preserve">In their filing in this case (specifically, Peoples St. No. 2 at 43-46), Peoples </w:t>
      </w:r>
      <w:r w:rsidR="00125973">
        <w:rPr>
          <w:rFonts w:eastAsia="Calibri"/>
          <w:sz w:val="24"/>
          <w:szCs w:val="24"/>
        </w:rPr>
        <w:t xml:space="preserve">Division </w:t>
      </w:r>
      <w:r w:rsidR="00722BA6" w:rsidRPr="00C643D6">
        <w:rPr>
          <w:rFonts w:eastAsia="Calibri"/>
          <w:sz w:val="24"/>
          <w:szCs w:val="24"/>
        </w:rPr>
        <w:t xml:space="preserve">and Peoples-Equitable propose implementing an incentive payment to local gas producers in pockets of its distribution system where customers are served from gathering lines (as opposed to traditional distribution lines) and the existing local production is the only economically viable supply option.  The Companies maintains that deliveries of local gas directly into its gathering system have declined significantly over the last two years. </w:t>
      </w:r>
      <w:r w:rsidR="000A4496">
        <w:rPr>
          <w:rFonts w:eastAsia="Calibri"/>
          <w:sz w:val="24"/>
          <w:szCs w:val="24"/>
        </w:rPr>
        <w:t>(</w:t>
      </w:r>
      <w:r w:rsidR="00722BA6" w:rsidRPr="00C643D6">
        <w:rPr>
          <w:rFonts w:eastAsia="Calibri"/>
          <w:sz w:val="24"/>
          <w:szCs w:val="24"/>
        </w:rPr>
        <w:t>Peoples St. No. 2 at 44.</w:t>
      </w:r>
      <w:r w:rsidR="000A4496">
        <w:rPr>
          <w:rFonts w:eastAsia="Calibri"/>
          <w:sz w:val="24"/>
          <w:szCs w:val="24"/>
        </w:rPr>
        <w:t>)</w:t>
      </w:r>
      <w:r w:rsidR="00722BA6" w:rsidRPr="00C643D6">
        <w:rPr>
          <w:rFonts w:eastAsia="Calibri"/>
          <w:sz w:val="24"/>
          <w:szCs w:val="24"/>
        </w:rPr>
        <w:t xml:space="preserve">  </w:t>
      </w:r>
      <w:r w:rsidR="00C643D6" w:rsidRPr="00C643D6">
        <w:rPr>
          <w:rFonts w:eastAsia="Calibri"/>
          <w:sz w:val="24"/>
          <w:szCs w:val="24"/>
        </w:rPr>
        <w:t xml:space="preserve">According to </w:t>
      </w:r>
      <w:r w:rsidR="007A4D36">
        <w:rPr>
          <w:rFonts w:eastAsia="Calibri"/>
          <w:sz w:val="24"/>
          <w:szCs w:val="24"/>
        </w:rPr>
        <w:t>OCA</w:t>
      </w:r>
      <w:r w:rsidR="00C643D6" w:rsidRPr="00C643D6">
        <w:rPr>
          <w:rFonts w:eastAsia="Calibri"/>
          <w:sz w:val="24"/>
          <w:szCs w:val="24"/>
        </w:rPr>
        <w:t>, t</w:t>
      </w:r>
      <w:r w:rsidR="00722BA6" w:rsidRPr="00C643D6">
        <w:rPr>
          <w:rFonts w:eastAsia="Calibri"/>
          <w:sz w:val="24"/>
          <w:szCs w:val="24"/>
        </w:rPr>
        <w:t xml:space="preserve">he production incentive is proposed for these particular </w:t>
      </w:r>
      <w:r w:rsidR="00722BA6" w:rsidRPr="00C643D6">
        <w:rPr>
          <w:rFonts w:eastAsia="Calibri"/>
          <w:sz w:val="24"/>
          <w:szCs w:val="24"/>
        </w:rPr>
        <w:lastRenderedPageBreak/>
        <w:t xml:space="preserve">distribution pockets as a means of reversing this trend and increasing production to serve these localized areas.  The Companies state that the incentive payment would be an incremental variable price that is tied to existing monthly market prices.  The incentive would be negotiated with individual producers in the localized areas in order to provide sufficient incentive for the producers to stimulate their existing wells to increase production and/or invest in new production.  </w:t>
      </w:r>
      <w:proofErr w:type="gramStart"/>
      <w:r w:rsidR="000A4496">
        <w:rPr>
          <w:rFonts w:eastAsia="Calibri"/>
          <w:sz w:val="24"/>
          <w:szCs w:val="24"/>
        </w:rPr>
        <w:t>(</w:t>
      </w:r>
      <w:r w:rsidR="00722BA6" w:rsidRPr="00250746">
        <w:rPr>
          <w:rFonts w:eastAsia="Calibri"/>
          <w:i/>
          <w:sz w:val="24"/>
          <w:szCs w:val="24"/>
        </w:rPr>
        <w:t>Id</w:t>
      </w:r>
      <w:r w:rsidR="00722BA6" w:rsidRPr="00C643D6">
        <w:rPr>
          <w:rFonts w:eastAsia="Calibri"/>
          <w:sz w:val="24"/>
          <w:szCs w:val="24"/>
        </w:rPr>
        <w:t>. at 43.</w:t>
      </w:r>
      <w:r w:rsidR="000A4496">
        <w:rPr>
          <w:rFonts w:eastAsia="Calibri"/>
          <w:sz w:val="24"/>
          <w:szCs w:val="24"/>
        </w:rPr>
        <w:t>)</w:t>
      </w:r>
      <w:proofErr w:type="gramEnd"/>
      <w:r w:rsidR="000A4496">
        <w:rPr>
          <w:rFonts w:eastAsia="Calibri"/>
          <w:sz w:val="24"/>
          <w:szCs w:val="24"/>
        </w:rPr>
        <w:t xml:space="preserve"> </w:t>
      </w:r>
      <w:proofErr w:type="gramStart"/>
      <w:r w:rsidR="000A4496">
        <w:rPr>
          <w:rFonts w:eastAsia="Calibri"/>
          <w:sz w:val="24"/>
          <w:szCs w:val="24"/>
        </w:rPr>
        <w:t>(OCA Statement in Support, pp. 4-5.)</w:t>
      </w:r>
      <w:proofErr w:type="gramEnd"/>
      <w:r w:rsidR="000A4496">
        <w:rPr>
          <w:rFonts w:eastAsia="Calibri"/>
          <w:sz w:val="24"/>
          <w:szCs w:val="24"/>
        </w:rPr>
        <w:t xml:space="preserve"> </w:t>
      </w:r>
      <w:r w:rsidR="00722BA6" w:rsidRPr="00C643D6">
        <w:rPr>
          <w:rFonts w:eastAsia="Calibri"/>
          <w:sz w:val="24"/>
          <w:szCs w:val="24"/>
        </w:rPr>
        <w:t xml:space="preserve">  </w:t>
      </w:r>
    </w:p>
    <w:p w:rsidR="00BE0C15" w:rsidRPr="00C643D6" w:rsidRDefault="00BE0C15" w:rsidP="00BE0C15">
      <w:pPr>
        <w:spacing w:line="360" w:lineRule="auto"/>
        <w:ind w:firstLine="720"/>
        <w:rPr>
          <w:rFonts w:eastAsia="Calibri"/>
          <w:sz w:val="24"/>
          <w:szCs w:val="24"/>
        </w:rPr>
      </w:pPr>
    </w:p>
    <w:p w:rsidR="000A4496" w:rsidRDefault="00BE0C15" w:rsidP="00BE0C15">
      <w:pPr>
        <w:spacing w:line="360" w:lineRule="auto"/>
        <w:ind w:firstLine="720"/>
        <w:rPr>
          <w:rFonts w:eastAsia="Calibri"/>
          <w:sz w:val="24"/>
          <w:szCs w:val="24"/>
        </w:rPr>
      </w:pPr>
      <w:r>
        <w:rPr>
          <w:rFonts w:eastAsia="Calibri"/>
          <w:sz w:val="24"/>
          <w:szCs w:val="24"/>
        </w:rPr>
        <w:tab/>
      </w:r>
      <w:r w:rsidR="007A4D36">
        <w:rPr>
          <w:rFonts w:eastAsia="Calibri"/>
          <w:sz w:val="24"/>
          <w:szCs w:val="24"/>
        </w:rPr>
        <w:t xml:space="preserve">OCA </w:t>
      </w:r>
      <w:r w:rsidR="007A4D36" w:rsidRPr="007A4D36">
        <w:rPr>
          <w:rFonts w:eastAsia="Calibri"/>
          <w:sz w:val="24"/>
          <w:szCs w:val="24"/>
        </w:rPr>
        <w:t xml:space="preserve">explains that, under the Settlement, </w:t>
      </w:r>
      <w:r w:rsidR="00722BA6" w:rsidRPr="007A4D36">
        <w:rPr>
          <w:rFonts w:eastAsia="Calibri"/>
          <w:sz w:val="24"/>
          <w:szCs w:val="24"/>
        </w:rPr>
        <w:t>these production incentives, in the form of higher gas purchase prices, may be offered in discrete areas of the Company’s system that:</w:t>
      </w:r>
      <w:r w:rsidR="00ED7E1B">
        <w:rPr>
          <w:rFonts w:eastAsia="Calibri"/>
          <w:sz w:val="24"/>
          <w:szCs w:val="24"/>
        </w:rPr>
        <w:t xml:space="preserve"> </w:t>
      </w:r>
      <w:r w:rsidR="00722BA6" w:rsidRPr="007A4D36">
        <w:rPr>
          <w:rFonts w:eastAsia="Calibri"/>
          <w:sz w:val="24"/>
          <w:szCs w:val="24"/>
        </w:rPr>
        <w:t xml:space="preserve"> (a)</w:t>
      </w:r>
      <w:r w:rsidR="00ED7E1B">
        <w:rPr>
          <w:rFonts w:eastAsia="Calibri"/>
          <w:sz w:val="24"/>
          <w:szCs w:val="24"/>
        </w:rPr>
        <w:t> </w:t>
      </w:r>
      <w:r w:rsidR="00722BA6" w:rsidRPr="007A4D36">
        <w:rPr>
          <w:rFonts w:eastAsia="Calibri"/>
          <w:sz w:val="24"/>
          <w:szCs w:val="24"/>
        </w:rPr>
        <w:t xml:space="preserve">are experiencing declining receipts of local gas volumes, would enjoy improved service reliability with additional local gas volumes, and have no current economically viable alternative to receipts of local gas to serve customers; or (b) have limited sources of gas supply feeding the system, would experience improved service reliability with additional supply feeds, and have no current economically viable alternatives to such additional supply feeds in order to improve service reliability.  </w:t>
      </w:r>
      <w:proofErr w:type="gramStart"/>
      <w:r w:rsidR="000A4496">
        <w:rPr>
          <w:rFonts w:eastAsia="Calibri"/>
          <w:sz w:val="24"/>
          <w:szCs w:val="24"/>
        </w:rPr>
        <w:t>(</w:t>
      </w:r>
      <w:r w:rsidR="00722BA6" w:rsidRPr="007A4D36">
        <w:rPr>
          <w:rFonts w:eastAsia="Calibri"/>
          <w:sz w:val="24"/>
          <w:szCs w:val="24"/>
        </w:rPr>
        <w:t>Settlement ¶ 35</w:t>
      </w:r>
      <w:r w:rsidR="000A4496">
        <w:rPr>
          <w:rFonts w:eastAsia="Calibri"/>
          <w:sz w:val="24"/>
          <w:szCs w:val="24"/>
        </w:rPr>
        <w:t>, OCA Statement in Support, p. 5.)</w:t>
      </w:r>
      <w:proofErr w:type="gramEnd"/>
      <w:r w:rsidR="000A4496">
        <w:rPr>
          <w:rFonts w:eastAsia="Calibri"/>
          <w:sz w:val="24"/>
          <w:szCs w:val="24"/>
        </w:rPr>
        <w:t xml:space="preserve"> </w:t>
      </w:r>
      <w:r w:rsidR="000A4496" w:rsidRPr="00C643D6">
        <w:rPr>
          <w:rFonts w:eastAsia="Calibri"/>
          <w:sz w:val="24"/>
          <w:szCs w:val="24"/>
        </w:rPr>
        <w:t xml:space="preserve">  </w:t>
      </w:r>
    </w:p>
    <w:p w:rsidR="00C10E58" w:rsidRDefault="00C10E58" w:rsidP="00BE0C15">
      <w:pPr>
        <w:spacing w:line="360" w:lineRule="auto"/>
        <w:ind w:firstLine="720"/>
        <w:rPr>
          <w:rFonts w:eastAsia="Calibri"/>
          <w:sz w:val="24"/>
          <w:szCs w:val="24"/>
        </w:rPr>
      </w:pPr>
    </w:p>
    <w:p w:rsidR="000A4496" w:rsidRPr="000A4496" w:rsidRDefault="00BE0C15" w:rsidP="00BE0C15">
      <w:pPr>
        <w:spacing w:line="360" w:lineRule="auto"/>
        <w:ind w:firstLine="720"/>
        <w:rPr>
          <w:rFonts w:eastAsia="Calibri"/>
          <w:sz w:val="24"/>
          <w:szCs w:val="24"/>
        </w:rPr>
      </w:pPr>
      <w:r>
        <w:rPr>
          <w:rFonts w:eastAsia="Calibri"/>
          <w:sz w:val="24"/>
          <w:szCs w:val="24"/>
        </w:rPr>
        <w:tab/>
      </w:r>
      <w:r w:rsidR="007A4D36" w:rsidRPr="000A4496">
        <w:rPr>
          <w:rFonts w:eastAsia="Calibri"/>
          <w:sz w:val="24"/>
          <w:szCs w:val="24"/>
        </w:rPr>
        <w:t xml:space="preserve">OCA explains that under the </w:t>
      </w:r>
      <w:r w:rsidR="00722BA6" w:rsidRPr="000A4496">
        <w:rPr>
          <w:rFonts w:eastAsia="Calibri"/>
          <w:sz w:val="24"/>
          <w:szCs w:val="24"/>
        </w:rPr>
        <w:t>Settlement</w:t>
      </w:r>
      <w:r w:rsidR="007A4D36" w:rsidRPr="000A4496">
        <w:rPr>
          <w:rFonts w:eastAsia="Calibri"/>
          <w:sz w:val="24"/>
          <w:szCs w:val="24"/>
        </w:rPr>
        <w:t xml:space="preserve">, </w:t>
      </w:r>
      <w:r w:rsidR="00722BA6" w:rsidRPr="000A4496">
        <w:rPr>
          <w:bCs/>
          <w:sz w:val="24"/>
          <w:szCs w:val="24"/>
        </w:rPr>
        <w:t xml:space="preserve">the cost of any production incentive incurred during the 2017 1307(f) historic review period will be separately identified in the Companies’ 2017 1307(f) filing.  In addition, the reasonableness of the Companies’ production incentive calculation will be subject to review, and the allocation of production incentive costs to the various customer service classes (e.g., PGC and transportation service) will be addressed by the parties in the Companies’ 2017 1307(f) filing. </w:t>
      </w:r>
      <w:proofErr w:type="gramStart"/>
      <w:r w:rsidR="000A4496" w:rsidRPr="000A4496">
        <w:rPr>
          <w:bCs/>
          <w:sz w:val="24"/>
          <w:szCs w:val="24"/>
        </w:rPr>
        <w:t>(</w:t>
      </w:r>
      <w:r w:rsidR="00722BA6" w:rsidRPr="000A4496">
        <w:rPr>
          <w:bCs/>
          <w:sz w:val="24"/>
          <w:szCs w:val="24"/>
        </w:rPr>
        <w:t>Settlement ¶ 36</w:t>
      </w:r>
      <w:r w:rsidR="000A4496" w:rsidRPr="000A4496">
        <w:rPr>
          <w:rFonts w:eastAsia="Calibri"/>
          <w:sz w:val="24"/>
          <w:szCs w:val="24"/>
        </w:rPr>
        <w:t>, OCA Statement in Support, p. 5.)</w:t>
      </w:r>
      <w:proofErr w:type="gramEnd"/>
      <w:r w:rsidR="000A4496" w:rsidRPr="000A4496">
        <w:rPr>
          <w:rFonts w:eastAsia="Calibri"/>
          <w:sz w:val="24"/>
          <w:szCs w:val="24"/>
        </w:rPr>
        <w:t xml:space="preserve">   </w:t>
      </w:r>
    </w:p>
    <w:p w:rsidR="00722BA6" w:rsidRPr="007A4D36" w:rsidRDefault="00722BA6" w:rsidP="00BE0C15">
      <w:pPr>
        <w:pStyle w:val="ListNumber"/>
        <w:numPr>
          <w:ilvl w:val="0"/>
          <w:numId w:val="0"/>
        </w:numPr>
        <w:spacing w:line="360" w:lineRule="auto"/>
        <w:ind w:firstLine="720"/>
        <w:rPr>
          <w:bCs/>
        </w:rPr>
      </w:pPr>
    </w:p>
    <w:p w:rsidR="000A4496" w:rsidRDefault="00BE0C15" w:rsidP="00BE0C15">
      <w:pPr>
        <w:spacing w:line="360" w:lineRule="auto"/>
        <w:ind w:firstLine="720"/>
        <w:rPr>
          <w:rFonts w:eastAsia="Calibri"/>
          <w:sz w:val="24"/>
          <w:szCs w:val="24"/>
        </w:rPr>
      </w:pPr>
      <w:r>
        <w:rPr>
          <w:bCs/>
          <w:sz w:val="24"/>
          <w:szCs w:val="24"/>
        </w:rPr>
        <w:tab/>
      </w:r>
      <w:r w:rsidR="00722BA6" w:rsidRPr="000A4496">
        <w:rPr>
          <w:bCs/>
          <w:sz w:val="24"/>
          <w:szCs w:val="24"/>
        </w:rPr>
        <w:t xml:space="preserve">In testimony, the OCA expressed the view that because the incentive payments would induce additional supply in localized areas and thereby obviate construction of additional distribution facilities to bring supply from other sources, the payments would benefit all customers on the Companies’ system. </w:t>
      </w:r>
      <w:r w:rsidR="00ED7E1B">
        <w:rPr>
          <w:bCs/>
          <w:sz w:val="24"/>
          <w:szCs w:val="24"/>
        </w:rPr>
        <w:t xml:space="preserve"> </w:t>
      </w:r>
      <w:proofErr w:type="gramStart"/>
      <w:r w:rsidR="00722BA6" w:rsidRPr="000A4496">
        <w:rPr>
          <w:bCs/>
          <w:sz w:val="24"/>
          <w:szCs w:val="24"/>
        </w:rPr>
        <w:t>OCA St. No. 1-SD at 2.</w:t>
      </w:r>
      <w:proofErr w:type="gramEnd"/>
      <w:r w:rsidR="00722BA6" w:rsidRPr="000A4496">
        <w:rPr>
          <w:bCs/>
          <w:sz w:val="24"/>
          <w:szCs w:val="24"/>
        </w:rPr>
        <w:t xml:space="preserve">  Accordingly, the OCA recommended that any above-market portion of the incentive payments should be recovered from all of the Companies’ customers, both sales and transportation customers. </w:t>
      </w:r>
      <w:r w:rsidR="00ED7E1B">
        <w:rPr>
          <w:bCs/>
          <w:sz w:val="24"/>
          <w:szCs w:val="24"/>
        </w:rPr>
        <w:t xml:space="preserve"> </w:t>
      </w:r>
      <w:r w:rsidR="000A4496" w:rsidRPr="000A4496">
        <w:rPr>
          <w:bCs/>
          <w:sz w:val="24"/>
          <w:szCs w:val="24"/>
        </w:rPr>
        <w:t>(</w:t>
      </w:r>
      <w:r w:rsidR="00722BA6" w:rsidRPr="00250746">
        <w:rPr>
          <w:bCs/>
          <w:i/>
          <w:sz w:val="24"/>
          <w:szCs w:val="24"/>
        </w:rPr>
        <w:t>Id</w:t>
      </w:r>
      <w:r w:rsidR="00722BA6" w:rsidRPr="000A4496">
        <w:rPr>
          <w:bCs/>
          <w:sz w:val="24"/>
          <w:szCs w:val="24"/>
        </w:rPr>
        <w:t>.</w:t>
      </w:r>
      <w:r w:rsidR="000A4496" w:rsidRPr="000A4496">
        <w:rPr>
          <w:bCs/>
          <w:sz w:val="24"/>
          <w:szCs w:val="24"/>
        </w:rPr>
        <w:t xml:space="preserve">)  </w:t>
      </w:r>
      <w:proofErr w:type="gramStart"/>
      <w:r w:rsidR="000A4496" w:rsidRPr="000A4496">
        <w:rPr>
          <w:bCs/>
          <w:sz w:val="24"/>
          <w:szCs w:val="24"/>
        </w:rPr>
        <w:t>(</w:t>
      </w:r>
      <w:r w:rsidR="000A4496" w:rsidRPr="000A4496">
        <w:rPr>
          <w:rFonts w:eastAsia="Calibri"/>
          <w:sz w:val="24"/>
          <w:szCs w:val="24"/>
        </w:rPr>
        <w:t>OCA Statement in Support, p. 5.)</w:t>
      </w:r>
      <w:proofErr w:type="gramEnd"/>
      <w:r w:rsidR="000A4496" w:rsidRPr="000A4496">
        <w:rPr>
          <w:rFonts w:eastAsia="Calibri"/>
          <w:sz w:val="24"/>
          <w:szCs w:val="24"/>
        </w:rPr>
        <w:t xml:space="preserve">   </w:t>
      </w:r>
    </w:p>
    <w:p w:rsidR="000A4496" w:rsidRPr="000A4496" w:rsidRDefault="00722BA6" w:rsidP="00BE0C15">
      <w:pPr>
        <w:spacing w:line="360" w:lineRule="auto"/>
        <w:ind w:firstLine="720"/>
        <w:rPr>
          <w:rFonts w:eastAsia="Calibri"/>
          <w:sz w:val="24"/>
          <w:szCs w:val="24"/>
        </w:rPr>
      </w:pPr>
      <w:r w:rsidRPr="000A4496">
        <w:rPr>
          <w:bCs/>
          <w:sz w:val="24"/>
          <w:szCs w:val="24"/>
        </w:rPr>
        <w:lastRenderedPageBreak/>
        <w:t xml:space="preserve">  </w:t>
      </w:r>
      <w:r w:rsidR="00BE0C15">
        <w:rPr>
          <w:bCs/>
          <w:sz w:val="24"/>
          <w:szCs w:val="24"/>
        </w:rPr>
        <w:tab/>
      </w:r>
      <w:r w:rsidR="007A4D36" w:rsidRPr="000A4496">
        <w:rPr>
          <w:bCs/>
          <w:sz w:val="24"/>
          <w:szCs w:val="24"/>
        </w:rPr>
        <w:t>According to OCA, b</w:t>
      </w:r>
      <w:r w:rsidRPr="000A4496">
        <w:rPr>
          <w:bCs/>
          <w:sz w:val="24"/>
          <w:szCs w:val="24"/>
        </w:rPr>
        <w:t xml:space="preserve">y providing that the reasonableness of the production incentives and the proper allocation of their cost among customer groups will be addressed in the 2017 PGC case, the Settlement in effect acknowledges that the incentives are not yet in place and that the level and overall cost of the incentives are not yet known, but that more information will be available by the time the 2017 case is filed.  OCA therefore submits that it is appropriate to defer consideration of the reasonableness of the incentives and the allocation of their cost among customer classes until next year’s PGC case.  </w:t>
      </w:r>
      <w:proofErr w:type="gramStart"/>
      <w:r w:rsidR="000A4496" w:rsidRPr="000A4496">
        <w:rPr>
          <w:bCs/>
          <w:sz w:val="24"/>
          <w:szCs w:val="24"/>
        </w:rPr>
        <w:t>(</w:t>
      </w:r>
      <w:r w:rsidR="000A4496" w:rsidRPr="000A4496">
        <w:rPr>
          <w:rFonts w:eastAsia="Calibri"/>
          <w:sz w:val="24"/>
          <w:szCs w:val="24"/>
        </w:rPr>
        <w:t xml:space="preserve"> OCA</w:t>
      </w:r>
      <w:proofErr w:type="gramEnd"/>
      <w:r w:rsidR="000A4496" w:rsidRPr="000A4496">
        <w:rPr>
          <w:rFonts w:eastAsia="Calibri"/>
          <w:sz w:val="24"/>
          <w:szCs w:val="24"/>
        </w:rPr>
        <w:t xml:space="preserve"> Statement in Support, p. 5.)   </w:t>
      </w:r>
    </w:p>
    <w:p w:rsidR="00722BA6" w:rsidRPr="007A4D36" w:rsidRDefault="00722BA6" w:rsidP="00BE0C15">
      <w:pPr>
        <w:pStyle w:val="ListNumber"/>
        <w:numPr>
          <w:ilvl w:val="0"/>
          <w:numId w:val="0"/>
        </w:numPr>
        <w:spacing w:line="360" w:lineRule="auto"/>
        <w:ind w:firstLine="720"/>
        <w:rPr>
          <w:bCs/>
        </w:rPr>
      </w:pPr>
    </w:p>
    <w:p w:rsidR="00722BA6" w:rsidRDefault="007B095C" w:rsidP="007B095C">
      <w:pPr>
        <w:pStyle w:val="Heading3"/>
        <w:numPr>
          <w:ilvl w:val="0"/>
          <w:numId w:val="0"/>
        </w:numPr>
        <w:spacing w:after="0" w:line="360" w:lineRule="auto"/>
        <w:ind w:left="1440" w:hanging="720"/>
        <w:jc w:val="left"/>
        <w:rPr>
          <w:b w:val="0"/>
          <w:u w:val="single"/>
        </w:rPr>
      </w:pPr>
      <w:r w:rsidRPr="007B095C">
        <w:rPr>
          <w:b w:val="0"/>
        </w:rPr>
        <w:t>3.</w:t>
      </w:r>
      <w:r w:rsidRPr="007B095C">
        <w:rPr>
          <w:b w:val="0"/>
        </w:rPr>
        <w:tab/>
      </w:r>
      <w:r w:rsidR="00722BA6" w:rsidRPr="00BE0C15">
        <w:rPr>
          <w:b w:val="0"/>
          <w:u w:val="single"/>
        </w:rPr>
        <w:t>PIOGA’s Position</w:t>
      </w:r>
    </w:p>
    <w:p w:rsidR="00874D59" w:rsidRPr="00874D59" w:rsidRDefault="00874D59" w:rsidP="00874D59">
      <w:pPr>
        <w:pStyle w:val="BodyText2"/>
        <w:spacing w:after="0" w:line="360" w:lineRule="auto"/>
      </w:pPr>
    </w:p>
    <w:p w:rsidR="007A4D36" w:rsidRDefault="00170C86" w:rsidP="00BE0C15">
      <w:pPr>
        <w:spacing w:line="360" w:lineRule="auto"/>
        <w:ind w:firstLine="1440"/>
        <w:rPr>
          <w:sz w:val="24"/>
          <w:szCs w:val="24"/>
        </w:rPr>
      </w:pPr>
      <w:r w:rsidRPr="007A4D36">
        <w:rPr>
          <w:sz w:val="24"/>
          <w:szCs w:val="24"/>
        </w:rPr>
        <w:t xml:space="preserve">PIOGA is the comprehensive trade association representing oil and natural gas interests throughout Pennsylvania.  In its petition to intervene in these proceedings, PIOGA noted its interest in the least cost fuel procurement policies and methodologies </w:t>
      </w:r>
      <w:r w:rsidR="00125973">
        <w:rPr>
          <w:sz w:val="24"/>
          <w:szCs w:val="24"/>
        </w:rPr>
        <w:t>of Peoples Division and Peoples-Equitable</w:t>
      </w:r>
      <w:r w:rsidR="00125973" w:rsidRPr="007A4D36">
        <w:rPr>
          <w:sz w:val="24"/>
          <w:szCs w:val="24"/>
        </w:rPr>
        <w:t xml:space="preserve"> </w:t>
      </w:r>
      <w:r w:rsidRPr="007A4D36">
        <w:rPr>
          <w:sz w:val="24"/>
          <w:szCs w:val="24"/>
        </w:rPr>
        <w:t>because PIOGA members’ Pennsylvania Appalachian production continues to be a baseload source of supply for the Companies’ systems, as acknowledged in the Companies’ testimony.</w:t>
      </w:r>
      <w:r w:rsidRPr="007A4D36">
        <w:rPr>
          <w:rStyle w:val="FootnoteReference"/>
          <w:sz w:val="24"/>
          <w:szCs w:val="24"/>
        </w:rPr>
        <w:footnoteReference w:id="4"/>
      </w:r>
      <w:r w:rsidRPr="007A4D36">
        <w:rPr>
          <w:sz w:val="24"/>
          <w:szCs w:val="24"/>
        </w:rPr>
        <w:t xml:space="preserve">  </w:t>
      </w:r>
      <w:proofErr w:type="gramStart"/>
      <w:r w:rsidR="000A4496">
        <w:rPr>
          <w:sz w:val="24"/>
          <w:szCs w:val="24"/>
        </w:rPr>
        <w:t>(PIOGA Statement in Support, p. 2.)</w:t>
      </w:r>
      <w:proofErr w:type="gramEnd"/>
    </w:p>
    <w:p w:rsidR="005B57F4" w:rsidRDefault="005B57F4" w:rsidP="00BE0C15">
      <w:pPr>
        <w:spacing w:line="360" w:lineRule="auto"/>
        <w:ind w:firstLine="1440"/>
        <w:rPr>
          <w:sz w:val="24"/>
          <w:szCs w:val="24"/>
        </w:rPr>
      </w:pPr>
    </w:p>
    <w:p w:rsidR="000A4496" w:rsidRDefault="007A4D36" w:rsidP="00BE0C15">
      <w:pPr>
        <w:spacing w:line="360" w:lineRule="auto"/>
        <w:ind w:firstLine="1440"/>
        <w:rPr>
          <w:sz w:val="24"/>
          <w:szCs w:val="24"/>
        </w:rPr>
      </w:pPr>
      <w:r>
        <w:rPr>
          <w:sz w:val="24"/>
          <w:szCs w:val="24"/>
        </w:rPr>
        <w:t>PIOGA explains that, i</w:t>
      </w:r>
      <w:r w:rsidR="00170C86" w:rsidRPr="007A4D36">
        <w:rPr>
          <w:sz w:val="24"/>
          <w:szCs w:val="24"/>
        </w:rPr>
        <w:t>n their direct testimony, the Companies also explained that there are certain areas of their systems that are dependent on conventional local production for reliable service, and certain single feed supply areas in which more unconventional production could be accepted to help ensure the continuation of reliable service.</w:t>
      </w:r>
      <w:r w:rsidR="00170C86" w:rsidRPr="007A4D36">
        <w:rPr>
          <w:rStyle w:val="FootnoteReference"/>
          <w:sz w:val="24"/>
          <w:szCs w:val="24"/>
        </w:rPr>
        <w:footnoteReference w:id="5"/>
      </w:r>
      <w:r w:rsidR="00170C86" w:rsidRPr="007A4D36">
        <w:rPr>
          <w:sz w:val="24"/>
          <w:szCs w:val="24"/>
        </w:rPr>
        <w:t xml:space="preserve">  Because deliveries of local gas directly into the Peoples’ systems have decreased significantly over the last two years due to recent market conditions and the current low natural gas price environment, </w:t>
      </w:r>
      <w:r>
        <w:rPr>
          <w:sz w:val="24"/>
          <w:szCs w:val="24"/>
        </w:rPr>
        <w:t xml:space="preserve">PIOGA explains that </w:t>
      </w:r>
      <w:r w:rsidR="00170C86" w:rsidRPr="007A4D36">
        <w:rPr>
          <w:sz w:val="24"/>
          <w:szCs w:val="24"/>
        </w:rPr>
        <w:t>production levels from existing conventional wells are declining faster than in the past and also are not being offset by new production coming onto the systems.</w:t>
      </w:r>
      <w:r w:rsidR="00170C86" w:rsidRPr="007A4D36">
        <w:rPr>
          <w:rStyle w:val="FootnoteReference"/>
          <w:sz w:val="24"/>
          <w:szCs w:val="24"/>
        </w:rPr>
        <w:footnoteReference w:id="6"/>
      </w:r>
      <w:r w:rsidR="00170C86" w:rsidRPr="007A4D36">
        <w:rPr>
          <w:sz w:val="24"/>
          <w:szCs w:val="24"/>
        </w:rPr>
        <w:t xml:space="preserve">  </w:t>
      </w:r>
      <w:proofErr w:type="gramStart"/>
      <w:r w:rsidR="000A4496">
        <w:rPr>
          <w:sz w:val="24"/>
          <w:szCs w:val="24"/>
        </w:rPr>
        <w:t>(PIOGA Statement in Support, pp. 2-3.)</w:t>
      </w:r>
      <w:proofErr w:type="gramEnd"/>
    </w:p>
    <w:p w:rsidR="00874D59" w:rsidRDefault="00874D59" w:rsidP="00BE0C15">
      <w:pPr>
        <w:spacing w:line="360" w:lineRule="auto"/>
        <w:ind w:firstLine="1440"/>
        <w:rPr>
          <w:sz w:val="24"/>
          <w:szCs w:val="24"/>
        </w:rPr>
      </w:pPr>
    </w:p>
    <w:p w:rsidR="000A4496" w:rsidRDefault="00170C86" w:rsidP="00BE0C15">
      <w:pPr>
        <w:spacing w:line="360" w:lineRule="auto"/>
        <w:ind w:firstLine="1440"/>
        <w:rPr>
          <w:sz w:val="24"/>
          <w:szCs w:val="24"/>
        </w:rPr>
      </w:pPr>
      <w:r w:rsidRPr="007A4D36">
        <w:rPr>
          <w:sz w:val="24"/>
          <w:szCs w:val="24"/>
        </w:rPr>
        <w:lastRenderedPageBreak/>
        <w:t xml:space="preserve">PIOGA’s </w:t>
      </w:r>
      <w:r w:rsidR="007A4D36">
        <w:rPr>
          <w:sz w:val="24"/>
          <w:szCs w:val="24"/>
        </w:rPr>
        <w:t xml:space="preserve">points out that its </w:t>
      </w:r>
      <w:r w:rsidRPr="007A4D36">
        <w:rPr>
          <w:sz w:val="24"/>
          <w:szCs w:val="24"/>
        </w:rPr>
        <w:t xml:space="preserve">direct testimony provided additional information corroborating the reduction in natural gas drilling and development activity generally in Pennsylvania and on the Companies’ systems, including: </w:t>
      </w:r>
      <w:r w:rsidR="00ED7E1B">
        <w:rPr>
          <w:sz w:val="24"/>
          <w:szCs w:val="24"/>
        </w:rPr>
        <w:t xml:space="preserve"> </w:t>
      </w:r>
      <w:r w:rsidRPr="007A4D36">
        <w:rPr>
          <w:sz w:val="24"/>
          <w:szCs w:val="24"/>
        </w:rPr>
        <w:t>(</w:t>
      </w:r>
      <w:proofErr w:type="spellStart"/>
      <w:r w:rsidRPr="007A4D36">
        <w:rPr>
          <w:sz w:val="24"/>
          <w:szCs w:val="24"/>
        </w:rPr>
        <w:t>i</w:t>
      </w:r>
      <w:proofErr w:type="spellEnd"/>
      <w:r w:rsidRPr="007A4D36">
        <w:rPr>
          <w:sz w:val="24"/>
          <w:szCs w:val="24"/>
        </w:rPr>
        <w:t>) reductions in well permit applications and the number of wells spud since 2013; (ii) the significant costs of compliance with pending Department of Environmental Protection (DEP) regulations; and (iii) increased costs of compliance with other environmental regulations of various federal agencies, such as the Environmental Protection Agency, Pipeline and Hazardous Materials Safety Administration and the Occupational Safety and Health Administration.</w:t>
      </w:r>
      <w:r w:rsidRPr="007A4D36">
        <w:rPr>
          <w:rStyle w:val="FootnoteReference"/>
          <w:sz w:val="24"/>
          <w:szCs w:val="24"/>
        </w:rPr>
        <w:footnoteReference w:id="7"/>
      </w:r>
      <w:r w:rsidR="000A4496">
        <w:rPr>
          <w:sz w:val="24"/>
          <w:szCs w:val="24"/>
        </w:rPr>
        <w:t xml:space="preserve">  </w:t>
      </w:r>
      <w:proofErr w:type="gramStart"/>
      <w:r w:rsidR="000A4496">
        <w:rPr>
          <w:sz w:val="24"/>
          <w:szCs w:val="24"/>
        </w:rPr>
        <w:t>(PIOGA Statement in Support, pp. 2-3.)</w:t>
      </w:r>
      <w:proofErr w:type="gramEnd"/>
    </w:p>
    <w:p w:rsidR="00A342A5" w:rsidRDefault="00A342A5" w:rsidP="00BE0C15">
      <w:pPr>
        <w:spacing w:line="360" w:lineRule="auto"/>
        <w:ind w:firstLine="1440"/>
        <w:rPr>
          <w:sz w:val="24"/>
          <w:szCs w:val="24"/>
        </w:rPr>
      </w:pPr>
    </w:p>
    <w:p w:rsidR="000A4496" w:rsidRDefault="00170C86" w:rsidP="00BE0C15">
      <w:pPr>
        <w:spacing w:line="360" w:lineRule="auto"/>
        <w:ind w:firstLine="1440"/>
        <w:rPr>
          <w:sz w:val="24"/>
          <w:szCs w:val="24"/>
        </w:rPr>
      </w:pPr>
      <w:r w:rsidRPr="007A4D36">
        <w:rPr>
          <w:sz w:val="24"/>
          <w:szCs w:val="24"/>
        </w:rPr>
        <w:t xml:space="preserve">To address the effect of the reduction in natural gas drilling, development activity and new production on the Companies’ systems and the resulting reliability concerns, </w:t>
      </w:r>
      <w:r w:rsidR="007A4D36">
        <w:rPr>
          <w:sz w:val="24"/>
          <w:szCs w:val="24"/>
        </w:rPr>
        <w:t xml:space="preserve">PIOGA explains </w:t>
      </w:r>
      <w:r w:rsidRPr="007A4D36">
        <w:rPr>
          <w:sz w:val="24"/>
          <w:szCs w:val="24"/>
        </w:rPr>
        <w:t>the Companies proposed a selective and limited incentive pricing program to try to reverse this trend by providing a sufficient incentive for producers to rework or stimulate their existing wells to increase production flows and to invest in new production.</w:t>
      </w:r>
      <w:r w:rsidRPr="007A4D36">
        <w:rPr>
          <w:rStyle w:val="FootnoteReference"/>
          <w:sz w:val="24"/>
          <w:szCs w:val="24"/>
        </w:rPr>
        <w:footnoteReference w:id="8"/>
      </w:r>
      <w:r w:rsidRPr="007A4D36">
        <w:rPr>
          <w:sz w:val="24"/>
          <w:szCs w:val="24"/>
        </w:rPr>
        <w:t xml:space="preserve">  PIOGA believes the Companies’ incentive pricing proposal is a welcomed effort in these current low price and increased environmental regulation cost circumstances that could provide some financial assistance to some producers while helping to ensure the reliability of service in the identified parts of the </w:t>
      </w:r>
      <w:r w:rsidR="00BF1D31">
        <w:rPr>
          <w:sz w:val="24"/>
          <w:szCs w:val="24"/>
        </w:rPr>
        <w:t>C</w:t>
      </w:r>
      <w:r w:rsidRPr="007A4D36">
        <w:rPr>
          <w:sz w:val="24"/>
          <w:szCs w:val="24"/>
        </w:rPr>
        <w:t>ompanies’ systems.</w:t>
      </w:r>
      <w:r w:rsidRPr="007A4D36">
        <w:rPr>
          <w:rStyle w:val="FootnoteReference"/>
          <w:sz w:val="24"/>
          <w:szCs w:val="24"/>
        </w:rPr>
        <w:footnoteReference w:id="9"/>
      </w:r>
      <w:r w:rsidR="000A4496">
        <w:rPr>
          <w:sz w:val="24"/>
          <w:szCs w:val="24"/>
        </w:rPr>
        <w:t xml:space="preserve">  </w:t>
      </w:r>
      <w:proofErr w:type="gramStart"/>
      <w:r w:rsidR="000A4496">
        <w:rPr>
          <w:sz w:val="24"/>
          <w:szCs w:val="24"/>
        </w:rPr>
        <w:t>(PIOGA Statement in Support, p. 3.)</w:t>
      </w:r>
      <w:proofErr w:type="gramEnd"/>
    </w:p>
    <w:p w:rsidR="00170C86" w:rsidRPr="007A4D36" w:rsidRDefault="00170C86" w:rsidP="00BE0C15">
      <w:pPr>
        <w:spacing w:line="360" w:lineRule="auto"/>
        <w:ind w:firstLine="1440"/>
        <w:rPr>
          <w:sz w:val="24"/>
          <w:szCs w:val="24"/>
        </w:rPr>
      </w:pPr>
    </w:p>
    <w:p w:rsidR="000A4496" w:rsidRDefault="00170C86" w:rsidP="00BE0C15">
      <w:pPr>
        <w:spacing w:line="360" w:lineRule="auto"/>
        <w:ind w:firstLine="1440"/>
        <w:rPr>
          <w:sz w:val="24"/>
          <w:szCs w:val="24"/>
        </w:rPr>
      </w:pPr>
      <w:r w:rsidRPr="007A4D36">
        <w:rPr>
          <w:sz w:val="24"/>
          <w:szCs w:val="24"/>
        </w:rPr>
        <w:t xml:space="preserve">PIOGA supports the Companies’ incentive pricing proposals and submits that they are reasonable and measured responses to the current situation and are consistent with the Companies’ least cost fuel procurement obligations.  Accordingly, PIOGA requests that the Commission approve the </w:t>
      </w:r>
      <w:r w:rsidR="00846BE2">
        <w:rPr>
          <w:sz w:val="24"/>
          <w:szCs w:val="24"/>
        </w:rPr>
        <w:t>Settlement</w:t>
      </w:r>
      <w:r w:rsidRPr="007A4D36">
        <w:rPr>
          <w:sz w:val="24"/>
          <w:szCs w:val="24"/>
        </w:rPr>
        <w:t>.</w:t>
      </w:r>
      <w:r w:rsidR="000A4496">
        <w:rPr>
          <w:sz w:val="24"/>
          <w:szCs w:val="24"/>
        </w:rPr>
        <w:t xml:space="preserve">  </w:t>
      </w:r>
      <w:proofErr w:type="gramStart"/>
      <w:r w:rsidR="000A4496">
        <w:rPr>
          <w:sz w:val="24"/>
          <w:szCs w:val="24"/>
        </w:rPr>
        <w:t>(PIOGA Statement in Support, p. 3.)</w:t>
      </w:r>
      <w:proofErr w:type="gramEnd"/>
    </w:p>
    <w:p w:rsidR="00715BA9" w:rsidRDefault="00715BA9" w:rsidP="001B56D3">
      <w:pPr>
        <w:spacing w:line="360" w:lineRule="auto"/>
        <w:ind w:firstLine="720"/>
        <w:rPr>
          <w:sz w:val="24"/>
          <w:szCs w:val="24"/>
        </w:rPr>
      </w:pPr>
    </w:p>
    <w:p w:rsidR="00C53E8D" w:rsidRDefault="00C53E8D" w:rsidP="001B56D3">
      <w:pPr>
        <w:spacing w:line="360" w:lineRule="auto"/>
        <w:ind w:firstLine="720"/>
        <w:rPr>
          <w:sz w:val="24"/>
          <w:szCs w:val="24"/>
        </w:rPr>
      </w:pPr>
    </w:p>
    <w:p w:rsidR="00C53E8D" w:rsidRDefault="00C53E8D" w:rsidP="001B56D3">
      <w:pPr>
        <w:spacing w:line="360" w:lineRule="auto"/>
        <w:ind w:firstLine="720"/>
        <w:rPr>
          <w:sz w:val="24"/>
          <w:szCs w:val="24"/>
        </w:rPr>
      </w:pPr>
    </w:p>
    <w:p w:rsidR="00C53E8D" w:rsidRPr="007A4D36" w:rsidRDefault="00C53E8D" w:rsidP="001B56D3">
      <w:pPr>
        <w:spacing w:line="360" w:lineRule="auto"/>
        <w:ind w:firstLine="720"/>
        <w:rPr>
          <w:sz w:val="24"/>
          <w:szCs w:val="24"/>
        </w:rPr>
      </w:pPr>
    </w:p>
    <w:p w:rsidR="000740F3" w:rsidRDefault="00A342A5" w:rsidP="00715BA9">
      <w:pPr>
        <w:pStyle w:val="Heading2"/>
        <w:keepNext/>
        <w:tabs>
          <w:tab w:val="clear" w:pos="1440"/>
        </w:tabs>
        <w:spacing w:after="0" w:line="360" w:lineRule="auto"/>
        <w:ind w:left="720"/>
        <w:rPr>
          <w:b w:val="0"/>
          <w:caps w:val="0"/>
          <w:u w:val="single"/>
        </w:rPr>
      </w:pPr>
      <w:r w:rsidRPr="00A342A5">
        <w:rPr>
          <w:b w:val="0"/>
          <w:caps w:val="0"/>
          <w:u w:val="single"/>
        </w:rPr>
        <w:lastRenderedPageBreak/>
        <w:t>Miscellaneous</w:t>
      </w:r>
    </w:p>
    <w:p w:rsidR="00715BA9" w:rsidRPr="00715BA9" w:rsidRDefault="00715BA9" w:rsidP="00715BA9">
      <w:pPr>
        <w:pStyle w:val="BodyText2"/>
        <w:spacing w:after="0" w:line="360" w:lineRule="auto"/>
      </w:pPr>
    </w:p>
    <w:p w:rsidR="00722BA6" w:rsidRDefault="00722BA6" w:rsidP="00715BA9">
      <w:pPr>
        <w:pStyle w:val="Heading3"/>
        <w:tabs>
          <w:tab w:val="clear" w:pos="2160"/>
          <w:tab w:val="num" w:pos="1440"/>
        </w:tabs>
        <w:spacing w:after="0" w:line="360" w:lineRule="auto"/>
        <w:ind w:hanging="1440"/>
        <w:rPr>
          <w:b w:val="0"/>
          <w:u w:val="single"/>
        </w:rPr>
      </w:pPr>
      <w:r w:rsidRPr="00715BA9">
        <w:rPr>
          <w:b w:val="0"/>
          <w:u w:val="single"/>
        </w:rPr>
        <w:t>Peoples</w:t>
      </w:r>
      <w:r w:rsidR="00715BA9">
        <w:rPr>
          <w:b w:val="0"/>
          <w:u w:val="single"/>
        </w:rPr>
        <w:t>’</w:t>
      </w:r>
      <w:r w:rsidRPr="00715BA9">
        <w:rPr>
          <w:b w:val="0"/>
          <w:u w:val="single"/>
        </w:rPr>
        <w:t xml:space="preserve"> Position</w:t>
      </w:r>
    </w:p>
    <w:p w:rsidR="00715BA9" w:rsidRPr="00715BA9" w:rsidRDefault="00715BA9" w:rsidP="00715BA9">
      <w:pPr>
        <w:pStyle w:val="BodyText2"/>
        <w:spacing w:after="0" w:line="360" w:lineRule="auto"/>
      </w:pPr>
    </w:p>
    <w:p w:rsidR="000740F3" w:rsidRDefault="00715BA9" w:rsidP="00715BA9">
      <w:pPr>
        <w:pStyle w:val="BodyText2"/>
        <w:spacing w:after="0" w:line="360" w:lineRule="auto"/>
        <w:ind w:firstLine="720"/>
      </w:pPr>
      <w:r>
        <w:tab/>
      </w:r>
      <w:r w:rsidR="00846BE2" w:rsidRPr="00715BA9">
        <w:t>According to Peoples, u</w:t>
      </w:r>
      <w:r w:rsidR="000740F3" w:rsidRPr="00715BA9">
        <w:t xml:space="preserve">nder the Settlement, the parties have agreed that the proposed rates and other requested approvals contained in the Peoples Division and Peoples-Equitable Division PGC filings should be approved except to the extent that they are modified by the Settlement.  </w:t>
      </w:r>
      <w:proofErr w:type="gramStart"/>
      <w:r w:rsidR="000740F3" w:rsidRPr="00715BA9">
        <w:t>(Settlement ¶ 37.)</w:t>
      </w:r>
      <w:proofErr w:type="gramEnd"/>
      <w:r w:rsidR="000740F3" w:rsidRPr="00715BA9">
        <w:t xml:space="preserve">  This approval includes the results of Requests for Proposals (RFPs) issued in 2016 for TETCO and TGP delivered supply for the winters of 2016-2017 and 2017-2018, as well as the updated balancing rate calculation provided in Revised Peoples Exhibit No. 12.  </w:t>
      </w:r>
      <w:proofErr w:type="gramStart"/>
      <w:r w:rsidR="000740F3" w:rsidRPr="00715BA9">
        <w:t>(Settlement ¶¶ 37, 39.)</w:t>
      </w:r>
      <w:proofErr w:type="gramEnd"/>
      <w:r w:rsidR="000740F3" w:rsidRPr="00715BA9">
        <w:t xml:space="preserve">  Further, the proposed rates will be updated in the Company’s compliance filing to reflect actual and projected over/</w:t>
      </w:r>
      <w:proofErr w:type="spellStart"/>
      <w:r w:rsidR="000740F3" w:rsidRPr="00715BA9">
        <w:t>undercollections</w:t>
      </w:r>
      <w:proofErr w:type="spellEnd"/>
      <w:r w:rsidR="000740F3" w:rsidRPr="00715BA9">
        <w:t xml:space="preserve"> through September 30, 2016.  </w:t>
      </w:r>
      <w:proofErr w:type="gramStart"/>
      <w:r w:rsidR="000740F3" w:rsidRPr="00715BA9">
        <w:t>(Settlement ¶ 38</w:t>
      </w:r>
      <w:r w:rsidR="00E97D76" w:rsidRPr="00715BA9">
        <w:t>, Peoples Statement in Support, pp. 9-10.)</w:t>
      </w:r>
      <w:proofErr w:type="gramEnd"/>
    </w:p>
    <w:p w:rsidR="00715BA9" w:rsidRPr="00715BA9" w:rsidRDefault="00715BA9" w:rsidP="00715BA9">
      <w:pPr>
        <w:pStyle w:val="BodyText2"/>
        <w:spacing w:after="0" w:line="360" w:lineRule="auto"/>
        <w:ind w:firstLine="720"/>
      </w:pPr>
    </w:p>
    <w:p w:rsidR="00E97D76" w:rsidRDefault="00715BA9" w:rsidP="00715BA9">
      <w:pPr>
        <w:pStyle w:val="BodyText2"/>
        <w:spacing w:after="0" w:line="360" w:lineRule="auto"/>
        <w:ind w:firstLine="720"/>
      </w:pPr>
      <w:r>
        <w:tab/>
      </w:r>
      <w:r w:rsidR="00846BE2" w:rsidRPr="00715BA9">
        <w:t>Peoples maintains t</w:t>
      </w:r>
      <w:r w:rsidR="000740F3" w:rsidRPr="00715BA9">
        <w:t xml:space="preserve">he PGC and balancing rates that Peoples proposes to place into effect on October 1, 2016, are supported by record evidence.  Peoples explained in detail the development of the natural gas supply rates utilizing cost projections, sales projections, and the reconciliation process.  Peoples’ testimony provides full support for the rates and their underlying calculations.  </w:t>
      </w:r>
      <w:proofErr w:type="gramStart"/>
      <w:r w:rsidR="000740F3" w:rsidRPr="00715BA9">
        <w:t>(Peoples Statement No. 1; Peoples Statement No. 3; Peoples Statement No. 1-R.)</w:t>
      </w:r>
      <w:proofErr w:type="gramEnd"/>
      <w:r w:rsidR="000740F3" w:rsidRPr="00715BA9">
        <w:t xml:space="preserve">  Accordingly, </w:t>
      </w:r>
      <w:r w:rsidR="00846BE2" w:rsidRPr="00715BA9">
        <w:t xml:space="preserve">according to Peoples, </w:t>
      </w:r>
      <w:r w:rsidR="000740F3" w:rsidRPr="00715BA9">
        <w:t>these settlement provisions concerning Peoples’ proposed PGC and balancing rates are just and reasonable and should be approved without modification.</w:t>
      </w:r>
      <w:r w:rsidR="00E97D76" w:rsidRPr="00715BA9">
        <w:t xml:space="preserve">  </w:t>
      </w:r>
      <w:proofErr w:type="gramStart"/>
      <w:r w:rsidR="00E97D76" w:rsidRPr="00715BA9">
        <w:t>(Peoples Statement in Support, p. 10.)</w:t>
      </w:r>
      <w:proofErr w:type="gramEnd"/>
    </w:p>
    <w:p w:rsidR="00691CD5" w:rsidRPr="00715BA9" w:rsidRDefault="00691CD5" w:rsidP="00715BA9">
      <w:pPr>
        <w:pStyle w:val="BodyText2"/>
        <w:spacing w:after="0" w:line="360" w:lineRule="auto"/>
        <w:ind w:firstLine="720"/>
      </w:pPr>
    </w:p>
    <w:p w:rsidR="00722BA6" w:rsidRDefault="00715BA9" w:rsidP="00715BA9">
      <w:pPr>
        <w:pStyle w:val="Heading3"/>
        <w:numPr>
          <w:ilvl w:val="0"/>
          <w:numId w:val="0"/>
        </w:numPr>
        <w:spacing w:after="0" w:line="360" w:lineRule="auto"/>
        <w:ind w:left="1440" w:hanging="720"/>
        <w:jc w:val="left"/>
        <w:rPr>
          <w:b w:val="0"/>
          <w:szCs w:val="24"/>
          <w:u w:val="single"/>
        </w:rPr>
      </w:pPr>
      <w:r w:rsidRPr="00715BA9">
        <w:rPr>
          <w:b w:val="0"/>
          <w:szCs w:val="24"/>
        </w:rPr>
        <w:t>2.</w:t>
      </w:r>
      <w:r w:rsidRPr="00715BA9">
        <w:rPr>
          <w:b w:val="0"/>
          <w:szCs w:val="24"/>
        </w:rPr>
        <w:tab/>
      </w:r>
      <w:r w:rsidR="00722BA6" w:rsidRPr="00715BA9">
        <w:rPr>
          <w:b w:val="0"/>
          <w:szCs w:val="24"/>
          <w:u w:val="single"/>
        </w:rPr>
        <w:t>OCA’s Position</w:t>
      </w:r>
    </w:p>
    <w:p w:rsidR="00715BA9" w:rsidRPr="00715BA9" w:rsidRDefault="00715BA9" w:rsidP="00715BA9">
      <w:pPr>
        <w:pStyle w:val="BodyText2"/>
        <w:spacing w:after="0" w:line="360" w:lineRule="auto"/>
      </w:pPr>
    </w:p>
    <w:p w:rsidR="00722BA6" w:rsidRDefault="00715BA9" w:rsidP="00715BA9">
      <w:pPr>
        <w:pStyle w:val="ListNumber"/>
        <w:numPr>
          <w:ilvl w:val="0"/>
          <w:numId w:val="0"/>
        </w:numPr>
        <w:spacing w:line="360" w:lineRule="auto"/>
        <w:ind w:firstLine="720"/>
      </w:pPr>
      <w:r>
        <w:rPr>
          <w:rFonts w:eastAsia="Calibri"/>
        </w:rPr>
        <w:tab/>
      </w:r>
      <w:r w:rsidR="00846BE2" w:rsidRPr="00715BA9">
        <w:rPr>
          <w:rFonts w:eastAsia="Calibri"/>
        </w:rPr>
        <w:t>According to OCA, p</w:t>
      </w:r>
      <w:r w:rsidR="00722BA6" w:rsidRPr="00715BA9">
        <w:rPr>
          <w:rFonts w:eastAsia="Calibri"/>
        </w:rPr>
        <w:t>aragraph 37 of the Settlement provides, among other things, that the results of the RFPs</w:t>
      </w:r>
      <w:r w:rsidR="00846BE2" w:rsidRPr="00715BA9">
        <w:rPr>
          <w:rFonts w:eastAsia="Calibri"/>
        </w:rPr>
        <w:t xml:space="preserve"> </w:t>
      </w:r>
      <w:r w:rsidR="00722BA6" w:rsidRPr="00715BA9">
        <w:rPr>
          <w:rFonts w:eastAsia="Calibri"/>
        </w:rPr>
        <w:t>issued in 2016 for TETCO and TGP delivered supply for the winters of 2016-2017 and 2017-2018 are to be approved.  It also includes comparisons of the current and proposed rates for PGC customers.  Paragraph 38 provides that the Companies’ compliance filing in this proceeding will reflect updated actual and projected over/</w:t>
      </w:r>
      <w:proofErr w:type="spellStart"/>
      <w:r w:rsidR="00722BA6" w:rsidRPr="00715BA9">
        <w:rPr>
          <w:rFonts w:eastAsia="Calibri"/>
        </w:rPr>
        <w:t>undercollections</w:t>
      </w:r>
      <w:proofErr w:type="spellEnd"/>
      <w:r w:rsidR="00846BE2" w:rsidRPr="00715BA9">
        <w:rPr>
          <w:rFonts w:eastAsia="Calibri"/>
        </w:rPr>
        <w:t xml:space="preserve"> t</w:t>
      </w:r>
      <w:r w:rsidR="00722BA6" w:rsidRPr="00715BA9">
        <w:rPr>
          <w:rFonts w:eastAsia="Calibri"/>
        </w:rPr>
        <w:t xml:space="preserve">hrough </w:t>
      </w:r>
      <w:r w:rsidR="00722BA6" w:rsidRPr="00715BA9">
        <w:rPr>
          <w:rFonts w:eastAsia="Calibri"/>
        </w:rPr>
        <w:lastRenderedPageBreak/>
        <w:t xml:space="preserve">September 30, 2016.   Paragraph 39 provides that the parties </w:t>
      </w:r>
      <w:r w:rsidR="00722BA6" w:rsidRPr="00715BA9">
        <w:t>agree to the updated balancing rate calculation provided in Revised Peoples Exhibit No. 12</w:t>
      </w:r>
      <w:r w:rsidR="00E97D76" w:rsidRPr="00715BA9">
        <w:t>.  (OCA Statement in Support, p. 6.)</w:t>
      </w:r>
      <w:r w:rsidR="00722BA6" w:rsidRPr="00715BA9">
        <w:t>.</w:t>
      </w:r>
    </w:p>
    <w:p w:rsidR="00715BA9" w:rsidRPr="00715BA9" w:rsidRDefault="00715BA9" w:rsidP="00715BA9">
      <w:pPr>
        <w:pStyle w:val="ListNumber"/>
        <w:numPr>
          <w:ilvl w:val="0"/>
          <w:numId w:val="0"/>
        </w:numPr>
        <w:spacing w:line="360" w:lineRule="auto"/>
        <w:ind w:firstLine="720"/>
      </w:pPr>
    </w:p>
    <w:p w:rsidR="00E97D76" w:rsidRPr="00715BA9" w:rsidRDefault="00715BA9" w:rsidP="00715BA9">
      <w:pPr>
        <w:pStyle w:val="ListNumber"/>
        <w:numPr>
          <w:ilvl w:val="0"/>
          <w:numId w:val="0"/>
        </w:numPr>
        <w:spacing w:line="360" w:lineRule="auto"/>
        <w:ind w:firstLine="720"/>
      </w:pPr>
      <w:r>
        <w:rPr>
          <w:rFonts w:eastAsia="Calibri"/>
        </w:rPr>
        <w:tab/>
      </w:r>
      <w:r w:rsidR="00722BA6" w:rsidRPr="00715BA9">
        <w:rPr>
          <w:rFonts w:eastAsia="Calibri"/>
        </w:rPr>
        <w:t xml:space="preserve">OCA </w:t>
      </w:r>
      <w:r w:rsidR="00846BE2" w:rsidRPr="00715BA9">
        <w:rPr>
          <w:rFonts w:eastAsia="Calibri"/>
        </w:rPr>
        <w:t xml:space="preserve">explains that it </w:t>
      </w:r>
      <w:r w:rsidR="00722BA6" w:rsidRPr="00715BA9">
        <w:rPr>
          <w:rFonts w:eastAsia="Calibri"/>
        </w:rPr>
        <w:t xml:space="preserve">provided no testimony and takes no position on these matters, but does not object to their substance or oppose their inclusion in the Settlement.  </w:t>
      </w:r>
      <w:r w:rsidR="00E97D76" w:rsidRPr="00715BA9">
        <w:t>(OCA Statement in Support, p. 6.).</w:t>
      </w:r>
    </w:p>
    <w:p w:rsidR="00722BA6" w:rsidRPr="00715BA9" w:rsidRDefault="00722BA6" w:rsidP="00715BA9">
      <w:pPr>
        <w:spacing w:line="360" w:lineRule="auto"/>
        <w:ind w:firstLine="720"/>
        <w:jc w:val="both"/>
        <w:rPr>
          <w:rFonts w:eastAsia="Calibri"/>
          <w:sz w:val="24"/>
          <w:szCs w:val="24"/>
        </w:rPr>
      </w:pPr>
    </w:p>
    <w:p w:rsidR="00722BA6" w:rsidRPr="00715BA9" w:rsidRDefault="00715BA9" w:rsidP="00715BA9">
      <w:pPr>
        <w:pStyle w:val="Heading3"/>
        <w:numPr>
          <w:ilvl w:val="0"/>
          <w:numId w:val="0"/>
        </w:numPr>
        <w:spacing w:after="0" w:line="360" w:lineRule="auto"/>
        <w:ind w:left="1440" w:hanging="720"/>
        <w:rPr>
          <w:b w:val="0"/>
          <w:szCs w:val="24"/>
        </w:rPr>
      </w:pPr>
      <w:r>
        <w:rPr>
          <w:b w:val="0"/>
          <w:szCs w:val="24"/>
        </w:rPr>
        <w:t>3.</w:t>
      </w:r>
      <w:r>
        <w:rPr>
          <w:b w:val="0"/>
          <w:szCs w:val="24"/>
        </w:rPr>
        <w:tab/>
      </w:r>
      <w:r w:rsidR="00722BA6" w:rsidRPr="00715BA9">
        <w:rPr>
          <w:b w:val="0"/>
          <w:szCs w:val="24"/>
          <w:u w:val="single"/>
        </w:rPr>
        <w:t>I&amp;E’s Position</w:t>
      </w:r>
    </w:p>
    <w:p w:rsidR="00170C86" w:rsidRPr="00715BA9" w:rsidRDefault="00170C86" w:rsidP="00715BA9">
      <w:pPr>
        <w:spacing w:line="360" w:lineRule="auto"/>
        <w:ind w:firstLine="720"/>
        <w:rPr>
          <w:sz w:val="24"/>
          <w:szCs w:val="24"/>
        </w:rPr>
      </w:pPr>
      <w:r w:rsidRPr="00715BA9">
        <w:rPr>
          <w:sz w:val="24"/>
          <w:szCs w:val="24"/>
        </w:rPr>
        <w:t xml:space="preserve">  </w:t>
      </w:r>
    </w:p>
    <w:p w:rsidR="00170C86" w:rsidRDefault="00170C86" w:rsidP="00715BA9">
      <w:pPr>
        <w:spacing w:line="360" w:lineRule="auto"/>
        <w:ind w:firstLine="1440"/>
        <w:rPr>
          <w:sz w:val="24"/>
          <w:szCs w:val="24"/>
        </w:rPr>
      </w:pPr>
      <w:r w:rsidRPr="00715BA9">
        <w:rPr>
          <w:sz w:val="24"/>
          <w:szCs w:val="24"/>
        </w:rPr>
        <w:t>I&amp;E represents that the purchased gas costs that Peoples incurred during the historic period adhered to a least cost fuel procurement policy</w:t>
      </w:r>
      <w:r w:rsidR="00846BE2" w:rsidRPr="00715BA9">
        <w:rPr>
          <w:sz w:val="24"/>
          <w:szCs w:val="24"/>
        </w:rPr>
        <w:t xml:space="preserve">, which </w:t>
      </w:r>
      <w:r w:rsidRPr="00715BA9">
        <w:rPr>
          <w:sz w:val="24"/>
          <w:szCs w:val="24"/>
        </w:rPr>
        <w:t xml:space="preserve">benefits ratepayers because least cost gas directly impacts customer gas bills and obligates the Company to provide safe, adequate and reliable service to its customers.  After review of the filing and extensive discovery and settlement discussions, I&amp;E maintains that the Company’s gas purchasing practices have satisfied its least cost procurement obligation.  </w:t>
      </w:r>
      <w:proofErr w:type="gramStart"/>
      <w:r w:rsidR="00E97D76" w:rsidRPr="00715BA9">
        <w:rPr>
          <w:sz w:val="24"/>
          <w:szCs w:val="24"/>
        </w:rPr>
        <w:t>(I&amp;E Statement in Support, pp. 5-6.)</w:t>
      </w:r>
      <w:proofErr w:type="gramEnd"/>
      <w:r w:rsidR="00E97D76" w:rsidRPr="00715BA9">
        <w:rPr>
          <w:sz w:val="24"/>
          <w:szCs w:val="24"/>
        </w:rPr>
        <w:t xml:space="preserve"> </w:t>
      </w:r>
    </w:p>
    <w:p w:rsidR="00715BA9" w:rsidRPr="00715BA9" w:rsidRDefault="00715BA9" w:rsidP="00715BA9">
      <w:pPr>
        <w:spacing w:line="360" w:lineRule="auto"/>
        <w:ind w:firstLine="1440"/>
        <w:rPr>
          <w:sz w:val="24"/>
          <w:szCs w:val="24"/>
        </w:rPr>
      </w:pPr>
    </w:p>
    <w:p w:rsidR="00E97D76" w:rsidRDefault="00170C86" w:rsidP="00715BA9">
      <w:pPr>
        <w:spacing w:line="360" w:lineRule="auto"/>
        <w:ind w:firstLine="1440"/>
        <w:rPr>
          <w:sz w:val="24"/>
          <w:szCs w:val="24"/>
        </w:rPr>
      </w:pPr>
      <w:r w:rsidRPr="00715BA9">
        <w:rPr>
          <w:sz w:val="24"/>
          <w:szCs w:val="24"/>
        </w:rPr>
        <w:t>I&amp;E analyzed the Company’s E-factor and found that it was calculated in accordance with established Commission practices.  This review is critical</w:t>
      </w:r>
      <w:r w:rsidR="00846BE2" w:rsidRPr="00715BA9">
        <w:rPr>
          <w:sz w:val="24"/>
          <w:szCs w:val="24"/>
        </w:rPr>
        <w:t xml:space="preserve">, according to </w:t>
      </w:r>
      <w:proofErr w:type="gramStart"/>
      <w:r w:rsidR="00846BE2" w:rsidRPr="00715BA9">
        <w:rPr>
          <w:sz w:val="24"/>
          <w:szCs w:val="24"/>
        </w:rPr>
        <w:t>I&amp;E</w:t>
      </w:r>
      <w:proofErr w:type="gramEnd"/>
      <w:r w:rsidR="00846BE2" w:rsidRPr="00715BA9">
        <w:rPr>
          <w:sz w:val="24"/>
          <w:szCs w:val="24"/>
        </w:rPr>
        <w:t>,</w:t>
      </w:r>
      <w:r w:rsidRPr="00715BA9">
        <w:rPr>
          <w:sz w:val="24"/>
          <w:szCs w:val="24"/>
        </w:rPr>
        <w:t xml:space="preserve"> because the proper calculation of the E-factor ensures that rates are adjusted appropriately.  I&amp;E </w:t>
      </w:r>
      <w:proofErr w:type="gramStart"/>
      <w:r w:rsidRPr="00715BA9">
        <w:rPr>
          <w:sz w:val="24"/>
          <w:szCs w:val="24"/>
        </w:rPr>
        <w:t>is</w:t>
      </w:r>
      <w:proofErr w:type="gramEnd"/>
      <w:r w:rsidRPr="00715BA9">
        <w:rPr>
          <w:sz w:val="24"/>
          <w:szCs w:val="24"/>
        </w:rPr>
        <w:t xml:space="preserve"> satisfied that the Company’s E-factor calculation is appropriate and accurate. </w:t>
      </w:r>
      <w:r w:rsidR="00E97D76" w:rsidRPr="00715BA9">
        <w:rPr>
          <w:sz w:val="24"/>
          <w:szCs w:val="24"/>
        </w:rPr>
        <w:t xml:space="preserve">  </w:t>
      </w:r>
      <w:proofErr w:type="gramStart"/>
      <w:r w:rsidR="00E97D76" w:rsidRPr="00715BA9">
        <w:rPr>
          <w:sz w:val="24"/>
          <w:szCs w:val="24"/>
        </w:rPr>
        <w:t>(I&amp;E Statement in Support, p. 6.)</w:t>
      </w:r>
      <w:proofErr w:type="gramEnd"/>
      <w:r w:rsidR="00E97D76" w:rsidRPr="00715BA9">
        <w:rPr>
          <w:sz w:val="24"/>
          <w:szCs w:val="24"/>
        </w:rPr>
        <w:t xml:space="preserve"> </w:t>
      </w:r>
    </w:p>
    <w:p w:rsidR="00715BA9" w:rsidRPr="00715BA9" w:rsidRDefault="00715BA9" w:rsidP="00715BA9">
      <w:pPr>
        <w:spacing w:line="360" w:lineRule="auto"/>
        <w:ind w:firstLine="1440"/>
        <w:rPr>
          <w:sz w:val="24"/>
          <w:szCs w:val="24"/>
        </w:rPr>
      </w:pPr>
    </w:p>
    <w:p w:rsidR="00E97D76" w:rsidRPr="00715BA9" w:rsidRDefault="00170C86" w:rsidP="00715BA9">
      <w:pPr>
        <w:spacing w:line="360" w:lineRule="auto"/>
        <w:ind w:firstLine="1440"/>
        <w:rPr>
          <w:sz w:val="24"/>
          <w:szCs w:val="24"/>
        </w:rPr>
      </w:pPr>
      <w:r w:rsidRPr="00715BA9">
        <w:rPr>
          <w:sz w:val="24"/>
          <w:szCs w:val="24"/>
        </w:rPr>
        <w:t>Additionally, I&amp;E reviewed the Company’s projected gas costs and determined that it appears those costs are consistent with a least cost fuel procurement policy.  The Settlement projects a $0.</w:t>
      </w:r>
      <w:r w:rsidRPr="00715BA9">
        <w:rPr>
          <w:color w:val="000000"/>
          <w:sz w:val="24"/>
          <w:szCs w:val="24"/>
        </w:rPr>
        <w:t>5145</w:t>
      </w:r>
      <w:r w:rsidRPr="00715BA9">
        <w:rPr>
          <w:sz w:val="24"/>
          <w:szCs w:val="24"/>
        </w:rPr>
        <w:t>/</w:t>
      </w:r>
      <w:proofErr w:type="spellStart"/>
      <w:r w:rsidRPr="00715BA9">
        <w:rPr>
          <w:sz w:val="24"/>
          <w:szCs w:val="24"/>
        </w:rPr>
        <w:t>Mcf</w:t>
      </w:r>
      <w:proofErr w:type="spellEnd"/>
      <w:r w:rsidRPr="00715BA9">
        <w:rPr>
          <w:sz w:val="24"/>
          <w:szCs w:val="24"/>
        </w:rPr>
        <w:t xml:space="preserve"> increase to residential PGC rates in the Peoples Division and a $0.5137/</w:t>
      </w:r>
      <w:proofErr w:type="spellStart"/>
      <w:r w:rsidRPr="00715BA9">
        <w:rPr>
          <w:sz w:val="24"/>
          <w:szCs w:val="24"/>
        </w:rPr>
        <w:t>Mcf</w:t>
      </w:r>
      <w:proofErr w:type="spellEnd"/>
      <w:r w:rsidRPr="00715BA9">
        <w:rPr>
          <w:sz w:val="24"/>
          <w:szCs w:val="24"/>
        </w:rPr>
        <w:t xml:space="preserve"> increase to residential PGC rates in the Peoples-Equitable Division.  While those costs are subject to review in a future PGC proceeding,</w:t>
      </w:r>
      <w:r w:rsidR="00846BE2" w:rsidRPr="00715BA9">
        <w:rPr>
          <w:sz w:val="24"/>
          <w:szCs w:val="24"/>
        </w:rPr>
        <w:t xml:space="preserve"> </w:t>
      </w:r>
      <w:r w:rsidRPr="00715BA9">
        <w:rPr>
          <w:sz w:val="24"/>
          <w:szCs w:val="24"/>
        </w:rPr>
        <w:t>I&amp;E maintains that ratepayers are protected in that Peoples gains no unwarranted financial advantages through its projected gas purchases and projected gas purchasing policies.</w:t>
      </w:r>
      <w:r w:rsidR="00E97D76" w:rsidRPr="00715BA9">
        <w:rPr>
          <w:sz w:val="24"/>
          <w:szCs w:val="24"/>
        </w:rPr>
        <w:t xml:space="preserve">  </w:t>
      </w:r>
      <w:proofErr w:type="gramStart"/>
      <w:r w:rsidR="00E97D76" w:rsidRPr="00715BA9">
        <w:rPr>
          <w:sz w:val="24"/>
          <w:szCs w:val="24"/>
        </w:rPr>
        <w:t>(I&amp;E Statement in Support, p. 6.)</w:t>
      </w:r>
      <w:proofErr w:type="gramEnd"/>
      <w:r w:rsidR="00E97D76" w:rsidRPr="00715BA9">
        <w:rPr>
          <w:sz w:val="24"/>
          <w:szCs w:val="24"/>
        </w:rPr>
        <w:t xml:space="preserve"> </w:t>
      </w:r>
    </w:p>
    <w:p w:rsidR="00715BA9" w:rsidRDefault="00715BA9" w:rsidP="007E1477">
      <w:pPr>
        <w:spacing w:line="360" w:lineRule="auto"/>
        <w:rPr>
          <w:sz w:val="24"/>
          <w:szCs w:val="24"/>
          <w:u w:val="single"/>
        </w:rPr>
      </w:pPr>
    </w:p>
    <w:p w:rsidR="00294991" w:rsidRDefault="00294991" w:rsidP="007E1477">
      <w:pPr>
        <w:spacing w:line="360" w:lineRule="auto"/>
        <w:rPr>
          <w:sz w:val="24"/>
          <w:szCs w:val="24"/>
          <w:u w:val="single"/>
        </w:rPr>
      </w:pPr>
    </w:p>
    <w:p w:rsidR="00E63ACF" w:rsidRDefault="006E3B48" w:rsidP="007E1477">
      <w:pPr>
        <w:spacing w:line="360" w:lineRule="auto"/>
        <w:rPr>
          <w:sz w:val="24"/>
          <w:szCs w:val="24"/>
          <w:u w:val="single"/>
        </w:rPr>
      </w:pPr>
      <w:r>
        <w:rPr>
          <w:sz w:val="24"/>
          <w:szCs w:val="24"/>
        </w:rPr>
        <w:lastRenderedPageBreak/>
        <w:t>G</w:t>
      </w:r>
      <w:r w:rsidR="00715BA9" w:rsidRPr="00715BA9">
        <w:rPr>
          <w:sz w:val="24"/>
          <w:szCs w:val="24"/>
        </w:rPr>
        <w:t>.</w:t>
      </w:r>
      <w:r w:rsidR="00715BA9" w:rsidRPr="00715BA9">
        <w:rPr>
          <w:sz w:val="24"/>
          <w:szCs w:val="24"/>
        </w:rPr>
        <w:tab/>
      </w:r>
      <w:r w:rsidR="007E1477" w:rsidRPr="007E1477">
        <w:rPr>
          <w:sz w:val="24"/>
          <w:szCs w:val="24"/>
          <w:u w:val="single"/>
        </w:rPr>
        <w:t>Disposition of Non-Settling Parties</w:t>
      </w:r>
      <w:r w:rsidR="00ED7E1B">
        <w:rPr>
          <w:sz w:val="24"/>
          <w:szCs w:val="24"/>
          <w:u w:val="single"/>
        </w:rPr>
        <w:t>’</w:t>
      </w:r>
      <w:r w:rsidR="007E1477" w:rsidRPr="007E1477">
        <w:rPr>
          <w:sz w:val="24"/>
          <w:szCs w:val="24"/>
          <w:u w:val="single"/>
        </w:rPr>
        <w:t xml:space="preserve"> Interests</w:t>
      </w:r>
    </w:p>
    <w:p w:rsidR="007E1477" w:rsidRDefault="007E1477" w:rsidP="007E1477">
      <w:pPr>
        <w:spacing w:line="360" w:lineRule="auto"/>
        <w:rPr>
          <w:sz w:val="24"/>
          <w:szCs w:val="24"/>
          <w:u w:val="single"/>
        </w:rPr>
      </w:pPr>
    </w:p>
    <w:p w:rsidR="007E1477" w:rsidRPr="007E1477" w:rsidRDefault="00715BA9" w:rsidP="007E1477">
      <w:pPr>
        <w:spacing w:line="360" w:lineRule="auto"/>
        <w:rPr>
          <w:sz w:val="24"/>
          <w:szCs w:val="24"/>
          <w:u w:val="single"/>
        </w:rPr>
      </w:pPr>
      <w:r w:rsidRPr="00715BA9">
        <w:rPr>
          <w:sz w:val="24"/>
          <w:szCs w:val="24"/>
        </w:rPr>
        <w:tab/>
        <w:t>1.</w:t>
      </w:r>
      <w:r w:rsidRPr="00715BA9">
        <w:rPr>
          <w:sz w:val="24"/>
          <w:szCs w:val="24"/>
        </w:rPr>
        <w:tab/>
      </w:r>
      <w:r w:rsidR="007E1477">
        <w:rPr>
          <w:sz w:val="24"/>
          <w:szCs w:val="24"/>
          <w:u w:val="single"/>
        </w:rPr>
        <w:t xml:space="preserve">Formal Complaint of Daniel </w:t>
      </w:r>
      <w:proofErr w:type="spellStart"/>
      <w:r w:rsidR="007E1477">
        <w:rPr>
          <w:sz w:val="24"/>
          <w:szCs w:val="24"/>
          <w:u w:val="single"/>
        </w:rPr>
        <w:t>Killmeyer</w:t>
      </w:r>
      <w:proofErr w:type="spellEnd"/>
    </w:p>
    <w:p w:rsidR="007E1477" w:rsidRDefault="007E1477" w:rsidP="007E1477">
      <w:pPr>
        <w:spacing w:line="360" w:lineRule="auto"/>
        <w:rPr>
          <w:sz w:val="24"/>
          <w:szCs w:val="24"/>
        </w:rPr>
      </w:pPr>
    </w:p>
    <w:p w:rsidR="007E1477" w:rsidRPr="007E1477" w:rsidRDefault="00715BA9" w:rsidP="007E1477">
      <w:pPr>
        <w:spacing w:line="360" w:lineRule="auto"/>
        <w:rPr>
          <w:sz w:val="24"/>
          <w:szCs w:val="24"/>
        </w:rPr>
      </w:pPr>
      <w:r>
        <w:rPr>
          <w:sz w:val="24"/>
          <w:szCs w:val="24"/>
        </w:rPr>
        <w:tab/>
      </w:r>
      <w:r>
        <w:rPr>
          <w:sz w:val="24"/>
          <w:szCs w:val="24"/>
        </w:rPr>
        <w:tab/>
      </w:r>
      <w:r w:rsidR="007E1477" w:rsidRPr="007E1477">
        <w:rPr>
          <w:sz w:val="24"/>
          <w:szCs w:val="24"/>
        </w:rPr>
        <w:t xml:space="preserve">Daniel </w:t>
      </w:r>
      <w:proofErr w:type="spellStart"/>
      <w:r w:rsidR="007E1477" w:rsidRPr="007E1477">
        <w:rPr>
          <w:sz w:val="24"/>
          <w:szCs w:val="24"/>
        </w:rPr>
        <w:t>Killmeyer</w:t>
      </w:r>
      <w:proofErr w:type="spellEnd"/>
      <w:r w:rsidR="007E1477" w:rsidRPr="007E1477">
        <w:rPr>
          <w:sz w:val="24"/>
          <w:szCs w:val="24"/>
        </w:rPr>
        <w:t xml:space="preserve"> filed a formal complaint</w:t>
      </w:r>
      <w:r w:rsidR="00AA72AA">
        <w:rPr>
          <w:sz w:val="24"/>
          <w:szCs w:val="24"/>
        </w:rPr>
        <w:t xml:space="preserve"> at Docket No. </w:t>
      </w:r>
      <w:proofErr w:type="gramStart"/>
      <w:r w:rsidR="00AA72AA">
        <w:rPr>
          <w:sz w:val="24"/>
          <w:szCs w:val="24"/>
        </w:rPr>
        <w:t>C-2016-2431804</w:t>
      </w:r>
      <w:r w:rsidR="007E1477" w:rsidRPr="007E1477">
        <w:rPr>
          <w:sz w:val="24"/>
          <w:szCs w:val="24"/>
        </w:rPr>
        <w:t xml:space="preserve"> on </w:t>
      </w:r>
      <w:r w:rsidR="007E1477">
        <w:rPr>
          <w:sz w:val="24"/>
          <w:szCs w:val="24"/>
        </w:rPr>
        <w:t>May 5, 2016</w:t>
      </w:r>
      <w:r w:rsidR="007E1477" w:rsidRPr="007E1477">
        <w:rPr>
          <w:sz w:val="24"/>
          <w:szCs w:val="24"/>
        </w:rPr>
        <w:t>, opposing Peoples</w:t>
      </w:r>
      <w:r w:rsidR="00ED7E1B">
        <w:rPr>
          <w:sz w:val="24"/>
          <w:szCs w:val="24"/>
        </w:rPr>
        <w:t>’</w:t>
      </w:r>
      <w:r w:rsidR="007E1477" w:rsidRPr="007E1477">
        <w:rPr>
          <w:sz w:val="24"/>
          <w:szCs w:val="24"/>
        </w:rPr>
        <w:t xml:space="preserve"> proposed rate filing.</w:t>
      </w:r>
      <w:proofErr w:type="gramEnd"/>
      <w:r w:rsidR="007E1477" w:rsidRPr="007E1477">
        <w:rPr>
          <w:sz w:val="24"/>
          <w:szCs w:val="24"/>
        </w:rPr>
        <w:t xml:space="preserve"> </w:t>
      </w:r>
      <w:r w:rsidR="008F015F">
        <w:rPr>
          <w:sz w:val="24"/>
          <w:szCs w:val="24"/>
        </w:rPr>
        <w:t xml:space="preserve"> A copy of the Formal Complaint was not served upon the undersigned presiding officer.  In addition, the Formal Complaint was filed after the Prehearing Order and Hearing Notice were entered.  Although the Formal Complaint was filed almost three weeks after the Company filed its 60 day </w:t>
      </w:r>
      <w:proofErr w:type="spellStart"/>
      <w:r w:rsidR="008F015F">
        <w:rPr>
          <w:sz w:val="24"/>
          <w:szCs w:val="24"/>
        </w:rPr>
        <w:t>prefiling</w:t>
      </w:r>
      <w:proofErr w:type="spellEnd"/>
      <w:r w:rsidR="008F015F">
        <w:rPr>
          <w:sz w:val="24"/>
          <w:szCs w:val="24"/>
        </w:rPr>
        <w:t xml:space="preserve"> with the Commission, Mr. </w:t>
      </w:r>
      <w:proofErr w:type="spellStart"/>
      <w:r w:rsidR="008F015F">
        <w:rPr>
          <w:sz w:val="24"/>
          <w:szCs w:val="24"/>
        </w:rPr>
        <w:t>Killmeyer</w:t>
      </w:r>
      <w:proofErr w:type="spellEnd"/>
      <w:r w:rsidR="008F015F">
        <w:rPr>
          <w:sz w:val="24"/>
          <w:szCs w:val="24"/>
        </w:rPr>
        <w:t xml:space="preserve"> received a telephone call on June 1, 2016 advising him of the date, time and location of the hearing. </w:t>
      </w:r>
      <w:bookmarkStart w:id="0" w:name="_GoBack"/>
      <w:bookmarkEnd w:id="0"/>
      <w:r w:rsidR="008F015F">
        <w:rPr>
          <w:sz w:val="24"/>
          <w:szCs w:val="24"/>
        </w:rPr>
        <w:t xml:space="preserve"> He did not attend the hearing.  </w:t>
      </w:r>
      <w:r w:rsidR="007E1477" w:rsidRPr="007E1477">
        <w:rPr>
          <w:sz w:val="24"/>
          <w:szCs w:val="24"/>
        </w:rPr>
        <w:t xml:space="preserve">Mr. </w:t>
      </w:r>
      <w:proofErr w:type="spellStart"/>
      <w:r w:rsidR="007E1477" w:rsidRPr="007E1477">
        <w:rPr>
          <w:sz w:val="24"/>
          <w:szCs w:val="24"/>
        </w:rPr>
        <w:t>Killmeyer</w:t>
      </w:r>
      <w:proofErr w:type="spellEnd"/>
      <w:r w:rsidR="007E1477" w:rsidRPr="007E1477">
        <w:rPr>
          <w:sz w:val="24"/>
          <w:szCs w:val="24"/>
        </w:rPr>
        <w:t xml:space="preserve"> averred that</w:t>
      </w:r>
      <w:r w:rsidR="007E1477">
        <w:rPr>
          <w:sz w:val="24"/>
          <w:szCs w:val="24"/>
        </w:rPr>
        <w:t xml:space="preserve"> </w:t>
      </w:r>
      <w:r w:rsidR="0054281D">
        <w:rPr>
          <w:sz w:val="24"/>
          <w:szCs w:val="24"/>
        </w:rPr>
        <w:t xml:space="preserve">Peoples had an increase in the past year, that </w:t>
      </w:r>
      <w:r w:rsidR="007E1477">
        <w:rPr>
          <w:sz w:val="24"/>
          <w:szCs w:val="24"/>
        </w:rPr>
        <w:t>gas prices are at the lowest they have been in years, and that Peoples</w:t>
      </w:r>
      <w:r w:rsidR="0054281D">
        <w:rPr>
          <w:sz w:val="24"/>
          <w:szCs w:val="24"/>
        </w:rPr>
        <w:t xml:space="preserve"> should be lowering their rates and not increasing them.  </w:t>
      </w:r>
      <w:r w:rsidR="007E1477" w:rsidRPr="007E1477">
        <w:rPr>
          <w:sz w:val="24"/>
          <w:szCs w:val="24"/>
        </w:rPr>
        <w:t xml:space="preserve"> As relief, Mr. </w:t>
      </w:r>
      <w:proofErr w:type="spellStart"/>
      <w:r w:rsidR="007E1477" w:rsidRPr="007E1477">
        <w:rPr>
          <w:sz w:val="24"/>
          <w:szCs w:val="24"/>
        </w:rPr>
        <w:t>Killmeyer</w:t>
      </w:r>
      <w:proofErr w:type="spellEnd"/>
      <w:r w:rsidR="007E1477" w:rsidRPr="007E1477">
        <w:rPr>
          <w:sz w:val="24"/>
          <w:szCs w:val="24"/>
        </w:rPr>
        <w:t xml:space="preserve"> requests that the Commission </w:t>
      </w:r>
      <w:r w:rsidR="0054281D">
        <w:rPr>
          <w:sz w:val="24"/>
          <w:szCs w:val="24"/>
        </w:rPr>
        <w:t xml:space="preserve">reject the proposed rate increase and make Peoples lower their rates.  </w:t>
      </w:r>
      <w:r w:rsidR="007E1477" w:rsidRPr="0054281D">
        <w:rPr>
          <w:sz w:val="24"/>
          <w:szCs w:val="24"/>
        </w:rPr>
        <w:t xml:space="preserve">Mr. </w:t>
      </w:r>
      <w:proofErr w:type="spellStart"/>
      <w:r w:rsidR="007E1477" w:rsidRPr="0054281D">
        <w:rPr>
          <w:sz w:val="24"/>
          <w:szCs w:val="24"/>
        </w:rPr>
        <w:t>Killmeyer</w:t>
      </w:r>
      <w:proofErr w:type="spellEnd"/>
      <w:r w:rsidR="007E1477" w:rsidRPr="0054281D">
        <w:rPr>
          <w:sz w:val="24"/>
          <w:szCs w:val="24"/>
        </w:rPr>
        <w:t xml:space="preserve"> did not join in the Settlement.  Mr. </w:t>
      </w:r>
      <w:proofErr w:type="spellStart"/>
      <w:r w:rsidR="007E1477" w:rsidRPr="007E1477">
        <w:rPr>
          <w:sz w:val="24"/>
          <w:szCs w:val="24"/>
        </w:rPr>
        <w:t>Killmeyer</w:t>
      </w:r>
      <w:proofErr w:type="spellEnd"/>
      <w:r w:rsidR="007E1477" w:rsidRPr="007E1477">
        <w:rPr>
          <w:sz w:val="24"/>
          <w:szCs w:val="24"/>
        </w:rPr>
        <w:t xml:space="preserve"> was provided a copy of the Settlement Petition and the Interim Order dated June 7, 201</w:t>
      </w:r>
      <w:r w:rsidR="0054281D">
        <w:rPr>
          <w:sz w:val="24"/>
          <w:szCs w:val="24"/>
        </w:rPr>
        <w:t>6</w:t>
      </w:r>
      <w:r w:rsidR="007E1477" w:rsidRPr="007E1477">
        <w:rPr>
          <w:sz w:val="24"/>
          <w:szCs w:val="24"/>
        </w:rPr>
        <w:t xml:space="preserve">, which apprised him of his opportunity to file objections to the Settlement Petition on or before </w:t>
      </w:r>
      <w:r w:rsidR="0054281D">
        <w:rPr>
          <w:sz w:val="24"/>
          <w:szCs w:val="24"/>
        </w:rPr>
        <w:t>July 1, 2016</w:t>
      </w:r>
      <w:r w:rsidR="007E1477" w:rsidRPr="007E1477">
        <w:rPr>
          <w:sz w:val="24"/>
          <w:szCs w:val="24"/>
        </w:rPr>
        <w:t xml:space="preserve">.  By providing Mr. </w:t>
      </w:r>
      <w:proofErr w:type="spellStart"/>
      <w:r w:rsidR="007E1477" w:rsidRPr="007E1477">
        <w:rPr>
          <w:sz w:val="24"/>
          <w:szCs w:val="24"/>
        </w:rPr>
        <w:t>Killmeyer</w:t>
      </w:r>
      <w:proofErr w:type="spellEnd"/>
      <w:r w:rsidR="007E1477" w:rsidRPr="007E1477">
        <w:rPr>
          <w:sz w:val="24"/>
          <w:szCs w:val="24"/>
        </w:rPr>
        <w:t xml:space="preserve"> an opportunity to be heard, his due process rights have been fully protected.  </w:t>
      </w:r>
      <w:proofErr w:type="gramStart"/>
      <w:r w:rsidR="007E1477" w:rsidRPr="007E1477">
        <w:rPr>
          <w:i/>
          <w:sz w:val="24"/>
          <w:szCs w:val="24"/>
        </w:rPr>
        <w:t>Schneider v. P</w:t>
      </w:r>
      <w:r w:rsidR="00ED7E1B">
        <w:rPr>
          <w:i/>
          <w:sz w:val="24"/>
          <w:szCs w:val="24"/>
        </w:rPr>
        <w:t>a. Pub.</w:t>
      </w:r>
      <w:proofErr w:type="gramEnd"/>
      <w:r w:rsidR="00ED7E1B">
        <w:rPr>
          <w:i/>
          <w:sz w:val="24"/>
          <w:szCs w:val="24"/>
        </w:rPr>
        <w:t xml:space="preserve"> </w:t>
      </w:r>
      <w:r w:rsidR="007E1477" w:rsidRPr="007E1477">
        <w:rPr>
          <w:i/>
          <w:sz w:val="24"/>
          <w:szCs w:val="24"/>
        </w:rPr>
        <w:t>Util</w:t>
      </w:r>
      <w:r w:rsidR="00ED7E1B">
        <w:rPr>
          <w:i/>
          <w:sz w:val="24"/>
          <w:szCs w:val="24"/>
        </w:rPr>
        <w:t>.</w:t>
      </w:r>
      <w:r w:rsidR="007E1477" w:rsidRPr="007E1477">
        <w:rPr>
          <w:i/>
          <w:sz w:val="24"/>
          <w:szCs w:val="24"/>
        </w:rPr>
        <w:t xml:space="preserve"> </w:t>
      </w:r>
      <w:proofErr w:type="spellStart"/>
      <w:r w:rsidR="007E1477" w:rsidRPr="007E1477">
        <w:rPr>
          <w:i/>
          <w:sz w:val="24"/>
          <w:szCs w:val="24"/>
        </w:rPr>
        <w:t>Comm’n</w:t>
      </w:r>
      <w:proofErr w:type="spellEnd"/>
      <w:r w:rsidR="007E1477" w:rsidRPr="007E1477">
        <w:rPr>
          <w:sz w:val="24"/>
          <w:szCs w:val="24"/>
        </w:rPr>
        <w:t xml:space="preserve">, </w:t>
      </w:r>
      <w:proofErr w:type="gramStart"/>
      <w:r w:rsidR="007E1477" w:rsidRPr="007E1477">
        <w:rPr>
          <w:sz w:val="24"/>
          <w:szCs w:val="24"/>
        </w:rPr>
        <w:t xml:space="preserve">83 </w:t>
      </w:r>
      <w:proofErr w:type="spellStart"/>
      <w:r w:rsidR="007E1477" w:rsidRPr="007E1477">
        <w:rPr>
          <w:sz w:val="24"/>
          <w:szCs w:val="24"/>
        </w:rPr>
        <w:t>Pa</w:t>
      </w:r>
      <w:r w:rsidR="00A6114F">
        <w:rPr>
          <w:sz w:val="24"/>
          <w:szCs w:val="24"/>
        </w:rPr>
        <w:t>.</w:t>
      </w:r>
      <w:r w:rsidR="007E1477" w:rsidRPr="007E1477">
        <w:rPr>
          <w:sz w:val="24"/>
          <w:szCs w:val="24"/>
        </w:rPr>
        <w:t>Cmwlth</w:t>
      </w:r>
      <w:proofErr w:type="spellEnd"/>
      <w:proofErr w:type="gramEnd"/>
      <w:r w:rsidR="007E1477" w:rsidRPr="007E1477">
        <w:rPr>
          <w:sz w:val="24"/>
          <w:szCs w:val="24"/>
        </w:rPr>
        <w:t xml:space="preserve">. 306, 479 A. 2d 10 (1984).  Mr. </w:t>
      </w:r>
      <w:proofErr w:type="spellStart"/>
      <w:r w:rsidR="007E1477" w:rsidRPr="007E1477">
        <w:rPr>
          <w:sz w:val="24"/>
          <w:szCs w:val="24"/>
        </w:rPr>
        <w:t>Killmeyer</w:t>
      </w:r>
      <w:proofErr w:type="spellEnd"/>
      <w:r w:rsidR="007E1477" w:rsidRPr="007E1477">
        <w:rPr>
          <w:sz w:val="24"/>
          <w:szCs w:val="24"/>
        </w:rPr>
        <w:t xml:space="preserve"> did not file any objection to the Settlement Petition.</w:t>
      </w:r>
    </w:p>
    <w:p w:rsidR="007E1477" w:rsidRPr="007E1477" w:rsidRDefault="007E1477" w:rsidP="007E1477">
      <w:pPr>
        <w:spacing w:line="360" w:lineRule="auto"/>
        <w:rPr>
          <w:sz w:val="24"/>
          <w:szCs w:val="24"/>
        </w:rPr>
      </w:pPr>
    </w:p>
    <w:p w:rsidR="007E1477" w:rsidRPr="007E1477" w:rsidRDefault="007E1477" w:rsidP="007E1477">
      <w:pPr>
        <w:spacing w:line="360" w:lineRule="auto"/>
        <w:rPr>
          <w:sz w:val="24"/>
          <w:szCs w:val="24"/>
        </w:rPr>
      </w:pPr>
      <w:r w:rsidRPr="007E1477">
        <w:rPr>
          <w:sz w:val="24"/>
          <w:szCs w:val="24"/>
        </w:rPr>
        <w:tab/>
      </w:r>
      <w:r w:rsidRPr="007E1477">
        <w:rPr>
          <w:sz w:val="24"/>
          <w:szCs w:val="24"/>
        </w:rPr>
        <w:tab/>
        <w:t xml:space="preserve">Section 703(a) of the Code, </w:t>
      </w:r>
      <w:proofErr w:type="gramStart"/>
      <w:r w:rsidRPr="007E1477">
        <w:rPr>
          <w:sz w:val="24"/>
          <w:szCs w:val="24"/>
        </w:rPr>
        <w:t xml:space="preserve">66 </w:t>
      </w:r>
      <w:proofErr w:type="spellStart"/>
      <w:r w:rsidRPr="007E1477">
        <w:rPr>
          <w:sz w:val="24"/>
          <w:szCs w:val="24"/>
        </w:rPr>
        <w:t>Pa.C.S.A</w:t>
      </w:r>
      <w:proofErr w:type="spellEnd"/>
      <w:proofErr w:type="gramEnd"/>
      <w:r w:rsidRPr="007E1477">
        <w:rPr>
          <w:sz w:val="24"/>
          <w:szCs w:val="24"/>
        </w:rPr>
        <w:t xml:space="preserve">. § 703, provides for the dismissal of any complaint without a hearing, if in the Commission’s opinion, a hearing is not necessary in the public interest.  Here, Mr. </w:t>
      </w:r>
      <w:proofErr w:type="spellStart"/>
      <w:r w:rsidRPr="007E1477">
        <w:rPr>
          <w:sz w:val="24"/>
          <w:szCs w:val="24"/>
        </w:rPr>
        <w:t>Killmeyer</w:t>
      </w:r>
      <w:proofErr w:type="spellEnd"/>
      <w:r w:rsidRPr="007E1477">
        <w:rPr>
          <w:sz w:val="24"/>
          <w:szCs w:val="24"/>
        </w:rPr>
        <w:t xml:space="preserve"> failed to respond to the proposed Settlement Petition by Ju</w:t>
      </w:r>
      <w:r w:rsidR="0054281D">
        <w:rPr>
          <w:sz w:val="24"/>
          <w:szCs w:val="24"/>
        </w:rPr>
        <w:t>ly 1, 2016</w:t>
      </w:r>
      <w:r w:rsidRPr="007E1477">
        <w:rPr>
          <w:sz w:val="24"/>
          <w:szCs w:val="24"/>
        </w:rPr>
        <w:t>, as instructed by the Interim Order dated June 7</w:t>
      </w:r>
      <w:r w:rsidR="00152246">
        <w:rPr>
          <w:sz w:val="24"/>
          <w:szCs w:val="24"/>
        </w:rPr>
        <w:t xml:space="preserve">, </w:t>
      </w:r>
      <w:r w:rsidRPr="007E1477">
        <w:rPr>
          <w:sz w:val="24"/>
          <w:szCs w:val="24"/>
        </w:rPr>
        <w:t>201</w:t>
      </w:r>
      <w:r w:rsidR="00152246">
        <w:rPr>
          <w:sz w:val="24"/>
          <w:szCs w:val="24"/>
        </w:rPr>
        <w:t>6</w:t>
      </w:r>
      <w:r w:rsidRPr="007E1477">
        <w:rPr>
          <w:sz w:val="24"/>
          <w:szCs w:val="24"/>
        </w:rPr>
        <w:t>.  Therefore</w:t>
      </w:r>
      <w:r w:rsidR="00ED7E1B">
        <w:rPr>
          <w:sz w:val="24"/>
          <w:szCs w:val="24"/>
        </w:rPr>
        <w:t>,</w:t>
      </w:r>
      <w:r w:rsidRPr="007E1477">
        <w:rPr>
          <w:sz w:val="24"/>
          <w:szCs w:val="24"/>
        </w:rPr>
        <w:t xml:space="preserve"> a hearing on his formal complaint is not necessary in the public interest. </w:t>
      </w:r>
    </w:p>
    <w:p w:rsidR="00715BA9" w:rsidRDefault="00715BA9" w:rsidP="007E1477">
      <w:pPr>
        <w:spacing w:line="360" w:lineRule="auto"/>
        <w:rPr>
          <w:sz w:val="24"/>
          <w:szCs w:val="24"/>
          <w:u w:val="single"/>
        </w:rPr>
      </w:pPr>
    </w:p>
    <w:p w:rsidR="007E1477" w:rsidRPr="007E1477" w:rsidRDefault="00715BA9" w:rsidP="00715BA9">
      <w:pPr>
        <w:spacing w:line="360" w:lineRule="auto"/>
        <w:ind w:firstLine="720"/>
        <w:rPr>
          <w:sz w:val="24"/>
          <w:szCs w:val="24"/>
          <w:u w:val="single"/>
        </w:rPr>
      </w:pPr>
      <w:r w:rsidRPr="00715BA9">
        <w:rPr>
          <w:sz w:val="24"/>
          <w:szCs w:val="24"/>
        </w:rPr>
        <w:t>2.</w:t>
      </w:r>
      <w:r w:rsidRPr="00715BA9">
        <w:rPr>
          <w:sz w:val="24"/>
          <w:szCs w:val="24"/>
        </w:rPr>
        <w:tab/>
      </w:r>
      <w:r w:rsidR="007E1477" w:rsidRPr="007E1477">
        <w:rPr>
          <w:sz w:val="24"/>
          <w:szCs w:val="24"/>
          <w:u w:val="single"/>
        </w:rPr>
        <w:t>Formal Complaint of James Matthew Weber</w:t>
      </w:r>
    </w:p>
    <w:p w:rsidR="00152246" w:rsidRDefault="00152246" w:rsidP="00152246">
      <w:pPr>
        <w:spacing w:line="360" w:lineRule="auto"/>
        <w:rPr>
          <w:sz w:val="24"/>
          <w:szCs w:val="24"/>
        </w:rPr>
      </w:pPr>
    </w:p>
    <w:p w:rsidR="00D840E3" w:rsidRDefault="00715BA9" w:rsidP="00D840E3">
      <w:pPr>
        <w:spacing w:line="360" w:lineRule="auto"/>
        <w:rPr>
          <w:sz w:val="24"/>
          <w:szCs w:val="24"/>
        </w:rPr>
      </w:pPr>
      <w:r>
        <w:rPr>
          <w:sz w:val="24"/>
          <w:szCs w:val="24"/>
        </w:rPr>
        <w:tab/>
      </w:r>
      <w:r>
        <w:rPr>
          <w:sz w:val="24"/>
          <w:szCs w:val="24"/>
        </w:rPr>
        <w:tab/>
      </w:r>
      <w:r w:rsidR="00D840E3" w:rsidRPr="00152246">
        <w:rPr>
          <w:sz w:val="24"/>
          <w:szCs w:val="24"/>
        </w:rPr>
        <w:t>James Matthew Weber</w:t>
      </w:r>
      <w:r w:rsidR="00D840E3">
        <w:rPr>
          <w:sz w:val="24"/>
          <w:szCs w:val="24"/>
        </w:rPr>
        <w:t xml:space="preserve"> </w:t>
      </w:r>
      <w:r w:rsidR="00D840E3" w:rsidRPr="007E1477">
        <w:rPr>
          <w:sz w:val="24"/>
          <w:szCs w:val="24"/>
        </w:rPr>
        <w:t>filed a formal complaint</w:t>
      </w:r>
      <w:r w:rsidR="00D840E3">
        <w:rPr>
          <w:sz w:val="24"/>
          <w:szCs w:val="24"/>
        </w:rPr>
        <w:t xml:space="preserve"> at Docket No. </w:t>
      </w:r>
      <w:proofErr w:type="gramStart"/>
      <w:r w:rsidR="00D840E3">
        <w:rPr>
          <w:sz w:val="24"/>
          <w:szCs w:val="24"/>
        </w:rPr>
        <w:t>C-2016-2551077</w:t>
      </w:r>
      <w:r w:rsidR="00D840E3" w:rsidRPr="007E1477">
        <w:rPr>
          <w:sz w:val="24"/>
          <w:szCs w:val="24"/>
        </w:rPr>
        <w:t xml:space="preserve"> on </w:t>
      </w:r>
      <w:r w:rsidR="00D840E3">
        <w:rPr>
          <w:sz w:val="24"/>
          <w:szCs w:val="24"/>
        </w:rPr>
        <w:t>June 10, 2016</w:t>
      </w:r>
      <w:r w:rsidR="00D840E3" w:rsidRPr="007E1477">
        <w:rPr>
          <w:sz w:val="24"/>
          <w:szCs w:val="24"/>
        </w:rPr>
        <w:t>, opposing Peoples</w:t>
      </w:r>
      <w:r w:rsidR="00D840E3">
        <w:rPr>
          <w:sz w:val="24"/>
          <w:szCs w:val="24"/>
        </w:rPr>
        <w:t>’</w:t>
      </w:r>
      <w:r w:rsidR="00D840E3" w:rsidRPr="007E1477">
        <w:rPr>
          <w:sz w:val="24"/>
          <w:szCs w:val="24"/>
        </w:rPr>
        <w:t xml:space="preserve"> proposed rate filing.</w:t>
      </w:r>
      <w:proofErr w:type="gramEnd"/>
      <w:r w:rsidR="00D840E3" w:rsidRPr="007E1477">
        <w:rPr>
          <w:sz w:val="24"/>
          <w:szCs w:val="24"/>
        </w:rPr>
        <w:t xml:space="preserve"> </w:t>
      </w:r>
      <w:r w:rsidR="00D840E3">
        <w:rPr>
          <w:sz w:val="24"/>
          <w:szCs w:val="24"/>
        </w:rPr>
        <w:t xml:space="preserve"> </w:t>
      </w:r>
      <w:r w:rsidR="00D840E3" w:rsidRPr="007E1477">
        <w:rPr>
          <w:sz w:val="24"/>
          <w:szCs w:val="24"/>
        </w:rPr>
        <w:t xml:space="preserve">Mr. </w:t>
      </w:r>
      <w:r w:rsidR="00D840E3">
        <w:rPr>
          <w:sz w:val="24"/>
          <w:szCs w:val="24"/>
        </w:rPr>
        <w:t xml:space="preserve">Weber </w:t>
      </w:r>
      <w:r w:rsidR="00D840E3" w:rsidRPr="007E1477">
        <w:rPr>
          <w:sz w:val="24"/>
          <w:szCs w:val="24"/>
        </w:rPr>
        <w:t>averred that</w:t>
      </w:r>
      <w:r w:rsidR="00D840E3">
        <w:rPr>
          <w:sz w:val="24"/>
          <w:szCs w:val="24"/>
        </w:rPr>
        <w:t xml:space="preserve"> the </w:t>
      </w:r>
      <w:r w:rsidR="00D840E3">
        <w:rPr>
          <w:sz w:val="24"/>
          <w:szCs w:val="24"/>
        </w:rPr>
        <w:lastRenderedPageBreak/>
        <w:t xml:space="preserve">distribution system improvement charge (DSIC) should cause system losses to go down, as the DSIC increases.  Mr. Weber avers that system losses should be decreasing or an audit is necessary to determine why losses keep going up.  Mr. Weber opposes any increase in system losses unless there is a corresponding reduction in DSIC charges.  </w:t>
      </w:r>
      <w:r w:rsidR="00D840E3" w:rsidRPr="007E1477">
        <w:rPr>
          <w:sz w:val="24"/>
          <w:szCs w:val="24"/>
        </w:rPr>
        <w:t xml:space="preserve">As relief, Mr. </w:t>
      </w:r>
      <w:r w:rsidR="00D840E3">
        <w:rPr>
          <w:sz w:val="24"/>
          <w:szCs w:val="24"/>
        </w:rPr>
        <w:t xml:space="preserve">Weber </w:t>
      </w:r>
      <w:r w:rsidR="00D840E3" w:rsidRPr="007E1477">
        <w:rPr>
          <w:sz w:val="24"/>
          <w:szCs w:val="24"/>
        </w:rPr>
        <w:t xml:space="preserve">requests that the </w:t>
      </w:r>
      <w:r w:rsidR="00D840E3">
        <w:rPr>
          <w:sz w:val="24"/>
          <w:szCs w:val="24"/>
        </w:rPr>
        <w:t xml:space="preserve">request to increase retainage from 5.0% to 5.2% be rejected and that any further increases in DSIC charges be linked to reductions in the losses (retainage).  </w:t>
      </w:r>
      <w:r w:rsidR="00D840E3" w:rsidRPr="0054281D">
        <w:rPr>
          <w:sz w:val="24"/>
          <w:szCs w:val="24"/>
        </w:rPr>
        <w:t xml:space="preserve">Mr. </w:t>
      </w:r>
      <w:r w:rsidR="00D840E3">
        <w:rPr>
          <w:sz w:val="24"/>
          <w:szCs w:val="24"/>
        </w:rPr>
        <w:t xml:space="preserve">Weber </w:t>
      </w:r>
      <w:r w:rsidR="00D840E3" w:rsidRPr="0054281D">
        <w:rPr>
          <w:sz w:val="24"/>
          <w:szCs w:val="24"/>
        </w:rPr>
        <w:t xml:space="preserve">did not join in the Settlement.  Mr. </w:t>
      </w:r>
      <w:r w:rsidR="00D840E3">
        <w:rPr>
          <w:sz w:val="24"/>
          <w:szCs w:val="24"/>
        </w:rPr>
        <w:t xml:space="preserve">Weber </w:t>
      </w:r>
      <w:r w:rsidR="00D840E3" w:rsidRPr="007E1477">
        <w:rPr>
          <w:sz w:val="24"/>
          <w:szCs w:val="24"/>
        </w:rPr>
        <w:t xml:space="preserve">was provided a copy of the Settlement Petition and the Interim Order dated June </w:t>
      </w:r>
      <w:r w:rsidR="00D840E3">
        <w:rPr>
          <w:sz w:val="24"/>
          <w:szCs w:val="24"/>
        </w:rPr>
        <w:t>21,</w:t>
      </w:r>
      <w:r w:rsidR="00D840E3" w:rsidRPr="007E1477">
        <w:rPr>
          <w:sz w:val="24"/>
          <w:szCs w:val="24"/>
        </w:rPr>
        <w:t xml:space="preserve"> 201</w:t>
      </w:r>
      <w:r w:rsidR="00D840E3">
        <w:rPr>
          <w:sz w:val="24"/>
          <w:szCs w:val="24"/>
        </w:rPr>
        <w:t>6</w:t>
      </w:r>
      <w:r w:rsidR="00D840E3" w:rsidRPr="007E1477">
        <w:rPr>
          <w:sz w:val="24"/>
          <w:szCs w:val="24"/>
        </w:rPr>
        <w:t xml:space="preserve">, which apprised him of his opportunity to file objections to the Settlement Petition on or before </w:t>
      </w:r>
      <w:r w:rsidR="00D840E3">
        <w:rPr>
          <w:sz w:val="24"/>
          <w:szCs w:val="24"/>
        </w:rPr>
        <w:t>July 1, 2016</w:t>
      </w:r>
      <w:r w:rsidR="00D840E3" w:rsidRPr="007E1477">
        <w:rPr>
          <w:sz w:val="24"/>
          <w:szCs w:val="24"/>
        </w:rPr>
        <w:t xml:space="preserve">.  By providing Mr. </w:t>
      </w:r>
      <w:r w:rsidR="00D840E3">
        <w:rPr>
          <w:sz w:val="24"/>
          <w:szCs w:val="24"/>
        </w:rPr>
        <w:t>Weber</w:t>
      </w:r>
      <w:r w:rsidR="00D840E3" w:rsidRPr="007E1477">
        <w:rPr>
          <w:sz w:val="24"/>
          <w:szCs w:val="24"/>
        </w:rPr>
        <w:t xml:space="preserve"> an opportunity to be heard, his due process rights have been fully protected.  </w:t>
      </w:r>
      <w:proofErr w:type="gramStart"/>
      <w:r w:rsidR="00D840E3" w:rsidRPr="007E1477">
        <w:rPr>
          <w:i/>
          <w:sz w:val="24"/>
          <w:szCs w:val="24"/>
        </w:rPr>
        <w:t>Schneider v. P</w:t>
      </w:r>
      <w:r w:rsidR="00D840E3">
        <w:rPr>
          <w:i/>
          <w:sz w:val="24"/>
          <w:szCs w:val="24"/>
        </w:rPr>
        <w:t>a. Pub.</w:t>
      </w:r>
      <w:proofErr w:type="gramEnd"/>
      <w:r w:rsidR="00D840E3">
        <w:rPr>
          <w:i/>
          <w:sz w:val="24"/>
          <w:szCs w:val="24"/>
        </w:rPr>
        <w:t xml:space="preserve"> Util. </w:t>
      </w:r>
      <w:proofErr w:type="spellStart"/>
      <w:r w:rsidR="00D840E3">
        <w:rPr>
          <w:i/>
          <w:sz w:val="24"/>
          <w:szCs w:val="24"/>
        </w:rPr>
        <w:t>Comm’n</w:t>
      </w:r>
      <w:proofErr w:type="spellEnd"/>
      <w:r w:rsidR="00D840E3">
        <w:rPr>
          <w:i/>
          <w:sz w:val="24"/>
          <w:szCs w:val="24"/>
        </w:rPr>
        <w:t>,</w:t>
      </w:r>
      <w:r w:rsidR="00D840E3">
        <w:rPr>
          <w:sz w:val="24"/>
          <w:szCs w:val="24"/>
        </w:rPr>
        <w:t xml:space="preserve"> </w:t>
      </w:r>
      <w:proofErr w:type="gramStart"/>
      <w:r w:rsidR="00D840E3">
        <w:rPr>
          <w:sz w:val="24"/>
          <w:szCs w:val="24"/>
        </w:rPr>
        <w:t xml:space="preserve">83 </w:t>
      </w:r>
      <w:proofErr w:type="spellStart"/>
      <w:r w:rsidR="00D840E3">
        <w:rPr>
          <w:sz w:val="24"/>
          <w:szCs w:val="24"/>
        </w:rPr>
        <w:t>Pa.Cmwlth</w:t>
      </w:r>
      <w:proofErr w:type="spellEnd"/>
      <w:proofErr w:type="gramEnd"/>
      <w:r w:rsidR="00D840E3">
        <w:rPr>
          <w:sz w:val="24"/>
          <w:szCs w:val="24"/>
        </w:rPr>
        <w:t xml:space="preserve">. </w:t>
      </w:r>
      <w:proofErr w:type="gramStart"/>
      <w:r w:rsidR="00D840E3">
        <w:rPr>
          <w:sz w:val="24"/>
          <w:szCs w:val="24"/>
        </w:rPr>
        <w:t xml:space="preserve">306, 479 A. </w:t>
      </w:r>
      <w:r w:rsidR="00D840E3" w:rsidRPr="007E1477">
        <w:rPr>
          <w:sz w:val="24"/>
          <w:szCs w:val="24"/>
        </w:rPr>
        <w:t>2d 10 (1984).</w:t>
      </w:r>
      <w:proofErr w:type="gramEnd"/>
      <w:r w:rsidR="00D840E3" w:rsidRPr="007E1477">
        <w:rPr>
          <w:sz w:val="24"/>
          <w:szCs w:val="24"/>
        </w:rPr>
        <w:t xml:space="preserve">  </w:t>
      </w:r>
    </w:p>
    <w:p w:rsidR="00D840E3" w:rsidRDefault="00D840E3" w:rsidP="00D840E3">
      <w:pPr>
        <w:spacing w:line="360" w:lineRule="auto"/>
        <w:rPr>
          <w:sz w:val="24"/>
          <w:szCs w:val="24"/>
        </w:rPr>
      </w:pPr>
    </w:p>
    <w:p w:rsidR="00D840E3" w:rsidRPr="007E1477" w:rsidRDefault="00D840E3" w:rsidP="00D840E3">
      <w:pPr>
        <w:spacing w:line="360" w:lineRule="auto"/>
        <w:ind w:firstLine="720"/>
        <w:rPr>
          <w:sz w:val="24"/>
          <w:szCs w:val="24"/>
        </w:rPr>
      </w:pPr>
      <w:r>
        <w:rPr>
          <w:sz w:val="24"/>
          <w:szCs w:val="24"/>
        </w:rPr>
        <w:tab/>
        <w:t xml:space="preserve">On June 29, 2016, </w:t>
      </w:r>
      <w:r w:rsidRPr="007E1477">
        <w:rPr>
          <w:sz w:val="24"/>
          <w:szCs w:val="24"/>
        </w:rPr>
        <w:t xml:space="preserve">Mr. </w:t>
      </w:r>
      <w:r>
        <w:rPr>
          <w:sz w:val="24"/>
          <w:szCs w:val="24"/>
        </w:rPr>
        <w:t>Weber</w:t>
      </w:r>
      <w:r w:rsidRPr="007E1477">
        <w:rPr>
          <w:sz w:val="24"/>
          <w:szCs w:val="24"/>
        </w:rPr>
        <w:t xml:space="preserve"> </w:t>
      </w:r>
      <w:r>
        <w:rPr>
          <w:sz w:val="24"/>
          <w:szCs w:val="24"/>
        </w:rPr>
        <w:t>provided the undersigned presiding officer with a letter objecting to the proposed Settlement dated June 27, 2016</w:t>
      </w:r>
      <w:r w:rsidRPr="007E1477">
        <w:rPr>
          <w:sz w:val="24"/>
          <w:szCs w:val="24"/>
        </w:rPr>
        <w:t>.</w:t>
      </w:r>
      <w:r>
        <w:rPr>
          <w:sz w:val="24"/>
          <w:szCs w:val="24"/>
        </w:rPr>
        <w:t xml:space="preserve">  The letter consists of one page and states “This letter is my formal objection to the proposed settlement in the above mentioned dockets.  The proposed settlement is completely unresponsive to the issues raised in my complaint.  I will continue to oppose any settlement that ignores the issues that I have raised.”  The letter references Docket Nos. </w:t>
      </w:r>
      <w:proofErr w:type="gramStart"/>
      <w:r>
        <w:rPr>
          <w:sz w:val="24"/>
          <w:szCs w:val="24"/>
        </w:rPr>
        <w:t>R-2016-2528562 and R-2016-2529260.</w:t>
      </w:r>
      <w:proofErr w:type="gramEnd"/>
      <w:r>
        <w:rPr>
          <w:sz w:val="24"/>
          <w:szCs w:val="24"/>
        </w:rPr>
        <w:t xml:space="preserve">  The letter was not filed with the Commission’s Secretary but a one page Certificate of Service was attached, indicating that the Parties were served with a copy of the letter. </w:t>
      </w:r>
    </w:p>
    <w:p w:rsidR="00D840E3" w:rsidRPr="007E1477" w:rsidRDefault="00D840E3" w:rsidP="00D840E3">
      <w:pPr>
        <w:spacing w:line="360" w:lineRule="auto"/>
        <w:rPr>
          <w:sz w:val="24"/>
          <w:szCs w:val="24"/>
        </w:rPr>
      </w:pPr>
    </w:p>
    <w:p w:rsidR="00D840E3" w:rsidRDefault="00D840E3" w:rsidP="00D840E3">
      <w:pPr>
        <w:spacing w:line="360" w:lineRule="auto"/>
        <w:rPr>
          <w:sz w:val="24"/>
          <w:szCs w:val="24"/>
        </w:rPr>
      </w:pPr>
      <w:r w:rsidRPr="007E1477">
        <w:rPr>
          <w:sz w:val="24"/>
          <w:szCs w:val="24"/>
        </w:rPr>
        <w:tab/>
      </w:r>
      <w:r w:rsidRPr="007E1477">
        <w:rPr>
          <w:sz w:val="24"/>
          <w:szCs w:val="24"/>
        </w:rPr>
        <w:tab/>
      </w:r>
      <w:r>
        <w:rPr>
          <w:sz w:val="24"/>
          <w:szCs w:val="24"/>
        </w:rPr>
        <w:t>The Complaint filed by Mr. Weber on June 10, 2016, essentially avers that the DSIC charge should cause system losses to go down, as the DSIC increases.  Mr. Weber objected to an increase in retainage from 5.0% to 5.2% and requested that any further increases in DSIC charges be linked to reductions in the losses (retainage).  He further averred that system losses should be decreasing or an audit is necessary to determine why losses keep going up.</w:t>
      </w:r>
    </w:p>
    <w:p w:rsidR="00D840E3" w:rsidRDefault="00D840E3" w:rsidP="00D840E3">
      <w:pPr>
        <w:spacing w:line="360" w:lineRule="auto"/>
        <w:rPr>
          <w:sz w:val="24"/>
          <w:szCs w:val="24"/>
        </w:rPr>
      </w:pPr>
    </w:p>
    <w:p w:rsidR="00D840E3" w:rsidRDefault="00D840E3" w:rsidP="00D840E3">
      <w:pPr>
        <w:pStyle w:val="BodyText2"/>
        <w:spacing w:after="0" w:line="360" w:lineRule="auto"/>
        <w:ind w:firstLine="720"/>
      </w:pPr>
      <w:r>
        <w:tab/>
        <w:t xml:space="preserve">The Company made its PGC 60 day pre-filings with the Commission on February 8, 2016 and its PGC 30 day pre-filing with the Commission on March 2, 2016.  In addition, the evidentiary hearing was held on June 2, 2016.  Mr. Weber did not raise any </w:t>
      </w:r>
      <w:r>
        <w:lastRenderedPageBreak/>
        <w:t xml:space="preserve">objections or concerns during the pendency of this proceeding or at the evidentiary hearing, but instead filed his formal complaint on June 10, 2016, after the hearing in this proceeding.    </w:t>
      </w:r>
    </w:p>
    <w:p w:rsidR="00D840E3" w:rsidRDefault="00D840E3" w:rsidP="00D840E3">
      <w:pPr>
        <w:pStyle w:val="BodyText2"/>
        <w:spacing w:after="0" w:line="360" w:lineRule="auto"/>
        <w:ind w:firstLine="720"/>
      </w:pPr>
    </w:p>
    <w:p w:rsidR="00D840E3" w:rsidRDefault="00D840E3" w:rsidP="00D840E3">
      <w:pPr>
        <w:pStyle w:val="BodyText2"/>
        <w:spacing w:after="0" w:line="360" w:lineRule="auto"/>
        <w:ind w:firstLine="720"/>
      </w:pPr>
      <w:r>
        <w:tab/>
        <w:t>U</w:t>
      </w:r>
      <w:r w:rsidRPr="00EE330F">
        <w:t xml:space="preserve">nder the </w:t>
      </w:r>
      <w:r>
        <w:t xml:space="preserve">proposed </w:t>
      </w:r>
      <w:r w:rsidRPr="00EE330F">
        <w:t xml:space="preserve">Settlement, the tariffed retainage rate for all classes shall be 5.25%, as presented in Peoples Statement No. 1-R.  </w:t>
      </w:r>
      <w:proofErr w:type="gramStart"/>
      <w:r w:rsidRPr="00EE330F">
        <w:t>(Settlement ¶ 30.)</w:t>
      </w:r>
      <w:proofErr w:type="gramEnd"/>
      <w:r w:rsidRPr="00EE330F">
        <w:t xml:space="preserve">  </w:t>
      </w:r>
      <w:r>
        <w:t xml:space="preserve">Peoples initially proposed a retainage rate of 5.2%.  </w:t>
      </w:r>
      <w:proofErr w:type="gramStart"/>
      <w:r>
        <w:t>(Peoples Statement No. 1, p. 13.)</w:t>
      </w:r>
      <w:proofErr w:type="gramEnd"/>
      <w:r>
        <w:t xml:space="preserve">  The Company explains that it developed this rate by using the two-year average of UFG/CU and applying it to the projected usage for the Peoples’ system to create a projection of total system retainage needs for the forecast period, and then made adjustments that reduce those needs to account for:  (1) the Allegheny Valley Connector (AVC) adjustment associated with the transfer of Peoples’ assets to EQT Corporation; and (2) the negotiated retainage rate customers of both Divisions.  </w:t>
      </w:r>
      <w:proofErr w:type="gramStart"/>
      <w:r>
        <w:t>(Peoples Statement No. 1, pp. 13-14; Peoples Statement in Support, p. 5.)</w:t>
      </w:r>
      <w:proofErr w:type="gramEnd"/>
    </w:p>
    <w:p w:rsidR="00D840E3" w:rsidRDefault="00D840E3" w:rsidP="00D840E3">
      <w:pPr>
        <w:pStyle w:val="BodyText2"/>
        <w:spacing w:after="0" w:line="360" w:lineRule="auto"/>
        <w:ind w:firstLine="720"/>
      </w:pPr>
      <w:r>
        <w:t xml:space="preserve">  </w:t>
      </w:r>
    </w:p>
    <w:p w:rsidR="00D840E3" w:rsidRDefault="00D840E3" w:rsidP="00D840E3">
      <w:pPr>
        <w:pStyle w:val="BodyText2"/>
        <w:spacing w:after="0" w:line="360" w:lineRule="auto"/>
        <w:ind w:firstLine="720"/>
      </w:pPr>
      <w:r>
        <w:tab/>
        <w:t xml:space="preserve">OCA expressed a concern with the calculation of the proposed retainage charge on page one of Peoples Exhibit No. 3.  </w:t>
      </w:r>
      <w:proofErr w:type="gramStart"/>
      <w:r>
        <w:t>(OCA Statement No. 1, p. 3, Peoples Statement in Support, p. 5.)</w:t>
      </w:r>
      <w:proofErr w:type="gramEnd"/>
      <w:r>
        <w:t xml:space="preserve">  Further, OCA argued that Peoples should not be able to discount retainage charges to a transportation customer by a greater percentage than it discounts the applicable delivery rates to a customer, noting that a similar provision is in Peoples TWP’s tariff.  </w:t>
      </w:r>
      <w:proofErr w:type="gramStart"/>
      <w:r>
        <w:t>(OCA Statement No. 1, p. 6, Peoples Statement in Support, p. 5.)</w:t>
      </w:r>
      <w:proofErr w:type="gramEnd"/>
    </w:p>
    <w:p w:rsidR="00D840E3" w:rsidRDefault="00D840E3" w:rsidP="00D840E3">
      <w:pPr>
        <w:pStyle w:val="BodyText2"/>
        <w:spacing w:after="0" w:line="360" w:lineRule="auto"/>
        <w:ind w:firstLine="720"/>
      </w:pPr>
    </w:p>
    <w:p w:rsidR="00D840E3" w:rsidRDefault="00D840E3" w:rsidP="00D840E3">
      <w:pPr>
        <w:pStyle w:val="BodyText2"/>
        <w:spacing w:after="0" w:line="360" w:lineRule="auto"/>
        <w:ind w:firstLine="720"/>
      </w:pPr>
      <w:r w:rsidRPr="006D6CC5">
        <w:t xml:space="preserve"> </w:t>
      </w:r>
      <w:r>
        <w:t xml:space="preserve"> </w:t>
      </w:r>
      <w:r>
        <w:tab/>
        <w:t xml:space="preserve">In rebuttal, the Company presented a Revised Peoples Exhibit No. 3, which corrected the retainage rate calculation on Peoples Exhibit No. 3 and addressed OCA’s concern with the calculation.  </w:t>
      </w:r>
      <w:proofErr w:type="gramStart"/>
      <w:r>
        <w:t xml:space="preserve">(Peoples Statement No. 1-R, pp. 2-3; </w:t>
      </w:r>
      <w:r>
        <w:rPr>
          <w:i/>
        </w:rPr>
        <w:t xml:space="preserve">see </w:t>
      </w:r>
      <w:r>
        <w:t>Revised Peoples Exhibit No. 3.)</w:t>
      </w:r>
      <w:proofErr w:type="gramEnd"/>
      <w:r>
        <w:t xml:space="preserve">  With these corrections made, Peoples proposed a retainage rate for non-discounted customers of 5.25% instead of 5.2%.  </w:t>
      </w:r>
      <w:proofErr w:type="gramStart"/>
      <w:r>
        <w:t>(Peoples Statement No. 1-R, p. 3, Peoples Statement in Support, p. 5.)</w:t>
      </w:r>
      <w:proofErr w:type="gramEnd"/>
      <w:r>
        <w:t xml:space="preserve">  </w:t>
      </w:r>
    </w:p>
    <w:p w:rsidR="00D840E3" w:rsidRDefault="00D840E3" w:rsidP="00D840E3">
      <w:pPr>
        <w:pStyle w:val="BodyText2"/>
        <w:spacing w:after="0" w:line="360" w:lineRule="auto"/>
        <w:ind w:firstLine="720"/>
      </w:pPr>
    </w:p>
    <w:p w:rsidR="00D840E3" w:rsidRDefault="00D840E3" w:rsidP="00D840E3">
      <w:pPr>
        <w:pStyle w:val="BodyText2"/>
        <w:spacing w:after="0" w:line="360" w:lineRule="auto"/>
        <w:ind w:firstLine="720"/>
      </w:pPr>
      <w:r>
        <w:t xml:space="preserve">  </w:t>
      </w:r>
      <w:r>
        <w:tab/>
      </w:r>
      <w:r w:rsidRPr="00685B66">
        <w:t xml:space="preserve">I&amp;E did not object </w:t>
      </w:r>
      <w:r>
        <w:t xml:space="preserve">to the </w:t>
      </w:r>
      <w:r w:rsidRPr="00685B66">
        <w:t>propos</w:t>
      </w:r>
      <w:r>
        <w:t>al</w:t>
      </w:r>
      <w:r w:rsidRPr="00685B66">
        <w:t xml:space="preserve"> to increase the retainage rate to 5.2%</w:t>
      </w:r>
      <w:r>
        <w:t xml:space="preserve"> </w:t>
      </w:r>
      <w:r w:rsidRPr="00685B66">
        <w:t xml:space="preserve">as it found that the Company’s UFG and </w:t>
      </w:r>
      <w:r>
        <w:t>c</w:t>
      </w:r>
      <w:r w:rsidRPr="00685B66">
        <w:t xml:space="preserve">ompany use gas were equal to the proposed 5.2% retainage rate. </w:t>
      </w:r>
      <w:proofErr w:type="gramStart"/>
      <w:r w:rsidRPr="00685B66">
        <w:t>(I&amp;E St. No. 1, p. 9.)</w:t>
      </w:r>
      <w:proofErr w:type="gramEnd"/>
      <w:r w:rsidRPr="00685B66">
        <w:t xml:space="preserve">  According to I&amp;E, during the course of informal discovery, the Company found an error in the retainage calculation presented in its direct testimony and exhibits, which increased the retainage rate to 5.25%.</w:t>
      </w:r>
      <w:r>
        <w:t xml:space="preserve"> </w:t>
      </w:r>
      <w:r w:rsidRPr="00685B66">
        <w:t xml:space="preserve"> </w:t>
      </w:r>
      <w:proofErr w:type="gramStart"/>
      <w:r w:rsidRPr="00685B66">
        <w:t>(Peoples St. No. 1-R, pp.</w:t>
      </w:r>
      <w:r>
        <w:t> </w:t>
      </w:r>
      <w:r w:rsidRPr="00685B66">
        <w:t>2</w:t>
      </w:r>
      <w:r>
        <w:noBreakHyphen/>
      </w:r>
      <w:r w:rsidRPr="00685B66">
        <w:t>3.)</w:t>
      </w:r>
      <w:proofErr w:type="gramEnd"/>
      <w:r w:rsidRPr="00685B66">
        <w:t xml:space="preserve">  I&amp;E did </w:t>
      </w:r>
      <w:r w:rsidRPr="00685B66">
        <w:lastRenderedPageBreak/>
        <w:t xml:space="preserve">not object to this correction and maintains that the 5.25% proposed retainage rate is in the public interest as it appropriately distributes the share of losses caused by UFG and company use gas to transportation customers.  </w:t>
      </w:r>
      <w:proofErr w:type="gramStart"/>
      <w:r w:rsidRPr="00685B66">
        <w:t>(I&amp;E Statement in Support, p. 4.)</w:t>
      </w:r>
      <w:proofErr w:type="gramEnd"/>
      <w:r w:rsidRPr="00685B66">
        <w:t xml:space="preserve"> </w:t>
      </w:r>
    </w:p>
    <w:p w:rsidR="00D840E3" w:rsidRPr="00685B66" w:rsidRDefault="00D840E3" w:rsidP="00D840E3">
      <w:pPr>
        <w:pStyle w:val="ListNumber"/>
        <w:numPr>
          <w:ilvl w:val="0"/>
          <w:numId w:val="0"/>
        </w:numPr>
        <w:spacing w:line="360" w:lineRule="auto"/>
        <w:ind w:firstLine="720"/>
      </w:pPr>
    </w:p>
    <w:p w:rsidR="00D840E3" w:rsidRPr="00E506B9" w:rsidRDefault="00D840E3" w:rsidP="00D840E3">
      <w:pPr>
        <w:pStyle w:val="ListNumber"/>
        <w:numPr>
          <w:ilvl w:val="0"/>
          <w:numId w:val="0"/>
        </w:numPr>
        <w:spacing w:line="360" w:lineRule="auto"/>
        <w:ind w:firstLine="720"/>
      </w:pPr>
      <w:r>
        <w:tab/>
      </w:r>
      <w:r w:rsidRPr="00685B66">
        <w:t xml:space="preserve">With regard to unaccounted for gas, </w:t>
      </w:r>
      <w:r w:rsidRPr="00E506B9">
        <w:t xml:space="preserve">I&amp;E explains, the Company’s two year average of UFG is 4.1%, which is comprised of 3.8% for the year ended August 31, 2014 and 4.4% for the year ended August 31, 2015.  (Peoples Exhibit No. 3, p. 1.)  I&amp;E asserts that, although the Commission’s metric is satisfied, the UFG on a total system (distribution and gathering) basis has increased by 826,406 </w:t>
      </w:r>
      <w:proofErr w:type="spellStart"/>
      <w:r w:rsidRPr="00E506B9">
        <w:t>Mcf</w:t>
      </w:r>
      <w:proofErr w:type="spellEnd"/>
      <w:r w:rsidRPr="00E506B9">
        <w:t xml:space="preserve"> from August 31, 2014 to August 31, 2015. </w:t>
      </w:r>
      <w:r>
        <w:t xml:space="preserve"> </w:t>
      </w:r>
      <w:r w:rsidRPr="00E506B9">
        <w:t xml:space="preserve">(I&amp;E Statement No. 1, p. 5.)  I&amp;E asserts the Commission’s UFG metrics apply only to distribution system losses; however, I&amp;E is concerned about the high levels of UFG on the gathering system and the recent UFG increase on a total system basis.  (I&amp;E Statement No. 1, pp. 5-6, I&amp;E Statement in Support, p. 5.) </w:t>
      </w:r>
    </w:p>
    <w:p w:rsidR="00D840E3" w:rsidRPr="00685B66" w:rsidRDefault="00D840E3" w:rsidP="00D840E3">
      <w:pPr>
        <w:spacing w:line="360" w:lineRule="auto"/>
        <w:ind w:firstLine="720"/>
        <w:rPr>
          <w:sz w:val="24"/>
          <w:szCs w:val="24"/>
        </w:rPr>
      </w:pPr>
    </w:p>
    <w:p w:rsidR="00D840E3" w:rsidRPr="00685B66" w:rsidRDefault="00D840E3" w:rsidP="00D840E3">
      <w:pPr>
        <w:pStyle w:val="ListNumber"/>
        <w:numPr>
          <w:ilvl w:val="0"/>
          <w:numId w:val="0"/>
        </w:numPr>
        <w:spacing w:line="360" w:lineRule="auto"/>
        <w:ind w:firstLine="720"/>
      </w:pPr>
      <w:r>
        <w:tab/>
      </w:r>
      <w:r w:rsidRPr="00685B66">
        <w:t>Accordingly, I&amp;E a</w:t>
      </w:r>
      <w:r>
        <w:t xml:space="preserve">sserts </w:t>
      </w:r>
      <w:r w:rsidRPr="00685B66">
        <w:t xml:space="preserve">the Settlement requires the Company to continue its efforts to reduce UFG, which is in the public interest as it will help the Company continue to meet the Commission’s UFG metrics and reduce the cost and potential safety hazards caused by higher levels of UFG.  (I&amp;E Statement No. 1, p. 6, I&amp;E Statement in Support, p. 5.) </w:t>
      </w:r>
    </w:p>
    <w:p w:rsidR="00D840E3" w:rsidRDefault="00D840E3" w:rsidP="00D840E3">
      <w:pPr>
        <w:spacing w:line="360" w:lineRule="auto"/>
        <w:rPr>
          <w:sz w:val="24"/>
          <w:szCs w:val="24"/>
        </w:rPr>
      </w:pPr>
    </w:p>
    <w:p w:rsidR="00D840E3" w:rsidRDefault="00D840E3" w:rsidP="00D840E3">
      <w:pPr>
        <w:pStyle w:val="BodyText2"/>
        <w:spacing w:after="0" w:line="360" w:lineRule="auto"/>
        <w:ind w:firstLine="720"/>
      </w:pPr>
      <w:r>
        <w:tab/>
        <w:t xml:space="preserve">Under the Settlement, the Joint Petitioners acknowledge that Peoples’ UFG percentage for the 12-month period ending August 31, 2015, is in compliance with the Commission’s regulations.  </w:t>
      </w:r>
      <w:proofErr w:type="gramStart"/>
      <w:r>
        <w:t>(Settlement ¶ 34.)</w:t>
      </w:r>
      <w:proofErr w:type="gramEnd"/>
      <w:r w:rsidRPr="00EE45C7">
        <w:t xml:space="preserve"> </w:t>
      </w:r>
      <w:r>
        <w:t xml:space="preserve"> Furthermore, Peoples has committed to continue its efforts to reduce UFG.  </w:t>
      </w:r>
      <w:proofErr w:type="gramStart"/>
      <w:r>
        <w:t>(Settlement ¶ 34.)</w:t>
      </w:r>
      <w:proofErr w:type="gramEnd"/>
      <w:r w:rsidRPr="00EE45C7">
        <w:t xml:space="preserve"> </w:t>
      </w:r>
      <w:r>
        <w:t xml:space="preserve"> The Company has agreed to provide a reconciliation of the volumes used to calculate retainage in the 1307(f)-2017 filing with the volumes reported in the annual UFG report.  </w:t>
      </w:r>
      <w:proofErr w:type="gramStart"/>
      <w:r>
        <w:t>(Settlement ¶ 31, Peoples Statement in Support, pp. 7-8.)</w:t>
      </w:r>
      <w:proofErr w:type="gramEnd"/>
    </w:p>
    <w:p w:rsidR="00D840E3" w:rsidRDefault="00D840E3" w:rsidP="00D840E3">
      <w:pPr>
        <w:pStyle w:val="BodyText2"/>
        <w:spacing w:after="0" w:line="360" w:lineRule="auto"/>
        <w:ind w:firstLine="720"/>
      </w:pPr>
      <w:r>
        <w:t xml:space="preserve">  </w:t>
      </w:r>
    </w:p>
    <w:p w:rsidR="00D840E3" w:rsidRPr="007E1477" w:rsidRDefault="00D840E3" w:rsidP="00D840E3">
      <w:pPr>
        <w:pStyle w:val="BodyText2"/>
        <w:spacing w:after="0" w:line="360" w:lineRule="auto"/>
        <w:ind w:firstLine="720"/>
      </w:pPr>
      <w:r>
        <w:tab/>
      </w:r>
      <w:r w:rsidRPr="007E1477">
        <w:t xml:space="preserve">Section 703(a) of the Code, </w:t>
      </w:r>
      <w:proofErr w:type="gramStart"/>
      <w:r w:rsidRPr="007E1477">
        <w:t xml:space="preserve">66 </w:t>
      </w:r>
      <w:proofErr w:type="spellStart"/>
      <w:r w:rsidRPr="007E1477">
        <w:t>Pa.C.S.A</w:t>
      </w:r>
      <w:proofErr w:type="spellEnd"/>
      <w:proofErr w:type="gramEnd"/>
      <w:r w:rsidRPr="007E1477">
        <w:t xml:space="preserve">. § 703, provides for the dismissal of any complaint without a hearing, if in the Commission’s opinion, a hearing is not necessary in the public interest.  Here, </w:t>
      </w:r>
      <w:r>
        <w:t>Mr. Weber</w:t>
      </w:r>
      <w:r w:rsidRPr="007E1477">
        <w:t xml:space="preserve"> </w:t>
      </w:r>
      <w:r>
        <w:t xml:space="preserve">did not participate in this proceeding until after the conclusion of the evidentiary hearing.  However, the claims asserted by him were adequately addressed by </w:t>
      </w:r>
      <w:r>
        <w:lastRenderedPageBreak/>
        <w:t xml:space="preserve">the Settling Parties.  The </w:t>
      </w:r>
      <w:r w:rsidRPr="00E506B9">
        <w:t>Settlement provisions</w:t>
      </w:r>
      <w:r>
        <w:t xml:space="preserve"> regarding retainage and UFG</w:t>
      </w:r>
      <w:r w:rsidRPr="00E506B9">
        <w:t xml:space="preserve"> reflect a reasonable compromise of the </w:t>
      </w:r>
      <w:r>
        <w:t>P</w:t>
      </w:r>
      <w:r w:rsidRPr="00E506B9">
        <w:t>arties’ litigation positions</w:t>
      </w:r>
      <w:r>
        <w:t>.  Under the circumstances,</w:t>
      </w:r>
      <w:r w:rsidRPr="007E1477">
        <w:t xml:space="preserve"> a hearing on his </w:t>
      </w:r>
      <w:r>
        <w:t>F</w:t>
      </w:r>
      <w:r w:rsidRPr="007E1477">
        <w:t xml:space="preserve">ormal </w:t>
      </w:r>
      <w:r>
        <w:t>C</w:t>
      </w:r>
      <w:r w:rsidRPr="007E1477">
        <w:t xml:space="preserve">omplaint is not necessary in the public interest. </w:t>
      </w:r>
    </w:p>
    <w:p w:rsidR="00D840E3" w:rsidRDefault="00D840E3" w:rsidP="00D840E3">
      <w:pPr>
        <w:spacing w:line="360" w:lineRule="auto"/>
        <w:rPr>
          <w:sz w:val="24"/>
          <w:szCs w:val="24"/>
        </w:rPr>
      </w:pPr>
    </w:p>
    <w:p w:rsidR="006F566F" w:rsidRPr="006F566F" w:rsidRDefault="00152246" w:rsidP="0024182C">
      <w:pPr>
        <w:spacing w:line="360" w:lineRule="auto"/>
        <w:rPr>
          <w:sz w:val="24"/>
          <w:szCs w:val="24"/>
          <w:u w:val="single"/>
        </w:rPr>
      </w:pPr>
      <w:r w:rsidRPr="007E1477">
        <w:rPr>
          <w:sz w:val="24"/>
          <w:szCs w:val="24"/>
        </w:rPr>
        <w:t xml:space="preserve"> </w:t>
      </w:r>
      <w:r w:rsidR="00715BA9" w:rsidRPr="00715BA9">
        <w:rPr>
          <w:sz w:val="24"/>
          <w:szCs w:val="24"/>
        </w:rPr>
        <w:tab/>
        <w:t>3.</w:t>
      </w:r>
      <w:r w:rsidR="00715BA9" w:rsidRPr="00715BA9">
        <w:rPr>
          <w:sz w:val="24"/>
          <w:szCs w:val="24"/>
        </w:rPr>
        <w:tab/>
      </w:r>
      <w:r w:rsidR="006F566F" w:rsidRPr="006F566F">
        <w:rPr>
          <w:sz w:val="24"/>
          <w:szCs w:val="24"/>
          <w:u w:val="single"/>
        </w:rPr>
        <w:t>Summary</w:t>
      </w:r>
    </w:p>
    <w:p w:rsidR="006F566F" w:rsidRPr="006F566F" w:rsidRDefault="006F566F" w:rsidP="0024182C">
      <w:pPr>
        <w:spacing w:line="360" w:lineRule="auto"/>
        <w:rPr>
          <w:sz w:val="24"/>
          <w:szCs w:val="24"/>
          <w:u w:val="single"/>
        </w:rPr>
      </w:pPr>
    </w:p>
    <w:p w:rsidR="006F566F" w:rsidRPr="00540C01" w:rsidRDefault="00715BA9" w:rsidP="00715BA9">
      <w:pPr>
        <w:pStyle w:val="ListNumber"/>
        <w:numPr>
          <w:ilvl w:val="0"/>
          <w:numId w:val="0"/>
        </w:numPr>
        <w:spacing w:line="360" w:lineRule="auto"/>
        <w:ind w:firstLine="720"/>
        <w:rPr>
          <w:color w:val="000000"/>
        </w:rPr>
      </w:pPr>
      <w:r>
        <w:rPr>
          <w:color w:val="000000"/>
        </w:rPr>
        <w:tab/>
      </w:r>
      <w:r w:rsidR="006F566F" w:rsidRPr="00540C01">
        <w:rPr>
          <w:color w:val="000000"/>
        </w:rPr>
        <w:t xml:space="preserve">The </w:t>
      </w:r>
      <w:r w:rsidR="006F566F">
        <w:rPr>
          <w:color w:val="000000"/>
        </w:rPr>
        <w:t>S</w:t>
      </w:r>
      <w:r w:rsidR="006F566F" w:rsidRPr="00540C01">
        <w:rPr>
          <w:color w:val="000000"/>
        </w:rPr>
        <w:t xml:space="preserve">ettling </w:t>
      </w:r>
      <w:r w:rsidR="006F566F">
        <w:rPr>
          <w:color w:val="000000"/>
        </w:rPr>
        <w:t>P</w:t>
      </w:r>
      <w:r w:rsidR="006F566F" w:rsidRPr="00540C01">
        <w:rPr>
          <w:color w:val="000000"/>
        </w:rPr>
        <w:t xml:space="preserve">arties explain </w:t>
      </w:r>
      <w:r w:rsidR="006F566F" w:rsidRPr="00540C01">
        <w:t xml:space="preserve">they have agreed to a settlement of all issues in the above-captioned proceeding and </w:t>
      </w:r>
      <w:r w:rsidR="006F566F" w:rsidRPr="00540C01">
        <w:rPr>
          <w:color w:val="000000"/>
        </w:rPr>
        <w:t xml:space="preserve">the Settlement was achieved only after </w:t>
      </w:r>
      <w:r w:rsidR="006F566F" w:rsidRPr="00540C01">
        <w:t>an extensive investigation of Peoples’ filing, including extensive informal and formal discovery and the service of written direct testimony (including acc</w:t>
      </w:r>
      <w:r w:rsidR="006F566F">
        <w:t>ompanying exhibits) by the S</w:t>
      </w:r>
      <w:r w:rsidR="006F566F" w:rsidRPr="00540C01">
        <w:t xml:space="preserve">ettling </w:t>
      </w:r>
      <w:r w:rsidR="006F566F">
        <w:t>P</w:t>
      </w:r>
      <w:r w:rsidR="006F566F" w:rsidRPr="00540C01">
        <w:t xml:space="preserve">arties.  </w:t>
      </w:r>
      <w:r w:rsidR="006F566F" w:rsidRPr="00540C01">
        <w:rPr>
          <w:color w:val="000000"/>
        </w:rPr>
        <w:t xml:space="preserve">In addition to informal discovery, Peoples responded to numerous formal discovery requests (many of which had multiple subparts).  The active parties served testimony and accompanying exhibits supporting their respective positions, which testimony and exhibits were subsequently admitted into the record at the evidentiary hearing held on </w:t>
      </w:r>
      <w:r w:rsidR="006F566F">
        <w:rPr>
          <w:color w:val="000000"/>
        </w:rPr>
        <w:t>June 2, 2016.</w:t>
      </w:r>
      <w:r w:rsidR="006F566F" w:rsidRPr="00540C01">
        <w:rPr>
          <w:color w:val="000000"/>
        </w:rPr>
        <w:t xml:space="preserve">  </w:t>
      </w:r>
    </w:p>
    <w:p w:rsidR="006F566F" w:rsidRPr="00540C01" w:rsidRDefault="006F566F" w:rsidP="00715BA9">
      <w:pPr>
        <w:pStyle w:val="ListNumber"/>
        <w:numPr>
          <w:ilvl w:val="0"/>
          <w:numId w:val="0"/>
        </w:numPr>
        <w:spacing w:line="360" w:lineRule="auto"/>
      </w:pPr>
    </w:p>
    <w:p w:rsidR="006F566F" w:rsidRDefault="00715BA9" w:rsidP="00715BA9">
      <w:pPr>
        <w:pStyle w:val="ListNumber"/>
        <w:numPr>
          <w:ilvl w:val="0"/>
          <w:numId w:val="0"/>
        </w:numPr>
        <w:spacing w:line="360" w:lineRule="auto"/>
        <w:ind w:firstLine="720"/>
      </w:pPr>
      <w:r>
        <w:tab/>
      </w:r>
      <w:r w:rsidR="00F61EE6">
        <w:t>T</w:t>
      </w:r>
      <w:r w:rsidR="006F566F" w:rsidRPr="00540C01">
        <w:t xml:space="preserve">he </w:t>
      </w:r>
      <w:r w:rsidR="006F566F">
        <w:t>S</w:t>
      </w:r>
      <w:r w:rsidR="006F566F" w:rsidRPr="00540C01">
        <w:t xml:space="preserve">ettling </w:t>
      </w:r>
      <w:r w:rsidR="006F566F">
        <w:t>P</w:t>
      </w:r>
      <w:r w:rsidR="006F566F" w:rsidRPr="00540C01">
        <w:t>arties assert the Settlement is just and reasonable and Peoples’ 201</w:t>
      </w:r>
      <w:r w:rsidR="006F566F">
        <w:t>6</w:t>
      </w:r>
      <w:r w:rsidR="006F566F" w:rsidRPr="00540C01">
        <w:t xml:space="preserve"> 1307(f) </w:t>
      </w:r>
      <w:r w:rsidR="006F566F">
        <w:t>f</w:t>
      </w:r>
      <w:r w:rsidR="006F566F" w:rsidRPr="00540C01">
        <w:t>iling</w:t>
      </w:r>
      <w:r w:rsidR="006F566F">
        <w:t>s</w:t>
      </w:r>
      <w:r w:rsidR="006F566F" w:rsidRPr="00540C01">
        <w:t xml:space="preserve">, </w:t>
      </w:r>
      <w:r w:rsidR="006F566F">
        <w:t xml:space="preserve">for its Peoples Division and its Peoples-Equitable Division, </w:t>
      </w:r>
      <w:r w:rsidR="006F566F" w:rsidRPr="00540C01">
        <w:t>as modified by the Settlement, should be approved.</w:t>
      </w:r>
      <w:r w:rsidR="006F566F">
        <w:t xml:space="preserve"> </w:t>
      </w:r>
    </w:p>
    <w:p w:rsidR="00480758" w:rsidRDefault="00480758" w:rsidP="00715BA9">
      <w:pPr>
        <w:pStyle w:val="ListNumber"/>
        <w:numPr>
          <w:ilvl w:val="0"/>
          <w:numId w:val="0"/>
        </w:numPr>
        <w:spacing w:line="360" w:lineRule="auto"/>
        <w:ind w:firstLine="720"/>
      </w:pPr>
    </w:p>
    <w:p w:rsidR="006F566F" w:rsidRDefault="00480758" w:rsidP="00715BA9">
      <w:pPr>
        <w:pStyle w:val="ListNumber"/>
        <w:numPr>
          <w:ilvl w:val="0"/>
          <w:numId w:val="0"/>
        </w:numPr>
        <w:spacing w:line="360" w:lineRule="auto"/>
        <w:ind w:firstLine="720"/>
      </w:pPr>
      <w:r>
        <w:tab/>
      </w:r>
      <w:r w:rsidR="00316509" w:rsidRPr="00316509">
        <w:t xml:space="preserve">In approving a proceeding pursuant to 66 </w:t>
      </w:r>
      <w:proofErr w:type="spellStart"/>
      <w:r w:rsidR="00316509" w:rsidRPr="00316509">
        <w:t>Pa.C.S</w:t>
      </w:r>
      <w:proofErr w:type="spellEnd"/>
      <w:r w:rsidR="00316509" w:rsidRPr="00316509">
        <w:t>. Section 1307(f), the Compan</w:t>
      </w:r>
      <w:r w:rsidR="00125973">
        <w:t>y</w:t>
      </w:r>
      <w:r w:rsidR="00316509" w:rsidRPr="00316509">
        <w:t xml:space="preserve"> must establish </w:t>
      </w:r>
      <w:r w:rsidR="00125973">
        <w:t xml:space="preserve">and has established that </w:t>
      </w:r>
      <w:r w:rsidR="00316509" w:rsidRPr="00316509">
        <w:t>the following requirements</w:t>
      </w:r>
      <w:r w:rsidR="00125973">
        <w:t xml:space="preserve"> have been met</w:t>
      </w:r>
      <w:r w:rsidR="00316509" w:rsidRPr="00316509">
        <w:t>:</w:t>
      </w:r>
    </w:p>
    <w:p w:rsidR="00480758" w:rsidRPr="00316509" w:rsidRDefault="00480758" w:rsidP="00715BA9">
      <w:pPr>
        <w:pStyle w:val="ListNumber"/>
        <w:numPr>
          <w:ilvl w:val="0"/>
          <w:numId w:val="0"/>
        </w:numPr>
        <w:spacing w:line="360" w:lineRule="auto"/>
        <w:ind w:firstLine="720"/>
      </w:pPr>
    </w:p>
    <w:p w:rsidR="00316509" w:rsidRDefault="00316509" w:rsidP="00AF32A6">
      <w:pPr>
        <w:pStyle w:val="ListNumber"/>
        <w:numPr>
          <w:ilvl w:val="0"/>
          <w:numId w:val="0"/>
        </w:numPr>
        <w:spacing w:line="360" w:lineRule="auto"/>
        <w:ind w:firstLine="1440"/>
      </w:pPr>
      <w:r>
        <w:t>1.</w:t>
      </w:r>
      <w:r>
        <w:tab/>
        <w:t>With respect to Peoples Division’s and Peoples-Equitable Division’s gas purchases and gas purchasing practices during the 12-month historical reconciliation period ended January 31, 2016, it is requested that the ALJ and the Commission find that Peoples Division and Peoples-Equitable Division have met the standards of Section 1318 of the Public Utility Code, 66 Pa. C.S. § 1318, as required by Section 1307(f)(5) of the Public Utility Code, 66</w:t>
      </w:r>
      <w:r w:rsidR="007C420E">
        <w:t> </w:t>
      </w:r>
      <w:r>
        <w:t>Pa. C.S. § 1307(f)(5), as to all actual purchased gas costs in the historical period.  It is requested that the Commission find that during the 12 months ended January 31, 2016:</w:t>
      </w:r>
    </w:p>
    <w:p w:rsidR="00AC4699" w:rsidRPr="003634BA" w:rsidRDefault="00AC4699" w:rsidP="001D4F56">
      <w:pPr>
        <w:pStyle w:val="ListNumber"/>
        <w:numPr>
          <w:ilvl w:val="0"/>
          <w:numId w:val="0"/>
        </w:numPr>
        <w:spacing w:line="360" w:lineRule="auto"/>
        <w:ind w:left="720"/>
      </w:pPr>
    </w:p>
    <w:p w:rsidR="00316509" w:rsidRDefault="00316509" w:rsidP="00626FBA">
      <w:pPr>
        <w:pStyle w:val="ListNumber"/>
        <w:numPr>
          <w:ilvl w:val="0"/>
          <w:numId w:val="15"/>
        </w:numPr>
        <w:spacing w:line="360" w:lineRule="auto"/>
        <w:ind w:left="0" w:firstLine="2160"/>
      </w:pPr>
      <w:r>
        <w:lastRenderedPageBreak/>
        <w:t>Peoples Division and Peoples-Equitable Division met the requirements of Section 1318(a) of the Public Utility Code by pursuing a least-cost fuel procurement policy, consistent with their obligations to provide safe, adequate, and reliable service to their customers; and</w:t>
      </w:r>
    </w:p>
    <w:p w:rsidR="00AC4699" w:rsidRDefault="00AC4699" w:rsidP="00AC4699">
      <w:pPr>
        <w:pStyle w:val="ListNumber"/>
        <w:numPr>
          <w:ilvl w:val="0"/>
          <w:numId w:val="0"/>
        </w:numPr>
        <w:spacing w:line="360" w:lineRule="auto"/>
        <w:ind w:left="1440"/>
      </w:pPr>
    </w:p>
    <w:p w:rsidR="00316509" w:rsidRDefault="00316509" w:rsidP="00626FBA">
      <w:pPr>
        <w:pStyle w:val="ListNumber"/>
        <w:numPr>
          <w:ilvl w:val="0"/>
          <w:numId w:val="15"/>
        </w:numPr>
        <w:spacing w:line="360" w:lineRule="auto"/>
        <w:ind w:left="0" w:firstLine="2160"/>
      </w:pPr>
      <w:r>
        <w:t>All gas exchanges by Peoples Division and Peoples-Equitable Division with entities that are considered an affiliated interest have met the requirements of Section 1318(b) of the Public Utility Code relating to purchases from and services provided by entities that are considered affiliates.</w:t>
      </w:r>
    </w:p>
    <w:p w:rsidR="00AC4699" w:rsidRDefault="00AC4699" w:rsidP="00AC4699">
      <w:pPr>
        <w:pStyle w:val="ListNumber"/>
        <w:numPr>
          <w:ilvl w:val="0"/>
          <w:numId w:val="0"/>
        </w:numPr>
        <w:spacing w:line="360" w:lineRule="auto"/>
        <w:ind w:left="1440"/>
      </w:pPr>
    </w:p>
    <w:p w:rsidR="00AC4699" w:rsidRDefault="00316509" w:rsidP="00AF32A6">
      <w:pPr>
        <w:pStyle w:val="ListNumber"/>
        <w:numPr>
          <w:ilvl w:val="0"/>
          <w:numId w:val="0"/>
        </w:numPr>
        <w:tabs>
          <w:tab w:val="left" w:pos="0"/>
        </w:tabs>
        <w:spacing w:line="360" w:lineRule="auto"/>
        <w:ind w:firstLine="1440"/>
      </w:pPr>
      <w:r>
        <w:t>2.</w:t>
      </w:r>
      <w:r w:rsidR="008B43E8">
        <w:tab/>
      </w:r>
      <w:r w:rsidRPr="004A58B9">
        <w:t xml:space="preserve">Peoples Division and Peoples-Equitable </w:t>
      </w:r>
      <w:r>
        <w:t xml:space="preserve">Division </w:t>
      </w:r>
      <w:r w:rsidRPr="004A58B9">
        <w:t xml:space="preserve">have fully and vigorously represented the interests of their ratepayers in proceedings before </w:t>
      </w:r>
      <w:r>
        <w:t xml:space="preserve">FERC </w:t>
      </w:r>
      <w:r w:rsidRPr="004A58B9">
        <w:t>and other relevant non-</w:t>
      </w:r>
      <w:r>
        <w:t>Commission</w:t>
      </w:r>
      <w:r w:rsidRPr="004A58B9">
        <w:t xml:space="preserve"> proceedings during the relevant time period in compliance with 66</w:t>
      </w:r>
      <w:r w:rsidR="007C420E">
        <w:t> </w:t>
      </w:r>
      <w:proofErr w:type="spellStart"/>
      <w:r w:rsidRPr="004A58B9">
        <w:t>Pa.C.S</w:t>
      </w:r>
      <w:proofErr w:type="spellEnd"/>
      <w:r w:rsidRPr="004A58B9">
        <w:t>. § 1318(a</w:t>
      </w:r>
      <w:proofErr w:type="gramStart"/>
      <w:r w:rsidRPr="004A58B9">
        <w:t>)(</w:t>
      </w:r>
      <w:proofErr w:type="gramEnd"/>
      <w:r w:rsidRPr="004A58B9">
        <w:t xml:space="preserve">1). </w:t>
      </w:r>
    </w:p>
    <w:p w:rsidR="00AC4699" w:rsidRDefault="00AC4699" w:rsidP="00715BA9">
      <w:pPr>
        <w:pStyle w:val="ListNumber"/>
        <w:numPr>
          <w:ilvl w:val="0"/>
          <w:numId w:val="0"/>
        </w:numPr>
        <w:spacing w:line="360" w:lineRule="auto"/>
        <w:ind w:left="720"/>
      </w:pPr>
    </w:p>
    <w:p w:rsidR="00316509" w:rsidRDefault="00316509" w:rsidP="00AF32A6">
      <w:pPr>
        <w:pStyle w:val="ListNumber"/>
        <w:numPr>
          <w:ilvl w:val="0"/>
          <w:numId w:val="0"/>
        </w:numPr>
        <w:spacing w:line="360" w:lineRule="auto"/>
        <w:ind w:firstLine="1440"/>
      </w:pPr>
      <w:r>
        <w:t>3.</w:t>
      </w:r>
      <w:r w:rsidR="008B43E8">
        <w:tab/>
      </w:r>
      <w:r w:rsidRPr="004A58B9">
        <w:t xml:space="preserve">Peoples Division and Peoples-Equitable </w:t>
      </w:r>
      <w:r>
        <w:t xml:space="preserve">Division </w:t>
      </w:r>
      <w:r w:rsidRPr="004A58B9">
        <w:t xml:space="preserve">have taken all prudent steps necessary to negotiate favorable gas supply contracts and to relieve the utilities from terms in existing contracts with their gas suppliers which are or may be adverse to the interests of the utilities’ ratepayers in compliance with 66 </w:t>
      </w:r>
      <w:proofErr w:type="spellStart"/>
      <w:r w:rsidRPr="004A58B9">
        <w:t>Pa.C.S</w:t>
      </w:r>
      <w:proofErr w:type="spellEnd"/>
      <w:r w:rsidRPr="004A58B9">
        <w:t>. § 1318(a</w:t>
      </w:r>
      <w:proofErr w:type="gramStart"/>
      <w:r w:rsidRPr="004A58B9">
        <w:t>)(</w:t>
      </w:r>
      <w:proofErr w:type="gramEnd"/>
      <w:r w:rsidRPr="004A58B9">
        <w:t xml:space="preserve">2). </w:t>
      </w:r>
    </w:p>
    <w:p w:rsidR="00AF32A6" w:rsidRDefault="00AF32A6" w:rsidP="00AF32A6">
      <w:pPr>
        <w:pStyle w:val="ListNumber"/>
        <w:numPr>
          <w:ilvl w:val="0"/>
          <w:numId w:val="0"/>
        </w:numPr>
        <w:spacing w:line="360" w:lineRule="auto"/>
        <w:ind w:firstLine="1440"/>
      </w:pPr>
    </w:p>
    <w:p w:rsidR="00316509" w:rsidRDefault="00316509" w:rsidP="00AF32A6">
      <w:pPr>
        <w:pStyle w:val="ListNumber"/>
        <w:numPr>
          <w:ilvl w:val="0"/>
          <w:numId w:val="0"/>
        </w:numPr>
        <w:spacing w:line="360" w:lineRule="auto"/>
        <w:ind w:firstLine="1440"/>
      </w:pPr>
      <w:r>
        <w:t>4.</w:t>
      </w:r>
      <w:r w:rsidR="008B43E8">
        <w:tab/>
      </w:r>
      <w:r w:rsidRPr="004A58B9">
        <w:t xml:space="preserve">Peoples Division and Peoples-Equitable </w:t>
      </w:r>
      <w:r>
        <w:t xml:space="preserve">Division </w:t>
      </w:r>
      <w:r w:rsidRPr="004A58B9">
        <w:t xml:space="preserve">have taken all prudent steps necessary to obtain lower cost gas supplies on both short-term and long-term bases both within and outside the Commonwealth, including the use of gas transportation arrangements with pipelines and other distribution companies in compliance with 66 </w:t>
      </w:r>
      <w:proofErr w:type="spellStart"/>
      <w:r w:rsidRPr="004A58B9">
        <w:t>Pa.C.S</w:t>
      </w:r>
      <w:proofErr w:type="spellEnd"/>
      <w:r w:rsidRPr="004A58B9">
        <w:t>. § 1318(a</w:t>
      </w:r>
      <w:proofErr w:type="gramStart"/>
      <w:r w:rsidRPr="004A58B9">
        <w:t>)(</w:t>
      </w:r>
      <w:proofErr w:type="gramEnd"/>
      <w:r w:rsidRPr="004A58B9">
        <w:t xml:space="preserve">3). </w:t>
      </w:r>
    </w:p>
    <w:p w:rsidR="00AC4699" w:rsidRDefault="00AC4699" w:rsidP="00715BA9">
      <w:pPr>
        <w:pStyle w:val="ListNumber"/>
        <w:numPr>
          <w:ilvl w:val="0"/>
          <w:numId w:val="0"/>
        </w:numPr>
        <w:spacing w:line="360" w:lineRule="auto"/>
        <w:ind w:left="720"/>
      </w:pPr>
    </w:p>
    <w:p w:rsidR="00316509" w:rsidRDefault="00316509" w:rsidP="00AF32A6">
      <w:pPr>
        <w:pStyle w:val="ListNumber"/>
        <w:numPr>
          <w:ilvl w:val="0"/>
          <w:numId w:val="0"/>
        </w:numPr>
        <w:spacing w:line="360" w:lineRule="auto"/>
        <w:ind w:firstLine="1440"/>
      </w:pPr>
      <w:r>
        <w:t>5.</w:t>
      </w:r>
      <w:r w:rsidR="008B43E8">
        <w:tab/>
      </w:r>
      <w:r w:rsidRPr="00B64961">
        <w:t xml:space="preserve">Peoples Division </w:t>
      </w:r>
      <w:r>
        <w:t>and Peoples-Equitable Division have</w:t>
      </w:r>
      <w:r w:rsidRPr="00B64961">
        <w:t xml:space="preserve"> not withheld from the market or caused to be withheld from the market any gas supplies which should have been utilized as part of a least cost fuel procurement policy in compliance with 66 </w:t>
      </w:r>
      <w:proofErr w:type="spellStart"/>
      <w:r w:rsidRPr="00B64961">
        <w:t>Pa.C.S</w:t>
      </w:r>
      <w:proofErr w:type="spellEnd"/>
      <w:r w:rsidRPr="00B64961">
        <w:t xml:space="preserve">. </w:t>
      </w:r>
      <w:r w:rsidRPr="004A58B9">
        <w:t>§ 1318(a</w:t>
      </w:r>
      <w:proofErr w:type="gramStart"/>
      <w:r w:rsidRPr="004A58B9">
        <w:t>)(</w:t>
      </w:r>
      <w:proofErr w:type="gramEnd"/>
      <w:r w:rsidRPr="004A58B9">
        <w:t xml:space="preserve">4). </w:t>
      </w:r>
    </w:p>
    <w:p w:rsidR="00AC4699" w:rsidRDefault="00AC4699" w:rsidP="00715BA9">
      <w:pPr>
        <w:pStyle w:val="ListNumber"/>
        <w:numPr>
          <w:ilvl w:val="0"/>
          <w:numId w:val="0"/>
        </w:numPr>
        <w:spacing w:line="360" w:lineRule="auto"/>
        <w:ind w:left="720"/>
      </w:pPr>
    </w:p>
    <w:p w:rsidR="00316509" w:rsidRDefault="00316509" w:rsidP="00AF32A6">
      <w:pPr>
        <w:pStyle w:val="ListNumber"/>
        <w:numPr>
          <w:ilvl w:val="0"/>
          <w:numId w:val="0"/>
        </w:numPr>
        <w:spacing w:line="360" w:lineRule="auto"/>
        <w:ind w:firstLine="1440"/>
      </w:pPr>
      <w:r>
        <w:lastRenderedPageBreak/>
        <w:t>6.</w:t>
      </w:r>
      <w:r w:rsidR="008B43E8">
        <w:tab/>
      </w:r>
      <w:r w:rsidRPr="004A58B9">
        <w:t xml:space="preserve">Peoples Division and Peoples-Equitable </w:t>
      </w:r>
      <w:r>
        <w:t xml:space="preserve">Division </w:t>
      </w:r>
      <w:r w:rsidRPr="004A58B9">
        <w:t xml:space="preserve">have fully and vigorously attempted to obtain less costly gas supplies on both short-term and long-term bases from nonaffiliated interests in compliance with 66 </w:t>
      </w:r>
      <w:proofErr w:type="spellStart"/>
      <w:r w:rsidRPr="004A58B9">
        <w:t>Pa.C.S</w:t>
      </w:r>
      <w:proofErr w:type="spellEnd"/>
      <w:r w:rsidRPr="004A58B9">
        <w:t>. § 1318(b</w:t>
      </w:r>
      <w:proofErr w:type="gramStart"/>
      <w:r w:rsidRPr="004A58B9">
        <w:t>)(</w:t>
      </w:r>
      <w:proofErr w:type="gramEnd"/>
      <w:r w:rsidRPr="004A58B9">
        <w:t xml:space="preserve">1). </w:t>
      </w:r>
    </w:p>
    <w:p w:rsidR="00AC4699" w:rsidRDefault="00AC4699" w:rsidP="00715BA9">
      <w:pPr>
        <w:pStyle w:val="ListNumber"/>
        <w:numPr>
          <w:ilvl w:val="0"/>
          <w:numId w:val="0"/>
        </w:numPr>
        <w:spacing w:line="360" w:lineRule="auto"/>
        <w:ind w:left="720"/>
      </w:pPr>
    </w:p>
    <w:p w:rsidR="00316509" w:rsidRDefault="00316509" w:rsidP="00AF32A6">
      <w:pPr>
        <w:pStyle w:val="ListNumber"/>
        <w:numPr>
          <w:ilvl w:val="0"/>
          <w:numId w:val="0"/>
        </w:numPr>
        <w:spacing w:line="360" w:lineRule="auto"/>
        <w:ind w:left="-90" w:firstLine="1530"/>
      </w:pPr>
      <w:r>
        <w:t>7.</w:t>
      </w:r>
      <w:r w:rsidR="008B43E8">
        <w:tab/>
      </w:r>
      <w:r w:rsidRPr="004A58B9">
        <w:t>Neither Peoples Division, nor Peoples-Equitable</w:t>
      </w:r>
      <w:r w:rsidRPr="00B9428E">
        <w:t xml:space="preserve"> </w:t>
      </w:r>
      <w:r>
        <w:t>Division</w:t>
      </w:r>
      <w:r w:rsidRPr="004A58B9">
        <w:t xml:space="preserve">, nor their affiliated interests have withheld from the market any gas supplies which should have been utilized as part of a least cost fuel procurement policy in compliance with 66 </w:t>
      </w:r>
      <w:proofErr w:type="spellStart"/>
      <w:r w:rsidRPr="004A58B9">
        <w:t>Pa.C.S</w:t>
      </w:r>
      <w:proofErr w:type="spellEnd"/>
      <w:r w:rsidRPr="004A58B9">
        <w:t>. § 1318(b</w:t>
      </w:r>
      <w:proofErr w:type="gramStart"/>
      <w:r w:rsidRPr="004A58B9">
        <w:t>)(</w:t>
      </w:r>
      <w:proofErr w:type="gramEnd"/>
      <w:r w:rsidRPr="004A58B9">
        <w:t>3).</w:t>
      </w:r>
    </w:p>
    <w:p w:rsidR="00AC4699" w:rsidRPr="00023075" w:rsidRDefault="00AC4699" w:rsidP="00715BA9">
      <w:pPr>
        <w:pStyle w:val="ListNumber"/>
        <w:numPr>
          <w:ilvl w:val="0"/>
          <w:numId w:val="0"/>
        </w:numPr>
        <w:spacing w:line="360" w:lineRule="auto"/>
        <w:ind w:left="720"/>
      </w:pPr>
    </w:p>
    <w:p w:rsidR="00316509" w:rsidRDefault="00316509" w:rsidP="00AF32A6">
      <w:pPr>
        <w:pStyle w:val="ListNumber"/>
        <w:numPr>
          <w:ilvl w:val="0"/>
          <w:numId w:val="0"/>
        </w:numPr>
        <w:spacing w:line="360" w:lineRule="auto"/>
        <w:ind w:firstLine="1440"/>
      </w:pPr>
      <w:r>
        <w:t>8.</w:t>
      </w:r>
      <w:r w:rsidR="008B43E8">
        <w:tab/>
      </w:r>
      <w:r>
        <w:t>During the eight-month interim period beginning February 1, 2016, and the projected 12-month period beginning October 1, 2016, when rates contained in this Settlement will be in effect,</w:t>
      </w:r>
      <w:r w:rsidRPr="00FB4139">
        <w:rPr>
          <w:rStyle w:val="FootnoteReference"/>
        </w:rPr>
        <w:footnoteReference w:id="10"/>
      </w:r>
      <w:r>
        <w:t xml:space="preserve"> based upon information presently available and based upon evidence of record in this proceeding concerning Peoples Division’s</w:t>
      </w:r>
      <w:r w:rsidRPr="004A58B9">
        <w:t xml:space="preserve"> and Peoples-Equitable </w:t>
      </w:r>
      <w:r>
        <w:t xml:space="preserve">Division’s projected purchases and purchasing policies, the rates to be adopted by the Commission result from </w:t>
      </w:r>
      <w:r w:rsidRPr="004A58B9">
        <w:t>Peoples Division</w:t>
      </w:r>
      <w:r>
        <w:t>’s</w:t>
      </w:r>
      <w:r w:rsidRPr="004A58B9">
        <w:t xml:space="preserve"> and Peoples-Equitable </w:t>
      </w:r>
      <w:r>
        <w:t xml:space="preserve">Division’s compliance with the provisions of Section 1318 of the Public Utility Code, including subsections (a)(1)-(4) and (b)(1)-(3).  </w:t>
      </w:r>
      <w:proofErr w:type="gramStart"/>
      <w:r>
        <w:t xml:space="preserve">66 </w:t>
      </w:r>
      <w:proofErr w:type="spellStart"/>
      <w:r>
        <w:t>Pa.C.S</w:t>
      </w:r>
      <w:proofErr w:type="spellEnd"/>
      <w:r>
        <w:t>.</w:t>
      </w:r>
      <w:proofErr w:type="gramEnd"/>
      <w:r>
        <w:t xml:space="preserve"> § 1318(a</w:t>
      </w:r>
      <w:proofErr w:type="gramStart"/>
      <w:r>
        <w:t>)(</w:t>
      </w:r>
      <w:proofErr w:type="gramEnd"/>
      <w:r>
        <w:t>1)-(4), (b)(1)-(3).  I</w:t>
      </w:r>
      <w:r w:rsidRPr="009521BF">
        <w:t xml:space="preserve">t is expressly understood and agreed that this </w:t>
      </w:r>
      <w:r>
        <w:t>finding</w:t>
      </w:r>
      <w:r w:rsidRPr="009521BF">
        <w:t xml:space="preserve"> is made solely for the purpose of setting prospective rates that shall </w:t>
      </w:r>
      <w:r>
        <w:t xml:space="preserve">continue to </w:t>
      </w:r>
      <w:r w:rsidRPr="009521BF">
        <w:t>be subject to the standards of Section 1318 of the Public Utility Code, 66</w:t>
      </w:r>
      <w:r w:rsidR="007C420E">
        <w:t> </w:t>
      </w:r>
      <w:proofErr w:type="spellStart"/>
      <w:r w:rsidRPr="009521BF">
        <w:t>Pa.C.S</w:t>
      </w:r>
      <w:proofErr w:type="spellEnd"/>
      <w:r w:rsidRPr="009521BF">
        <w:t>. § 1318, and to further review in an appropriate future proceeding.</w:t>
      </w:r>
      <w:r>
        <w:t xml:space="preserve">  This provision is not intended to limit or prevent I&amp;E, OCA, or OSBA from reviewing, after such projected gas purchases actually have been made and gas purchasing practices actually have been implemented, whether </w:t>
      </w:r>
      <w:r w:rsidRPr="004A58B9">
        <w:t>Peoples Division</w:t>
      </w:r>
      <w:r>
        <w:t>’s</w:t>
      </w:r>
      <w:r w:rsidRPr="004A58B9">
        <w:t xml:space="preserve"> and Peoples-Equitable </w:t>
      </w:r>
      <w:r>
        <w:t xml:space="preserve">Division’s gas purchases and gas purchasing practices complied with Section 1318.  If in an appropriate future proceeding </w:t>
      </w:r>
      <w:r w:rsidRPr="004A58B9">
        <w:t>Peoples Division</w:t>
      </w:r>
      <w:r>
        <w:t>’s</w:t>
      </w:r>
      <w:r w:rsidRPr="004A58B9">
        <w:t xml:space="preserve"> and Peoples-Equitable </w:t>
      </w:r>
      <w:r>
        <w:t xml:space="preserve">Division’s gas purchases and gas purchasing practices from February 1, 2016, through September 30, 2017, were challenged, the Commission’s findings based upon this provision shall not bar the examination of such purchases and practices, including, but not limited to, disallowance of or reductions to such costs during the eight-month interim period </w:t>
      </w:r>
      <w:r>
        <w:lastRenderedPageBreak/>
        <w:t>commencing February 1, 2016, and the 12-month application period commencing October 1, 2016, and ending September 30, 2017.</w:t>
      </w:r>
      <w:r w:rsidRPr="004A58B9">
        <w:t xml:space="preserve"> </w:t>
      </w:r>
    </w:p>
    <w:p w:rsidR="00AC4699" w:rsidRDefault="00AC4699" w:rsidP="00715BA9">
      <w:pPr>
        <w:pStyle w:val="ListNumber"/>
        <w:numPr>
          <w:ilvl w:val="0"/>
          <w:numId w:val="0"/>
        </w:numPr>
        <w:spacing w:line="360" w:lineRule="auto"/>
        <w:ind w:left="720"/>
      </w:pPr>
    </w:p>
    <w:p w:rsidR="00316509" w:rsidRDefault="00316509" w:rsidP="00AF32A6">
      <w:pPr>
        <w:pStyle w:val="ListNumber"/>
        <w:numPr>
          <w:ilvl w:val="0"/>
          <w:numId w:val="0"/>
        </w:numPr>
        <w:spacing w:line="360" w:lineRule="auto"/>
        <w:ind w:left="720" w:firstLine="720"/>
      </w:pPr>
      <w:r>
        <w:t>9.</w:t>
      </w:r>
      <w:r w:rsidR="008B43E8">
        <w:tab/>
      </w:r>
      <w:r w:rsidRPr="004A58B9">
        <w:t xml:space="preserve">The Joint Petition </w:t>
      </w:r>
      <w:r>
        <w:t xml:space="preserve">for Settlement </w:t>
      </w:r>
      <w:r w:rsidRPr="004A58B9">
        <w:t>is in the public interest.</w:t>
      </w:r>
    </w:p>
    <w:p w:rsidR="008B43E8" w:rsidRPr="00A11E79" w:rsidRDefault="008B43E8" w:rsidP="005A11F1">
      <w:pPr>
        <w:pStyle w:val="ListNumber"/>
        <w:numPr>
          <w:ilvl w:val="0"/>
          <w:numId w:val="0"/>
        </w:numPr>
        <w:spacing w:line="360" w:lineRule="auto"/>
        <w:ind w:left="720"/>
        <w:jc w:val="both"/>
      </w:pPr>
    </w:p>
    <w:p w:rsidR="0007645D" w:rsidRDefault="00AC4699" w:rsidP="001C6C40">
      <w:pPr>
        <w:pStyle w:val="BodyText2"/>
        <w:spacing w:after="0" w:line="360" w:lineRule="auto"/>
        <w:ind w:firstLine="720"/>
        <w:rPr>
          <w:color w:val="000000"/>
        </w:rPr>
      </w:pPr>
      <w:r>
        <w:rPr>
          <w:color w:val="000000"/>
        </w:rPr>
        <w:tab/>
      </w:r>
      <w:r w:rsidR="0007645D">
        <w:rPr>
          <w:color w:val="000000"/>
        </w:rPr>
        <w:t xml:space="preserve">For these reasons and the reasons set forth below, the </w:t>
      </w:r>
      <w:r w:rsidR="00F61EE6">
        <w:rPr>
          <w:color w:val="000000"/>
        </w:rPr>
        <w:t xml:space="preserve">Settling Parties have established the requirements set forth above and that the </w:t>
      </w:r>
      <w:r w:rsidR="0007645D">
        <w:rPr>
          <w:color w:val="000000"/>
        </w:rPr>
        <w:t>Settlement is just and reasonable</w:t>
      </w:r>
      <w:r w:rsidR="00F61EE6">
        <w:rPr>
          <w:color w:val="000000"/>
        </w:rPr>
        <w:t xml:space="preserve">.  Accordingly, </w:t>
      </w:r>
      <w:r w:rsidR="0007645D">
        <w:rPr>
          <w:color w:val="000000"/>
        </w:rPr>
        <w:t>Peoples’ 2016 1307(f)</w:t>
      </w:r>
      <w:r w:rsidR="0007645D">
        <w:t xml:space="preserve"> filings for its Peoples Division and Peoples-Equitable Division,</w:t>
      </w:r>
      <w:r w:rsidR="0007645D">
        <w:rPr>
          <w:color w:val="000000"/>
        </w:rPr>
        <w:t xml:space="preserve"> as modified by the Settlement, should be approved.</w:t>
      </w:r>
    </w:p>
    <w:p w:rsidR="00D83A09" w:rsidRDefault="00D83A09" w:rsidP="00AC4699">
      <w:pPr>
        <w:pStyle w:val="ListNumber"/>
        <w:numPr>
          <w:ilvl w:val="0"/>
          <w:numId w:val="0"/>
        </w:numPr>
        <w:spacing w:line="360" w:lineRule="auto"/>
        <w:ind w:left="720" w:hanging="720"/>
      </w:pPr>
    </w:p>
    <w:p w:rsidR="00321FB9" w:rsidRDefault="003B6969" w:rsidP="00AC4699">
      <w:pPr>
        <w:pStyle w:val="ListNumber"/>
        <w:numPr>
          <w:ilvl w:val="0"/>
          <w:numId w:val="0"/>
        </w:numPr>
        <w:spacing w:line="360" w:lineRule="auto"/>
        <w:ind w:left="720" w:hanging="720"/>
        <w:rPr>
          <w:u w:val="single"/>
        </w:rPr>
      </w:pPr>
      <w:r>
        <w:t>H</w:t>
      </w:r>
      <w:r w:rsidR="00AC4699" w:rsidRPr="00AC4699">
        <w:t>.</w:t>
      </w:r>
      <w:r w:rsidR="00AC4699" w:rsidRPr="00AC4699">
        <w:tab/>
      </w:r>
      <w:r w:rsidR="00AC4699" w:rsidRPr="008B43E8">
        <w:rPr>
          <w:u w:val="single"/>
        </w:rPr>
        <w:t>The Public Interest</w:t>
      </w:r>
    </w:p>
    <w:p w:rsidR="00AC4699" w:rsidRPr="008B43E8" w:rsidRDefault="00AC4699" w:rsidP="00AC4699">
      <w:pPr>
        <w:pStyle w:val="ListNumber"/>
        <w:numPr>
          <w:ilvl w:val="0"/>
          <w:numId w:val="0"/>
        </w:numPr>
        <w:spacing w:line="360" w:lineRule="auto"/>
        <w:ind w:left="720" w:hanging="720"/>
        <w:rPr>
          <w:u w:val="single"/>
        </w:rPr>
      </w:pPr>
    </w:p>
    <w:p w:rsidR="00321FB9" w:rsidRDefault="00AC4699" w:rsidP="00AC4699">
      <w:pPr>
        <w:pStyle w:val="ListNumber"/>
        <w:numPr>
          <w:ilvl w:val="0"/>
          <w:numId w:val="0"/>
        </w:numPr>
        <w:spacing w:line="360" w:lineRule="auto"/>
        <w:ind w:firstLine="720"/>
      </w:pPr>
      <w:r>
        <w:tab/>
      </w:r>
      <w:r w:rsidR="00321FB9">
        <w:t>This Settlement was achieved by the Joint Petitioners after an extensive investigation of Peoples’ filings, including extensive informal and formal discov</w:t>
      </w:r>
      <w:r w:rsidR="00C545F1">
        <w:t xml:space="preserve">ery and the service of written </w:t>
      </w:r>
      <w:r w:rsidR="00321FB9">
        <w:t xml:space="preserve">testimony </w:t>
      </w:r>
      <w:r w:rsidR="00F61EE6">
        <w:t xml:space="preserve">and exhibits by the Settling Parties.  </w:t>
      </w:r>
      <w:r w:rsidR="00321FB9">
        <w:t>Acceptance of the Settlement avoids the necessity and costs of further administrative and potential appellate proceedings.</w:t>
      </w:r>
      <w:r w:rsidR="00321FB9" w:rsidRPr="004A58B9">
        <w:t xml:space="preserve"> </w:t>
      </w:r>
    </w:p>
    <w:p w:rsidR="00AC4699" w:rsidRDefault="00AC4699" w:rsidP="00AC4699">
      <w:pPr>
        <w:pStyle w:val="ListNumber"/>
        <w:numPr>
          <w:ilvl w:val="0"/>
          <w:numId w:val="0"/>
        </w:numPr>
        <w:spacing w:line="360" w:lineRule="auto"/>
        <w:ind w:firstLine="720"/>
      </w:pPr>
    </w:p>
    <w:p w:rsidR="00321FB9" w:rsidRDefault="002D17D8" w:rsidP="00AC4699">
      <w:pPr>
        <w:pStyle w:val="ListNumber"/>
        <w:numPr>
          <w:ilvl w:val="0"/>
          <w:numId w:val="0"/>
        </w:numPr>
        <w:spacing w:line="360" w:lineRule="auto"/>
        <w:ind w:firstLine="720"/>
      </w:pPr>
      <w:r>
        <w:tab/>
      </w:r>
      <w:r w:rsidR="00321FB9">
        <w:t>The Settlement provides for the recovery of natural gas costs that are just and reasonable given the positions advanced in the testimony and exhibits of the various parties.</w:t>
      </w:r>
      <w:r w:rsidR="00321FB9" w:rsidRPr="004A58B9">
        <w:t xml:space="preserve"> </w:t>
      </w:r>
    </w:p>
    <w:p w:rsidR="00C545F1" w:rsidRDefault="00C545F1" w:rsidP="00AC4699">
      <w:pPr>
        <w:pStyle w:val="ListNumber"/>
        <w:numPr>
          <w:ilvl w:val="0"/>
          <w:numId w:val="0"/>
        </w:numPr>
        <w:spacing w:line="360" w:lineRule="auto"/>
        <w:ind w:firstLine="720"/>
      </w:pPr>
    </w:p>
    <w:p w:rsidR="00321FB9" w:rsidRDefault="002D17D8" w:rsidP="00AC4699">
      <w:pPr>
        <w:pStyle w:val="ListNumber"/>
        <w:numPr>
          <w:ilvl w:val="0"/>
          <w:numId w:val="0"/>
        </w:numPr>
        <w:spacing w:line="360" w:lineRule="auto"/>
        <w:ind w:firstLine="720"/>
      </w:pPr>
      <w:r>
        <w:tab/>
      </w:r>
      <w:r w:rsidR="00321FB9">
        <w:t xml:space="preserve">Attached as </w:t>
      </w:r>
      <w:r w:rsidR="00321FB9" w:rsidRPr="00A66FDD">
        <w:t xml:space="preserve">Appendices </w:t>
      </w:r>
      <w:r w:rsidR="00321FB9">
        <w:t>B</w:t>
      </w:r>
      <w:r w:rsidR="00321FB9" w:rsidRPr="00A66FDD">
        <w:t xml:space="preserve"> through </w:t>
      </w:r>
      <w:r w:rsidR="00321FB9">
        <w:t xml:space="preserve">F are Statements in Support submitted by Peoples on behalf of </w:t>
      </w:r>
      <w:proofErr w:type="gramStart"/>
      <w:r w:rsidR="00321FB9">
        <w:t>both Divisions</w:t>
      </w:r>
      <w:proofErr w:type="gramEnd"/>
      <w:r w:rsidR="00321FB9">
        <w:t>, I&amp;E, OCA, OSBA, and PIOGA setting forth the bases upon which they believe the Settlement is in the public interest.</w:t>
      </w:r>
      <w:r w:rsidR="00321FB9" w:rsidRPr="004A58B9">
        <w:t xml:space="preserve"> </w:t>
      </w:r>
    </w:p>
    <w:p w:rsidR="00AC4699" w:rsidRDefault="00AC4699" w:rsidP="00AC4699">
      <w:pPr>
        <w:pStyle w:val="ListNumber"/>
        <w:numPr>
          <w:ilvl w:val="0"/>
          <w:numId w:val="0"/>
        </w:numPr>
        <w:spacing w:line="360" w:lineRule="auto"/>
        <w:ind w:firstLine="720"/>
      </w:pPr>
    </w:p>
    <w:p w:rsidR="005F1292" w:rsidRPr="005F1292" w:rsidRDefault="00F61EE6" w:rsidP="005F1292">
      <w:pPr>
        <w:spacing w:line="360" w:lineRule="auto"/>
        <w:ind w:firstLine="720"/>
        <w:rPr>
          <w:sz w:val="24"/>
          <w:szCs w:val="24"/>
        </w:rPr>
      </w:pPr>
      <w:r>
        <w:rPr>
          <w:b/>
          <w:bCs/>
          <w:caps/>
          <w:szCs w:val="24"/>
        </w:rPr>
        <w:tab/>
      </w:r>
      <w:r w:rsidR="005F1292" w:rsidRPr="005F1292">
        <w:rPr>
          <w:sz w:val="24"/>
          <w:szCs w:val="24"/>
        </w:rPr>
        <w:t xml:space="preserve">Commission policy promotes settlements.  </w:t>
      </w:r>
      <w:proofErr w:type="gramStart"/>
      <w:r w:rsidR="005F1292" w:rsidRPr="005F1292">
        <w:rPr>
          <w:sz w:val="24"/>
          <w:szCs w:val="24"/>
        </w:rPr>
        <w:t xml:space="preserve">52 </w:t>
      </w:r>
      <w:proofErr w:type="spellStart"/>
      <w:r w:rsidR="005F1292" w:rsidRPr="005F1292">
        <w:rPr>
          <w:sz w:val="24"/>
          <w:szCs w:val="24"/>
        </w:rPr>
        <w:t>Pa.Code</w:t>
      </w:r>
      <w:proofErr w:type="spellEnd"/>
      <w:r w:rsidR="005F1292" w:rsidRPr="005F1292">
        <w:rPr>
          <w:sz w:val="24"/>
          <w:szCs w:val="24"/>
        </w:rPr>
        <w:t xml:space="preserve"> § 5.231.</w:t>
      </w:r>
      <w:proofErr w:type="gramEnd"/>
      <w:r w:rsidR="005F1292" w:rsidRPr="005F1292">
        <w:rPr>
          <w:sz w:val="24"/>
          <w:szCs w:val="24"/>
        </w:rPr>
        <w:t xml:space="preserve">  Settlements lessen the time and expense the parties must expend litigating a case and at the same time conserve administrative resources.  The Commission has indicated that settlement results are often preferable to those achieved at the conclusion of a fully litigated proceeding.  </w:t>
      </w:r>
      <w:proofErr w:type="gramStart"/>
      <w:r w:rsidR="005F1292" w:rsidRPr="005F1292">
        <w:rPr>
          <w:sz w:val="24"/>
          <w:szCs w:val="24"/>
        </w:rPr>
        <w:t xml:space="preserve">52 </w:t>
      </w:r>
      <w:proofErr w:type="spellStart"/>
      <w:r w:rsidR="005F1292" w:rsidRPr="005F1292">
        <w:rPr>
          <w:sz w:val="24"/>
          <w:szCs w:val="24"/>
        </w:rPr>
        <w:t>Pa.Code</w:t>
      </w:r>
      <w:proofErr w:type="spellEnd"/>
      <w:r w:rsidR="005F1292" w:rsidRPr="005F1292">
        <w:rPr>
          <w:sz w:val="24"/>
          <w:szCs w:val="24"/>
        </w:rPr>
        <w:t xml:space="preserve"> § 69.401.</w:t>
      </w:r>
      <w:proofErr w:type="gramEnd"/>
      <w:r w:rsidR="005F1292" w:rsidRPr="005F1292">
        <w:rPr>
          <w:sz w:val="24"/>
          <w:szCs w:val="24"/>
        </w:rPr>
        <w:t xml:space="preserve">  The focus of inquiry for determining whether a proposed settlement should be recommended for approval is not a “burden of proof” standard, as is utilized for contested matters.  </w:t>
      </w:r>
      <w:r w:rsidR="005F1292" w:rsidRPr="007C420E">
        <w:rPr>
          <w:i/>
          <w:sz w:val="24"/>
          <w:szCs w:val="24"/>
        </w:rPr>
        <w:t xml:space="preserve">Pa. Pub. Util. </w:t>
      </w:r>
      <w:proofErr w:type="spellStart"/>
      <w:r w:rsidR="005F1292" w:rsidRPr="007C420E">
        <w:rPr>
          <w:i/>
          <w:sz w:val="24"/>
          <w:szCs w:val="24"/>
        </w:rPr>
        <w:t>Comm’n</w:t>
      </w:r>
      <w:proofErr w:type="spellEnd"/>
      <w:r w:rsidR="005F1292" w:rsidRPr="007C420E">
        <w:rPr>
          <w:i/>
          <w:sz w:val="24"/>
          <w:szCs w:val="24"/>
        </w:rPr>
        <w:t>,</w:t>
      </w:r>
      <w:r w:rsidR="005F1292" w:rsidRPr="005F1292">
        <w:rPr>
          <w:sz w:val="24"/>
          <w:szCs w:val="24"/>
        </w:rPr>
        <w:t xml:space="preserve"> </w:t>
      </w:r>
      <w:r w:rsidR="005F1292" w:rsidRPr="005F1292">
        <w:rPr>
          <w:i/>
          <w:sz w:val="24"/>
          <w:szCs w:val="24"/>
        </w:rPr>
        <w:t>et al</w:t>
      </w:r>
      <w:r w:rsidR="005F1292" w:rsidRPr="005F1292">
        <w:rPr>
          <w:sz w:val="24"/>
          <w:szCs w:val="24"/>
        </w:rPr>
        <w:t xml:space="preserve">. </w:t>
      </w:r>
      <w:r w:rsidR="005F1292" w:rsidRPr="00B779DF">
        <w:rPr>
          <w:i/>
          <w:sz w:val="24"/>
          <w:szCs w:val="24"/>
        </w:rPr>
        <w:t>v. City of Lancaster – Bureau of Water</w:t>
      </w:r>
      <w:r w:rsidR="005F1292" w:rsidRPr="005F1292">
        <w:rPr>
          <w:sz w:val="24"/>
          <w:szCs w:val="24"/>
        </w:rPr>
        <w:t xml:space="preserve">, Docket Nos. </w:t>
      </w:r>
      <w:proofErr w:type="gramStart"/>
      <w:r w:rsidR="005F1292" w:rsidRPr="005F1292">
        <w:rPr>
          <w:sz w:val="24"/>
          <w:szCs w:val="24"/>
        </w:rPr>
        <w:lastRenderedPageBreak/>
        <w:t>R</w:t>
      </w:r>
      <w:r w:rsidR="005F1292" w:rsidRPr="005F1292">
        <w:rPr>
          <w:sz w:val="24"/>
          <w:szCs w:val="24"/>
        </w:rPr>
        <w:noBreakHyphen/>
        <w:t xml:space="preserve">2010-2179103, </w:t>
      </w:r>
      <w:r w:rsidR="005F1292" w:rsidRPr="005F1292">
        <w:rPr>
          <w:i/>
          <w:sz w:val="24"/>
          <w:szCs w:val="24"/>
        </w:rPr>
        <w:t>et al</w:t>
      </w:r>
      <w:r w:rsidR="005F1292" w:rsidRPr="005F1292">
        <w:rPr>
          <w:sz w:val="24"/>
          <w:szCs w:val="24"/>
        </w:rPr>
        <w:t>., Opinion and Order (entered July 14, 2011) (Lancaster).</w:t>
      </w:r>
      <w:proofErr w:type="gramEnd"/>
      <w:r w:rsidR="005F1292" w:rsidRPr="005F1292">
        <w:rPr>
          <w:sz w:val="24"/>
          <w:szCs w:val="24"/>
        </w:rPr>
        <w:t xml:space="preserve">  Instead, the benchmark for determining the acceptability of a settlement or partial settlement is whether the proposed terms and conditions are in the public interest.  </w:t>
      </w:r>
      <w:proofErr w:type="gramStart"/>
      <w:r w:rsidR="005F1292" w:rsidRPr="007C420E">
        <w:rPr>
          <w:i/>
          <w:sz w:val="24"/>
          <w:szCs w:val="24"/>
        </w:rPr>
        <w:t>Id</w:t>
      </w:r>
      <w:r w:rsidR="005F1292" w:rsidRPr="005F1292">
        <w:rPr>
          <w:sz w:val="24"/>
          <w:szCs w:val="24"/>
        </w:rPr>
        <w:t xml:space="preserve">.; </w:t>
      </w:r>
      <w:r w:rsidR="005F1292" w:rsidRPr="005F1292">
        <w:rPr>
          <w:i/>
          <w:sz w:val="24"/>
          <w:szCs w:val="24"/>
        </w:rPr>
        <w:t>citing</w:t>
      </w:r>
      <w:r w:rsidR="005F1292" w:rsidRPr="005F1292">
        <w:rPr>
          <w:sz w:val="24"/>
          <w:szCs w:val="24"/>
        </w:rPr>
        <w:t xml:space="preserve">, </w:t>
      </w:r>
      <w:r w:rsidR="005F1292" w:rsidRPr="007C420E">
        <w:rPr>
          <w:i/>
          <w:sz w:val="24"/>
          <w:szCs w:val="24"/>
        </w:rPr>
        <w:t>Warner v. GTE North, Inc</w:t>
      </w:r>
      <w:r w:rsidR="005F1292" w:rsidRPr="005F1292">
        <w:rPr>
          <w:sz w:val="24"/>
          <w:szCs w:val="24"/>
        </w:rPr>
        <w:t>., Docket No.</w:t>
      </w:r>
      <w:proofErr w:type="gramEnd"/>
      <w:r w:rsidR="005F1292" w:rsidRPr="005F1292">
        <w:rPr>
          <w:sz w:val="24"/>
          <w:szCs w:val="24"/>
        </w:rPr>
        <w:t xml:space="preserve"> </w:t>
      </w:r>
      <w:proofErr w:type="gramStart"/>
      <w:r w:rsidR="005F1292" w:rsidRPr="005F1292">
        <w:rPr>
          <w:sz w:val="24"/>
          <w:szCs w:val="24"/>
        </w:rPr>
        <w:t xml:space="preserve">C-00902815, Opinion and Order (entered April 1, 1996) (Warner); </w:t>
      </w:r>
      <w:r w:rsidR="005F1292" w:rsidRPr="007C420E">
        <w:rPr>
          <w:i/>
          <w:sz w:val="24"/>
          <w:szCs w:val="24"/>
        </w:rPr>
        <w:t>Pa. Pub.</w:t>
      </w:r>
      <w:proofErr w:type="gramEnd"/>
      <w:r w:rsidR="005F1292" w:rsidRPr="007C420E">
        <w:rPr>
          <w:i/>
          <w:sz w:val="24"/>
          <w:szCs w:val="24"/>
        </w:rPr>
        <w:t xml:space="preserve"> </w:t>
      </w:r>
      <w:proofErr w:type="gramStart"/>
      <w:r w:rsidR="005F1292" w:rsidRPr="007C420E">
        <w:rPr>
          <w:i/>
          <w:sz w:val="24"/>
          <w:szCs w:val="24"/>
        </w:rPr>
        <w:t xml:space="preserve">Util. </w:t>
      </w:r>
      <w:proofErr w:type="spellStart"/>
      <w:r w:rsidR="005F1292" w:rsidRPr="007C420E">
        <w:rPr>
          <w:i/>
          <w:sz w:val="24"/>
          <w:szCs w:val="24"/>
        </w:rPr>
        <w:t>Comm’n</w:t>
      </w:r>
      <w:proofErr w:type="spellEnd"/>
      <w:r w:rsidR="005F1292" w:rsidRPr="007C420E">
        <w:rPr>
          <w:i/>
          <w:sz w:val="24"/>
          <w:szCs w:val="24"/>
        </w:rPr>
        <w:t xml:space="preserve"> v. CS Water and Sewer Associates</w:t>
      </w:r>
      <w:r w:rsidR="005F1292" w:rsidRPr="005F1292">
        <w:rPr>
          <w:sz w:val="24"/>
          <w:szCs w:val="24"/>
        </w:rPr>
        <w:t>, 74 Pa. PUC 767 (1991).</w:t>
      </w:r>
      <w:proofErr w:type="gramEnd"/>
    </w:p>
    <w:p w:rsidR="005F1292" w:rsidRPr="005F1292" w:rsidRDefault="005F1292" w:rsidP="005F1292">
      <w:pPr>
        <w:spacing w:line="360" w:lineRule="auto"/>
        <w:ind w:firstLine="720"/>
        <w:rPr>
          <w:sz w:val="24"/>
          <w:szCs w:val="24"/>
        </w:rPr>
      </w:pPr>
    </w:p>
    <w:p w:rsidR="005F1292" w:rsidRPr="005F1292" w:rsidRDefault="005F1292" w:rsidP="005F1292">
      <w:pPr>
        <w:spacing w:line="360" w:lineRule="auto"/>
        <w:ind w:firstLine="1440"/>
        <w:rPr>
          <w:sz w:val="24"/>
          <w:szCs w:val="24"/>
        </w:rPr>
      </w:pPr>
      <w:r w:rsidRPr="005F1292">
        <w:rPr>
          <w:sz w:val="24"/>
          <w:szCs w:val="24"/>
        </w:rPr>
        <w:t xml:space="preserve">This Recommended Decision has examined whether the </w:t>
      </w:r>
      <w:r w:rsidR="00224807">
        <w:rPr>
          <w:sz w:val="24"/>
          <w:szCs w:val="24"/>
        </w:rPr>
        <w:t>S</w:t>
      </w:r>
      <w:r w:rsidRPr="005F1292">
        <w:rPr>
          <w:sz w:val="24"/>
          <w:szCs w:val="24"/>
        </w:rPr>
        <w:t xml:space="preserve">ettlement is in the public interest, satisfies applicable statutes and regulations for 1307(f) filings and is supported by substantial evidence and therefore should be adopted.    </w:t>
      </w:r>
    </w:p>
    <w:p w:rsidR="005F1292" w:rsidRPr="005F1292" w:rsidRDefault="005F1292" w:rsidP="005F1292">
      <w:pPr>
        <w:spacing w:line="360" w:lineRule="auto"/>
        <w:ind w:firstLine="1440"/>
        <w:rPr>
          <w:sz w:val="24"/>
          <w:szCs w:val="24"/>
        </w:rPr>
      </w:pPr>
    </w:p>
    <w:p w:rsidR="005F1292" w:rsidRPr="005F1292" w:rsidRDefault="005F1292" w:rsidP="005F1292">
      <w:pPr>
        <w:pStyle w:val="ListNumber"/>
        <w:numPr>
          <w:ilvl w:val="0"/>
          <w:numId w:val="0"/>
        </w:numPr>
        <w:spacing w:line="360" w:lineRule="auto"/>
        <w:ind w:firstLine="720"/>
      </w:pPr>
      <w:r w:rsidRPr="005F1292">
        <w:t xml:space="preserve">            In the Joint Petition, the Settling Parties agree that the Settlement was achieved by the Joint Petitioners after an extensive investigation of Peoples’ filings, including extensive informal and formal discovery and the service of written testimony and exhibits by the Settling Parties. </w:t>
      </w:r>
    </w:p>
    <w:p w:rsidR="005F1292" w:rsidRPr="005F1292" w:rsidRDefault="005F1292" w:rsidP="005F1292">
      <w:pPr>
        <w:pStyle w:val="ListNumber"/>
        <w:numPr>
          <w:ilvl w:val="0"/>
          <w:numId w:val="0"/>
        </w:numPr>
        <w:spacing w:line="360" w:lineRule="auto"/>
        <w:ind w:firstLine="720"/>
      </w:pPr>
    </w:p>
    <w:p w:rsidR="005F1292" w:rsidRPr="005F1292" w:rsidRDefault="005F1292" w:rsidP="005F1292">
      <w:pPr>
        <w:pStyle w:val="ListNumber"/>
        <w:numPr>
          <w:ilvl w:val="0"/>
          <w:numId w:val="0"/>
        </w:numPr>
        <w:spacing w:line="360" w:lineRule="auto"/>
        <w:ind w:firstLine="720"/>
      </w:pPr>
      <w:r w:rsidRPr="005F1292">
        <w:t xml:space="preserve">            The Settling Parties point out that acceptance of the Settlement avoids the necessity and costs of further administrative and potential appellate proceedings.</w:t>
      </w:r>
      <w:r w:rsidR="007C420E">
        <w:t xml:space="preserve"> </w:t>
      </w:r>
      <w:r w:rsidRPr="005F1292">
        <w:t xml:space="preserve"> (Joint Petition, p. 22.)</w:t>
      </w:r>
    </w:p>
    <w:p w:rsidR="005F1292" w:rsidRPr="005F1292" w:rsidRDefault="005F1292" w:rsidP="005F1292">
      <w:pPr>
        <w:pStyle w:val="ListNumber"/>
        <w:numPr>
          <w:ilvl w:val="0"/>
          <w:numId w:val="0"/>
        </w:numPr>
        <w:spacing w:line="360" w:lineRule="auto"/>
        <w:ind w:firstLine="720"/>
      </w:pPr>
    </w:p>
    <w:p w:rsidR="005F1292" w:rsidRPr="005F1292" w:rsidRDefault="005F1292" w:rsidP="005F1292">
      <w:pPr>
        <w:pStyle w:val="ListNumber"/>
        <w:numPr>
          <w:ilvl w:val="0"/>
          <w:numId w:val="0"/>
        </w:numPr>
        <w:spacing w:line="360" w:lineRule="auto"/>
        <w:ind w:firstLine="720"/>
      </w:pPr>
      <w:r w:rsidRPr="005F1292">
        <w:t xml:space="preserve">            For the reasons similar to those stated by the parties in their respective Statements in Support of the Settlement, I agree that the Settlement is in the public interest and should be approved in its entirety without modification.  </w:t>
      </w:r>
    </w:p>
    <w:p w:rsidR="005F1292" w:rsidRPr="005F1292" w:rsidRDefault="005F1292" w:rsidP="005F1292">
      <w:pPr>
        <w:spacing w:line="360" w:lineRule="auto"/>
        <w:ind w:firstLine="1440"/>
        <w:rPr>
          <w:sz w:val="24"/>
          <w:szCs w:val="24"/>
        </w:rPr>
      </w:pPr>
    </w:p>
    <w:p w:rsidR="005F1292" w:rsidRPr="005F1292" w:rsidRDefault="005F1292" w:rsidP="005F1292">
      <w:pPr>
        <w:spacing w:line="360" w:lineRule="auto"/>
        <w:ind w:firstLine="1440"/>
        <w:rPr>
          <w:sz w:val="24"/>
          <w:szCs w:val="24"/>
        </w:rPr>
      </w:pPr>
      <w:r w:rsidRPr="005F1292">
        <w:rPr>
          <w:sz w:val="24"/>
          <w:szCs w:val="24"/>
        </w:rPr>
        <w:t xml:space="preserve">Finally, as with most Settlements, this Settlement is also in the public interest because it will conserve the resources of the Commission and the parties.  </w:t>
      </w:r>
      <w:r w:rsidRPr="005F1292">
        <w:rPr>
          <w:rFonts w:eastAsiaTheme="minorHAnsi"/>
          <w:sz w:val="24"/>
          <w:szCs w:val="24"/>
        </w:rPr>
        <w:t xml:space="preserve">Settlements lessen the time and expense the parties must expend litigating a case and at the same time conserve administrative hearing resources.  </w:t>
      </w:r>
      <w:r w:rsidRPr="005F1292">
        <w:rPr>
          <w:sz w:val="24"/>
          <w:szCs w:val="24"/>
        </w:rPr>
        <w:t>Although a substantial amount of pre-served testimony has already been submitted in this proceeding, such efforts were necessary to properly examine the Companies</w:t>
      </w:r>
      <w:r w:rsidR="00BF1D31">
        <w:rPr>
          <w:sz w:val="24"/>
          <w:szCs w:val="24"/>
        </w:rPr>
        <w:t>’</w:t>
      </w:r>
      <w:r w:rsidRPr="005F1292">
        <w:rPr>
          <w:sz w:val="24"/>
          <w:szCs w:val="24"/>
        </w:rPr>
        <w:t xml:space="preserve"> filing.  Nonetheless, the resolution of the issues contained in the Settlement will avoid further litigation on those issues, thereby, serving judicial efficiency and allowing the </w:t>
      </w:r>
      <w:r w:rsidRPr="005F1292">
        <w:rPr>
          <w:sz w:val="24"/>
          <w:szCs w:val="24"/>
        </w:rPr>
        <w:lastRenderedPageBreak/>
        <w:t>parties and the Commission to conserve its resources, the costs of which will ultimately be borne by customers.</w:t>
      </w:r>
    </w:p>
    <w:p w:rsidR="005F1292" w:rsidRPr="005F1292" w:rsidRDefault="005F1292" w:rsidP="005F1292">
      <w:pPr>
        <w:spacing w:line="360" w:lineRule="auto"/>
        <w:ind w:firstLine="1440"/>
        <w:rPr>
          <w:rFonts w:eastAsiaTheme="minorHAnsi"/>
          <w:strike/>
          <w:sz w:val="24"/>
          <w:szCs w:val="24"/>
        </w:rPr>
      </w:pPr>
    </w:p>
    <w:p w:rsidR="005F1292" w:rsidRPr="005F1292" w:rsidRDefault="005F1292" w:rsidP="005F1292">
      <w:pPr>
        <w:spacing w:line="360" w:lineRule="auto"/>
        <w:ind w:firstLine="1440"/>
        <w:rPr>
          <w:rFonts w:eastAsiaTheme="minorHAnsi"/>
          <w:sz w:val="24"/>
          <w:szCs w:val="24"/>
        </w:rPr>
      </w:pPr>
      <w:r w:rsidRPr="005F1292">
        <w:rPr>
          <w:rFonts w:eastAsiaTheme="minorHAnsi"/>
          <w:sz w:val="24"/>
          <w:szCs w:val="24"/>
        </w:rPr>
        <w:t xml:space="preserve">As such, each of the provisions of the Settlement is reasonable and supports adopting the Settlement in its entirety, without modification, as being in the public interest and consistent with applicable statutes governing 1307(f) filings.  While none of these provisions individually is substantial, the standard to judge the Settlement is only that the Settlement be in the public interest.  As a whole, the Settlement is in the public interest.  The continuation and/or further refinement of certain issues </w:t>
      </w:r>
      <w:proofErr w:type="gramStart"/>
      <w:r w:rsidRPr="005F1292">
        <w:rPr>
          <w:rFonts w:eastAsiaTheme="minorHAnsi"/>
          <w:sz w:val="24"/>
          <w:szCs w:val="24"/>
        </w:rPr>
        <w:t>is</w:t>
      </w:r>
      <w:proofErr w:type="gramEnd"/>
      <w:r w:rsidRPr="005F1292">
        <w:rPr>
          <w:rFonts w:eastAsiaTheme="minorHAnsi"/>
          <w:sz w:val="24"/>
          <w:szCs w:val="24"/>
        </w:rPr>
        <w:t xml:space="preserve"> reasonable and in the public interest sufficient to support approving the Settlement without modification.  In addition, the issues raised by the Parties in this proceeding were extensively discussed in pre-served testimony that was admitted into the record of this proceeding.  The Settlement is, therefore, also supported by substantial evidence.</w:t>
      </w:r>
    </w:p>
    <w:p w:rsidR="00AC4699" w:rsidRDefault="00F61EE6" w:rsidP="009C7AFC">
      <w:pPr>
        <w:pStyle w:val="Heading1"/>
        <w:numPr>
          <w:ilvl w:val="0"/>
          <w:numId w:val="0"/>
        </w:numPr>
        <w:spacing w:after="0" w:line="360" w:lineRule="auto"/>
        <w:rPr>
          <w:b w:val="0"/>
          <w:bCs w:val="0"/>
          <w:caps w:val="0"/>
          <w:szCs w:val="24"/>
          <w:u w:val="none"/>
        </w:rPr>
      </w:pPr>
      <w:r w:rsidRPr="005F1292">
        <w:rPr>
          <w:b w:val="0"/>
          <w:bCs w:val="0"/>
          <w:caps w:val="0"/>
          <w:szCs w:val="24"/>
          <w:u w:val="none"/>
        </w:rPr>
        <w:tab/>
      </w:r>
    </w:p>
    <w:p w:rsidR="00793F9C" w:rsidRPr="002A249E" w:rsidRDefault="00AC4699" w:rsidP="00AC4699">
      <w:pPr>
        <w:pStyle w:val="Heading1"/>
        <w:numPr>
          <w:ilvl w:val="0"/>
          <w:numId w:val="0"/>
        </w:numPr>
        <w:spacing w:line="480" w:lineRule="auto"/>
        <w:jc w:val="center"/>
        <w:rPr>
          <w:b w:val="0"/>
          <w:szCs w:val="24"/>
        </w:rPr>
      </w:pPr>
      <w:r>
        <w:rPr>
          <w:b w:val="0"/>
          <w:bCs w:val="0"/>
          <w:caps w:val="0"/>
          <w:szCs w:val="24"/>
          <w:u w:val="none"/>
        </w:rPr>
        <w:t>V.</w:t>
      </w:r>
      <w:r>
        <w:rPr>
          <w:b w:val="0"/>
          <w:bCs w:val="0"/>
          <w:caps w:val="0"/>
          <w:szCs w:val="24"/>
          <w:u w:val="none"/>
        </w:rPr>
        <w:tab/>
      </w:r>
      <w:r w:rsidR="00793F9C" w:rsidRPr="002A249E">
        <w:rPr>
          <w:b w:val="0"/>
          <w:szCs w:val="24"/>
        </w:rPr>
        <w:t>CONCLUSION</w:t>
      </w:r>
    </w:p>
    <w:p w:rsidR="00793F9C" w:rsidRPr="00BE36DF" w:rsidRDefault="00793F9C" w:rsidP="00AC4699">
      <w:pPr>
        <w:spacing w:line="360" w:lineRule="auto"/>
        <w:rPr>
          <w:sz w:val="24"/>
          <w:szCs w:val="24"/>
        </w:rPr>
      </w:pPr>
      <w:r w:rsidRPr="00BE36DF">
        <w:rPr>
          <w:sz w:val="24"/>
          <w:szCs w:val="24"/>
        </w:rPr>
        <w:tab/>
      </w:r>
      <w:r>
        <w:rPr>
          <w:sz w:val="24"/>
          <w:szCs w:val="24"/>
        </w:rPr>
        <w:tab/>
      </w:r>
      <w:r w:rsidRPr="00BE36DF">
        <w:rPr>
          <w:sz w:val="24"/>
          <w:szCs w:val="24"/>
        </w:rPr>
        <w:t>For the reasons set forth in the Joint Petition, as well as the additional factors enumerated in the Statements in Support of Settlement filed by the Settling Parties, the proposed Settlement is in the public interest and supported by substantial evidence.  The Settlement addresses all of the statutory requirements and is therefore recommended for approval in its entirety, without modification.</w:t>
      </w:r>
    </w:p>
    <w:p w:rsidR="00793F9C" w:rsidRDefault="00793F9C" w:rsidP="00316509">
      <w:pPr>
        <w:pStyle w:val="ListNumber"/>
        <w:numPr>
          <w:ilvl w:val="0"/>
          <w:numId w:val="0"/>
        </w:numPr>
      </w:pPr>
    </w:p>
    <w:p w:rsidR="00304E9F" w:rsidRDefault="00AC4699" w:rsidP="00CD7292">
      <w:pPr>
        <w:pStyle w:val="Heading1"/>
        <w:keepNext/>
        <w:numPr>
          <w:ilvl w:val="0"/>
          <w:numId w:val="0"/>
        </w:numPr>
        <w:spacing w:line="360" w:lineRule="auto"/>
        <w:ind w:left="720" w:hanging="720"/>
        <w:jc w:val="center"/>
        <w:rPr>
          <w:b w:val="0"/>
        </w:rPr>
      </w:pPr>
      <w:r w:rsidRPr="00AC4699">
        <w:rPr>
          <w:b w:val="0"/>
          <w:u w:val="none"/>
        </w:rPr>
        <w:t>VI.</w:t>
      </w:r>
      <w:r w:rsidRPr="00AC4699">
        <w:rPr>
          <w:b w:val="0"/>
          <w:u w:val="none"/>
        </w:rPr>
        <w:tab/>
      </w:r>
      <w:r w:rsidR="00304E9F" w:rsidRPr="008B43E8">
        <w:rPr>
          <w:b w:val="0"/>
        </w:rPr>
        <w:t>Conclusions of Law</w:t>
      </w:r>
    </w:p>
    <w:p w:rsidR="008B43E8" w:rsidRPr="008B43E8" w:rsidRDefault="008B43E8" w:rsidP="00CD7292">
      <w:pPr>
        <w:pStyle w:val="BodyText2"/>
        <w:spacing w:after="0" w:line="360" w:lineRule="auto"/>
      </w:pPr>
    </w:p>
    <w:p w:rsidR="00304E9F" w:rsidRDefault="00DD54F9" w:rsidP="00CD7292">
      <w:pPr>
        <w:pStyle w:val="ListNumber"/>
        <w:numPr>
          <w:ilvl w:val="0"/>
          <w:numId w:val="0"/>
        </w:numPr>
        <w:spacing w:line="360" w:lineRule="auto"/>
        <w:ind w:firstLine="1440"/>
      </w:pPr>
      <w:r>
        <w:t>1.</w:t>
      </w:r>
      <w:r w:rsidR="008B43E8">
        <w:tab/>
      </w:r>
      <w:r w:rsidR="00304E9F" w:rsidRPr="00B64961">
        <w:t xml:space="preserve">The Commission has jurisdiction over the parties and subject matter of this proceeding.  </w:t>
      </w:r>
      <w:proofErr w:type="gramStart"/>
      <w:r w:rsidR="00304E9F" w:rsidRPr="00B64961">
        <w:t xml:space="preserve">66 </w:t>
      </w:r>
      <w:proofErr w:type="spellStart"/>
      <w:r w:rsidR="00304E9F" w:rsidRPr="00B64961">
        <w:t>Pa.C.S</w:t>
      </w:r>
      <w:proofErr w:type="spellEnd"/>
      <w:r w:rsidR="00304E9F" w:rsidRPr="00B64961">
        <w:t>.</w:t>
      </w:r>
      <w:proofErr w:type="gramEnd"/>
      <w:r w:rsidR="00304E9F" w:rsidRPr="00B64961">
        <w:t xml:space="preserve"> </w:t>
      </w:r>
      <w:r w:rsidR="00304E9F" w:rsidRPr="004A58B9">
        <w:t xml:space="preserve">§§ 1307(f), 1317-18. </w:t>
      </w:r>
    </w:p>
    <w:p w:rsidR="008B43E8" w:rsidRDefault="008B43E8" w:rsidP="00AC4699">
      <w:pPr>
        <w:pStyle w:val="ListNumber"/>
        <w:numPr>
          <w:ilvl w:val="0"/>
          <w:numId w:val="0"/>
        </w:numPr>
        <w:spacing w:line="360" w:lineRule="auto"/>
        <w:ind w:left="720"/>
      </w:pPr>
    </w:p>
    <w:p w:rsidR="00304E9F" w:rsidRDefault="00DD54F9" w:rsidP="00CD7292">
      <w:pPr>
        <w:pStyle w:val="ListNumber"/>
        <w:numPr>
          <w:ilvl w:val="0"/>
          <w:numId w:val="0"/>
        </w:numPr>
        <w:spacing w:line="360" w:lineRule="auto"/>
        <w:ind w:firstLine="1440"/>
      </w:pPr>
      <w:r>
        <w:t>2.</w:t>
      </w:r>
      <w:r w:rsidR="008B43E8">
        <w:tab/>
      </w:r>
      <w:r w:rsidR="00304E9F">
        <w:t xml:space="preserve">With respect to Peoples Division’s and Peoples-Equitable Division’s gas purchases and gas purchasing practices during the 12-month historical reconciliation period ended January 31, 2016, Peoples Division and Peoples-Equitable Division have met the standards of Section 1318 of the Public Utility Code, 66 </w:t>
      </w:r>
      <w:proofErr w:type="spellStart"/>
      <w:r w:rsidR="00304E9F">
        <w:t>Pa.C.S</w:t>
      </w:r>
      <w:proofErr w:type="spellEnd"/>
      <w:r w:rsidR="00304E9F">
        <w:t xml:space="preserve">. § 1318, as required by Section </w:t>
      </w:r>
      <w:r w:rsidR="00304E9F">
        <w:lastRenderedPageBreak/>
        <w:t>1307(f</w:t>
      </w:r>
      <w:proofErr w:type="gramStart"/>
      <w:r w:rsidR="00304E9F">
        <w:t>)(</w:t>
      </w:r>
      <w:proofErr w:type="gramEnd"/>
      <w:r w:rsidR="00304E9F">
        <w:t xml:space="preserve">5) of the Public Utility Code, 66 </w:t>
      </w:r>
      <w:proofErr w:type="spellStart"/>
      <w:r w:rsidR="00304E9F">
        <w:t>Pa.C.S</w:t>
      </w:r>
      <w:proofErr w:type="spellEnd"/>
      <w:r w:rsidR="00304E9F">
        <w:t>. § 1307(f)(5), as to all actual purchased gas costs in the historical period</w:t>
      </w:r>
      <w:r w:rsidR="00505D10">
        <w:t xml:space="preserve">, </w:t>
      </w:r>
      <w:r w:rsidR="00304E9F">
        <w:t>during the 12 months ended January 31, 2016:</w:t>
      </w:r>
    </w:p>
    <w:p w:rsidR="00CD7292" w:rsidRPr="00CD7292" w:rsidRDefault="00CD7292" w:rsidP="00CD7292">
      <w:pPr>
        <w:pStyle w:val="ListNumber"/>
        <w:numPr>
          <w:ilvl w:val="0"/>
          <w:numId w:val="0"/>
        </w:numPr>
        <w:spacing w:line="360" w:lineRule="auto"/>
        <w:ind w:firstLine="720"/>
      </w:pPr>
    </w:p>
    <w:p w:rsidR="00304E9F" w:rsidRDefault="00CD7292" w:rsidP="00350EC2">
      <w:pPr>
        <w:pStyle w:val="Heading4"/>
        <w:numPr>
          <w:ilvl w:val="0"/>
          <w:numId w:val="0"/>
        </w:numPr>
        <w:spacing w:after="0" w:line="360" w:lineRule="auto"/>
        <w:ind w:firstLine="2160"/>
        <w:jc w:val="left"/>
        <w:rPr>
          <w:b w:val="0"/>
        </w:rPr>
      </w:pPr>
      <w:r>
        <w:rPr>
          <w:b w:val="0"/>
        </w:rPr>
        <w:t>a.</w:t>
      </w:r>
      <w:r>
        <w:rPr>
          <w:b w:val="0"/>
        </w:rPr>
        <w:tab/>
      </w:r>
      <w:r w:rsidR="00304E9F" w:rsidRPr="00CD7292">
        <w:rPr>
          <w:b w:val="0"/>
        </w:rPr>
        <w:t>Peoples Division and Peoples-Equitable Division met the requirements of Section 1318(a) of the Public Utility Code by pursuing a least-cost fuel procurement policy, consistent with their obligations to provide safe, adequate, and reliable service to their customers; and</w:t>
      </w:r>
    </w:p>
    <w:p w:rsidR="008C5834" w:rsidRPr="008C5834" w:rsidRDefault="008C5834" w:rsidP="008C5834">
      <w:pPr>
        <w:pStyle w:val="BodyText2"/>
        <w:spacing w:after="0" w:line="360" w:lineRule="auto"/>
      </w:pPr>
    </w:p>
    <w:p w:rsidR="00304E9F" w:rsidRDefault="00CD7292" w:rsidP="00350EC2">
      <w:pPr>
        <w:pStyle w:val="Heading4"/>
        <w:numPr>
          <w:ilvl w:val="0"/>
          <w:numId w:val="0"/>
        </w:numPr>
        <w:spacing w:after="0" w:line="360" w:lineRule="auto"/>
        <w:ind w:firstLine="2160"/>
        <w:jc w:val="left"/>
        <w:rPr>
          <w:b w:val="0"/>
        </w:rPr>
      </w:pPr>
      <w:r>
        <w:rPr>
          <w:b w:val="0"/>
        </w:rPr>
        <w:t>b.</w:t>
      </w:r>
      <w:r>
        <w:rPr>
          <w:b w:val="0"/>
        </w:rPr>
        <w:tab/>
      </w:r>
      <w:r w:rsidR="00304E9F" w:rsidRPr="00CD7292">
        <w:rPr>
          <w:b w:val="0"/>
        </w:rPr>
        <w:t>All gas exchanges by Peoples Division and Peoples-Equitable Division with entities that are considered an affiliated interest have met the requirements of Section 1318(b) of the Public Utility Code relating to purchases from and services provided by entities that are considered affiliates.</w:t>
      </w:r>
    </w:p>
    <w:p w:rsidR="00CD7292" w:rsidRPr="00CD7292" w:rsidRDefault="00CD7292" w:rsidP="007A3808">
      <w:pPr>
        <w:pStyle w:val="BodyText2"/>
        <w:spacing w:after="0" w:line="360" w:lineRule="auto"/>
      </w:pPr>
    </w:p>
    <w:p w:rsidR="00304E9F" w:rsidRDefault="00DD54F9" w:rsidP="00CD7292">
      <w:pPr>
        <w:pStyle w:val="ListNumber"/>
        <w:numPr>
          <w:ilvl w:val="0"/>
          <w:numId w:val="0"/>
        </w:numPr>
        <w:spacing w:line="360" w:lineRule="auto"/>
        <w:ind w:firstLine="1440"/>
      </w:pPr>
      <w:r>
        <w:t>3.</w:t>
      </w:r>
      <w:r w:rsidR="00505D10">
        <w:tab/>
      </w:r>
      <w:r w:rsidR="00304E9F" w:rsidRPr="004A58B9">
        <w:t xml:space="preserve">Peoples Division and Peoples-Equitable </w:t>
      </w:r>
      <w:r w:rsidR="00304E9F">
        <w:t xml:space="preserve">Division </w:t>
      </w:r>
      <w:r w:rsidR="00304E9F" w:rsidRPr="004A58B9">
        <w:t xml:space="preserve">have fully and vigorously represented the interests of their ratepayers in proceedings before </w:t>
      </w:r>
      <w:r w:rsidR="00304E9F">
        <w:t xml:space="preserve">FERC </w:t>
      </w:r>
      <w:r w:rsidR="00304E9F" w:rsidRPr="004A58B9">
        <w:t>and other relevant non-</w:t>
      </w:r>
      <w:r w:rsidR="00304E9F">
        <w:t>Commission</w:t>
      </w:r>
      <w:r w:rsidR="00304E9F" w:rsidRPr="004A58B9">
        <w:t xml:space="preserve"> proceedings during the relevant time period in compliance with 66 </w:t>
      </w:r>
      <w:proofErr w:type="spellStart"/>
      <w:r w:rsidR="00304E9F" w:rsidRPr="004A58B9">
        <w:t>Pa.C.S</w:t>
      </w:r>
      <w:proofErr w:type="spellEnd"/>
      <w:r w:rsidR="00304E9F" w:rsidRPr="004A58B9">
        <w:t>. § 1318(a</w:t>
      </w:r>
      <w:proofErr w:type="gramStart"/>
      <w:r w:rsidR="00304E9F" w:rsidRPr="004A58B9">
        <w:t>)(</w:t>
      </w:r>
      <w:proofErr w:type="gramEnd"/>
      <w:r w:rsidR="00304E9F" w:rsidRPr="004A58B9">
        <w:t xml:space="preserve">1). </w:t>
      </w:r>
    </w:p>
    <w:p w:rsidR="00CD7292" w:rsidRDefault="00CD7292" w:rsidP="00CD7292">
      <w:pPr>
        <w:pStyle w:val="ListNumber"/>
        <w:numPr>
          <w:ilvl w:val="0"/>
          <w:numId w:val="0"/>
        </w:numPr>
        <w:spacing w:line="360" w:lineRule="auto"/>
        <w:ind w:firstLine="1440"/>
      </w:pPr>
    </w:p>
    <w:p w:rsidR="00304E9F" w:rsidRDefault="00DD54F9" w:rsidP="00CD7292">
      <w:pPr>
        <w:pStyle w:val="ListNumber"/>
        <w:numPr>
          <w:ilvl w:val="0"/>
          <w:numId w:val="0"/>
        </w:numPr>
        <w:spacing w:line="360" w:lineRule="auto"/>
        <w:ind w:firstLine="1440"/>
      </w:pPr>
      <w:r>
        <w:t>4.</w:t>
      </w:r>
      <w:r w:rsidR="00505D10">
        <w:tab/>
      </w:r>
      <w:r w:rsidR="00304E9F" w:rsidRPr="004A58B9">
        <w:t xml:space="preserve">Peoples Division and Peoples-Equitable </w:t>
      </w:r>
      <w:r w:rsidR="00304E9F">
        <w:t xml:space="preserve">Division </w:t>
      </w:r>
      <w:r w:rsidR="00304E9F" w:rsidRPr="004A58B9">
        <w:t xml:space="preserve">have taken all prudent steps necessary to negotiate favorable gas supply contracts and to relieve the utilities from terms in existing contracts with their gas suppliers which are or may be adverse to the interests of the utilities’ ratepayers in compliance with 66 </w:t>
      </w:r>
      <w:proofErr w:type="spellStart"/>
      <w:r w:rsidR="00304E9F" w:rsidRPr="004A58B9">
        <w:t>Pa.C.S</w:t>
      </w:r>
      <w:proofErr w:type="spellEnd"/>
      <w:r w:rsidR="00304E9F" w:rsidRPr="004A58B9">
        <w:t>. § 1318(a</w:t>
      </w:r>
      <w:proofErr w:type="gramStart"/>
      <w:r w:rsidR="00304E9F" w:rsidRPr="004A58B9">
        <w:t>)(</w:t>
      </w:r>
      <w:proofErr w:type="gramEnd"/>
      <w:r w:rsidR="00304E9F" w:rsidRPr="004A58B9">
        <w:t xml:space="preserve">2). </w:t>
      </w:r>
    </w:p>
    <w:p w:rsidR="00CD7292" w:rsidRDefault="00CD7292" w:rsidP="00CD7292">
      <w:pPr>
        <w:pStyle w:val="ListNumber"/>
        <w:numPr>
          <w:ilvl w:val="0"/>
          <w:numId w:val="0"/>
        </w:numPr>
        <w:spacing w:line="360" w:lineRule="auto"/>
        <w:ind w:left="720" w:firstLine="720"/>
      </w:pPr>
    </w:p>
    <w:p w:rsidR="00304E9F" w:rsidRDefault="00DD54F9" w:rsidP="00CD7292">
      <w:pPr>
        <w:pStyle w:val="ListNumber"/>
        <w:numPr>
          <w:ilvl w:val="0"/>
          <w:numId w:val="0"/>
        </w:numPr>
        <w:spacing w:line="360" w:lineRule="auto"/>
        <w:ind w:firstLine="1440"/>
      </w:pPr>
      <w:r>
        <w:t>5.</w:t>
      </w:r>
      <w:r w:rsidR="00505D10">
        <w:tab/>
      </w:r>
      <w:r w:rsidR="00304E9F" w:rsidRPr="004A58B9">
        <w:t xml:space="preserve">Peoples Division and Peoples-Equitable </w:t>
      </w:r>
      <w:r w:rsidR="00304E9F">
        <w:t xml:space="preserve">Division </w:t>
      </w:r>
      <w:r w:rsidR="00304E9F" w:rsidRPr="004A58B9">
        <w:t xml:space="preserve">have taken all prudent steps necessary to obtain lower cost gas supplies on both short-term and long-term bases both within and outside the Commonwealth, including the use of gas transportation arrangements with pipelines and other distribution companies in compliance with 66 </w:t>
      </w:r>
      <w:proofErr w:type="spellStart"/>
      <w:r w:rsidR="00304E9F" w:rsidRPr="004A58B9">
        <w:t>Pa.C.S</w:t>
      </w:r>
      <w:proofErr w:type="spellEnd"/>
      <w:r w:rsidR="00304E9F" w:rsidRPr="004A58B9">
        <w:t>. § 1318(a</w:t>
      </w:r>
      <w:proofErr w:type="gramStart"/>
      <w:r w:rsidR="00304E9F" w:rsidRPr="004A58B9">
        <w:t>)(</w:t>
      </w:r>
      <w:proofErr w:type="gramEnd"/>
      <w:r w:rsidR="00304E9F" w:rsidRPr="004A58B9">
        <w:t xml:space="preserve">3). </w:t>
      </w:r>
    </w:p>
    <w:p w:rsidR="00CD7292" w:rsidRDefault="00CD7292" w:rsidP="00CD7292">
      <w:pPr>
        <w:pStyle w:val="ListNumber"/>
        <w:numPr>
          <w:ilvl w:val="0"/>
          <w:numId w:val="0"/>
        </w:numPr>
        <w:spacing w:line="360" w:lineRule="auto"/>
        <w:ind w:firstLine="1440"/>
      </w:pPr>
    </w:p>
    <w:p w:rsidR="00304E9F" w:rsidRDefault="00DD54F9" w:rsidP="00227B15">
      <w:pPr>
        <w:pStyle w:val="ListNumber"/>
        <w:numPr>
          <w:ilvl w:val="0"/>
          <w:numId w:val="0"/>
        </w:numPr>
        <w:spacing w:line="360" w:lineRule="auto"/>
        <w:ind w:firstLine="1440"/>
      </w:pPr>
      <w:r>
        <w:t>6.</w:t>
      </w:r>
      <w:r w:rsidR="00505D10">
        <w:tab/>
      </w:r>
      <w:r w:rsidR="00304E9F" w:rsidRPr="00B64961">
        <w:t xml:space="preserve">Peoples Division </w:t>
      </w:r>
      <w:r w:rsidR="00304E9F">
        <w:t>and Peoples-Equitable Division have</w:t>
      </w:r>
      <w:r w:rsidR="00304E9F" w:rsidRPr="00B64961">
        <w:t xml:space="preserve"> not withheld from the market or caused to be withheld from the market any gas supplies which should have been </w:t>
      </w:r>
      <w:r w:rsidR="00304E9F" w:rsidRPr="00B64961">
        <w:lastRenderedPageBreak/>
        <w:t xml:space="preserve">utilized as part of a least cost fuel procurement policy in compliance with 66 </w:t>
      </w:r>
      <w:proofErr w:type="spellStart"/>
      <w:r w:rsidR="00304E9F" w:rsidRPr="00B64961">
        <w:t>Pa.C.S</w:t>
      </w:r>
      <w:proofErr w:type="spellEnd"/>
      <w:r w:rsidR="00304E9F" w:rsidRPr="00B64961">
        <w:t xml:space="preserve">. </w:t>
      </w:r>
      <w:r w:rsidR="00304E9F" w:rsidRPr="004A58B9">
        <w:t>§ 1318(a</w:t>
      </w:r>
      <w:proofErr w:type="gramStart"/>
      <w:r w:rsidR="00304E9F" w:rsidRPr="004A58B9">
        <w:t>)(</w:t>
      </w:r>
      <w:proofErr w:type="gramEnd"/>
      <w:r w:rsidR="00304E9F" w:rsidRPr="004A58B9">
        <w:t xml:space="preserve">4). </w:t>
      </w:r>
    </w:p>
    <w:p w:rsidR="00227B15" w:rsidRDefault="00227B15" w:rsidP="00227B15">
      <w:pPr>
        <w:pStyle w:val="ListNumber"/>
        <w:numPr>
          <w:ilvl w:val="0"/>
          <w:numId w:val="0"/>
        </w:numPr>
        <w:spacing w:line="360" w:lineRule="auto"/>
        <w:ind w:firstLine="720"/>
      </w:pPr>
    </w:p>
    <w:p w:rsidR="00304E9F" w:rsidRDefault="00DD54F9" w:rsidP="00227B15">
      <w:pPr>
        <w:pStyle w:val="ListNumber"/>
        <w:numPr>
          <w:ilvl w:val="0"/>
          <w:numId w:val="0"/>
        </w:numPr>
        <w:spacing w:line="360" w:lineRule="auto"/>
        <w:ind w:firstLine="1440"/>
      </w:pPr>
      <w:r>
        <w:t>7.</w:t>
      </w:r>
      <w:r w:rsidR="00505D10">
        <w:tab/>
      </w:r>
      <w:r w:rsidR="00304E9F" w:rsidRPr="004A58B9">
        <w:t xml:space="preserve">Peoples Division and Peoples-Equitable </w:t>
      </w:r>
      <w:r w:rsidR="00304E9F">
        <w:t xml:space="preserve">Division </w:t>
      </w:r>
      <w:r w:rsidR="00304E9F" w:rsidRPr="004A58B9">
        <w:t xml:space="preserve">have fully and vigorously attempted to obtain less costly gas supplies on both short-term and long-term bases from nonaffiliated interests in compliance with 66 </w:t>
      </w:r>
      <w:proofErr w:type="spellStart"/>
      <w:r w:rsidR="00304E9F" w:rsidRPr="004A58B9">
        <w:t>Pa.C.S</w:t>
      </w:r>
      <w:proofErr w:type="spellEnd"/>
      <w:r w:rsidR="00304E9F" w:rsidRPr="004A58B9">
        <w:t>. § 1318(b</w:t>
      </w:r>
      <w:proofErr w:type="gramStart"/>
      <w:r w:rsidR="00304E9F" w:rsidRPr="004A58B9">
        <w:t>)(</w:t>
      </w:r>
      <w:proofErr w:type="gramEnd"/>
      <w:r w:rsidR="00304E9F" w:rsidRPr="004A58B9">
        <w:t xml:space="preserve">1). </w:t>
      </w:r>
    </w:p>
    <w:p w:rsidR="00227B15" w:rsidRDefault="00227B15" w:rsidP="00227B15">
      <w:pPr>
        <w:pStyle w:val="ListNumber"/>
        <w:numPr>
          <w:ilvl w:val="0"/>
          <w:numId w:val="0"/>
        </w:numPr>
        <w:spacing w:line="360" w:lineRule="auto"/>
        <w:ind w:left="720" w:firstLine="720"/>
      </w:pPr>
    </w:p>
    <w:p w:rsidR="00675679" w:rsidRDefault="00227B15" w:rsidP="00227B15">
      <w:pPr>
        <w:pStyle w:val="ListNumber"/>
        <w:numPr>
          <w:ilvl w:val="0"/>
          <w:numId w:val="0"/>
        </w:numPr>
        <w:spacing w:line="360" w:lineRule="auto"/>
        <w:ind w:firstLine="720"/>
      </w:pPr>
      <w:r>
        <w:tab/>
      </w:r>
      <w:r w:rsidR="00DD54F9">
        <w:t>8.</w:t>
      </w:r>
      <w:r w:rsidR="00505D10">
        <w:tab/>
      </w:r>
      <w:r w:rsidR="00304E9F" w:rsidRPr="004A58B9">
        <w:t>Neither Peoples Division, nor Peoples-Equitable</w:t>
      </w:r>
      <w:r w:rsidR="00304E9F" w:rsidRPr="00B9428E">
        <w:t xml:space="preserve"> </w:t>
      </w:r>
      <w:r w:rsidR="00304E9F">
        <w:t>Division</w:t>
      </w:r>
      <w:r w:rsidR="00304E9F" w:rsidRPr="004A58B9">
        <w:t xml:space="preserve">, nor their affiliated interests have withheld from the market any gas supplies which should have been utilized as part of a least cost fuel procurement policy in compliance with 66 </w:t>
      </w:r>
      <w:proofErr w:type="spellStart"/>
      <w:r w:rsidR="00304E9F" w:rsidRPr="004A58B9">
        <w:t>Pa.C.S</w:t>
      </w:r>
      <w:proofErr w:type="spellEnd"/>
      <w:r w:rsidR="00304E9F" w:rsidRPr="004A58B9">
        <w:t>. § 1318(b</w:t>
      </w:r>
      <w:proofErr w:type="gramStart"/>
      <w:r w:rsidR="00304E9F" w:rsidRPr="004A58B9">
        <w:t>)(</w:t>
      </w:r>
      <w:proofErr w:type="gramEnd"/>
      <w:r w:rsidR="00304E9F" w:rsidRPr="004A58B9">
        <w:t>3).</w:t>
      </w:r>
    </w:p>
    <w:p w:rsidR="00675679" w:rsidRDefault="00675679" w:rsidP="00227B15">
      <w:pPr>
        <w:pStyle w:val="ListNumber"/>
        <w:numPr>
          <w:ilvl w:val="0"/>
          <w:numId w:val="0"/>
        </w:numPr>
        <w:spacing w:line="360" w:lineRule="auto"/>
        <w:ind w:firstLine="720"/>
      </w:pPr>
    </w:p>
    <w:p w:rsidR="00304E9F" w:rsidRDefault="00DD54F9" w:rsidP="00227B15">
      <w:pPr>
        <w:pStyle w:val="ListNumber"/>
        <w:numPr>
          <w:ilvl w:val="0"/>
          <w:numId w:val="0"/>
        </w:numPr>
        <w:spacing w:line="360" w:lineRule="auto"/>
        <w:ind w:firstLine="1440"/>
      </w:pPr>
      <w:r>
        <w:t>9.</w:t>
      </w:r>
      <w:r w:rsidR="00505D10">
        <w:tab/>
      </w:r>
      <w:r w:rsidR="00304E9F">
        <w:t>During the eight-month interim period beginning February 1, 2016, and the projected 12-month period beginning October 1, 2016, when rates contained in this Settlement will be in effect,</w:t>
      </w:r>
      <w:r w:rsidR="00394060">
        <w:rPr>
          <w:rStyle w:val="FootnoteReference"/>
        </w:rPr>
        <w:footnoteReference w:id="11"/>
      </w:r>
      <w:r w:rsidR="00304E9F">
        <w:t xml:space="preserve"> based upon information presently available and based upon evidence of record in this proceeding concerning Peoples Division’s</w:t>
      </w:r>
      <w:r w:rsidR="00304E9F" w:rsidRPr="004A58B9">
        <w:t xml:space="preserve"> and Peoples-Equitable </w:t>
      </w:r>
      <w:r w:rsidR="00304E9F">
        <w:t xml:space="preserve">Division’s projected purchases and purchasing policies, the rates to be adopted by the Commission result from </w:t>
      </w:r>
      <w:r w:rsidR="00304E9F" w:rsidRPr="004A58B9">
        <w:t>Peoples Division</w:t>
      </w:r>
      <w:r w:rsidR="00304E9F">
        <w:t>’s</w:t>
      </w:r>
      <w:r w:rsidR="00304E9F" w:rsidRPr="004A58B9">
        <w:t xml:space="preserve"> and Peoples-Equitable </w:t>
      </w:r>
      <w:r w:rsidR="00304E9F">
        <w:t xml:space="preserve">Division’s compliance with the provisions of Section 1318 of the Public Utility Code, including subsections (a)(1)-(4) and (b)(1)-(3).  </w:t>
      </w:r>
      <w:proofErr w:type="gramStart"/>
      <w:r w:rsidR="00304E9F">
        <w:t xml:space="preserve">66 </w:t>
      </w:r>
      <w:proofErr w:type="spellStart"/>
      <w:r w:rsidR="00304E9F">
        <w:t>Pa.C.S</w:t>
      </w:r>
      <w:proofErr w:type="spellEnd"/>
      <w:r w:rsidR="00304E9F">
        <w:t>.</w:t>
      </w:r>
      <w:proofErr w:type="gramEnd"/>
      <w:r w:rsidR="00304E9F">
        <w:t xml:space="preserve"> § 1318(a</w:t>
      </w:r>
      <w:proofErr w:type="gramStart"/>
      <w:r w:rsidR="00304E9F">
        <w:t>)(</w:t>
      </w:r>
      <w:proofErr w:type="gramEnd"/>
      <w:r w:rsidR="00304E9F">
        <w:t>1)-(4), (b)(1)-(3).  I</w:t>
      </w:r>
      <w:r w:rsidR="00304E9F" w:rsidRPr="009521BF">
        <w:t xml:space="preserve">t is expressly understood and agreed that this </w:t>
      </w:r>
      <w:r w:rsidR="00304E9F">
        <w:t>finding</w:t>
      </w:r>
      <w:r w:rsidR="00304E9F" w:rsidRPr="009521BF">
        <w:t xml:space="preserve"> is made solely for the purpose of setting prospective rates that shall </w:t>
      </w:r>
      <w:r w:rsidR="00304E9F">
        <w:t xml:space="preserve">continue to </w:t>
      </w:r>
      <w:r w:rsidR="00304E9F" w:rsidRPr="009521BF">
        <w:t>be subject to the standards of Section 1318 of the Public Utility Code, 66</w:t>
      </w:r>
      <w:r w:rsidR="007C420E">
        <w:t> </w:t>
      </w:r>
      <w:proofErr w:type="spellStart"/>
      <w:r w:rsidR="00304E9F" w:rsidRPr="009521BF">
        <w:t>Pa.C.S</w:t>
      </w:r>
      <w:proofErr w:type="spellEnd"/>
      <w:r w:rsidR="00304E9F" w:rsidRPr="009521BF">
        <w:t>. § 1318, and to further review in an appropriate future proceeding.</w:t>
      </w:r>
      <w:r w:rsidR="00304E9F">
        <w:t xml:space="preserve">  This provision is not intended to limit or prevent I&amp;E, OCA, or OSBA from reviewing, after such projected gas purchases actually have been made and gas purchasing practices actually have been implemented, whether </w:t>
      </w:r>
      <w:r w:rsidR="00304E9F" w:rsidRPr="004A58B9">
        <w:t>Peoples Division</w:t>
      </w:r>
      <w:r w:rsidR="00304E9F">
        <w:t>’s</w:t>
      </w:r>
      <w:r w:rsidR="00304E9F" w:rsidRPr="004A58B9">
        <w:t xml:space="preserve"> and Peoples-Equitable </w:t>
      </w:r>
      <w:r w:rsidR="00304E9F">
        <w:t xml:space="preserve">Division’s gas purchases and gas purchasing practices complied with Section 1318.  If in an appropriate future proceeding </w:t>
      </w:r>
      <w:r w:rsidR="00304E9F" w:rsidRPr="004A58B9">
        <w:t>Peoples Division</w:t>
      </w:r>
      <w:r w:rsidR="00304E9F">
        <w:t>’s</w:t>
      </w:r>
      <w:r w:rsidR="00304E9F" w:rsidRPr="004A58B9">
        <w:t xml:space="preserve"> and Peoples-Equitable </w:t>
      </w:r>
      <w:r w:rsidR="00304E9F">
        <w:t xml:space="preserve">Division’s gas purchases and gas purchasing practices from February 1, 2016, through September 30, 2017, were challenged, the Commission’s findings based upon this </w:t>
      </w:r>
      <w:r w:rsidR="00304E9F">
        <w:lastRenderedPageBreak/>
        <w:t>provision shall not bar the examination of such purchases and practices, including, but not limited to, disallowance of or reductions to such costs during the eight-month interim period commencing February 1, 2016, and the 12-month application period commencing October 1, 2016, and ending September 30, 2017.</w:t>
      </w:r>
      <w:r w:rsidR="00304E9F" w:rsidRPr="004A58B9">
        <w:t xml:space="preserve"> </w:t>
      </w:r>
    </w:p>
    <w:p w:rsidR="00227B15" w:rsidRDefault="00227B15" w:rsidP="00227B15">
      <w:pPr>
        <w:pStyle w:val="ListNumber"/>
        <w:numPr>
          <w:ilvl w:val="0"/>
          <w:numId w:val="0"/>
        </w:numPr>
        <w:spacing w:line="360" w:lineRule="auto"/>
        <w:ind w:firstLine="1440"/>
      </w:pPr>
    </w:p>
    <w:p w:rsidR="00304E9F" w:rsidRPr="00A11E79" w:rsidRDefault="00DD54F9" w:rsidP="00227B15">
      <w:pPr>
        <w:pStyle w:val="ListNumber"/>
        <w:numPr>
          <w:ilvl w:val="0"/>
          <w:numId w:val="0"/>
        </w:numPr>
        <w:spacing w:line="360" w:lineRule="auto"/>
        <w:ind w:left="720" w:firstLine="720"/>
      </w:pPr>
      <w:r>
        <w:t>10.</w:t>
      </w:r>
      <w:r w:rsidR="00505D10">
        <w:tab/>
      </w:r>
      <w:r w:rsidR="00304E9F" w:rsidRPr="004A58B9">
        <w:t xml:space="preserve">The Joint Petition </w:t>
      </w:r>
      <w:r w:rsidR="00304E9F">
        <w:t xml:space="preserve">for Settlement </w:t>
      </w:r>
      <w:r w:rsidR="00304E9F" w:rsidRPr="004A58B9">
        <w:t>is in the public interest.</w:t>
      </w:r>
    </w:p>
    <w:p w:rsidR="00304E9F" w:rsidRPr="00A11E79" w:rsidRDefault="00304E9F" w:rsidP="00AC4699">
      <w:pPr>
        <w:pStyle w:val="ListNumber"/>
        <w:numPr>
          <w:ilvl w:val="0"/>
          <w:numId w:val="0"/>
        </w:numPr>
        <w:spacing w:line="360" w:lineRule="auto"/>
      </w:pPr>
    </w:p>
    <w:p w:rsidR="00304E9F" w:rsidRDefault="00DD54F9" w:rsidP="00304E9F">
      <w:pPr>
        <w:spacing w:line="360" w:lineRule="auto"/>
        <w:rPr>
          <w:sz w:val="24"/>
          <w:szCs w:val="24"/>
        </w:rPr>
      </w:pPr>
      <w:r>
        <w:rPr>
          <w:sz w:val="24"/>
          <w:szCs w:val="24"/>
        </w:rPr>
        <w:tab/>
      </w:r>
      <w:r w:rsidR="002D17D8">
        <w:rPr>
          <w:sz w:val="24"/>
          <w:szCs w:val="24"/>
        </w:rPr>
        <w:tab/>
      </w:r>
      <w:r>
        <w:rPr>
          <w:sz w:val="24"/>
          <w:szCs w:val="24"/>
        </w:rPr>
        <w:t xml:space="preserve">The Commission should approve the Joint Petition </w:t>
      </w:r>
      <w:proofErr w:type="gramStart"/>
      <w:r>
        <w:rPr>
          <w:sz w:val="24"/>
          <w:szCs w:val="24"/>
        </w:rPr>
        <w:t>For Settlement Of The</w:t>
      </w:r>
      <w:proofErr w:type="gramEnd"/>
      <w:r>
        <w:rPr>
          <w:sz w:val="24"/>
          <w:szCs w:val="24"/>
        </w:rPr>
        <w:t xml:space="preserve"> Section 1307(f) Rate Investigation that </w:t>
      </w:r>
      <w:r w:rsidR="00125973">
        <w:rPr>
          <w:sz w:val="24"/>
          <w:szCs w:val="24"/>
        </w:rPr>
        <w:t>Peoples Division, Peoples-Equitable Division</w:t>
      </w:r>
      <w:r>
        <w:rPr>
          <w:sz w:val="24"/>
          <w:szCs w:val="24"/>
        </w:rPr>
        <w:t xml:space="preserve">, I&amp;E, OCA, OSBA and PIOGA have submitted at this docket, as in the public interest.  </w:t>
      </w:r>
    </w:p>
    <w:p w:rsidR="006172A3" w:rsidRDefault="006172A3" w:rsidP="00304E9F">
      <w:pPr>
        <w:spacing w:line="360" w:lineRule="auto"/>
        <w:rPr>
          <w:sz w:val="24"/>
          <w:szCs w:val="24"/>
        </w:rPr>
      </w:pPr>
    </w:p>
    <w:p w:rsidR="00304E9F" w:rsidRDefault="00227B15" w:rsidP="00227B15">
      <w:pPr>
        <w:spacing w:line="360" w:lineRule="auto"/>
        <w:jc w:val="center"/>
        <w:rPr>
          <w:sz w:val="24"/>
          <w:szCs w:val="24"/>
          <w:u w:val="single"/>
        </w:rPr>
      </w:pPr>
      <w:r w:rsidRPr="00227B15">
        <w:rPr>
          <w:sz w:val="24"/>
          <w:szCs w:val="24"/>
        </w:rPr>
        <w:t>VII.</w:t>
      </w:r>
      <w:r w:rsidRPr="00227B15">
        <w:rPr>
          <w:sz w:val="24"/>
          <w:szCs w:val="24"/>
        </w:rPr>
        <w:tab/>
      </w:r>
      <w:r w:rsidRPr="00227B15">
        <w:rPr>
          <w:sz w:val="24"/>
          <w:szCs w:val="24"/>
          <w:u w:val="single"/>
        </w:rPr>
        <w:t>OR</w:t>
      </w:r>
      <w:r w:rsidR="00321FB9" w:rsidRPr="00227B15">
        <w:rPr>
          <w:sz w:val="24"/>
          <w:szCs w:val="24"/>
          <w:u w:val="single"/>
        </w:rPr>
        <w:t>DER</w:t>
      </w:r>
    </w:p>
    <w:p w:rsidR="00227B15" w:rsidRPr="00227B15" w:rsidRDefault="00227B15" w:rsidP="00227B15">
      <w:pPr>
        <w:spacing w:line="360" w:lineRule="auto"/>
        <w:jc w:val="center"/>
        <w:rPr>
          <w:sz w:val="24"/>
          <w:szCs w:val="24"/>
          <w:u w:val="single"/>
        </w:rPr>
      </w:pPr>
    </w:p>
    <w:p w:rsidR="00321FB9" w:rsidRDefault="00321FB9" w:rsidP="00304E9F">
      <w:pPr>
        <w:spacing w:line="360" w:lineRule="auto"/>
        <w:rPr>
          <w:sz w:val="24"/>
          <w:szCs w:val="24"/>
          <w:u w:val="single"/>
        </w:rPr>
      </w:pPr>
    </w:p>
    <w:p w:rsidR="00321FB9" w:rsidRPr="00321FB9" w:rsidRDefault="00227B15" w:rsidP="00304E9F">
      <w:pPr>
        <w:spacing w:line="360" w:lineRule="auto"/>
        <w:rPr>
          <w:sz w:val="24"/>
          <w:szCs w:val="24"/>
        </w:rPr>
      </w:pPr>
      <w:r>
        <w:rPr>
          <w:sz w:val="24"/>
          <w:szCs w:val="24"/>
        </w:rPr>
        <w:tab/>
      </w:r>
      <w:r>
        <w:rPr>
          <w:sz w:val="24"/>
          <w:szCs w:val="24"/>
        </w:rPr>
        <w:tab/>
      </w:r>
      <w:r w:rsidR="00321FB9" w:rsidRPr="00321FB9">
        <w:rPr>
          <w:sz w:val="24"/>
          <w:szCs w:val="24"/>
        </w:rPr>
        <w:t>THEREFORE,</w:t>
      </w:r>
    </w:p>
    <w:p w:rsidR="00321FB9" w:rsidRPr="00321FB9" w:rsidRDefault="00321FB9" w:rsidP="00304E9F">
      <w:pPr>
        <w:spacing w:line="360" w:lineRule="auto"/>
        <w:rPr>
          <w:sz w:val="24"/>
          <w:szCs w:val="24"/>
        </w:rPr>
      </w:pPr>
    </w:p>
    <w:p w:rsidR="00321FB9" w:rsidRPr="00321FB9" w:rsidRDefault="00227B15" w:rsidP="00304E9F">
      <w:pPr>
        <w:spacing w:line="360" w:lineRule="auto"/>
        <w:rPr>
          <w:sz w:val="24"/>
          <w:szCs w:val="24"/>
        </w:rPr>
      </w:pPr>
      <w:r>
        <w:rPr>
          <w:sz w:val="24"/>
          <w:szCs w:val="24"/>
        </w:rPr>
        <w:tab/>
      </w:r>
      <w:r>
        <w:rPr>
          <w:sz w:val="24"/>
          <w:szCs w:val="24"/>
        </w:rPr>
        <w:tab/>
      </w:r>
      <w:r w:rsidR="00321FB9" w:rsidRPr="00321FB9">
        <w:rPr>
          <w:sz w:val="24"/>
          <w:szCs w:val="24"/>
        </w:rPr>
        <w:t>IT IS RECOMMENDED:</w:t>
      </w:r>
    </w:p>
    <w:p w:rsidR="00304E9F" w:rsidRDefault="00304E9F" w:rsidP="00321FB9">
      <w:pPr>
        <w:spacing w:line="360" w:lineRule="auto"/>
        <w:rPr>
          <w:sz w:val="24"/>
          <w:szCs w:val="24"/>
        </w:rPr>
      </w:pPr>
    </w:p>
    <w:p w:rsidR="00321FB9" w:rsidRDefault="00321FB9" w:rsidP="00227B15">
      <w:pPr>
        <w:pStyle w:val="ListNumber"/>
        <w:numPr>
          <w:ilvl w:val="0"/>
          <w:numId w:val="19"/>
        </w:numPr>
        <w:spacing w:line="360" w:lineRule="auto"/>
        <w:ind w:firstLine="1440"/>
      </w:pPr>
      <w:r w:rsidRPr="004A58B9">
        <w:t>That the Settlement among Peoples Natural Gas Company LLC, acting on behalf of its Peoples Division and Peoples-Equitable Division, the Pennsylvania Public Utility Commission’s Bureau of Investigation and Enforcement, the Office of Consumer Advocate, the Office of Small Business Advocate</w:t>
      </w:r>
      <w:r>
        <w:t>, and the Pennsylvania Independent Oil &amp; Gas Association</w:t>
      </w:r>
      <w:r w:rsidRPr="004A58B9">
        <w:t xml:space="preserve"> in the above-captioned case is hereby approved and adopted. </w:t>
      </w:r>
    </w:p>
    <w:p w:rsidR="00227B15" w:rsidRDefault="00227B15" w:rsidP="00227B15">
      <w:pPr>
        <w:pStyle w:val="ListNumber"/>
        <w:numPr>
          <w:ilvl w:val="0"/>
          <w:numId w:val="0"/>
        </w:numPr>
        <w:spacing w:line="360" w:lineRule="auto"/>
        <w:ind w:left="1440"/>
      </w:pPr>
    </w:p>
    <w:p w:rsidR="00321FB9" w:rsidRDefault="00321FB9" w:rsidP="00227B15">
      <w:pPr>
        <w:pStyle w:val="ListNumber"/>
        <w:numPr>
          <w:ilvl w:val="0"/>
          <w:numId w:val="19"/>
        </w:numPr>
        <w:spacing w:line="360" w:lineRule="auto"/>
        <w:ind w:firstLine="1440"/>
      </w:pPr>
      <w:r w:rsidRPr="004A58B9">
        <w:t xml:space="preserve">That Peoples Natural Gas Company LLC shall file tariff supplements, on behalf of </w:t>
      </w:r>
      <w:r w:rsidR="00125973">
        <w:t>its Peoples Division</w:t>
      </w:r>
      <w:r w:rsidR="004D2172">
        <w:t xml:space="preserve"> and</w:t>
      </w:r>
      <w:r w:rsidR="00125973">
        <w:t xml:space="preserve"> Peoples-Equitable Division</w:t>
      </w:r>
      <w:r w:rsidRPr="004A58B9">
        <w:t xml:space="preserve">, to become effective on </w:t>
      </w:r>
      <w:r>
        <w:t xml:space="preserve">October 1, 2016, on not less than </w:t>
      </w:r>
      <w:r w:rsidRPr="004A58B9">
        <w:t>one-</w:t>
      </w:r>
      <w:proofErr w:type="spellStart"/>
      <w:r w:rsidRPr="004A58B9">
        <w:t>day’s notice</w:t>
      </w:r>
      <w:proofErr w:type="spellEnd"/>
      <w:r w:rsidRPr="004A58B9">
        <w:t xml:space="preserve"> of the final Commission order approving the Settlement, containing changes in rates to provide for the recovery of its costs of purchased gas, consistent with the terms and conditions of the Settlement. </w:t>
      </w:r>
    </w:p>
    <w:p w:rsidR="00227B15" w:rsidRDefault="00227B15" w:rsidP="00227B15">
      <w:pPr>
        <w:pStyle w:val="ListNumber"/>
        <w:numPr>
          <w:ilvl w:val="0"/>
          <w:numId w:val="0"/>
        </w:numPr>
        <w:spacing w:line="360" w:lineRule="auto"/>
        <w:ind w:left="1440"/>
      </w:pPr>
    </w:p>
    <w:p w:rsidR="00321FB9" w:rsidRDefault="00321FB9" w:rsidP="00227B15">
      <w:pPr>
        <w:pStyle w:val="ListNumber"/>
        <w:numPr>
          <w:ilvl w:val="0"/>
          <w:numId w:val="19"/>
        </w:numPr>
        <w:spacing w:line="360" w:lineRule="auto"/>
        <w:ind w:firstLine="1440"/>
      </w:pPr>
      <w:r w:rsidRPr="004A58B9">
        <w:lastRenderedPageBreak/>
        <w:t xml:space="preserve">That Peoples Natural Gas Company LLC, </w:t>
      </w:r>
      <w:r w:rsidR="00125973">
        <w:t>including its Peoples Division and Peoples-Equitable Division,</w:t>
      </w:r>
      <w:r w:rsidR="00125973" w:rsidRPr="004A58B9">
        <w:t xml:space="preserve"> </w:t>
      </w:r>
      <w:r w:rsidRPr="004A58B9">
        <w:t>the Pennsylvania Public Utility Commission’s Bureau of Investigation and Enforcement, the Office of Consumer Advocate, the Office of Small Business Advocate</w:t>
      </w:r>
      <w:r>
        <w:t>, and the Pennsylvania Independent Oil &amp; Gas Association</w:t>
      </w:r>
      <w:r w:rsidRPr="004A58B9">
        <w:t xml:space="preserve"> shall comply with the terms and conditions of the Settlement submitted in this proceeding as though each term and condition stated therein had been subject of an individual ordering paragraph. </w:t>
      </w:r>
    </w:p>
    <w:p w:rsidR="00227B15" w:rsidRDefault="00227B15" w:rsidP="00227B15">
      <w:pPr>
        <w:pStyle w:val="ListNumber"/>
        <w:numPr>
          <w:ilvl w:val="0"/>
          <w:numId w:val="0"/>
        </w:numPr>
        <w:spacing w:line="360" w:lineRule="auto"/>
        <w:ind w:left="1440"/>
      </w:pPr>
    </w:p>
    <w:p w:rsidR="00321FB9" w:rsidRDefault="00321FB9" w:rsidP="00227B15">
      <w:pPr>
        <w:pStyle w:val="ListNumber"/>
        <w:numPr>
          <w:ilvl w:val="0"/>
          <w:numId w:val="19"/>
        </w:numPr>
        <w:spacing w:line="360" w:lineRule="auto"/>
        <w:ind w:firstLine="1440"/>
      </w:pPr>
      <w:r w:rsidRPr="004A58B9">
        <w:t>That upon Peoples Natural Gas Company LLC’s filing of tariff supplements acceptable to the Commission as conforming with this order and the Settlement and the Commission’s approval thereof, the purchased gas rates established therein shall become effective for service rendered on and after October 1, 201</w:t>
      </w:r>
      <w:r>
        <w:t>6</w:t>
      </w:r>
      <w:r w:rsidRPr="004A58B9">
        <w:t xml:space="preserve">. </w:t>
      </w:r>
    </w:p>
    <w:p w:rsidR="001F04E6" w:rsidRDefault="001F04E6" w:rsidP="001F04E6">
      <w:pPr>
        <w:pStyle w:val="ListNumber"/>
        <w:numPr>
          <w:ilvl w:val="0"/>
          <w:numId w:val="0"/>
        </w:numPr>
        <w:spacing w:line="360" w:lineRule="auto"/>
        <w:ind w:left="1440"/>
      </w:pPr>
    </w:p>
    <w:p w:rsidR="00321FB9" w:rsidRDefault="00321FB9" w:rsidP="00227B15">
      <w:pPr>
        <w:pStyle w:val="ListNumber"/>
        <w:numPr>
          <w:ilvl w:val="0"/>
          <w:numId w:val="19"/>
        </w:numPr>
        <w:spacing w:line="360" w:lineRule="auto"/>
        <w:ind w:firstLine="1440"/>
      </w:pPr>
      <w:r w:rsidRPr="004A58B9">
        <w:t xml:space="preserve">That the complaints filed by the Office of Small Business Advocate in these proceedings at Docket Nos. </w:t>
      </w:r>
      <w:r w:rsidRPr="0011094E">
        <w:t>C-201</w:t>
      </w:r>
      <w:r>
        <w:t xml:space="preserve">6-2538456 and </w:t>
      </w:r>
      <w:r w:rsidRPr="0011094E">
        <w:t>C-201</w:t>
      </w:r>
      <w:r>
        <w:t xml:space="preserve">6-2538458 </w:t>
      </w:r>
      <w:r w:rsidRPr="004A58B9">
        <w:t xml:space="preserve">be marked closed. </w:t>
      </w:r>
    </w:p>
    <w:p w:rsidR="00227B15" w:rsidRDefault="00227B15" w:rsidP="00227B15">
      <w:pPr>
        <w:pStyle w:val="ListNumber"/>
        <w:numPr>
          <w:ilvl w:val="0"/>
          <w:numId w:val="0"/>
        </w:numPr>
        <w:spacing w:line="360" w:lineRule="auto"/>
        <w:ind w:left="1440"/>
      </w:pPr>
    </w:p>
    <w:p w:rsidR="00321FB9" w:rsidRDefault="00321FB9" w:rsidP="00227B15">
      <w:pPr>
        <w:pStyle w:val="ListNumber"/>
        <w:numPr>
          <w:ilvl w:val="0"/>
          <w:numId w:val="19"/>
        </w:numPr>
        <w:spacing w:line="360" w:lineRule="auto"/>
        <w:ind w:firstLine="1440"/>
      </w:pPr>
      <w:r w:rsidRPr="004A58B9">
        <w:t xml:space="preserve">That the complaints filed by the Office of Consumer Advocate in these proceedings at Docket Nos. </w:t>
      </w:r>
      <w:r w:rsidRPr="0011094E">
        <w:t>C-201</w:t>
      </w:r>
      <w:r>
        <w:t xml:space="preserve">6-2536105 and C-2016-2536106 </w:t>
      </w:r>
      <w:r w:rsidRPr="004A58B9">
        <w:t xml:space="preserve">be marked closed. </w:t>
      </w:r>
    </w:p>
    <w:p w:rsidR="00227B15" w:rsidRDefault="00227B15" w:rsidP="00227B15">
      <w:pPr>
        <w:pStyle w:val="ListNumber"/>
        <w:numPr>
          <w:ilvl w:val="0"/>
          <w:numId w:val="0"/>
        </w:numPr>
        <w:spacing w:line="360" w:lineRule="auto"/>
        <w:ind w:left="1440"/>
      </w:pPr>
    </w:p>
    <w:p w:rsidR="00321FB9" w:rsidRDefault="00321FB9" w:rsidP="00227B15">
      <w:pPr>
        <w:pStyle w:val="ListNumber"/>
        <w:numPr>
          <w:ilvl w:val="0"/>
          <w:numId w:val="19"/>
        </w:numPr>
        <w:spacing w:line="360" w:lineRule="auto"/>
        <w:ind w:firstLine="1440"/>
      </w:pPr>
      <w:r>
        <w:t xml:space="preserve">That the complaint filed by Daniel </w:t>
      </w:r>
      <w:proofErr w:type="spellStart"/>
      <w:r>
        <w:t>Killmeyer</w:t>
      </w:r>
      <w:proofErr w:type="spellEnd"/>
      <w:r>
        <w:t xml:space="preserve"> at Docket No. C-2016-2545048 </w:t>
      </w:r>
      <w:proofErr w:type="gramStart"/>
      <w:r>
        <w:t>be</w:t>
      </w:r>
      <w:proofErr w:type="gramEnd"/>
      <w:r>
        <w:t xml:space="preserve"> marked closed.</w:t>
      </w:r>
    </w:p>
    <w:p w:rsidR="00227B15" w:rsidRDefault="00227B15" w:rsidP="00227B15">
      <w:pPr>
        <w:pStyle w:val="ListNumber"/>
        <w:numPr>
          <w:ilvl w:val="0"/>
          <w:numId w:val="0"/>
        </w:numPr>
        <w:spacing w:line="360" w:lineRule="auto"/>
        <w:ind w:left="1440"/>
      </w:pPr>
    </w:p>
    <w:p w:rsidR="002D12C5" w:rsidRDefault="002D12C5" w:rsidP="00227B15">
      <w:pPr>
        <w:pStyle w:val="ListNumber"/>
        <w:numPr>
          <w:ilvl w:val="0"/>
          <w:numId w:val="19"/>
        </w:numPr>
        <w:spacing w:line="360" w:lineRule="auto"/>
        <w:ind w:firstLine="1440"/>
      </w:pPr>
      <w:r>
        <w:t xml:space="preserve">That the objection to the </w:t>
      </w:r>
      <w:r w:rsidR="000772AD">
        <w:t>S</w:t>
      </w:r>
      <w:r>
        <w:t>ettlement filed by James W. Weber dated June 27, 2016 be denied.</w:t>
      </w:r>
    </w:p>
    <w:p w:rsidR="002D12C5" w:rsidRDefault="002D12C5" w:rsidP="002D12C5">
      <w:pPr>
        <w:pStyle w:val="ListNumber"/>
        <w:numPr>
          <w:ilvl w:val="0"/>
          <w:numId w:val="0"/>
        </w:numPr>
        <w:spacing w:line="360" w:lineRule="auto"/>
        <w:ind w:left="1440"/>
      </w:pPr>
    </w:p>
    <w:p w:rsidR="00505D10" w:rsidRDefault="00505D10" w:rsidP="00227B15">
      <w:pPr>
        <w:pStyle w:val="ListNumber"/>
        <w:numPr>
          <w:ilvl w:val="0"/>
          <w:numId w:val="19"/>
        </w:numPr>
        <w:spacing w:line="360" w:lineRule="auto"/>
        <w:ind w:firstLine="1440"/>
      </w:pPr>
      <w:r>
        <w:t xml:space="preserve">That the complaint filed by James Matthew Weber at Docket No. C-2016-2551077 </w:t>
      </w:r>
      <w:proofErr w:type="gramStart"/>
      <w:r>
        <w:t>be</w:t>
      </w:r>
      <w:proofErr w:type="gramEnd"/>
      <w:r>
        <w:t xml:space="preserve"> marked closed.</w:t>
      </w:r>
    </w:p>
    <w:p w:rsidR="00227B15" w:rsidRDefault="00227B15" w:rsidP="00227B15">
      <w:pPr>
        <w:pStyle w:val="ListNumber"/>
        <w:numPr>
          <w:ilvl w:val="0"/>
          <w:numId w:val="0"/>
        </w:numPr>
        <w:spacing w:line="360" w:lineRule="auto"/>
        <w:ind w:left="1440"/>
      </w:pPr>
    </w:p>
    <w:p w:rsidR="00EF7D5A" w:rsidRDefault="00321FB9" w:rsidP="00227B15">
      <w:pPr>
        <w:pStyle w:val="ListNumber"/>
        <w:numPr>
          <w:ilvl w:val="0"/>
          <w:numId w:val="19"/>
        </w:numPr>
        <w:spacing w:line="360" w:lineRule="auto"/>
        <w:ind w:firstLine="1440"/>
      </w:pPr>
      <w:r>
        <w:t>That</w:t>
      </w:r>
      <w:r w:rsidR="00505D10">
        <w:t xml:space="preserve"> upon acceptance and approval by the Commission to the tariff supplement and supporting data filed by Peoples as being consistent with this Recommended </w:t>
      </w:r>
    </w:p>
    <w:p w:rsidR="00EF7D5A" w:rsidRDefault="00EF7D5A" w:rsidP="00EF7D5A">
      <w:pPr>
        <w:pStyle w:val="ListNumber"/>
        <w:numPr>
          <w:ilvl w:val="0"/>
          <w:numId w:val="0"/>
        </w:numPr>
        <w:spacing w:line="360" w:lineRule="auto"/>
        <w:ind w:left="1440" w:hanging="1440"/>
      </w:pPr>
    </w:p>
    <w:p w:rsidR="00321FB9" w:rsidRDefault="00505D10" w:rsidP="00EF7D5A">
      <w:pPr>
        <w:pStyle w:val="ListNumber"/>
        <w:numPr>
          <w:ilvl w:val="0"/>
          <w:numId w:val="0"/>
        </w:numPr>
        <w:spacing w:line="360" w:lineRule="auto"/>
      </w:pPr>
      <w:r>
        <w:lastRenderedPageBreak/>
        <w:t xml:space="preserve">Order and the Settlement Petition, the inquiry and </w:t>
      </w:r>
      <w:r w:rsidR="00321FB9">
        <w:t xml:space="preserve">investigations at Docket Nos. </w:t>
      </w:r>
      <w:r w:rsidR="00321FB9" w:rsidRPr="0011094E">
        <w:t>R-2016-</w:t>
      </w:r>
      <w:r w:rsidR="00321FB9">
        <w:t xml:space="preserve">2528562 and </w:t>
      </w:r>
      <w:r w:rsidR="00321FB9" w:rsidRPr="0011094E">
        <w:t>R-2016-</w:t>
      </w:r>
      <w:r w:rsidR="00321FB9">
        <w:t>2528560</w:t>
      </w:r>
      <w:r w:rsidR="00793F9C">
        <w:t xml:space="preserve"> shall be terminated and the dockets</w:t>
      </w:r>
      <w:r w:rsidR="00321FB9">
        <w:t xml:space="preserve"> </w:t>
      </w:r>
      <w:proofErr w:type="gramStart"/>
      <w:r w:rsidR="00321FB9">
        <w:t>marked</w:t>
      </w:r>
      <w:proofErr w:type="gramEnd"/>
      <w:r w:rsidR="00321FB9">
        <w:t xml:space="preserve"> closed.</w:t>
      </w:r>
      <w:r w:rsidR="00321FB9" w:rsidRPr="004A58B9">
        <w:t xml:space="preserve"> </w:t>
      </w:r>
    </w:p>
    <w:p w:rsidR="00321FB9" w:rsidRDefault="00321FB9" w:rsidP="00227B15">
      <w:pPr>
        <w:pStyle w:val="ListNumber"/>
        <w:numPr>
          <w:ilvl w:val="0"/>
          <w:numId w:val="0"/>
        </w:numPr>
        <w:spacing w:line="360" w:lineRule="auto"/>
        <w:ind w:firstLine="1440"/>
      </w:pPr>
    </w:p>
    <w:p w:rsidR="00227B15" w:rsidRDefault="00227B15" w:rsidP="00227B15">
      <w:pPr>
        <w:pStyle w:val="ListNumber"/>
        <w:numPr>
          <w:ilvl w:val="0"/>
          <w:numId w:val="0"/>
        </w:numPr>
        <w:spacing w:line="360" w:lineRule="auto"/>
        <w:ind w:firstLine="1440"/>
      </w:pPr>
    </w:p>
    <w:p w:rsidR="00003AA8" w:rsidRDefault="00003AA8" w:rsidP="00227B15">
      <w:pPr>
        <w:pStyle w:val="ListNumber"/>
        <w:numPr>
          <w:ilvl w:val="0"/>
          <w:numId w:val="0"/>
        </w:numPr>
        <w:spacing w:line="360" w:lineRule="auto"/>
        <w:ind w:firstLine="1440"/>
      </w:pPr>
    </w:p>
    <w:p w:rsidR="00321FB9" w:rsidRDefault="00321FB9" w:rsidP="00003AA8">
      <w:pPr>
        <w:pStyle w:val="ListNumber"/>
        <w:numPr>
          <w:ilvl w:val="0"/>
          <w:numId w:val="0"/>
        </w:numPr>
        <w:spacing w:line="240" w:lineRule="auto"/>
      </w:pPr>
      <w:r>
        <w:t xml:space="preserve">Date:  </w:t>
      </w:r>
      <w:r w:rsidRPr="00227B15">
        <w:rPr>
          <w:u w:val="single"/>
        </w:rPr>
        <w:t>July 1, 2016</w:t>
      </w:r>
      <w:r>
        <w:tab/>
      </w:r>
      <w:r>
        <w:tab/>
      </w:r>
      <w:r>
        <w:tab/>
      </w:r>
      <w:r>
        <w:tab/>
      </w:r>
      <w:r>
        <w:tab/>
      </w:r>
      <w:r w:rsidR="00003AA8">
        <w:rPr>
          <w:u w:val="single"/>
        </w:rPr>
        <w:tab/>
      </w:r>
      <w:r w:rsidR="00003AA8">
        <w:rPr>
          <w:u w:val="single"/>
        </w:rPr>
        <w:tab/>
        <w:t>/s/</w:t>
      </w:r>
      <w:r w:rsidR="00003AA8">
        <w:rPr>
          <w:u w:val="single"/>
        </w:rPr>
        <w:tab/>
      </w:r>
      <w:r w:rsidR="00003AA8">
        <w:rPr>
          <w:u w:val="single"/>
        </w:rPr>
        <w:tab/>
      </w:r>
      <w:r w:rsidR="00003AA8">
        <w:rPr>
          <w:u w:val="single"/>
        </w:rPr>
        <w:tab/>
      </w:r>
      <w:r w:rsidR="00003AA8">
        <w:rPr>
          <w:u w:val="single"/>
        </w:rPr>
        <w:tab/>
      </w:r>
    </w:p>
    <w:p w:rsidR="00321FB9" w:rsidRDefault="00321FB9" w:rsidP="00003AA8">
      <w:pPr>
        <w:pStyle w:val="ListNumber"/>
        <w:numPr>
          <w:ilvl w:val="0"/>
          <w:numId w:val="0"/>
        </w:numPr>
        <w:spacing w:line="240" w:lineRule="auto"/>
      </w:pPr>
      <w:r>
        <w:tab/>
      </w:r>
      <w:r>
        <w:tab/>
      </w:r>
      <w:r>
        <w:tab/>
      </w:r>
      <w:r>
        <w:tab/>
      </w:r>
      <w:r>
        <w:tab/>
      </w:r>
      <w:r>
        <w:tab/>
      </w:r>
      <w:r>
        <w:tab/>
        <w:t>Jeffrey A. Watson</w:t>
      </w:r>
    </w:p>
    <w:p w:rsidR="00321FB9" w:rsidRDefault="00321FB9" w:rsidP="00003AA8">
      <w:pPr>
        <w:pStyle w:val="ListNumber"/>
        <w:numPr>
          <w:ilvl w:val="0"/>
          <w:numId w:val="0"/>
        </w:numPr>
        <w:spacing w:line="240" w:lineRule="auto"/>
      </w:pPr>
      <w:r>
        <w:tab/>
      </w:r>
      <w:r>
        <w:tab/>
      </w:r>
      <w:r>
        <w:tab/>
      </w:r>
      <w:r>
        <w:tab/>
      </w:r>
      <w:r>
        <w:tab/>
      </w:r>
      <w:r>
        <w:tab/>
      </w:r>
      <w:r>
        <w:tab/>
        <w:t>Administrative Law Judge</w:t>
      </w:r>
    </w:p>
    <w:p w:rsidR="00321FB9" w:rsidRDefault="00321FB9" w:rsidP="00321FB9">
      <w:pPr>
        <w:pStyle w:val="ListNumber"/>
        <w:numPr>
          <w:ilvl w:val="0"/>
          <w:numId w:val="0"/>
        </w:numPr>
      </w:pPr>
    </w:p>
    <w:sectPr w:rsidR="00321FB9" w:rsidSect="00981353">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483" w:rsidRDefault="00160483" w:rsidP="00CD5C18">
      <w:r>
        <w:separator/>
      </w:r>
    </w:p>
  </w:endnote>
  <w:endnote w:type="continuationSeparator" w:id="0">
    <w:p w:rsidR="00160483" w:rsidRDefault="00160483" w:rsidP="00CD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F4" w:rsidRPr="00F52573" w:rsidRDefault="003941F4">
    <w:pPr>
      <w:pStyle w:val="Footer"/>
      <w:jc w:val="center"/>
    </w:pPr>
  </w:p>
  <w:p w:rsidR="003941F4" w:rsidRDefault="003941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773429"/>
      <w:docPartObj>
        <w:docPartGallery w:val="Page Numbers (Bottom of Page)"/>
        <w:docPartUnique/>
      </w:docPartObj>
    </w:sdtPr>
    <w:sdtEndPr>
      <w:rPr>
        <w:noProof/>
      </w:rPr>
    </w:sdtEndPr>
    <w:sdtContent>
      <w:p w:rsidR="003941F4" w:rsidRDefault="003941F4">
        <w:pPr>
          <w:pStyle w:val="Footer"/>
          <w:jc w:val="center"/>
        </w:pPr>
        <w:r>
          <w:fldChar w:fldCharType="begin"/>
        </w:r>
        <w:r>
          <w:instrText xml:space="preserve"> PAGE   \* MERGEFORMAT </w:instrText>
        </w:r>
        <w:r>
          <w:fldChar w:fldCharType="separate"/>
        </w:r>
        <w:r w:rsidR="001C03DC">
          <w:rPr>
            <w:noProof/>
          </w:rPr>
          <w:t>1</w:t>
        </w:r>
        <w:r>
          <w:rPr>
            <w:noProof/>
          </w:rPr>
          <w:fldChar w:fldCharType="end"/>
        </w:r>
      </w:p>
    </w:sdtContent>
  </w:sdt>
  <w:p w:rsidR="003941F4" w:rsidRDefault="003941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353839"/>
      <w:docPartObj>
        <w:docPartGallery w:val="Page Numbers (Bottom of Page)"/>
        <w:docPartUnique/>
      </w:docPartObj>
    </w:sdtPr>
    <w:sdtEndPr>
      <w:rPr>
        <w:noProof/>
      </w:rPr>
    </w:sdtEndPr>
    <w:sdtContent>
      <w:p w:rsidR="003941F4" w:rsidRDefault="003941F4">
        <w:pPr>
          <w:pStyle w:val="Footer"/>
          <w:jc w:val="center"/>
        </w:pPr>
        <w:r>
          <w:fldChar w:fldCharType="begin"/>
        </w:r>
        <w:r>
          <w:instrText xml:space="preserve"> PAGE   \* MERGEFORMAT </w:instrText>
        </w:r>
        <w:r>
          <w:fldChar w:fldCharType="separate"/>
        </w:r>
        <w:r w:rsidR="001C03DC">
          <w:rPr>
            <w:noProof/>
          </w:rPr>
          <w:t>36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483" w:rsidRDefault="00160483" w:rsidP="00CD5C18">
      <w:r>
        <w:separator/>
      </w:r>
    </w:p>
  </w:footnote>
  <w:footnote w:type="continuationSeparator" w:id="0">
    <w:p w:rsidR="00160483" w:rsidRDefault="00160483" w:rsidP="00CD5C18">
      <w:r>
        <w:continuationSeparator/>
      </w:r>
    </w:p>
  </w:footnote>
  <w:footnote w:id="1">
    <w:p w:rsidR="003941F4" w:rsidRPr="00EF61AE" w:rsidRDefault="003941F4" w:rsidP="00394060">
      <w:pPr>
        <w:pStyle w:val="FootnoteText"/>
        <w:rPr>
          <w:rFonts w:ascii="Times New Roman" w:hAnsi="Times New Roman" w:cs="Times New Roman"/>
        </w:rPr>
      </w:pPr>
      <w:r>
        <w:rPr>
          <w:rStyle w:val="FootnoteReference"/>
        </w:rPr>
        <w:footnoteRef/>
      </w:r>
      <w:r>
        <w:t xml:space="preserve"> </w:t>
      </w:r>
      <w:r>
        <w:tab/>
      </w:r>
      <w:r w:rsidRPr="00EF61AE">
        <w:rPr>
          <w:rFonts w:ascii="Times New Roman" w:hAnsi="Times New Roman" w:cs="Times New Roman"/>
        </w:rPr>
        <w:t>The undersigned ALJ presided by telephone from the Pittsburgh hearing room.</w:t>
      </w:r>
    </w:p>
  </w:footnote>
  <w:footnote w:id="2">
    <w:p w:rsidR="003941F4" w:rsidRPr="006F1CE7" w:rsidRDefault="003941F4" w:rsidP="00394060">
      <w:pPr>
        <w:pStyle w:val="FootnoteText"/>
      </w:pPr>
      <w:r w:rsidRPr="009A7FB4">
        <w:rPr>
          <w:rStyle w:val="FootnoteReference"/>
        </w:rPr>
        <w:footnoteRef/>
      </w:r>
      <w:r w:rsidRPr="009A7FB4">
        <w:t xml:space="preserve"> </w:t>
      </w:r>
      <w:r w:rsidRPr="009A7FB4">
        <w:tab/>
      </w:r>
      <w:r w:rsidRPr="001D2286">
        <w:rPr>
          <w:rFonts w:ascii="Times New Roman" w:hAnsi="Times New Roman" w:cs="Times New Roman"/>
        </w:rPr>
        <w:t xml:space="preserve">The formal complaint was not served upon the undersigned presiding officer.  On June 1, 2016 the legal assistant for the undersigned presiding officer called Mr. </w:t>
      </w:r>
      <w:proofErr w:type="spellStart"/>
      <w:r w:rsidRPr="001D2286">
        <w:rPr>
          <w:rFonts w:ascii="Times New Roman" w:hAnsi="Times New Roman" w:cs="Times New Roman"/>
        </w:rPr>
        <w:t>Killmeyer</w:t>
      </w:r>
      <w:proofErr w:type="spellEnd"/>
      <w:r w:rsidRPr="001D2286">
        <w:rPr>
          <w:rFonts w:ascii="Times New Roman" w:hAnsi="Times New Roman" w:cs="Times New Roman"/>
        </w:rPr>
        <w:t xml:space="preserve"> and left a message on his voicemail advising him of the date, time and location of the hearing</w:t>
      </w:r>
      <w:r w:rsidRPr="006F1CE7">
        <w:t>. </w:t>
      </w:r>
    </w:p>
  </w:footnote>
  <w:footnote w:id="3">
    <w:p w:rsidR="003941F4" w:rsidRPr="00AF5164" w:rsidRDefault="003941F4" w:rsidP="00394060">
      <w:pPr>
        <w:pStyle w:val="FootnoteText"/>
        <w:rPr>
          <w:rFonts w:ascii="Times New Roman" w:hAnsi="Times New Roman" w:cs="Times New Roman"/>
        </w:rPr>
      </w:pPr>
      <w:r>
        <w:rPr>
          <w:rStyle w:val="FootnoteReference"/>
        </w:rPr>
        <w:footnoteRef/>
      </w:r>
      <w:r>
        <w:t xml:space="preserve"> </w:t>
      </w:r>
      <w:r>
        <w:tab/>
      </w:r>
      <w:r w:rsidRPr="00AF5164">
        <w:rPr>
          <w:rFonts w:ascii="Times New Roman" w:hAnsi="Times New Roman" w:cs="Times New Roman"/>
        </w:rPr>
        <w:t>According to the Settling Parties, the rates in Appendix A reflect the proposed gas cost rates, the settlement rate changes and other rate changes that were effective March 1, 2016.  The rates in Appendix A will be updated to reflect any changes as of October 1, 2016 when the final tariff supplements are filed.</w:t>
      </w:r>
    </w:p>
    <w:p w:rsidR="003941F4" w:rsidRDefault="003941F4" w:rsidP="00394060">
      <w:pPr>
        <w:pStyle w:val="FootnoteText"/>
      </w:pPr>
    </w:p>
  </w:footnote>
  <w:footnote w:id="4">
    <w:p w:rsidR="003941F4" w:rsidRPr="003B1159" w:rsidRDefault="003941F4" w:rsidP="00394060">
      <w:pPr>
        <w:pStyle w:val="FootnoteText"/>
        <w:rPr>
          <w:rFonts w:ascii="Times New Roman" w:hAnsi="Times New Roman" w:cs="Times New Roman"/>
        </w:rPr>
      </w:pPr>
      <w:r w:rsidRPr="00DA3C18">
        <w:rPr>
          <w:rStyle w:val="FootnoteReference"/>
        </w:rPr>
        <w:footnoteRef/>
      </w:r>
      <w:r w:rsidRPr="00DA3C18">
        <w:t xml:space="preserve"> </w:t>
      </w:r>
      <w:r w:rsidRPr="00DA3C18">
        <w:tab/>
      </w:r>
      <w:r w:rsidRPr="003B1159">
        <w:rPr>
          <w:rFonts w:ascii="Times New Roman" w:hAnsi="Times New Roman" w:cs="Times New Roman"/>
        </w:rPr>
        <w:t>Peoples Statement No. 2, pp. 39-40; Peoples TWP Statement No. 2, p. 30.</w:t>
      </w:r>
    </w:p>
    <w:p w:rsidR="003941F4" w:rsidRPr="003B1159" w:rsidRDefault="003941F4" w:rsidP="00394060">
      <w:pPr>
        <w:pStyle w:val="FootnoteText"/>
        <w:rPr>
          <w:rFonts w:ascii="Times New Roman" w:hAnsi="Times New Roman" w:cs="Times New Roman"/>
        </w:rPr>
      </w:pPr>
    </w:p>
  </w:footnote>
  <w:footnote w:id="5">
    <w:p w:rsidR="003941F4" w:rsidRPr="003B1159" w:rsidRDefault="003941F4" w:rsidP="00394060">
      <w:pPr>
        <w:pStyle w:val="FootnoteText"/>
        <w:rPr>
          <w:rFonts w:ascii="Times New Roman" w:hAnsi="Times New Roman" w:cs="Times New Roman"/>
        </w:rPr>
      </w:pPr>
      <w:r w:rsidRPr="003B1159">
        <w:rPr>
          <w:rStyle w:val="FootnoteReference"/>
        </w:rPr>
        <w:footnoteRef/>
      </w:r>
      <w:r w:rsidRPr="003B1159">
        <w:rPr>
          <w:rFonts w:ascii="Times New Roman" w:hAnsi="Times New Roman" w:cs="Times New Roman"/>
        </w:rPr>
        <w:t xml:space="preserve"> </w:t>
      </w:r>
      <w:r w:rsidRPr="003B1159">
        <w:rPr>
          <w:rFonts w:ascii="Times New Roman" w:hAnsi="Times New Roman" w:cs="Times New Roman"/>
        </w:rPr>
        <w:tab/>
        <w:t>Peoples Statement No. 2, pp. 44:8-14, 46:2-5, 49:3-9; Peoples TWP Statement No. 2, pp. 34:13-21, 36:3</w:t>
      </w:r>
      <w:r w:rsidRPr="003B1159">
        <w:rPr>
          <w:rFonts w:ascii="Times New Roman" w:hAnsi="Times New Roman" w:cs="Times New Roman"/>
        </w:rPr>
        <w:noBreakHyphen/>
        <w:t>13.</w:t>
      </w:r>
    </w:p>
    <w:p w:rsidR="003941F4" w:rsidRPr="003B1159" w:rsidRDefault="003941F4" w:rsidP="00394060">
      <w:pPr>
        <w:pStyle w:val="FootnoteText"/>
        <w:rPr>
          <w:rFonts w:ascii="Times New Roman" w:hAnsi="Times New Roman" w:cs="Times New Roman"/>
        </w:rPr>
      </w:pPr>
    </w:p>
  </w:footnote>
  <w:footnote w:id="6">
    <w:p w:rsidR="003941F4" w:rsidRPr="003B1159" w:rsidRDefault="003941F4" w:rsidP="00394060">
      <w:pPr>
        <w:pStyle w:val="FootnoteText"/>
        <w:rPr>
          <w:rFonts w:ascii="Times New Roman" w:hAnsi="Times New Roman" w:cs="Times New Roman"/>
        </w:rPr>
      </w:pPr>
      <w:r w:rsidRPr="003B1159">
        <w:rPr>
          <w:rStyle w:val="FootnoteReference"/>
        </w:rPr>
        <w:footnoteRef/>
      </w:r>
      <w:r w:rsidRPr="003B1159">
        <w:rPr>
          <w:rFonts w:ascii="Times New Roman" w:hAnsi="Times New Roman" w:cs="Times New Roman"/>
        </w:rPr>
        <w:t xml:space="preserve"> </w:t>
      </w:r>
      <w:r w:rsidRPr="003B1159">
        <w:rPr>
          <w:rFonts w:ascii="Times New Roman" w:hAnsi="Times New Roman" w:cs="Times New Roman"/>
        </w:rPr>
        <w:tab/>
        <w:t>Peoples Statement No. 2, pp. 44-45; Peoples TWP Statement No. 2, p. 35.</w:t>
      </w:r>
    </w:p>
    <w:p w:rsidR="003941F4" w:rsidRPr="003B1159" w:rsidRDefault="003941F4" w:rsidP="00394060">
      <w:pPr>
        <w:pStyle w:val="FootnoteText"/>
        <w:rPr>
          <w:rFonts w:ascii="Times New Roman" w:hAnsi="Times New Roman" w:cs="Times New Roman"/>
        </w:rPr>
      </w:pPr>
    </w:p>
  </w:footnote>
  <w:footnote w:id="7">
    <w:p w:rsidR="003941F4" w:rsidRPr="003B1159" w:rsidRDefault="003941F4" w:rsidP="00394060">
      <w:pPr>
        <w:pStyle w:val="FootnoteText"/>
        <w:rPr>
          <w:rFonts w:ascii="Times New Roman" w:hAnsi="Times New Roman" w:cs="Times New Roman"/>
        </w:rPr>
      </w:pPr>
      <w:r w:rsidRPr="003B1159">
        <w:rPr>
          <w:rStyle w:val="FootnoteReference"/>
        </w:rPr>
        <w:footnoteRef/>
      </w:r>
      <w:r w:rsidRPr="003B1159">
        <w:rPr>
          <w:rFonts w:ascii="Times New Roman" w:hAnsi="Times New Roman" w:cs="Times New Roman"/>
        </w:rPr>
        <w:tab/>
        <w:t>PIOGA Statement No. 1, pp. 4-5.</w:t>
      </w:r>
    </w:p>
    <w:p w:rsidR="003941F4" w:rsidRPr="00F008ED" w:rsidRDefault="003941F4" w:rsidP="00394060">
      <w:pPr>
        <w:pStyle w:val="FootnoteText"/>
      </w:pPr>
    </w:p>
  </w:footnote>
  <w:footnote w:id="8">
    <w:p w:rsidR="003941F4" w:rsidRPr="00244BB7" w:rsidRDefault="003941F4" w:rsidP="00394060">
      <w:pPr>
        <w:pStyle w:val="FootnoteText"/>
        <w:rPr>
          <w:rFonts w:ascii="Times New Roman" w:hAnsi="Times New Roman" w:cs="Times New Roman"/>
        </w:rPr>
      </w:pPr>
      <w:r w:rsidRPr="001B56D3">
        <w:rPr>
          <w:rStyle w:val="FootnoteReference"/>
        </w:rPr>
        <w:footnoteRef/>
      </w:r>
      <w:r w:rsidRPr="001B56D3">
        <w:tab/>
      </w:r>
      <w:proofErr w:type="gramStart"/>
      <w:r w:rsidRPr="00244BB7">
        <w:rPr>
          <w:rFonts w:ascii="Times New Roman" w:hAnsi="Times New Roman" w:cs="Times New Roman"/>
        </w:rPr>
        <w:t>Peoples &amp; Peoples–Equitable Joint Petition for Settlement, ¶63; PTWP Joint Petition for Settlement, ¶53.</w:t>
      </w:r>
      <w:proofErr w:type="gramEnd"/>
    </w:p>
    <w:p w:rsidR="003941F4" w:rsidRPr="00244BB7" w:rsidRDefault="003941F4" w:rsidP="00394060">
      <w:pPr>
        <w:pStyle w:val="FootnoteText"/>
        <w:rPr>
          <w:rFonts w:ascii="Times New Roman" w:hAnsi="Times New Roman" w:cs="Times New Roman"/>
        </w:rPr>
      </w:pPr>
    </w:p>
  </w:footnote>
  <w:footnote w:id="9">
    <w:p w:rsidR="003941F4" w:rsidRPr="00244BB7" w:rsidRDefault="003941F4" w:rsidP="00394060">
      <w:pPr>
        <w:pStyle w:val="FootnoteText"/>
        <w:rPr>
          <w:rFonts w:ascii="Times New Roman" w:hAnsi="Times New Roman" w:cs="Times New Roman"/>
        </w:rPr>
      </w:pPr>
      <w:r w:rsidRPr="00244BB7">
        <w:rPr>
          <w:rStyle w:val="FootnoteReference"/>
        </w:rPr>
        <w:footnoteRef/>
      </w:r>
      <w:r w:rsidRPr="00244BB7">
        <w:rPr>
          <w:rFonts w:ascii="Times New Roman" w:hAnsi="Times New Roman" w:cs="Times New Roman"/>
        </w:rPr>
        <w:tab/>
        <w:t>PIOGA Statement No. 1, p. 5.</w:t>
      </w:r>
    </w:p>
  </w:footnote>
  <w:footnote w:id="10">
    <w:p w:rsidR="003941F4" w:rsidRPr="00AF32A6" w:rsidRDefault="003941F4" w:rsidP="00394060">
      <w:pPr>
        <w:pStyle w:val="FootnoteText"/>
      </w:pPr>
      <w:r w:rsidRPr="00AF32A6">
        <w:rPr>
          <w:rStyle w:val="FootnoteReference"/>
        </w:rPr>
        <w:footnoteRef/>
      </w:r>
      <w:r w:rsidRPr="00AF32A6">
        <w:tab/>
      </w:r>
      <w:r w:rsidRPr="00491EB6">
        <w:rPr>
          <w:rFonts w:ascii="Times New Roman" w:hAnsi="Times New Roman" w:cs="Times New Roman"/>
        </w:rPr>
        <w:t>The proposed tariff rates effective October 1, 2016, will be updated to reflect actual and projected over/</w:t>
      </w:r>
      <w:proofErr w:type="spellStart"/>
      <w:r w:rsidRPr="00491EB6">
        <w:rPr>
          <w:rFonts w:ascii="Times New Roman" w:hAnsi="Times New Roman" w:cs="Times New Roman"/>
        </w:rPr>
        <w:t>undercollections</w:t>
      </w:r>
      <w:proofErr w:type="spellEnd"/>
      <w:r w:rsidRPr="00491EB6">
        <w:rPr>
          <w:rFonts w:ascii="Times New Roman" w:hAnsi="Times New Roman" w:cs="Times New Roman"/>
        </w:rPr>
        <w:t xml:space="preserve"> through September 30, 2016, as stated in Paragraph 38 of this Settlement.</w:t>
      </w:r>
    </w:p>
  </w:footnote>
  <w:footnote w:id="11">
    <w:p w:rsidR="003941F4" w:rsidRPr="00394060" w:rsidRDefault="003941F4" w:rsidP="00394060">
      <w:pPr>
        <w:pStyle w:val="FootnoteText"/>
        <w:rPr>
          <w:rFonts w:ascii="Times New Roman" w:hAnsi="Times New Roman" w:cs="Times New Roman"/>
        </w:rPr>
      </w:pPr>
      <w:r>
        <w:rPr>
          <w:rStyle w:val="FootnoteReference"/>
        </w:rPr>
        <w:footnoteRef/>
      </w:r>
      <w:r>
        <w:t xml:space="preserve"> </w:t>
      </w:r>
      <w:r>
        <w:tab/>
      </w:r>
      <w:r w:rsidRPr="00394060">
        <w:rPr>
          <w:rFonts w:ascii="Times New Roman" w:hAnsi="Times New Roman" w:cs="Times New Roman"/>
        </w:rPr>
        <w:t>The proposed tariff rates effective October 1, 2016, will be updated to reflect actual and projected over/</w:t>
      </w:r>
      <w:proofErr w:type="spellStart"/>
      <w:r w:rsidRPr="00394060">
        <w:rPr>
          <w:rFonts w:ascii="Times New Roman" w:hAnsi="Times New Roman" w:cs="Times New Roman"/>
        </w:rPr>
        <w:t>undercollections</w:t>
      </w:r>
      <w:proofErr w:type="spellEnd"/>
      <w:r w:rsidRPr="00394060">
        <w:rPr>
          <w:rFonts w:ascii="Times New Roman" w:hAnsi="Times New Roman" w:cs="Times New Roman"/>
        </w:rPr>
        <w:t xml:space="preserve"> through September 30, 2016, as stated in Paragraph 38 of this Settlement.</w:t>
      </w:r>
    </w:p>
    <w:p w:rsidR="003941F4" w:rsidRDefault="003941F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6FA46BA"/>
    <w:lvl w:ilvl="0">
      <w:start w:val="1"/>
      <w:numFmt w:val="decimal"/>
      <w:pStyle w:val="ListNumber"/>
      <w:lvlText w:val="%1."/>
      <w:lvlJc w:val="left"/>
      <w:pPr>
        <w:tabs>
          <w:tab w:val="num" w:pos="360"/>
        </w:tabs>
        <w:ind w:left="360" w:hanging="360"/>
      </w:pPr>
    </w:lvl>
  </w:abstractNum>
  <w:abstractNum w:abstractNumId="1">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2">
    <w:nsid w:val="15674107"/>
    <w:multiLevelType w:val="hybridMultilevel"/>
    <w:tmpl w:val="E1BC7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215344"/>
    <w:multiLevelType w:val="hybridMultilevel"/>
    <w:tmpl w:val="2F5432AA"/>
    <w:lvl w:ilvl="0" w:tplc="EE46BD4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B50D8"/>
    <w:multiLevelType w:val="multilevel"/>
    <w:tmpl w:val="B4AEFABA"/>
    <w:name w:val="PS Standard22"/>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2965EE8"/>
    <w:multiLevelType w:val="hybridMultilevel"/>
    <w:tmpl w:val="67B027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60B5770"/>
    <w:multiLevelType w:val="hybridMultilevel"/>
    <w:tmpl w:val="6372A482"/>
    <w:name w:val="PS Standar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FC7DBC"/>
    <w:multiLevelType w:val="multilevel"/>
    <w:tmpl w:val="FEF008D0"/>
    <w:name w:val="Jo brief2"/>
    <w:lvl w:ilvl="0">
      <w:start w:val="1"/>
      <w:numFmt w:val="upperRoman"/>
      <w:pStyle w:val="Heading1"/>
      <w:lvlText w:val="%1."/>
      <w:lvlJc w:val="left"/>
      <w:pPr>
        <w:tabs>
          <w:tab w:val="num" w:pos="720"/>
        </w:tabs>
        <w:ind w:left="720" w:hanging="720"/>
      </w:pPr>
      <w:rPr>
        <w:rFonts w:ascii="Times New Roman" w:hAnsi="Times New Roman" w:cs="Times New Roman"/>
        <w:b/>
        <w: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val="0"/>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val="0"/>
        <w:caps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caps w:val="0"/>
        <w:color w:val="01000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caps w:val="0"/>
        <w:color w:val="010000"/>
        <w:sz w:val="24"/>
        <w:u w:val="none"/>
      </w:rPr>
    </w:lvl>
    <w:lvl w:ilvl="5">
      <w:start w:val="1"/>
      <w:numFmt w:val="upperLetter"/>
      <w:pStyle w:val="Heading6"/>
      <w:lvlText w:val="(%6)"/>
      <w:lvlJc w:val="left"/>
      <w:pPr>
        <w:tabs>
          <w:tab w:val="num" w:pos="4320"/>
        </w:tabs>
        <w:ind w:left="4320" w:hanging="720"/>
      </w:pPr>
      <w:rPr>
        <w:rFonts w:ascii="Times New Roman" w:hAnsi="Times New Roman" w:cs="Times New Roman"/>
        <w:b/>
        <w:caps w:val="0"/>
        <w:color w:val="010000"/>
        <w:sz w:val="24"/>
        <w:u w:val="none"/>
      </w:rPr>
    </w:lvl>
    <w:lvl w:ilvl="6">
      <w:start w:val="1"/>
      <w:numFmt w:val="decimal"/>
      <w:pStyle w:val="Heading7"/>
      <w:lvlText w:val="(%7)"/>
      <w:lvlJc w:val="left"/>
      <w:pPr>
        <w:tabs>
          <w:tab w:val="num" w:pos="5040"/>
        </w:tabs>
        <w:ind w:left="5040" w:hanging="720"/>
      </w:pPr>
      <w:rPr>
        <w:rFonts w:ascii="Times New Roman" w:hAnsi="Times New Roman" w:cs="Times New Roman"/>
        <w:b/>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b/>
        <w:caps w:val="0"/>
        <w:color w:val="010000"/>
        <w:sz w:val="24"/>
        <w:u w:val="none"/>
      </w:rPr>
    </w:lvl>
  </w:abstractNum>
  <w:abstractNum w:abstractNumId="8">
    <w:nsid w:val="683E4EA1"/>
    <w:multiLevelType w:val="hybridMultilevel"/>
    <w:tmpl w:val="6C58E486"/>
    <w:lvl w:ilvl="0" w:tplc="D57694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2A393A"/>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608686F"/>
    <w:multiLevelType w:val="multilevel"/>
    <w:tmpl w:val="440A91D4"/>
    <w:lvl w:ilvl="0">
      <w:start w:val="36"/>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11">
    <w:nsid w:val="7F0A0192"/>
    <w:multiLevelType w:val="hybridMultilevel"/>
    <w:tmpl w:val="85BAD6BE"/>
    <w:lvl w:ilvl="0" w:tplc="6B02B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3"/>
  </w:num>
  <w:num w:numId="4">
    <w:abstractNumId w:val="6"/>
  </w:num>
  <w:num w:numId="5">
    <w:abstractNumId w:val="7"/>
    <w:lvlOverride w:ilvl="0">
      <w:startOverride w:val="100"/>
    </w:lvlOverride>
  </w:num>
  <w:num w:numId="6">
    <w:abstractNumId w:val="7"/>
    <w:lvlOverride w:ilvl="0">
      <w:startOverride w:val="500"/>
    </w:lvlOverride>
  </w:num>
  <w:num w:numId="7">
    <w:abstractNumId w:val="7"/>
    <w:lvlOverride w:ilvl="0">
      <w:startOverride w:val="1"/>
    </w:lvlOverride>
    <w:lvlOverride w:ilvl="1">
      <w:startOverride w:val="5"/>
    </w:lvlOverride>
  </w:num>
  <w:num w:numId="8">
    <w:abstractNumId w:val="7"/>
    <w:lvlOverride w:ilvl="0">
      <w:startOverride w:val="1"/>
    </w:lvlOverride>
  </w:num>
  <w:num w:numId="9">
    <w:abstractNumId w:val="0"/>
    <w:lvlOverride w:ilvl="0">
      <w:startOverride w:val="1"/>
    </w:lvlOverride>
  </w:num>
  <w:num w:numId="10">
    <w:abstractNumId w:val="5"/>
  </w:num>
  <w:num w:numId="11">
    <w:abstractNumId w:val="7"/>
    <w:lvlOverride w:ilvl="0">
      <w:startOverride w:val="1"/>
    </w:lvlOverride>
    <w:lvlOverride w:ilvl="1">
      <w:startOverride w:val="2"/>
    </w:lvlOverride>
  </w:num>
  <w:num w:numId="12">
    <w:abstractNumId w:val="7"/>
    <w:lvlOverride w:ilvl="0">
      <w:startOverride w:val="6"/>
    </w:lvlOverride>
  </w:num>
  <w:num w:numId="13">
    <w:abstractNumId w:val="4"/>
  </w:num>
  <w:num w:numId="14">
    <w:abstractNumId w:val="10"/>
  </w:num>
  <w:num w:numId="15">
    <w:abstractNumId w:val="2"/>
  </w:num>
  <w:num w:numId="16">
    <w:abstractNumId w:val="1"/>
  </w:num>
  <w:num w:numId="17">
    <w:abstractNumId w:val="11"/>
  </w:num>
  <w:num w:numId="18">
    <w:abstractNumId w:val="8"/>
  </w:num>
  <w:num w:numId="19">
    <w:abstractNumId w:val="9"/>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18"/>
    <w:rsid w:val="00000636"/>
    <w:rsid w:val="00000A50"/>
    <w:rsid w:val="0000330B"/>
    <w:rsid w:val="00003AA8"/>
    <w:rsid w:val="00006001"/>
    <w:rsid w:val="00012656"/>
    <w:rsid w:val="00012F41"/>
    <w:rsid w:val="00014587"/>
    <w:rsid w:val="00020F31"/>
    <w:rsid w:val="000227C7"/>
    <w:rsid w:val="00023B73"/>
    <w:rsid w:val="000328D5"/>
    <w:rsid w:val="00032EE9"/>
    <w:rsid w:val="000353D5"/>
    <w:rsid w:val="00036CB5"/>
    <w:rsid w:val="0004463C"/>
    <w:rsid w:val="00050B74"/>
    <w:rsid w:val="0005310B"/>
    <w:rsid w:val="00054D18"/>
    <w:rsid w:val="000569C6"/>
    <w:rsid w:val="000668F6"/>
    <w:rsid w:val="0007081E"/>
    <w:rsid w:val="00070C8F"/>
    <w:rsid w:val="000740F3"/>
    <w:rsid w:val="0007645D"/>
    <w:rsid w:val="000772AD"/>
    <w:rsid w:val="000828FF"/>
    <w:rsid w:val="00083202"/>
    <w:rsid w:val="00086BA0"/>
    <w:rsid w:val="00091235"/>
    <w:rsid w:val="000937D9"/>
    <w:rsid w:val="0009599A"/>
    <w:rsid w:val="000979F6"/>
    <w:rsid w:val="000A088F"/>
    <w:rsid w:val="000A4496"/>
    <w:rsid w:val="000A7202"/>
    <w:rsid w:val="000B3A18"/>
    <w:rsid w:val="000B4582"/>
    <w:rsid w:val="000C01FC"/>
    <w:rsid w:val="000C25F3"/>
    <w:rsid w:val="000C4BFE"/>
    <w:rsid w:val="000D0F03"/>
    <w:rsid w:val="000D237F"/>
    <w:rsid w:val="000D26D1"/>
    <w:rsid w:val="000D2A5E"/>
    <w:rsid w:val="000D5353"/>
    <w:rsid w:val="000D6686"/>
    <w:rsid w:val="000E1944"/>
    <w:rsid w:val="000E5708"/>
    <w:rsid w:val="00111422"/>
    <w:rsid w:val="00111B31"/>
    <w:rsid w:val="00115337"/>
    <w:rsid w:val="00115A72"/>
    <w:rsid w:val="00125973"/>
    <w:rsid w:val="001405F8"/>
    <w:rsid w:val="0014124C"/>
    <w:rsid w:val="00142931"/>
    <w:rsid w:val="0014369A"/>
    <w:rsid w:val="001510F6"/>
    <w:rsid w:val="00152246"/>
    <w:rsid w:val="001543BB"/>
    <w:rsid w:val="00155521"/>
    <w:rsid w:val="0015636B"/>
    <w:rsid w:val="001565F0"/>
    <w:rsid w:val="001572DA"/>
    <w:rsid w:val="00160483"/>
    <w:rsid w:val="00162289"/>
    <w:rsid w:val="0016585C"/>
    <w:rsid w:val="00170C86"/>
    <w:rsid w:val="00175512"/>
    <w:rsid w:val="00187253"/>
    <w:rsid w:val="001A29E6"/>
    <w:rsid w:val="001A3862"/>
    <w:rsid w:val="001A47A2"/>
    <w:rsid w:val="001B1B5A"/>
    <w:rsid w:val="001B2025"/>
    <w:rsid w:val="001B56D3"/>
    <w:rsid w:val="001B70B3"/>
    <w:rsid w:val="001B73A5"/>
    <w:rsid w:val="001B73E5"/>
    <w:rsid w:val="001C007C"/>
    <w:rsid w:val="001C03DC"/>
    <w:rsid w:val="001C2B45"/>
    <w:rsid w:val="001C6C40"/>
    <w:rsid w:val="001C7229"/>
    <w:rsid w:val="001C7529"/>
    <w:rsid w:val="001D0F90"/>
    <w:rsid w:val="001D122A"/>
    <w:rsid w:val="001D1E8F"/>
    <w:rsid w:val="001D2286"/>
    <w:rsid w:val="001D4F56"/>
    <w:rsid w:val="001D62A6"/>
    <w:rsid w:val="001D6BE9"/>
    <w:rsid w:val="001E00E0"/>
    <w:rsid w:val="001E1D81"/>
    <w:rsid w:val="001F04E6"/>
    <w:rsid w:val="001F06EE"/>
    <w:rsid w:val="001F445D"/>
    <w:rsid w:val="001F7872"/>
    <w:rsid w:val="0020082F"/>
    <w:rsid w:val="00201E86"/>
    <w:rsid w:val="00203FFC"/>
    <w:rsid w:val="0020516B"/>
    <w:rsid w:val="00210438"/>
    <w:rsid w:val="002124DF"/>
    <w:rsid w:val="00215A93"/>
    <w:rsid w:val="00223B91"/>
    <w:rsid w:val="00224807"/>
    <w:rsid w:val="00227B15"/>
    <w:rsid w:val="00233BCD"/>
    <w:rsid w:val="00234FA6"/>
    <w:rsid w:val="0024182C"/>
    <w:rsid w:val="00244BB7"/>
    <w:rsid w:val="00245503"/>
    <w:rsid w:val="00246EF4"/>
    <w:rsid w:val="00250746"/>
    <w:rsid w:val="00256FF3"/>
    <w:rsid w:val="00260538"/>
    <w:rsid w:val="00261EB3"/>
    <w:rsid w:val="00262A90"/>
    <w:rsid w:val="00264572"/>
    <w:rsid w:val="00270D1B"/>
    <w:rsid w:val="00282BA3"/>
    <w:rsid w:val="002848E0"/>
    <w:rsid w:val="0028712A"/>
    <w:rsid w:val="00291092"/>
    <w:rsid w:val="0029288A"/>
    <w:rsid w:val="00294991"/>
    <w:rsid w:val="002A14FF"/>
    <w:rsid w:val="002A1B0E"/>
    <w:rsid w:val="002A2307"/>
    <w:rsid w:val="002A249E"/>
    <w:rsid w:val="002A3474"/>
    <w:rsid w:val="002B0C52"/>
    <w:rsid w:val="002B18AC"/>
    <w:rsid w:val="002B3101"/>
    <w:rsid w:val="002C07A0"/>
    <w:rsid w:val="002C67B8"/>
    <w:rsid w:val="002C71F3"/>
    <w:rsid w:val="002D12C5"/>
    <w:rsid w:val="002D17D8"/>
    <w:rsid w:val="002D1E61"/>
    <w:rsid w:val="002E4AB6"/>
    <w:rsid w:val="002F53BC"/>
    <w:rsid w:val="00301657"/>
    <w:rsid w:val="00302BC3"/>
    <w:rsid w:val="00304C44"/>
    <w:rsid w:val="00304E9F"/>
    <w:rsid w:val="003055D0"/>
    <w:rsid w:val="00312370"/>
    <w:rsid w:val="00316509"/>
    <w:rsid w:val="003210A3"/>
    <w:rsid w:val="00321AEE"/>
    <w:rsid w:val="00321FB9"/>
    <w:rsid w:val="00333A25"/>
    <w:rsid w:val="00333E59"/>
    <w:rsid w:val="00337573"/>
    <w:rsid w:val="003406C6"/>
    <w:rsid w:val="003429BB"/>
    <w:rsid w:val="00350EC2"/>
    <w:rsid w:val="003546C7"/>
    <w:rsid w:val="00354ACD"/>
    <w:rsid w:val="0035584B"/>
    <w:rsid w:val="00355929"/>
    <w:rsid w:val="003579F0"/>
    <w:rsid w:val="00357E8E"/>
    <w:rsid w:val="003614C8"/>
    <w:rsid w:val="00365242"/>
    <w:rsid w:val="003666C0"/>
    <w:rsid w:val="003669E7"/>
    <w:rsid w:val="0037138D"/>
    <w:rsid w:val="003725CF"/>
    <w:rsid w:val="003756C8"/>
    <w:rsid w:val="00387E5D"/>
    <w:rsid w:val="00394060"/>
    <w:rsid w:val="003941F4"/>
    <w:rsid w:val="00394312"/>
    <w:rsid w:val="003A30A0"/>
    <w:rsid w:val="003B0A27"/>
    <w:rsid w:val="003B1159"/>
    <w:rsid w:val="003B35DD"/>
    <w:rsid w:val="003B6969"/>
    <w:rsid w:val="003B71CF"/>
    <w:rsid w:val="003C12E3"/>
    <w:rsid w:val="003C22C7"/>
    <w:rsid w:val="003C2782"/>
    <w:rsid w:val="003D5C65"/>
    <w:rsid w:val="003D5EDA"/>
    <w:rsid w:val="003D5EF4"/>
    <w:rsid w:val="003D6C5D"/>
    <w:rsid w:val="003E1C96"/>
    <w:rsid w:val="003E3B83"/>
    <w:rsid w:val="003F1BD0"/>
    <w:rsid w:val="003F5B72"/>
    <w:rsid w:val="003F6681"/>
    <w:rsid w:val="004032EC"/>
    <w:rsid w:val="00405120"/>
    <w:rsid w:val="00407DBA"/>
    <w:rsid w:val="004104AF"/>
    <w:rsid w:val="004144D8"/>
    <w:rsid w:val="00421B79"/>
    <w:rsid w:val="0042630A"/>
    <w:rsid w:val="004263AD"/>
    <w:rsid w:val="004279B9"/>
    <w:rsid w:val="004301C7"/>
    <w:rsid w:val="004315E8"/>
    <w:rsid w:val="00431DFD"/>
    <w:rsid w:val="00441101"/>
    <w:rsid w:val="00443365"/>
    <w:rsid w:val="004436F8"/>
    <w:rsid w:val="0045773F"/>
    <w:rsid w:val="00457942"/>
    <w:rsid w:val="00461201"/>
    <w:rsid w:val="00462BFD"/>
    <w:rsid w:val="004667B9"/>
    <w:rsid w:val="00467C05"/>
    <w:rsid w:val="00470743"/>
    <w:rsid w:val="00475295"/>
    <w:rsid w:val="00480758"/>
    <w:rsid w:val="00491314"/>
    <w:rsid w:val="00491EB6"/>
    <w:rsid w:val="00491FBA"/>
    <w:rsid w:val="00493001"/>
    <w:rsid w:val="004A2683"/>
    <w:rsid w:val="004A4734"/>
    <w:rsid w:val="004A500B"/>
    <w:rsid w:val="004A53F4"/>
    <w:rsid w:val="004A5EA8"/>
    <w:rsid w:val="004B3134"/>
    <w:rsid w:val="004B48DF"/>
    <w:rsid w:val="004B7F07"/>
    <w:rsid w:val="004B7F7F"/>
    <w:rsid w:val="004C3665"/>
    <w:rsid w:val="004C5529"/>
    <w:rsid w:val="004D0063"/>
    <w:rsid w:val="004D0318"/>
    <w:rsid w:val="004D0A0E"/>
    <w:rsid w:val="004D2172"/>
    <w:rsid w:val="004D4B31"/>
    <w:rsid w:val="004D7E2D"/>
    <w:rsid w:val="004E434A"/>
    <w:rsid w:val="004E6C9C"/>
    <w:rsid w:val="004E737E"/>
    <w:rsid w:val="004F0E78"/>
    <w:rsid w:val="004F6853"/>
    <w:rsid w:val="005040A7"/>
    <w:rsid w:val="00504A35"/>
    <w:rsid w:val="00505D10"/>
    <w:rsid w:val="00506D94"/>
    <w:rsid w:val="005110CF"/>
    <w:rsid w:val="005200D3"/>
    <w:rsid w:val="0052066A"/>
    <w:rsid w:val="0052485C"/>
    <w:rsid w:val="00527E07"/>
    <w:rsid w:val="00532198"/>
    <w:rsid w:val="00534FA7"/>
    <w:rsid w:val="00542164"/>
    <w:rsid w:val="0054281D"/>
    <w:rsid w:val="00556AB8"/>
    <w:rsid w:val="005571C5"/>
    <w:rsid w:val="00563413"/>
    <w:rsid w:val="00564139"/>
    <w:rsid w:val="00564911"/>
    <w:rsid w:val="005657C6"/>
    <w:rsid w:val="00570AE6"/>
    <w:rsid w:val="00570BFC"/>
    <w:rsid w:val="00573ED3"/>
    <w:rsid w:val="005740E4"/>
    <w:rsid w:val="0058050C"/>
    <w:rsid w:val="00585868"/>
    <w:rsid w:val="00585CC3"/>
    <w:rsid w:val="0058680A"/>
    <w:rsid w:val="00590E56"/>
    <w:rsid w:val="00593A40"/>
    <w:rsid w:val="00597D7D"/>
    <w:rsid w:val="005A11F1"/>
    <w:rsid w:val="005A1DC3"/>
    <w:rsid w:val="005A312E"/>
    <w:rsid w:val="005A43EE"/>
    <w:rsid w:val="005A46E0"/>
    <w:rsid w:val="005A56F3"/>
    <w:rsid w:val="005A599C"/>
    <w:rsid w:val="005B20FB"/>
    <w:rsid w:val="005B57F4"/>
    <w:rsid w:val="005B6003"/>
    <w:rsid w:val="005C21F6"/>
    <w:rsid w:val="005C3DE0"/>
    <w:rsid w:val="005C47B1"/>
    <w:rsid w:val="005C6B59"/>
    <w:rsid w:val="005C6F62"/>
    <w:rsid w:val="005C7EEF"/>
    <w:rsid w:val="005D050F"/>
    <w:rsid w:val="005D2CD5"/>
    <w:rsid w:val="005D32E9"/>
    <w:rsid w:val="005D6D38"/>
    <w:rsid w:val="005D7A68"/>
    <w:rsid w:val="005E3A61"/>
    <w:rsid w:val="005E4239"/>
    <w:rsid w:val="005F1292"/>
    <w:rsid w:val="005F5D4E"/>
    <w:rsid w:val="00603994"/>
    <w:rsid w:val="00615C63"/>
    <w:rsid w:val="006172A3"/>
    <w:rsid w:val="00620CAF"/>
    <w:rsid w:val="0062119E"/>
    <w:rsid w:val="006229C5"/>
    <w:rsid w:val="00626FBA"/>
    <w:rsid w:val="00641D42"/>
    <w:rsid w:val="00642170"/>
    <w:rsid w:val="0064329F"/>
    <w:rsid w:val="006435DF"/>
    <w:rsid w:val="00643D6F"/>
    <w:rsid w:val="006453D9"/>
    <w:rsid w:val="0065142B"/>
    <w:rsid w:val="00651CCC"/>
    <w:rsid w:val="00656D34"/>
    <w:rsid w:val="00657306"/>
    <w:rsid w:val="006619D9"/>
    <w:rsid w:val="006702B9"/>
    <w:rsid w:val="00670A1B"/>
    <w:rsid w:val="00675679"/>
    <w:rsid w:val="00685B66"/>
    <w:rsid w:val="0069122E"/>
    <w:rsid w:val="006915BF"/>
    <w:rsid w:val="00691CD5"/>
    <w:rsid w:val="00693A2B"/>
    <w:rsid w:val="00694AE0"/>
    <w:rsid w:val="00696738"/>
    <w:rsid w:val="006A606E"/>
    <w:rsid w:val="006B33B8"/>
    <w:rsid w:val="006B5766"/>
    <w:rsid w:val="006C6EAD"/>
    <w:rsid w:val="006C76BF"/>
    <w:rsid w:val="006D0518"/>
    <w:rsid w:val="006E3B48"/>
    <w:rsid w:val="006E6FDD"/>
    <w:rsid w:val="006F1CE7"/>
    <w:rsid w:val="006F566F"/>
    <w:rsid w:val="006F6933"/>
    <w:rsid w:val="006F703C"/>
    <w:rsid w:val="00702D8C"/>
    <w:rsid w:val="00703AD0"/>
    <w:rsid w:val="007070D7"/>
    <w:rsid w:val="00713813"/>
    <w:rsid w:val="007138DF"/>
    <w:rsid w:val="00715BA9"/>
    <w:rsid w:val="00716992"/>
    <w:rsid w:val="0071741D"/>
    <w:rsid w:val="007174BC"/>
    <w:rsid w:val="00722BA6"/>
    <w:rsid w:val="0072319D"/>
    <w:rsid w:val="00725119"/>
    <w:rsid w:val="0073172C"/>
    <w:rsid w:val="0073221B"/>
    <w:rsid w:val="00762098"/>
    <w:rsid w:val="00764474"/>
    <w:rsid w:val="0077076D"/>
    <w:rsid w:val="007712D3"/>
    <w:rsid w:val="00777953"/>
    <w:rsid w:val="007814EB"/>
    <w:rsid w:val="007831C0"/>
    <w:rsid w:val="0078582E"/>
    <w:rsid w:val="00793F9C"/>
    <w:rsid w:val="007A3808"/>
    <w:rsid w:val="007A4D36"/>
    <w:rsid w:val="007A4F59"/>
    <w:rsid w:val="007B026E"/>
    <w:rsid w:val="007B095C"/>
    <w:rsid w:val="007B2B6D"/>
    <w:rsid w:val="007B3E4C"/>
    <w:rsid w:val="007C420E"/>
    <w:rsid w:val="007C49D1"/>
    <w:rsid w:val="007D084F"/>
    <w:rsid w:val="007D1F82"/>
    <w:rsid w:val="007D6AF4"/>
    <w:rsid w:val="007E1477"/>
    <w:rsid w:val="007F4816"/>
    <w:rsid w:val="007F67C9"/>
    <w:rsid w:val="008035E4"/>
    <w:rsid w:val="00812F88"/>
    <w:rsid w:val="00814147"/>
    <w:rsid w:val="00816A8C"/>
    <w:rsid w:val="008178F1"/>
    <w:rsid w:val="0082566D"/>
    <w:rsid w:val="008257F0"/>
    <w:rsid w:val="0082635D"/>
    <w:rsid w:val="008309A9"/>
    <w:rsid w:val="00832E35"/>
    <w:rsid w:val="008337FC"/>
    <w:rsid w:val="00842757"/>
    <w:rsid w:val="00842954"/>
    <w:rsid w:val="00842B39"/>
    <w:rsid w:val="008433F8"/>
    <w:rsid w:val="00846BE2"/>
    <w:rsid w:val="00855EE2"/>
    <w:rsid w:val="008612D9"/>
    <w:rsid w:val="00867275"/>
    <w:rsid w:val="008679C4"/>
    <w:rsid w:val="0087425F"/>
    <w:rsid w:val="00874D59"/>
    <w:rsid w:val="00876CFC"/>
    <w:rsid w:val="0087772E"/>
    <w:rsid w:val="00884DE9"/>
    <w:rsid w:val="008925A9"/>
    <w:rsid w:val="0089558D"/>
    <w:rsid w:val="00897439"/>
    <w:rsid w:val="008A282D"/>
    <w:rsid w:val="008A292D"/>
    <w:rsid w:val="008A6669"/>
    <w:rsid w:val="008B3AC4"/>
    <w:rsid w:val="008B42BE"/>
    <w:rsid w:val="008B43E8"/>
    <w:rsid w:val="008B5DF4"/>
    <w:rsid w:val="008C1743"/>
    <w:rsid w:val="008C25C1"/>
    <w:rsid w:val="008C3500"/>
    <w:rsid w:val="008C5834"/>
    <w:rsid w:val="008D27D6"/>
    <w:rsid w:val="008D4FB6"/>
    <w:rsid w:val="008E04AE"/>
    <w:rsid w:val="008E124F"/>
    <w:rsid w:val="008E1F6A"/>
    <w:rsid w:val="008E5B82"/>
    <w:rsid w:val="008F015F"/>
    <w:rsid w:val="008F4650"/>
    <w:rsid w:val="00900230"/>
    <w:rsid w:val="0090155E"/>
    <w:rsid w:val="00901DDF"/>
    <w:rsid w:val="00911D18"/>
    <w:rsid w:val="00912DDF"/>
    <w:rsid w:val="009171D9"/>
    <w:rsid w:val="00922A37"/>
    <w:rsid w:val="00930FDE"/>
    <w:rsid w:val="009452F4"/>
    <w:rsid w:val="009555A5"/>
    <w:rsid w:val="0096022A"/>
    <w:rsid w:val="0096614B"/>
    <w:rsid w:val="00972FB7"/>
    <w:rsid w:val="00981353"/>
    <w:rsid w:val="00983088"/>
    <w:rsid w:val="00985EAC"/>
    <w:rsid w:val="0098610E"/>
    <w:rsid w:val="00986C80"/>
    <w:rsid w:val="00987981"/>
    <w:rsid w:val="009917A4"/>
    <w:rsid w:val="00991F75"/>
    <w:rsid w:val="0099561D"/>
    <w:rsid w:val="009A5533"/>
    <w:rsid w:val="009A7FB4"/>
    <w:rsid w:val="009B1829"/>
    <w:rsid w:val="009C5651"/>
    <w:rsid w:val="009C58DA"/>
    <w:rsid w:val="009C7AFC"/>
    <w:rsid w:val="009D2C19"/>
    <w:rsid w:val="009D3858"/>
    <w:rsid w:val="009D5423"/>
    <w:rsid w:val="009E2E71"/>
    <w:rsid w:val="009E3DFE"/>
    <w:rsid w:val="009E5116"/>
    <w:rsid w:val="009F0BE3"/>
    <w:rsid w:val="009F4F94"/>
    <w:rsid w:val="009F6877"/>
    <w:rsid w:val="00A0333B"/>
    <w:rsid w:val="00A05BC1"/>
    <w:rsid w:val="00A06560"/>
    <w:rsid w:val="00A12C87"/>
    <w:rsid w:val="00A22C57"/>
    <w:rsid w:val="00A24294"/>
    <w:rsid w:val="00A26485"/>
    <w:rsid w:val="00A27E97"/>
    <w:rsid w:val="00A330E3"/>
    <w:rsid w:val="00A342A5"/>
    <w:rsid w:val="00A348BC"/>
    <w:rsid w:val="00A45955"/>
    <w:rsid w:val="00A47987"/>
    <w:rsid w:val="00A501F9"/>
    <w:rsid w:val="00A51A60"/>
    <w:rsid w:val="00A52A9A"/>
    <w:rsid w:val="00A54CDB"/>
    <w:rsid w:val="00A55309"/>
    <w:rsid w:val="00A5585F"/>
    <w:rsid w:val="00A60893"/>
    <w:rsid w:val="00A6114F"/>
    <w:rsid w:val="00A63445"/>
    <w:rsid w:val="00A72912"/>
    <w:rsid w:val="00A733EC"/>
    <w:rsid w:val="00A74F7D"/>
    <w:rsid w:val="00A77482"/>
    <w:rsid w:val="00A825EB"/>
    <w:rsid w:val="00A83B53"/>
    <w:rsid w:val="00A92104"/>
    <w:rsid w:val="00A954E4"/>
    <w:rsid w:val="00A96D52"/>
    <w:rsid w:val="00AA027F"/>
    <w:rsid w:val="00AA52A9"/>
    <w:rsid w:val="00AA5B4E"/>
    <w:rsid w:val="00AA69D2"/>
    <w:rsid w:val="00AA72AA"/>
    <w:rsid w:val="00AB4EB4"/>
    <w:rsid w:val="00AB5F51"/>
    <w:rsid w:val="00AB7433"/>
    <w:rsid w:val="00AC42DE"/>
    <w:rsid w:val="00AC4699"/>
    <w:rsid w:val="00AC4895"/>
    <w:rsid w:val="00AD2FE8"/>
    <w:rsid w:val="00AD47AA"/>
    <w:rsid w:val="00AD4E41"/>
    <w:rsid w:val="00AD52FA"/>
    <w:rsid w:val="00AD6AE0"/>
    <w:rsid w:val="00AE2977"/>
    <w:rsid w:val="00AF093C"/>
    <w:rsid w:val="00AF32A6"/>
    <w:rsid w:val="00AF3F57"/>
    <w:rsid w:val="00AF46EA"/>
    <w:rsid w:val="00AF4FCA"/>
    <w:rsid w:val="00AF5164"/>
    <w:rsid w:val="00B00A28"/>
    <w:rsid w:val="00B03021"/>
    <w:rsid w:val="00B11D65"/>
    <w:rsid w:val="00B25259"/>
    <w:rsid w:val="00B25FA6"/>
    <w:rsid w:val="00B26193"/>
    <w:rsid w:val="00B27C9E"/>
    <w:rsid w:val="00B31E18"/>
    <w:rsid w:val="00B3232D"/>
    <w:rsid w:val="00B3395B"/>
    <w:rsid w:val="00B35145"/>
    <w:rsid w:val="00B40930"/>
    <w:rsid w:val="00B414B0"/>
    <w:rsid w:val="00B42D7D"/>
    <w:rsid w:val="00B44577"/>
    <w:rsid w:val="00B45CD8"/>
    <w:rsid w:val="00B540D2"/>
    <w:rsid w:val="00B55715"/>
    <w:rsid w:val="00B57C16"/>
    <w:rsid w:val="00B63D68"/>
    <w:rsid w:val="00B64F6F"/>
    <w:rsid w:val="00B718AC"/>
    <w:rsid w:val="00B71E34"/>
    <w:rsid w:val="00B779DF"/>
    <w:rsid w:val="00B834FB"/>
    <w:rsid w:val="00B83841"/>
    <w:rsid w:val="00B84EC5"/>
    <w:rsid w:val="00B86FD3"/>
    <w:rsid w:val="00B871FD"/>
    <w:rsid w:val="00B95F79"/>
    <w:rsid w:val="00B967B4"/>
    <w:rsid w:val="00BA1D13"/>
    <w:rsid w:val="00BA4E4E"/>
    <w:rsid w:val="00BB5411"/>
    <w:rsid w:val="00BB6B2E"/>
    <w:rsid w:val="00BC1BBF"/>
    <w:rsid w:val="00BC6953"/>
    <w:rsid w:val="00BC756E"/>
    <w:rsid w:val="00BD0F81"/>
    <w:rsid w:val="00BD25FB"/>
    <w:rsid w:val="00BE0C15"/>
    <w:rsid w:val="00BF1D31"/>
    <w:rsid w:val="00BF4793"/>
    <w:rsid w:val="00BF60D9"/>
    <w:rsid w:val="00BF6145"/>
    <w:rsid w:val="00C02D45"/>
    <w:rsid w:val="00C03096"/>
    <w:rsid w:val="00C10E58"/>
    <w:rsid w:val="00C13EE7"/>
    <w:rsid w:val="00C229A8"/>
    <w:rsid w:val="00C32765"/>
    <w:rsid w:val="00C41A37"/>
    <w:rsid w:val="00C4240D"/>
    <w:rsid w:val="00C53E8D"/>
    <w:rsid w:val="00C545F1"/>
    <w:rsid w:val="00C643D6"/>
    <w:rsid w:val="00C65340"/>
    <w:rsid w:val="00C660DC"/>
    <w:rsid w:val="00C716D6"/>
    <w:rsid w:val="00C718C2"/>
    <w:rsid w:val="00C733E5"/>
    <w:rsid w:val="00C77527"/>
    <w:rsid w:val="00C838C5"/>
    <w:rsid w:val="00C853E8"/>
    <w:rsid w:val="00C87844"/>
    <w:rsid w:val="00C907CE"/>
    <w:rsid w:val="00C93452"/>
    <w:rsid w:val="00CA49D7"/>
    <w:rsid w:val="00CA502D"/>
    <w:rsid w:val="00CB04AF"/>
    <w:rsid w:val="00CD0789"/>
    <w:rsid w:val="00CD0FAB"/>
    <w:rsid w:val="00CD27D0"/>
    <w:rsid w:val="00CD5C18"/>
    <w:rsid w:val="00CD7292"/>
    <w:rsid w:val="00CE29C7"/>
    <w:rsid w:val="00CE5AFB"/>
    <w:rsid w:val="00CF2994"/>
    <w:rsid w:val="00CF38EE"/>
    <w:rsid w:val="00CF4904"/>
    <w:rsid w:val="00D01921"/>
    <w:rsid w:val="00D054C3"/>
    <w:rsid w:val="00D05500"/>
    <w:rsid w:val="00D06204"/>
    <w:rsid w:val="00D10795"/>
    <w:rsid w:val="00D10BB7"/>
    <w:rsid w:val="00D1279F"/>
    <w:rsid w:val="00D136B1"/>
    <w:rsid w:val="00D13E8F"/>
    <w:rsid w:val="00D17A41"/>
    <w:rsid w:val="00D20554"/>
    <w:rsid w:val="00D22A56"/>
    <w:rsid w:val="00D245D5"/>
    <w:rsid w:val="00D2744A"/>
    <w:rsid w:val="00D40F6E"/>
    <w:rsid w:val="00D411C4"/>
    <w:rsid w:val="00D42E9E"/>
    <w:rsid w:val="00D46DCC"/>
    <w:rsid w:val="00D470E5"/>
    <w:rsid w:val="00D57263"/>
    <w:rsid w:val="00D6088B"/>
    <w:rsid w:val="00D6300A"/>
    <w:rsid w:val="00D65506"/>
    <w:rsid w:val="00D66BC8"/>
    <w:rsid w:val="00D70B56"/>
    <w:rsid w:val="00D70F88"/>
    <w:rsid w:val="00D74DE6"/>
    <w:rsid w:val="00D77135"/>
    <w:rsid w:val="00D83A09"/>
    <w:rsid w:val="00D840E3"/>
    <w:rsid w:val="00D84B55"/>
    <w:rsid w:val="00D9015A"/>
    <w:rsid w:val="00D94353"/>
    <w:rsid w:val="00DA2277"/>
    <w:rsid w:val="00DA3C18"/>
    <w:rsid w:val="00DA535F"/>
    <w:rsid w:val="00DA791A"/>
    <w:rsid w:val="00DB3EFC"/>
    <w:rsid w:val="00DB50DE"/>
    <w:rsid w:val="00DB6210"/>
    <w:rsid w:val="00DC005C"/>
    <w:rsid w:val="00DD54F9"/>
    <w:rsid w:val="00DD6C77"/>
    <w:rsid w:val="00DE0C6A"/>
    <w:rsid w:val="00DE3B97"/>
    <w:rsid w:val="00DE4138"/>
    <w:rsid w:val="00DF46EE"/>
    <w:rsid w:val="00E03329"/>
    <w:rsid w:val="00E06486"/>
    <w:rsid w:val="00E1044B"/>
    <w:rsid w:val="00E23CF2"/>
    <w:rsid w:val="00E24065"/>
    <w:rsid w:val="00E27A56"/>
    <w:rsid w:val="00E34011"/>
    <w:rsid w:val="00E36AED"/>
    <w:rsid w:val="00E4225E"/>
    <w:rsid w:val="00E44692"/>
    <w:rsid w:val="00E465E9"/>
    <w:rsid w:val="00E5105E"/>
    <w:rsid w:val="00E52681"/>
    <w:rsid w:val="00E52E7E"/>
    <w:rsid w:val="00E53A34"/>
    <w:rsid w:val="00E54157"/>
    <w:rsid w:val="00E63ACF"/>
    <w:rsid w:val="00E65FB6"/>
    <w:rsid w:val="00E753C6"/>
    <w:rsid w:val="00E772FA"/>
    <w:rsid w:val="00E777DF"/>
    <w:rsid w:val="00E909F1"/>
    <w:rsid w:val="00E90F4B"/>
    <w:rsid w:val="00E96589"/>
    <w:rsid w:val="00E97D76"/>
    <w:rsid w:val="00EA04BD"/>
    <w:rsid w:val="00EA50B3"/>
    <w:rsid w:val="00EB11F1"/>
    <w:rsid w:val="00EB5D46"/>
    <w:rsid w:val="00EC456A"/>
    <w:rsid w:val="00EC5CE5"/>
    <w:rsid w:val="00ED0C00"/>
    <w:rsid w:val="00ED7E1B"/>
    <w:rsid w:val="00EE2200"/>
    <w:rsid w:val="00EE221A"/>
    <w:rsid w:val="00EE330F"/>
    <w:rsid w:val="00EE3DCB"/>
    <w:rsid w:val="00EF042F"/>
    <w:rsid w:val="00EF61AE"/>
    <w:rsid w:val="00EF7D5A"/>
    <w:rsid w:val="00F008ED"/>
    <w:rsid w:val="00F100C8"/>
    <w:rsid w:val="00F12AAD"/>
    <w:rsid w:val="00F21B5B"/>
    <w:rsid w:val="00F25339"/>
    <w:rsid w:val="00F309CC"/>
    <w:rsid w:val="00F30D9E"/>
    <w:rsid w:val="00F369DE"/>
    <w:rsid w:val="00F515DF"/>
    <w:rsid w:val="00F51FDB"/>
    <w:rsid w:val="00F52C0E"/>
    <w:rsid w:val="00F56A13"/>
    <w:rsid w:val="00F61EE6"/>
    <w:rsid w:val="00F63967"/>
    <w:rsid w:val="00F64CC1"/>
    <w:rsid w:val="00F81175"/>
    <w:rsid w:val="00F815F2"/>
    <w:rsid w:val="00F847D6"/>
    <w:rsid w:val="00F862AE"/>
    <w:rsid w:val="00F96175"/>
    <w:rsid w:val="00F97036"/>
    <w:rsid w:val="00FA1EB7"/>
    <w:rsid w:val="00FA4022"/>
    <w:rsid w:val="00FA75B2"/>
    <w:rsid w:val="00FA7897"/>
    <w:rsid w:val="00FB0618"/>
    <w:rsid w:val="00FB0EE1"/>
    <w:rsid w:val="00FB67DF"/>
    <w:rsid w:val="00FC1274"/>
    <w:rsid w:val="00FC3F8D"/>
    <w:rsid w:val="00FC7022"/>
    <w:rsid w:val="00FD4A7F"/>
    <w:rsid w:val="00FD70D4"/>
    <w:rsid w:val="00FE6937"/>
    <w:rsid w:val="00FF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List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C18"/>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2"/>
    <w:link w:val="Heading1Char"/>
    <w:uiPriority w:val="2"/>
    <w:qFormat/>
    <w:rsid w:val="00CD5C18"/>
    <w:pPr>
      <w:keepLines/>
      <w:numPr>
        <w:numId w:val="2"/>
      </w:numPr>
      <w:tabs>
        <w:tab w:val="clear" w:pos="720"/>
      </w:tabs>
      <w:spacing w:after="240"/>
      <w:jc w:val="both"/>
      <w:outlineLvl w:val="0"/>
    </w:pPr>
    <w:rPr>
      <w:b/>
      <w:bCs/>
      <w:caps/>
      <w:sz w:val="24"/>
      <w:szCs w:val="32"/>
      <w:u w:val="single"/>
    </w:rPr>
  </w:style>
  <w:style w:type="paragraph" w:styleId="Heading2">
    <w:name w:val="heading 2"/>
    <w:basedOn w:val="Normal"/>
    <w:next w:val="BodyText2"/>
    <w:link w:val="Heading2Char"/>
    <w:uiPriority w:val="2"/>
    <w:qFormat/>
    <w:rsid w:val="00CD5C18"/>
    <w:pPr>
      <w:keepLines/>
      <w:numPr>
        <w:ilvl w:val="1"/>
        <w:numId w:val="2"/>
      </w:numPr>
      <w:spacing w:after="240"/>
      <w:jc w:val="both"/>
      <w:outlineLvl w:val="1"/>
    </w:pPr>
    <w:rPr>
      <w:b/>
      <w:bCs/>
      <w:iCs/>
      <w:caps/>
      <w:sz w:val="24"/>
      <w:szCs w:val="28"/>
    </w:rPr>
  </w:style>
  <w:style w:type="paragraph" w:styleId="Heading3">
    <w:name w:val="heading 3"/>
    <w:basedOn w:val="Normal"/>
    <w:next w:val="BodyText2"/>
    <w:link w:val="Heading3Char"/>
    <w:uiPriority w:val="2"/>
    <w:unhideWhenUsed/>
    <w:qFormat/>
    <w:rsid w:val="00CD5C18"/>
    <w:pPr>
      <w:numPr>
        <w:ilvl w:val="2"/>
        <w:numId w:val="2"/>
      </w:numPr>
      <w:spacing w:after="240"/>
      <w:jc w:val="both"/>
      <w:outlineLvl w:val="2"/>
    </w:pPr>
    <w:rPr>
      <w:b/>
      <w:bCs/>
      <w:sz w:val="24"/>
      <w:szCs w:val="26"/>
    </w:rPr>
  </w:style>
  <w:style w:type="paragraph" w:styleId="Heading4">
    <w:name w:val="heading 4"/>
    <w:basedOn w:val="Normal"/>
    <w:next w:val="BodyText2"/>
    <w:link w:val="Heading4Char"/>
    <w:uiPriority w:val="2"/>
    <w:unhideWhenUsed/>
    <w:qFormat/>
    <w:rsid w:val="00CD5C18"/>
    <w:pPr>
      <w:numPr>
        <w:ilvl w:val="3"/>
        <w:numId w:val="2"/>
      </w:numPr>
      <w:spacing w:after="240"/>
      <w:jc w:val="both"/>
      <w:outlineLvl w:val="3"/>
    </w:pPr>
    <w:rPr>
      <w:b/>
      <w:bCs/>
      <w:sz w:val="24"/>
      <w:szCs w:val="28"/>
    </w:rPr>
  </w:style>
  <w:style w:type="paragraph" w:styleId="Heading5">
    <w:name w:val="heading 5"/>
    <w:basedOn w:val="Normal"/>
    <w:next w:val="BodyText2"/>
    <w:link w:val="Heading5Char"/>
    <w:uiPriority w:val="2"/>
    <w:unhideWhenUsed/>
    <w:qFormat/>
    <w:rsid w:val="00CD5C18"/>
    <w:pPr>
      <w:numPr>
        <w:ilvl w:val="4"/>
        <w:numId w:val="2"/>
      </w:numPr>
      <w:spacing w:after="240"/>
      <w:jc w:val="both"/>
      <w:outlineLvl w:val="4"/>
    </w:pPr>
    <w:rPr>
      <w:b/>
      <w:bCs/>
      <w:iCs/>
      <w:sz w:val="24"/>
      <w:szCs w:val="26"/>
    </w:rPr>
  </w:style>
  <w:style w:type="paragraph" w:styleId="Heading6">
    <w:name w:val="heading 6"/>
    <w:basedOn w:val="Normal"/>
    <w:next w:val="BodyText2"/>
    <w:link w:val="Heading6Char"/>
    <w:uiPriority w:val="2"/>
    <w:unhideWhenUsed/>
    <w:qFormat/>
    <w:rsid w:val="00CD5C18"/>
    <w:pPr>
      <w:numPr>
        <w:ilvl w:val="5"/>
        <w:numId w:val="2"/>
      </w:numPr>
      <w:spacing w:after="240"/>
      <w:outlineLvl w:val="5"/>
    </w:pPr>
    <w:rPr>
      <w:b/>
      <w:bCs/>
      <w:sz w:val="24"/>
      <w:szCs w:val="22"/>
    </w:rPr>
  </w:style>
  <w:style w:type="paragraph" w:styleId="Heading7">
    <w:name w:val="heading 7"/>
    <w:basedOn w:val="Normal"/>
    <w:next w:val="BodyText2"/>
    <w:link w:val="Heading7Char"/>
    <w:uiPriority w:val="2"/>
    <w:unhideWhenUsed/>
    <w:qFormat/>
    <w:rsid w:val="00CD5C18"/>
    <w:pPr>
      <w:numPr>
        <w:ilvl w:val="6"/>
        <w:numId w:val="2"/>
      </w:numPr>
      <w:spacing w:after="240"/>
      <w:outlineLvl w:val="6"/>
    </w:pPr>
    <w:rPr>
      <w:b/>
      <w:sz w:val="24"/>
      <w:szCs w:val="24"/>
    </w:rPr>
  </w:style>
  <w:style w:type="paragraph" w:styleId="Heading8">
    <w:name w:val="heading 8"/>
    <w:basedOn w:val="Normal"/>
    <w:next w:val="BodyText2"/>
    <w:link w:val="Heading8Char"/>
    <w:uiPriority w:val="2"/>
    <w:unhideWhenUsed/>
    <w:qFormat/>
    <w:rsid w:val="00CD5C18"/>
    <w:pPr>
      <w:numPr>
        <w:ilvl w:val="7"/>
        <w:numId w:val="2"/>
      </w:numPr>
      <w:spacing w:after="240"/>
      <w:jc w:val="both"/>
      <w:outlineLvl w:val="7"/>
    </w:pPr>
    <w:rPr>
      <w:b/>
      <w:iCs/>
      <w:sz w:val="24"/>
      <w:szCs w:val="24"/>
    </w:rPr>
  </w:style>
  <w:style w:type="paragraph" w:styleId="Heading9">
    <w:name w:val="heading 9"/>
    <w:basedOn w:val="Normal"/>
    <w:next w:val="BodyText2"/>
    <w:link w:val="Heading9Char"/>
    <w:uiPriority w:val="2"/>
    <w:unhideWhenUsed/>
    <w:qFormat/>
    <w:rsid w:val="00CD5C18"/>
    <w:pPr>
      <w:numPr>
        <w:ilvl w:val="8"/>
        <w:numId w:val="2"/>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D5C18"/>
    <w:rPr>
      <w:rFonts w:ascii="Times New Roman" w:eastAsia="Times New Roman" w:hAnsi="Times New Roman" w:cs="Times New Roman"/>
      <w:b/>
      <w:bCs/>
      <w:caps/>
      <w:sz w:val="24"/>
      <w:szCs w:val="32"/>
      <w:u w:val="single"/>
    </w:rPr>
  </w:style>
  <w:style w:type="character" w:customStyle="1" w:styleId="Heading2Char">
    <w:name w:val="Heading 2 Char"/>
    <w:basedOn w:val="DefaultParagraphFont"/>
    <w:link w:val="Heading2"/>
    <w:uiPriority w:val="2"/>
    <w:rsid w:val="00CD5C18"/>
    <w:rPr>
      <w:rFonts w:ascii="Times New Roman" w:eastAsia="Times New Roman" w:hAnsi="Times New Roman" w:cs="Times New Roman"/>
      <w:b/>
      <w:bCs/>
      <w:iCs/>
      <w:caps/>
      <w:sz w:val="24"/>
      <w:szCs w:val="28"/>
    </w:rPr>
  </w:style>
  <w:style w:type="character" w:customStyle="1" w:styleId="Heading3Char">
    <w:name w:val="Heading 3 Char"/>
    <w:basedOn w:val="DefaultParagraphFont"/>
    <w:link w:val="Heading3"/>
    <w:uiPriority w:val="2"/>
    <w:rsid w:val="00CD5C18"/>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2"/>
    <w:rsid w:val="00CD5C18"/>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2"/>
    <w:rsid w:val="00CD5C18"/>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uiPriority w:val="2"/>
    <w:rsid w:val="00CD5C18"/>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2"/>
    <w:rsid w:val="00CD5C18"/>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2"/>
    <w:rsid w:val="00CD5C18"/>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uiPriority w:val="2"/>
    <w:rsid w:val="00CD5C18"/>
    <w:rPr>
      <w:rFonts w:ascii="Times New Roman" w:eastAsia="Times New Roman" w:hAnsi="Times New Roman" w:cs="Times New Roman"/>
      <w:b/>
      <w:sz w:val="24"/>
    </w:rPr>
  </w:style>
  <w:style w:type="paragraph" w:styleId="Footer">
    <w:name w:val="footer"/>
    <w:basedOn w:val="Normal"/>
    <w:link w:val="FooterChar"/>
    <w:uiPriority w:val="99"/>
    <w:rsid w:val="00CD5C18"/>
    <w:pPr>
      <w:tabs>
        <w:tab w:val="center" w:pos="4320"/>
        <w:tab w:val="right" w:pos="8640"/>
      </w:tabs>
    </w:pPr>
  </w:style>
  <w:style w:type="character" w:customStyle="1" w:styleId="FooterChar">
    <w:name w:val="Footer Char"/>
    <w:basedOn w:val="DefaultParagraphFont"/>
    <w:link w:val="Footer"/>
    <w:uiPriority w:val="99"/>
    <w:rsid w:val="00CD5C18"/>
    <w:rPr>
      <w:rFonts w:ascii="Times New Roman" w:eastAsia="Times New Roman" w:hAnsi="Times New Roman" w:cs="Times New Roman"/>
      <w:sz w:val="20"/>
      <w:szCs w:val="20"/>
    </w:rPr>
  </w:style>
  <w:style w:type="character" w:styleId="PageNumber">
    <w:name w:val="page number"/>
    <w:basedOn w:val="DefaultParagraphFont"/>
    <w:rsid w:val="00CD5C18"/>
  </w:style>
  <w:style w:type="paragraph" w:styleId="Title">
    <w:name w:val="Title"/>
    <w:basedOn w:val="Normal"/>
    <w:link w:val="TitleChar"/>
    <w:qFormat/>
    <w:rsid w:val="00CD5C18"/>
    <w:pPr>
      <w:tabs>
        <w:tab w:val="left" w:pos="360"/>
      </w:tabs>
      <w:spacing w:line="233" w:lineRule="auto"/>
      <w:jc w:val="center"/>
    </w:pPr>
    <w:rPr>
      <w:b/>
      <w:sz w:val="24"/>
    </w:rPr>
  </w:style>
  <w:style w:type="character" w:customStyle="1" w:styleId="TitleChar">
    <w:name w:val="Title Char"/>
    <w:basedOn w:val="DefaultParagraphFont"/>
    <w:link w:val="Title"/>
    <w:rsid w:val="00CD5C18"/>
    <w:rPr>
      <w:rFonts w:ascii="Times New Roman" w:eastAsia="Times New Roman" w:hAnsi="Times New Roman" w:cs="Times New Roman"/>
      <w:b/>
      <w:sz w:val="24"/>
      <w:szCs w:val="20"/>
    </w:rPr>
  </w:style>
  <w:style w:type="paragraph" w:styleId="ListParagraph">
    <w:name w:val="List Paragraph"/>
    <w:basedOn w:val="Normal"/>
    <w:uiPriority w:val="34"/>
    <w:qFormat/>
    <w:rsid w:val="00CD5C18"/>
    <w:pPr>
      <w:ind w:left="720"/>
      <w:contextualSpacing/>
    </w:p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394060"/>
    <w:rPr>
      <w:sz w:val="20"/>
      <w:szCs w:val="20"/>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394060"/>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CD5C18"/>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CD5C18"/>
    <w:rPr>
      <w:rFonts w:ascii="Times New Roman" w:hAnsi="Times New Roman" w:cs="Times New Roman" w:hint="default"/>
      <w:vertAlign w:val="superscript"/>
    </w:rPr>
  </w:style>
  <w:style w:type="paragraph" w:styleId="BodyText2">
    <w:name w:val="Body Text 2"/>
    <w:basedOn w:val="Normal"/>
    <w:link w:val="BodyText2Char"/>
    <w:rsid w:val="00CD5C18"/>
    <w:pPr>
      <w:spacing w:after="120" w:line="480" w:lineRule="auto"/>
    </w:pPr>
    <w:rPr>
      <w:sz w:val="24"/>
      <w:szCs w:val="24"/>
    </w:rPr>
  </w:style>
  <w:style w:type="character" w:customStyle="1" w:styleId="BodyText2Char">
    <w:name w:val="Body Text 2 Char"/>
    <w:basedOn w:val="DefaultParagraphFont"/>
    <w:link w:val="BodyText2"/>
    <w:rsid w:val="00CD5C18"/>
    <w:rPr>
      <w:rFonts w:ascii="Times New Roman" w:eastAsia="Times New Roman" w:hAnsi="Times New Roman" w:cs="Times New Roman"/>
      <w:sz w:val="24"/>
      <w:szCs w:val="24"/>
    </w:rPr>
  </w:style>
  <w:style w:type="paragraph" w:styleId="ListNumber">
    <w:name w:val="List Number"/>
    <w:basedOn w:val="Normal"/>
    <w:qFormat/>
    <w:rsid w:val="00CD5C18"/>
    <w:pPr>
      <w:numPr>
        <w:numId w:val="1"/>
      </w:numPr>
      <w:tabs>
        <w:tab w:val="clear" w:pos="360"/>
      </w:tabs>
      <w:spacing w:line="480" w:lineRule="auto"/>
      <w:ind w:left="0" w:firstLine="720"/>
    </w:pPr>
    <w:rPr>
      <w:sz w:val="24"/>
      <w:szCs w:val="24"/>
    </w:rPr>
  </w:style>
  <w:style w:type="paragraph" w:styleId="BodyText">
    <w:name w:val="Body Text"/>
    <w:basedOn w:val="Normal"/>
    <w:link w:val="BodyTextChar"/>
    <w:rsid w:val="00CD5C18"/>
    <w:pPr>
      <w:spacing w:after="120"/>
    </w:pPr>
  </w:style>
  <w:style w:type="character" w:customStyle="1" w:styleId="BodyTextChar">
    <w:name w:val="Body Text Char"/>
    <w:basedOn w:val="DefaultParagraphFont"/>
    <w:link w:val="BodyText"/>
    <w:rsid w:val="00CD5C18"/>
    <w:rPr>
      <w:rFonts w:ascii="Times New Roman" w:eastAsia="Times New Roman" w:hAnsi="Times New Roman" w:cs="Times New Roman"/>
      <w:sz w:val="20"/>
      <w:szCs w:val="20"/>
    </w:rPr>
  </w:style>
  <w:style w:type="table" w:styleId="TableGrid">
    <w:name w:val="Table Grid"/>
    <w:basedOn w:val="TableNormal"/>
    <w:rsid w:val="00CD5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6486"/>
    <w:rPr>
      <w:rFonts w:ascii="Tahoma" w:hAnsi="Tahoma" w:cs="Tahoma"/>
      <w:sz w:val="16"/>
      <w:szCs w:val="16"/>
    </w:rPr>
  </w:style>
  <w:style w:type="character" w:customStyle="1" w:styleId="BalloonTextChar">
    <w:name w:val="Balloon Text Char"/>
    <w:basedOn w:val="DefaultParagraphFont"/>
    <w:link w:val="BalloonText"/>
    <w:uiPriority w:val="99"/>
    <w:semiHidden/>
    <w:rsid w:val="00E06486"/>
    <w:rPr>
      <w:rFonts w:ascii="Tahoma" w:eastAsia="Times New Roman" w:hAnsi="Tahoma" w:cs="Tahoma"/>
      <w:sz w:val="16"/>
      <w:szCs w:val="16"/>
    </w:rPr>
  </w:style>
  <w:style w:type="paragraph" w:styleId="Header">
    <w:name w:val="header"/>
    <w:basedOn w:val="Normal"/>
    <w:link w:val="HeaderChar"/>
    <w:uiPriority w:val="99"/>
    <w:unhideWhenUsed/>
    <w:rsid w:val="00F815F2"/>
    <w:pPr>
      <w:tabs>
        <w:tab w:val="center" w:pos="4680"/>
        <w:tab w:val="right" w:pos="9360"/>
      </w:tabs>
    </w:pPr>
  </w:style>
  <w:style w:type="character" w:customStyle="1" w:styleId="HeaderChar">
    <w:name w:val="Header Char"/>
    <w:basedOn w:val="DefaultParagraphFont"/>
    <w:link w:val="Header"/>
    <w:uiPriority w:val="99"/>
    <w:rsid w:val="00F815F2"/>
    <w:rPr>
      <w:rFonts w:ascii="Times New Roman" w:eastAsia="Times New Roman" w:hAnsi="Times New Roman" w:cs="Times New Roman"/>
      <w:sz w:val="20"/>
      <w:szCs w:val="20"/>
    </w:rPr>
  </w:style>
  <w:style w:type="paragraph" w:styleId="BodyTextIndent">
    <w:name w:val="Body Text Indent"/>
    <w:basedOn w:val="Normal"/>
    <w:link w:val="BodyTextIndentChar"/>
    <w:rsid w:val="0098610E"/>
    <w:pPr>
      <w:spacing w:after="120"/>
      <w:ind w:left="360"/>
    </w:pPr>
  </w:style>
  <w:style w:type="character" w:customStyle="1" w:styleId="BodyTextIndentChar">
    <w:name w:val="Body Text Indent Char"/>
    <w:basedOn w:val="DefaultParagraphFont"/>
    <w:link w:val="BodyTextIndent"/>
    <w:rsid w:val="0098610E"/>
    <w:rPr>
      <w:rFonts w:ascii="Times New Roman" w:eastAsia="Times New Roman" w:hAnsi="Times New Roman" w:cs="Times New Roman"/>
      <w:sz w:val="20"/>
      <w:szCs w:val="20"/>
    </w:rPr>
  </w:style>
  <w:style w:type="paragraph" w:styleId="NoSpacing">
    <w:name w:val="No Spacing"/>
    <w:uiPriority w:val="1"/>
    <w:qFormat/>
    <w:rsid w:val="00321FB9"/>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AF46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F46E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List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C18"/>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2"/>
    <w:link w:val="Heading1Char"/>
    <w:uiPriority w:val="2"/>
    <w:qFormat/>
    <w:rsid w:val="00CD5C18"/>
    <w:pPr>
      <w:keepLines/>
      <w:numPr>
        <w:numId w:val="2"/>
      </w:numPr>
      <w:tabs>
        <w:tab w:val="clear" w:pos="720"/>
      </w:tabs>
      <w:spacing w:after="240"/>
      <w:jc w:val="both"/>
      <w:outlineLvl w:val="0"/>
    </w:pPr>
    <w:rPr>
      <w:b/>
      <w:bCs/>
      <w:caps/>
      <w:sz w:val="24"/>
      <w:szCs w:val="32"/>
      <w:u w:val="single"/>
    </w:rPr>
  </w:style>
  <w:style w:type="paragraph" w:styleId="Heading2">
    <w:name w:val="heading 2"/>
    <w:basedOn w:val="Normal"/>
    <w:next w:val="BodyText2"/>
    <w:link w:val="Heading2Char"/>
    <w:uiPriority w:val="2"/>
    <w:qFormat/>
    <w:rsid w:val="00CD5C18"/>
    <w:pPr>
      <w:keepLines/>
      <w:numPr>
        <w:ilvl w:val="1"/>
        <w:numId w:val="2"/>
      </w:numPr>
      <w:spacing w:after="240"/>
      <w:jc w:val="both"/>
      <w:outlineLvl w:val="1"/>
    </w:pPr>
    <w:rPr>
      <w:b/>
      <w:bCs/>
      <w:iCs/>
      <w:caps/>
      <w:sz w:val="24"/>
      <w:szCs w:val="28"/>
    </w:rPr>
  </w:style>
  <w:style w:type="paragraph" w:styleId="Heading3">
    <w:name w:val="heading 3"/>
    <w:basedOn w:val="Normal"/>
    <w:next w:val="BodyText2"/>
    <w:link w:val="Heading3Char"/>
    <w:uiPriority w:val="2"/>
    <w:unhideWhenUsed/>
    <w:qFormat/>
    <w:rsid w:val="00CD5C18"/>
    <w:pPr>
      <w:numPr>
        <w:ilvl w:val="2"/>
        <w:numId w:val="2"/>
      </w:numPr>
      <w:spacing w:after="240"/>
      <w:jc w:val="both"/>
      <w:outlineLvl w:val="2"/>
    </w:pPr>
    <w:rPr>
      <w:b/>
      <w:bCs/>
      <w:sz w:val="24"/>
      <w:szCs w:val="26"/>
    </w:rPr>
  </w:style>
  <w:style w:type="paragraph" w:styleId="Heading4">
    <w:name w:val="heading 4"/>
    <w:basedOn w:val="Normal"/>
    <w:next w:val="BodyText2"/>
    <w:link w:val="Heading4Char"/>
    <w:uiPriority w:val="2"/>
    <w:unhideWhenUsed/>
    <w:qFormat/>
    <w:rsid w:val="00CD5C18"/>
    <w:pPr>
      <w:numPr>
        <w:ilvl w:val="3"/>
        <w:numId w:val="2"/>
      </w:numPr>
      <w:spacing w:after="240"/>
      <w:jc w:val="both"/>
      <w:outlineLvl w:val="3"/>
    </w:pPr>
    <w:rPr>
      <w:b/>
      <w:bCs/>
      <w:sz w:val="24"/>
      <w:szCs w:val="28"/>
    </w:rPr>
  </w:style>
  <w:style w:type="paragraph" w:styleId="Heading5">
    <w:name w:val="heading 5"/>
    <w:basedOn w:val="Normal"/>
    <w:next w:val="BodyText2"/>
    <w:link w:val="Heading5Char"/>
    <w:uiPriority w:val="2"/>
    <w:unhideWhenUsed/>
    <w:qFormat/>
    <w:rsid w:val="00CD5C18"/>
    <w:pPr>
      <w:numPr>
        <w:ilvl w:val="4"/>
        <w:numId w:val="2"/>
      </w:numPr>
      <w:spacing w:after="240"/>
      <w:jc w:val="both"/>
      <w:outlineLvl w:val="4"/>
    </w:pPr>
    <w:rPr>
      <w:b/>
      <w:bCs/>
      <w:iCs/>
      <w:sz w:val="24"/>
      <w:szCs w:val="26"/>
    </w:rPr>
  </w:style>
  <w:style w:type="paragraph" w:styleId="Heading6">
    <w:name w:val="heading 6"/>
    <w:basedOn w:val="Normal"/>
    <w:next w:val="BodyText2"/>
    <w:link w:val="Heading6Char"/>
    <w:uiPriority w:val="2"/>
    <w:unhideWhenUsed/>
    <w:qFormat/>
    <w:rsid w:val="00CD5C18"/>
    <w:pPr>
      <w:numPr>
        <w:ilvl w:val="5"/>
        <w:numId w:val="2"/>
      </w:numPr>
      <w:spacing w:after="240"/>
      <w:outlineLvl w:val="5"/>
    </w:pPr>
    <w:rPr>
      <w:b/>
      <w:bCs/>
      <w:sz w:val="24"/>
      <w:szCs w:val="22"/>
    </w:rPr>
  </w:style>
  <w:style w:type="paragraph" w:styleId="Heading7">
    <w:name w:val="heading 7"/>
    <w:basedOn w:val="Normal"/>
    <w:next w:val="BodyText2"/>
    <w:link w:val="Heading7Char"/>
    <w:uiPriority w:val="2"/>
    <w:unhideWhenUsed/>
    <w:qFormat/>
    <w:rsid w:val="00CD5C18"/>
    <w:pPr>
      <w:numPr>
        <w:ilvl w:val="6"/>
        <w:numId w:val="2"/>
      </w:numPr>
      <w:spacing w:after="240"/>
      <w:outlineLvl w:val="6"/>
    </w:pPr>
    <w:rPr>
      <w:b/>
      <w:sz w:val="24"/>
      <w:szCs w:val="24"/>
    </w:rPr>
  </w:style>
  <w:style w:type="paragraph" w:styleId="Heading8">
    <w:name w:val="heading 8"/>
    <w:basedOn w:val="Normal"/>
    <w:next w:val="BodyText2"/>
    <w:link w:val="Heading8Char"/>
    <w:uiPriority w:val="2"/>
    <w:unhideWhenUsed/>
    <w:qFormat/>
    <w:rsid w:val="00CD5C18"/>
    <w:pPr>
      <w:numPr>
        <w:ilvl w:val="7"/>
        <w:numId w:val="2"/>
      </w:numPr>
      <w:spacing w:after="240"/>
      <w:jc w:val="both"/>
      <w:outlineLvl w:val="7"/>
    </w:pPr>
    <w:rPr>
      <w:b/>
      <w:iCs/>
      <w:sz w:val="24"/>
      <w:szCs w:val="24"/>
    </w:rPr>
  </w:style>
  <w:style w:type="paragraph" w:styleId="Heading9">
    <w:name w:val="heading 9"/>
    <w:basedOn w:val="Normal"/>
    <w:next w:val="BodyText2"/>
    <w:link w:val="Heading9Char"/>
    <w:uiPriority w:val="2"/>
    <w:unhideWhenUsed/>
    <w:qFormat/>
    <w:rsid w:val="00CD5C18"/>
    <w:pPr>
      <w:numPr>
        <w:ilvl w:val="8"/>
        <w:numId w:val="2"/>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D5C18"/>
    <w:rPr>
      <w:rFonts w:ascii="Times New Roman" w:eastAsia="Times New Roman" w:hAnsi="Times New Roman" w:cs="Times New Roman"/>
      <w:b/>
      <w:bCs/>
      <w:caps/>
      <w:sz w:val="24"/>
      <w:szCs w:val="32"/>
      <w:u w:val="single"/>
    </w:rPr>
  </w:style>
  <w:style w:type="character" w:customStyle="1" w:styleId="Heading2Char">
    <w:name w:val="Heading 2 Char"/>
    <w:basedOn w:val="DefaultParagraphFont"/>
    <w:link w:val="Heading2"/>
    <w:uiPriority w:val="2"/>
    <w:rsid w:val="00CD5C18"/>
    <w:rPr>
      <w:rFonts w:ascii="Times New Roman" w:eastAsia="Times New Roman" w:hAnsi="Times New Roman" w:cs="Times New Roman"/>
      <w:b/>
      <w:bCs/>
      <w:iCs/>
      <w:caps/>
      <w:sz w:val="24"/>
      <w:szCs w:val="28"/>
    </w:rPr>
  </w:style>
  <w:style w:type="character" w:customStyle="1" w:styleId="Heading3Char">
    <w:name w:val="Heading 3 Char"/>
    <w:basedOn w:val="DefaultParagraphFont"/>
    <w:link w:val="Heading3"/>
    <w:uiPriority w:val="2"/>
    <w:rsid w:val="00CD5C18"/>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2"/>
    <w:rsid w:val="00CD5C18"/>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2"/>
    <w:rsid w:val="00CD5C18"/>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uiPriority w:val="2"/>
    <w:rsid w:val="00CD5C18"/>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2"/>
    <w:rsid w:val="00CD5C18"/>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2"/>
    <w:rsid w:val="00CD5C18"/>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uiPriority w:val="2"/>
    <w:rsid w:val="00CD5C18"/>
    <w:rPr>
      <w:rFonts w:ascii="Times New Roman" w:eastAsia="Times New Roman" w:hAnsi="Times New Roman" w:cs="Times New Roman"/>
      <w:b/>
      <w:sz w:val="24"/>
    </w:rPr>
  </w:style>
  <w:style w:type="paragraph" w:styleId="Footer">
    <w:name w:val="footer"/>
    <w:basedOn w:val="Normal"/>
    <w:link w:val="FooterChar"/>
    <w:uiPriority w:val="99"/>
    <w:rsid w:val="00CD5C18"/>
    <w:pPr>
      <w:tabs>
        <w:tab w:val="center" w:pos="4320"/>
        <w:tab w:val="right" w:pos="8640"/>
      </w:tabs>
    </w:pPr>
  </w:style>
  <w:style w:type="character" w:customStyle="1" w:styleId="FooterChar">
    <w:name w:val="Footer Char"/>
    <w:basedOn w:val="DefaultParagraphFont"/>
    <w:link w:val="Footer"/>
    <w:uiPriority w:val="99"/>
    <w:rsid w:val="00CD5C18"/>
    <w:rPr>
      <w:rFonts w:ascii="Times New Roman" w:eastAsia="Times New Roman" w:hAnsi="Times New Roman" w:cs="Times New Roman"/>
      <w:sz w:val="20"/>
      <w:szCs w:val="20"/>
    </w:rPr>
  </w:style>
  <w:style w:type="character" w:styleId="PageNumber">
    <w:name w:val="page number"/>
    <w:basedOn w:val="DefaultParagraphFont"/>
    <w:rsid w:val="00CD5C18"/>
  </w:style>
  <w:style w:type="paragraph" w:styleId="Title">
    <w:name w:val="Title"/>
    <w:basedOn w:val="Normal"/>
    <w:link w:val="TitleChar"/>
    <w:qFormat/>
    <w:rsid w:val="00CD5C18"/>
    <w:pPr>
      <w:tabs>
        <w:tab w:val="left" w:pos="360"/>
      </w:tabs>
      <w:spacing w:line="233" w:lineRule="auto"/>
      <w:jc w:val="center"/>
    </w:pPr>
    <w:rPr>
      <w:b/>
      <w:sz w:val="24"/>
    </w:rPr>
  </w:style>
  <w:style w:type="character" w:customStyle="1" w:styleId="TitleChar">
    <w:name w:val="Title Char"/>
    <w:basedOn w:val="DefaultParagraphFont"/>
    <w:link w:val="Title"/>
    <w:rsid w:val="00CD5C18"/>
    <w:rPr>
      <w:rFonts w:ascii="Times New Roman" w:eastAsia="Times New Roman" w:hAnsi="Times New Roman" w:cs="Times New Roman"/>
      <w:b/>
      <w:sz w:val="24"/>
      <w:szCs w:val="20"/>
    </w:rPr>
  </w:style>
  <w:style w:type="paragraph" w:styleId="ListParagraph">
    <w:name w:val="List Paragraph"/>
    <w:basedOn w:val="Normal"/>
    <w:uiPriority w:val="34"/>
    <w:qFormat/>
    <w:rsid w:val="00CD5C18"/>
    <w:pPr>
      <w:ind w:left="720"/>
      <w:contextualSpacing/>
    </w:p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394060"/>
    <w:rPr>
      <w:sz w:val="20"/>
      <w:szCs w:val="20"/>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394060"/>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CD5C18"/>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CD5C18"/>
    <w:rPr>
      <w:rFonts w:ascii="Times New Roman" w:hAnsi="Times New Roman" w:cs="Times New Roman" w:hint="default"/>
      <w:vertAlign w:val="superscript"/>
    </w:rPr>
  </w:style>
  <w:style w:type="paragraph" w:styleId="BodyText2">
    <w:name w:val="Body Text 2"/>
    <w:basedOn w:val="Normal"/>
    <w:link w:val="BodyText2Char"/>
    <w:rsid w:val="00CD5C18"/>
    <w:pPr>
      <w:spacing w:after="120" w:line="480" w:lineRule="auto"/>
    </w:pPr>
    <w:rPr>
      <w:sz w:val="24"/>
      <w:szCs w:val="24"/>
    </w:rPr>
  </w:style>
  <w:style w:type="character" w:customStyle="1" w:styleId="BodyText2Char">
    <w:name w:val="Body Text 2 Char"/>
    <w:basedOn w:val="DefaultParagraphFont"/>
    <w:link w:val="BodyText2"/>
    <w:rsid w:val="00CD5C18"/>
    <w:rPr>
      <w:rFonts w:ascii="Times New Roman" w:eastAsia="Times New Roman" w:hAnsi="Times New Roman" w:cs="Times New Roman"/>
      <w:sz w:val="24"/>
      <w:szCs w:val="24"/>
    </w:rPr>
  </w:style>
  <w:style w:type="paragraph" w:styleId="ListNumber">
    <w:name w:val="List Number"/>
    <w:basedOn w:val="Normal"/>
    <w:qFormat/>
    <w:rsid w:val="00CD5C18"/>
    <w:pPr>
      <w:numPr>
        <w:numId w:val="1"/>
      </w:numPr>
      <w:tabs>
        <w:tab w:val="clear" w:pos="360"/>
      </w:tabs>
      <w:spacing w:line="480" w:lineRule="auto"/>
      <w:ind w:left="0" w:firstLine="720"/>
    </w:pPr>
    <w:rPr>
      <w:sz w:val="24"/>
      <w:szCs w:val="24"/>
    </w:rPr>
  </w:style>
  <w:style w:type="paragraph" w:styleId="BodyText">
    <w:name w:val="Body Text"/>
    <w:basedOn w:val="Normal"/>
    <w:link w:val="BodyTextChar"/>
    <w:rsid w:val="00CD5C18"/>
    <w:pPr>
      <w:spacing w:after="120"/>
    </w:pPr>
  </w:style>
  <w:style w:type="character" w:customStyle="1" w:styleId="BodyTextChar">
    <w:name w:val="Body Text Char"/>
    <w:basedOn w:val="DefaultParagraphFont"/>
    <w:link w:val="BodyText"/>
    <w:rsid w:val="00CD5C18"/>
    <w:rPr>
      <w:rFonts w:ascii="Times New Roman" w:eastAsia="Times New Roman" w:hAnsi="Times New Roman" w:cs="Times New Roman"/>
      <w:sz w:val="20"/>
      <w:szCs w:val="20"/>
    </w:rPr>
  </w:style>
  <w:style w:type="table" w:styleId="TableGrid">
    <w:name w:val="Table Grid"/>
    <w:basedOn w:val="TableNormal"/>
    <w:rsid w:val="00CD5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6486"/>
    <w:rPr>
      <w:rFonts w:ascii="Tahoma" w:hAnsi="Tahoma" w:cs="Tahoma"/>
      <w:sz w:val="16"/>
      <w:szCs w:val="16"/>
    </w:rPr>
  </w:style>
  <w:style w:type="character" w:customStyle="1" w:styleId="BalloonTextChar">
    <w:name w:val="Balloon Text Char"/>
    <w:basedOn w:val="DefaultParagraphFont"/>
    <w:link w:val="BalloonText"/>
    <w:uiPriority w:val="99"/>
    <w:semiHidden/>
    <w:rsid w:val="00E06486"/>
    <w:rPr>
      <w:rFonts w:ascii="Tahoma" w:eastAsia="Times New Roman" w:hAnsi="Tahoma" w:cs="Tahoma"/>
      <w:sz w:val="16"/>
      <w:szCs w:val="16"/>
    </w:rPr>
  </w:style>
  <w:style w:type="paragraph" w:styleId="Header">
    <w:name w:val="header"/>
    <w:basedOn w:val="Normal"/>
    <w:link w:val="HeaderChar"/>
    <w:uiPriority w:val="99"/>
    <w:unhideWhenUsed/>
    <w:rsid w:val="00F815F2"/>
    <w:pPr>
      <w:tabs>
        <w:tab w:val="center" w:pos="4680"/>
        <w:tab w:val="right" w:pos="9360"/>
      </w:tabs>
    </w:pPr>
  </w:style>
  <w:style w:type="character" w:customStyle="1" w:styleId="HeaderChar">
    <w:name w:val="Header Char"/>
    <w:basedOn w:val="DefaultParagraphFont"/>
    <w:link w:val="Header"/>
    <w:uiPriority w:val="99"/>
    <w:rsid w:val="00F815F2"/>
    <w:rPr>
      <w:rFonts w:ascii="Times New Roman" w:eastAsia="Times New Roman" w:hAnsi="Times New Roman" w:cs="Times New Roman"/>
      <w:sz w:val="20"/>
      <w:szCs w:val="20"/>
    </w:rPr>
  </w:style>
  <w:style w:type="paragraph" w:styleId="BodyTextIndent">
    <w:name w:val="Body Text Indent"/>
    <w:basedOn w:val="Normal"/>
    <w:link w:val="BodyTextIndentChar"/>
    <w:rsid w:val="0098610E"/>
    <w:pPr>
      <w:spacing w:after="120"/>
      <w:ind w:left="360"/>
    </w:pPr>
  </w:style>
  <w:style w:type="character" w:customStyle="1" w:styleId="BodyTextIndentChar">
    <w:name w:val="Body Text Indent Char"/>
    <w:basedOn w:val="DefaultParagraphFont"/>
    <w:link w:val="BodyTextIndent"/>
    <w:rsid w:val="0098610E"/>
    <w:rPr>
      <w:rFonts w:ascii="Times New Roman" w:eastAsia="Times New Roman" w:hAnsi="Times New Roman" w:cs="Times New Roman"/>
      <w:sz w:val="20"/>
      <w:szCs w:val="20"/>
    </w:rPr>
  </w:style>
  <w:style w:type="paragraph" w:styleId="NoSpacing">
    <w:name w:val="No Spacing"/>
    <w:uiPriority w:val="1"/>
    <w:qFormat/>
    <w:rsid w:val="00321FB9"/>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AF46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F46E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4FDC-656D-45DE-B6F7-982A3676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53</Pages>
  <Words>15608</Words>
  <Characters>88971</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271</cp:revision>
  <cp:lastPrinted>2016-07-19T18:01:00Z</cp:lastPrinted>
  <dcterms:created xsi:type="dcterms:W3CDTF">2016-06-23T11:47:00Z</dcterms:created>
  <dcterms:modified xsi:type="dcterms:W3CDTF">2016-07-19T18:02:00Z</dcterms:modified>
</cp:coreProperties>
</file>