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B8" w:rsidRDefault="00A42FB8" w:rsidP="00A42FB8">
      <w:pPr>
        <w:pStyle w:val="Title"/>
        <w:tabs>
          <w:tab w:val="clear" w:pos="360"/>
          <w:tab w:val="left" w:pos="0"/>
        </w:tabs>
        <w:spacing w:line="240" w:lineRule="auto"/>
      </w:pPr>
      <w:r>
        <w:t>BEFORE THE</w:t>
      </w:r>
    </w:p>
    <w:p w:rsidR="00A42FB8" w:rsidRDefault="00A42FB8" w:rsidP="00A42FB8">
      <w:pPr>
        <w:tabs>
          <w:tab w:val="left" w:pos="0"/>
        </w:tabs>
        <w:spacing w:before="0" w:after="0" w:line="240" w:lineRule="auto"/>
        <w:jc w:val="center"/>
        <w:rPr>
          <w:b/>
        </w:rPr>
      </w:pPr>
      <w:r>
        <w:rPr>
          <w:b/>
        </w:rPr>
        <w:t>PENNSYLVANIA PUBLIC UTILITY COMMISSION</w:t>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44228B" w:rsidP="00A42FB8">
      <w:pPr>
        <w:tabs>
          <w:tab w:val="left" w:pos="0"/>
          <w:tab w:val="left" w:pos="5040"/>
        </w:tabs>
        <w:spacing w:before="0" w:after="0" w:line="240" w:lineRule="auto"/>
        <w:jc w:val="both"/>
        <w:rPr>
          <w:b/>
        </w:rPr>
      </w:pPr>
      <w:r>
        <w:t>Elease Slaughter</w:t>
      </w:r>
      <w:r w:rsidR="00A42FB8">
        <w:tab/>
        <w:t>:</w:t>
      </w:r>
    </w:p>
    <w:p w:rsidR="00A42FB8" w:rsidRPr="00560DC5" w:rsidRDefault="00A42FB8" w:rsidP="00A42FB8">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A42FB8" w:rsidRPr="003B279A" w:rsidRDefault="00A42FB8" w:rsidP="00A42FB8">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w:t>
      </w:r>
      <w:r w:rsidR="0044228B">
        <w:t>41771</w:t>
      </w:r>
    </w:p>
    <w:p w:rsidR="00A42FB8" w:rsidRPr="00560DC5" w:rsidRDefault="00A42FB8" w:rsidP="00A42FB8">
      <w:pPr>
        <w:tabs>
          <w:tab w:val="left" w:pos="0"/>
        </w:tabs>
        <w:spacing w:before="0" w:after="0" w:line="240" w:lineRule="auto"/>
        <w:jc w:val="both"/>
      </w:pPr>
      <w:r>
        <w:tab/>
      </w:r>
      <w:r>
        <w:tab/>
      </w:r>
      <w:r>
        <w:tab/>
      </w:r>
      <w:r>
        <w:tab/>
      </w:r>
      <w:r>
        <w:tab/>
      </w:r>
      <w:r>
        <w:tab/>
      </w:r>
      <w:r w:rsidRPr="00560DC5">
        <w:t>:</w:t>
      </w:r>
    </w:p>
    <w:p w:rsidR="00A42FB8" w:rsidRDefault="00A42FB8" w:rsidP="00A42FB8">
      <w:pPr>
        <w:tabs>
          <w:tab w:val="left" w:pos="0"/>
        </w:tabs>
        <w:spacing w:before="0" w:after="0" w:line="240" w:lineRule="auto"/>
        <w:jc w:val="both"/>
      </w:pPr>
      <w:r>
        <w:t>P</w:t>
      </w:r>
      <w:r w:rsidR="0044228B">
        <w:t>hiladelphia Gas Works</w:t>
      </w:r>
      <w:r w:rsidR="0044228B">
        <w:tab/>
      </w:r>
      <w:r w:rsidR="0044228B">
        <w:tab/>
      </w:r>
      <w:r>
        <w:tab/>
      </w:r>
      <w:r>
        <w:tab/>
      </w:r>
      <w:r w:rsidRPr="00560DC5">
        <w:t>:</w:t>
      </w:r>
    </w:p>
    <w:p w:rsidR="00A42FB8" w:rsidRDefault="00A42FB8" w:rsidP="00A42FB8">
      <w:pPr>
        <w:tabs>
          <w:tab w:val="left" w:pos="0"/>
        </w:tabs>
        <w:spacing w:before="0" w:after="0" w:line="240" w:lineRule="auto"/>
        <w:jc w:val="both"/>
      </w:pPr>
      <w:r>
        <w:tab/>
      </w:r>
      <w:r>
        <w:tab/>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61215B" w:rsidRPr="00484A37" w:rsidRDefault="001F13E3" w:rsidP="00A42FB8">
      <w:pPr>
        <w:spacing w:before="0" w:after="0" w:line="240" w:lineRule="auto"/>
        <w:jc w:val="center"/>
        <w:rPr>
          <w:b/>
        </w:rPr>
      </w:pPr>
      <w:r w:rsidRPr="00484A37">
        <w:rPr>
          <w:b/>
        </w:rPr>
        <w:t>FIRST INTERIM ORDER</w:t>
      </w:r>
    </w:p>
    <w:p w:rsidR="001F13E3" w:rsidRDefault="001F13E3" w:rsidP="00A42FB8">
      <w:pPr>
        <w:spacing w:before="0" w:after="0" w:line="240" w:lineRule="auto"/>
        <w:jc w:val="center"/>
        <w:rPr>
          <w:b/>
          <w:u w:val="single"/>
        </w:rPr>
      </w:pPr>
      <w:r w:rsidRPr="00484A37">
        <w:rPr>
          <w:b/>
        </w:rPr>
        <w:t>GRANTING IN PART AND DENYING IN PART</w:t>
      </w:r>
      <w:r w:rsidR="0061215B" w:rsidRPr="00484A37">
        <w:rPr>
          <w:b/>
        </w:rPr>
        <w:t xml:space="preserve"> </w:t>
      </w:r>
      <w:r w:rsidRPr="00484A37">
        <w:rPr>
          <w:b/>
        </w:rPr>
        <w:t xml:space="preserve">RESPONDENT’S </w:t>
      </w:r>
      <w:r w:rsidR="00787BD5" w:rsidRPr="00484A37">
        <w:rPr>
          <w:b/>
        </w:rPr>
        <w:t>PRELIMINARY</w:t>
      </w:r>
      <w:r w:rsidR="00787BD5">
        <w:rPr>
          <w:b/>
          <w:u w:val="single"/>
        </w:rPr>
        <w:t xml:space="preserve"> OBJECTIONS AND </w:t>
      </w:r>
      <w:r w:rsidR="0061215B">
        <w:rPr>
          <w:b/>
          <w:u w:val="single"/>
        </w:rPr>
        <w:t xml:space="preserve">DENYING </w:t>
      </w:r>
      <w:r>
        <w:rPr>
          <w:b/>
          <w:u w:val="single"/>
        </w:rPr>
        <w:t>MOTION FOR SUMMARY JUDGMENT</w:t>
      </w:r>
    </w:p>
    <w:p w:rsidR="00A42FB8" w:rsidRPr="004015D0" w:rsidRDefault="00A42FB8" w:rsidP="00A42FB8">
      <w:pPr>
        <w:spacing w:before="0" w:after="0" w:line="240" w:lineRule="auto"/>
        <w:jc w:val="center"/>
        <w:rPr>
          <w:b/>
          <w:u w:val="single"/>
        </w:rPr>
      </w:pPr>
    </w:p>
    <w:p w:rsidR="004015D0" w:rsidRDefault="004015D0" w:rsidP="00A42FB8">
      <w:pPr>
        <w:spacing w:before="0" w:after="0" w:line="240" w:lineRule="auto"/>
        <w:jc w:val="center"/>
      </w:pPr>
    </w:p>
    <w:p w:rsidR="007A5913" w:rsidRPr="007A5913" w:rsidRDefault="007A5913" w:rsidP="007A5913">
      <w:pPr>
        <w:tabs>
          <w:tab w:val="clear" w:pos="1440"/>
        </w:tabs>
        <w:spacing w:before="0" w:after="0"/>
        <w:jc w:val="center"/>
        <w:rPr>
          <w:u w:val="single"/>
        </w:rPr>
      </w:pPr>
      <w:r w:rsidRPr="007A5913">
        <w:rPr>
          <w:u w:val="single"/>
        </w:rPr>
        <w:t>HISTORY OF THE PROCEEDINGS</w:t>
      </w:r>
    </w:p>
    <w:p w:rsidR="007A5913" w:rsidRDefault="007A5913" w:rsidP="00093535">
      <w:pPr>
        <w:tabs>
          <w:tab w:val="clear" w:pos="1440"/>
        </w:tabs>
        <w:spacing w:before="0" w:after="0"/>
        <w:rPr>
          <w:u w:val="single"/>
        </w:rPr>
      </w:pPr>
    </w:p>
    <w:p w:rsidR="00093535" w:rsidRPr="00093535" w:rsidRDefault="00093535" w:rsidP="00093535">
      <w:pPr>
        <w:tabs>
          <w:tab w:val="clear" w:pos="1440"/>
        </w:tabs>
        <w:spacing w:before="0" w:after="0"/>
      </w:pPr>
      <w:r>
        <w:t>A.</w:t>
      </w:r>
      <w:r>
        <w:tab/>
      </w:r>
      <w:r w:rsidRPr="00093535">
        <w:rPr>
          <w:u w:val="single"/>
        </w:rPr>
        <w:t>Complainant’s Complaint</w:t>
      </w:r>
    </w:p>
    <w:p w:rsidR="00093535" w:rsidRDefault="00093535" w:rsidP="007A5913">
      <w:pPr>
        <w:tabs>
          <w:tab w:val="clear" w:pos="1440"/>
        </w:tabs>
        <w:spacing w:before="0" w:after="0"/>
        <w:ind w:firstLine="1440"/>
      </w:pPr>
    </w:p>
    <w:p w:rsidR="00745B7A" w:rsidRDefault="00745B7A" w:rsidP="007A5913">
      <w:pPr>
        <w:tabs>
          <w:tab w:val="clear" w:pos="1440"/>
        </w:tabs>
        <w:spacing w:before="0" w:after="0"/>
        <w:ind w:firstLine="1440"/>
      </w:pPr>
      <w:r>
        <w:t xml:space="preserve">Elease Slaughter </w:t>
      </w:r>
      <w:r w:rsidR="007A5913" w:rsidRPr="007A5913">
        <w:t xml:space="preserve">(Complainant) filed a formal complaint against </w:t>
      </w:r>
      <w:r>
        <w:t xml:space="preserve">Philadelphia Gas Works </w:t>
      </w:r>
      <w:r w:rsidR="007A5913" w:rsidRPr="007A5913">
        <w:t>(P</w:t>
      </w:r>
      <w:r>
        <w:t>GW</w:t>
      </w:r>
      <w:r w:rsidR="007A5913" w:rsidRPr="007A5913">
        <w:t>) on A</w:t>
      </w:r>
      <w:r>
        <w:t>pril 18, 2016.</w:t>
      </w:r>
      <w:r w:rsidR="007A5913" w:rsidRPr="007A5913">
        <w:t xml:space="preserve">  Complainant alleges </w:t>
      </w:r>
      <w:r>
        <w:t>Respondent is threatening to shut off her utility service or has already shut off her service.  Complainant furthered allege</w:t>
      </w:r>
      <w:r w:rsidR="00787BD5">
        <w:t>s</w:t>
      </w:r>
      <w:r>
        <w:t xml:space="preserve"> in relevant part as follows:</w:t>
      </w:r>
    </w:p>
    <w:p w:rsidR="00BF06A6" w:rsidRDefault="00BF06A6" w:rsidP="00BF06A6">
      <w:pPr>
        <w:tabs>
          <w:tab w:val="clear" w:pos="1440"/>
        </w:tabs>
        <w:spacing w:before="0" w:after="0" w:line="240" w:lineRule="auto"/>
        <w:ind w:firstLine="1440"/>
      </w:pPr>
    </w:p>
    <w:p w:rsidR="002A7865" w:rsidRPr="002A7865" w:rsidRDefault="002A7865" w:rsidP="00FB773B">
      <w:pPr>
        <w:tabs>
          <w:tab w:val="clear" w:pos="1440"/>
        </w:tabs>
        <w:spacing w:before="0" w:after="0" w:line="276" w:lineRule="auto"/>
        <w:ind w:left="1440" w:right="1080"/>
        <w:rPr>
          <w:rFonts w:eastAsiaTheme="minorHAnsi" w:cstheme="minorBidi"/>
          <w:szCs w:val="22"/>
        </w:rPr>
      </w:pPr>
      <w:r w:rsidRPr="002A7865">
        <w:rPr>
          <w:rFonts w:eastAsiaTheme="minorHAnsi" w:cstheme="minorBidi"/>
          <w:szCs w:val="22"/>
        </w:rPr>
        <w:t>I moved from 7039 Ardleigh Street,</w:t>
      </w:r>
      <w:r>
        <w:rPr>
          <w:rFonts w:eastAsiaTheme="minorHAnsi" w:cstheme="minorBidi"/>
          <w:szCs w:val="22"/>
        </w:rPr>
        <w:t xml:space="preserve"> [Philadelphia</w:t>
      </w:r>
      <w:r w:rsidR="00576D29">
        <w:rPr>
          <w:rFonts w:eastAsiaTheme="minorHAnsi" w:cstheme="minorBidi"/>
          <w:szCs w:val="22"/>
        </w:rPr>
        <w:t>, PA</w:t>
      </w:r>
      <w:r>
        <w:rPr>
          <w:rFonts w:eastAsiaTheme="minorHAnsi" w:cstheme="minorBidi"/>
          <w:szCs w:val="22"/>
        </w:rPr>
        <w:t xml:space="preserve">] </w:t>
      </w:r>
      <w:r w:rsidRPr="002A7865">
        <w:rPr>
          <w:rFonts w:eastAsiaTheme="minorHAnsi" w:cstheme="minorBidi"/>
          <w:szCs w:val="22"/>
        </w:rPr>
        <w:t xml:space="preserve">19119 in latter part of 2007 </w:t>
      </w:r>
      <w:r w:rsidR="00576D29">
        <w:rPr>
          <w:rFonts w:eastAsiaTheme="minorHAnsi" w:cstheme="minorBidi"/>
          <w:szCs w:val="22"/>
        </w:rPr>
        <w:t>a</w:t>
      </w:r>
      <w:r w:rsidRPr="002A7865">
        <w:rPr>
          <w:rFonts w:eastAsiaTheme="minorHAnsi" w:cstheme="minorBidi"/>
          <w:szCs w:val="22"/>
        </w:rPr>
        <w:t>nd called to have service shut-off due to being out of town in Virginia to help my mother recover f</w:t>
      </w:r>
      <w:r w:rsidR="0093102E">
        <w:rPr>
          <w:rFonts w:eastAsiaTheme="minorHAnsi" w:cstheme="minorBidi"/>
          <w:szCs w:val="22"/>
        </w:rPr>
        <w:t>rom</w:t>
      </w:r>
      <w:r w:rsidRPr="002A7865">
        <w:rPr>
          <w:rFonts w:eastAsiaTheme="minorHAnsi" w:cstheme="minorBidi"/>
          <w:szCs w:val="22"/>
        </w:rPr>
        <w:t xml:space="preserve"> quadruple bypass surgery.</w:t>
      </w:r>
    </w:p>
    <w:p w:rsidR="00FB773B" w:rsidRDefault="00FB773B" w:rsidP="00FB773B">
      <w:pPr>
        <w:tabs>
          <w:tab w:val="clear" w:pos="1440"/>
        </w:tabs>
        <w:spacing w:before="0" w:after="0" w:line="240" w:lineRule="auto"/>
        <w:ind w:left="1440" w:right="1080"/>
        <w:rPr>
          <w:rFonts w:eastAsiaTheme="minorHAnsi" w:cstheme="minorBidi"/>
          <w:szCs w:val="22"/>
        </w:rPr>
      </w:pPr>
    </w:p>
    <w:p w:rsidR="002A7865" w:rsidRPr="002A7865" w:rsidRDefault="002A7865" w:rsidP="00FB773B">
      <w:pPr>
        <w:tabs>
          <w:tab w:val="clear" w:pos="1440"/>
        </w:tabs>
        <w:spacing w:before="0" w:after="0" w:line="240" w:lineRule="auto"/>
        <w:ind w:left="1440" w:right="1080"/>
        <w:rPr>
          <w:rFonts w:eastAsiaTheme="minorHAnsi" w:cstheme="minorBidi"/>
          <w:szCs w:val="22"/>
        </w:rPr>
      </w:pPr>
      <w:r w:rsidRPr="002A7865">
        <w:rPr>
          <w:rFonts w:eastAsiaTheme="minorHAnsi" w:cstheme="minorBidi"/>
          <w:szCs w:val="22"/>
        </w:rPr>
        <w:t xml:space="preserve">I was in Virginia for </w:t>
      </w:r>
      <w:r w:rsidR="00FB773B">
        <w:rPr>
          <w:rFonts w:eastAsiaTheme="minorHAnsi" w:cstheme="minorBidi"/>
          <w:szCs w:val="22"/>
        </w:rPr>
        <w:t>1 yr</w:t>
      </w:r>
      <w:r w:rsidRPr="002A7865">
        <w:rPr>
          <w:rFonts w:eastAsiaTheme="minorHAnsi" w:cstheme="minorBidi"/>
          <w:szCs w:val="22"/>
        </w:rPr>
        <w:t>.  However, I called the electric (P</w:t>
      </w:r>
      <w:r w:rsidR="00FB773B">
        <w:rPr>
          <w:rFonts w:eastAsiaTheme="minorHAnsi" w:cstheme="minorBidi"/>
          <w:szCs w:val="22"/>
        </w:rPr>
        <w:t>ECO</w:t>
      </w:r>
      <w:r w:rsidRPr="002A7865">
        <w:rPr>
          <w:rFonts w:eastAsiaTheme="minorHAnsi" w:cstheme="minorBidi"/>
          <w:szCs w:val="22"/>
        </w:rPr>
        <w:t>) Company and shut off service as well.</w:t>
      </w:r>
    </w:p>
    <w:p w:rsidR="00FB773B" w:rsidRDefault="00FB773B" w:rsidP="00FB773B">
      <w:pPr>
        <w:tabs>
          <w:tab w:val="clear" w:pos="1440"/>
        </w:tabs>
        <w:spacing w:before="0" w:after="0" w:line="240" w:lineRule="auto"/>
        <w:ind w:left="1440" w:right="1080"/>
        <w:rPr>
          <w:rFonts w:eastAsiaTheme="minorHAnsi" w:cstheme="minorBidi"/>
          <w:szCs w:val="22"/>
        </w:rPr>
      </w:pPr>
    </w:p>
    <w:p w:rsidR="002A7865" w:rsidRDefault="002A7865" w:rsidP="00FB773B">
      <w:pPr>
        <w:tabs>
          <w:tab w:val="clear" w:pos="1440"/>
        </w:tabs>
        <w:spacing w:before="0" w:after="0" w:line="240" w:lineRule="auto"/>
        <w:ind w:left="1440" w:right="1080"/>
        <w:rPr>
          <w:rFonts w:eastAsiaTheme="minorHAnsi" w:cstheme="minorBidi"/>
          <w:szCs w:val="22"/>
        </w:rPr>
      </w:pPr>
      <w:r w:rsidRPr="002A7865">
        <w:rPr>
          <w:rFonts w:eastAsiaTheme="minorHAnsi" w:cstheme="minorBidi"/>
          <w:szCs w:val="22"/>
        </w:rPr>
        <w:t>To my surprise the PGW never shut off service to 7039 Ardleigh</w:t>
      </w:r>
      <w:r w:rsidR="00FB773B">
        <w:rPr>
          <w:rFonts w:eastAsiaTheme="minorHAnsi" w:cstheme="minorBidi"/>
          <w:szCs w:val="22"/>
        </w:rPr>
        <w:t>,</w:t>
      </w:r>
      <w:r w:rsidRPr="002A7865">
        <w:rPr>
          <w:rFonts w:eastAsiaTheme="minorHAnsi" w:cstheme="minorBidi"/>
          <w:szCs w:val="22"/>
        </w:rPr>
        <w:t xml:space="preserve"> and whoever purchased the property was using electric under my name.</w:t>
      </w:r>
    </w:p>
    <w:p w:rsidR="00FB773B" w:rsidRDefault="00FB773B" w:rsidP="00317B5F">
      <w:pPr>
        <w:tabs>
          <w:tab w:val="clear" w:pos="1440"/>
        </w:tabs>
        <w:spacing w:before="0" w:after="0"/>
        <w:ind w:left="1440" w:right="1080"/>
        <w:rPr>
          <w:rFonts w:eastAsiaTheme="minorHAnsi" w:cstheme="minorBidi"/>
          <w:szCs w:val="22"/>
        </w:rPr>
      </w:pPr>
    </w:p>
    <w:p w:rsidR="00FB773B" w:rsidRDefault="00FB773B" w:rsidP="00317B5F">
      <w:pPr>
        <w:tabs>
          <w:tab w:val="clear" w:pos="1440"/>
        </w:tabs>
        <w:spacing w:before="0" w:after="0"/>
        <w:ind w:left="1440" w:right="1080"/>
        <w:rPr>
          <w:rFonts w:eastAsiaTheme="minorHAnsi" w:cstheme="minorBidi"/>
          <w:szCs w:val="22"/>
        </w:rPr>
      </w:pPr>
      <w:r>
        <w:rPr>
          <w:rFonts w:eastAsiaTheme="minorHAnsi" w:cstheme="minorBidi"/>
          <w:szCs w:val="22"/>
        </w:rPr>
        <w:t>As relief for her complaint, Complainant requests the following:</w:t>
      </w:r>
    </w:p>
    <w:p w:rsidR="00093535" w:rsidRDefault="00093535" w:rsidP="00787BD5">
      <w:pPr>
        <w:tabs>
          <w:tab w:val="clear" w:pos="1440"/>
        </w:tabs>
        <w:spacing w:before="0" w:after="0" w:line="240" w:lineRule="auto"/>
        <w:ind w:left="1440" w:right="1080"/>
        <w:rPr>
          <w:rFonts w:eastAsiaTheme="minorHAnsi" w:cstheme="minorBidi"/>
          <w:szCs w:val="22"/>
        </w:rPr>
      </w:pPr>
    </w:p>
    <w:p w:rsidR="00674AB6" w:rsidRDefault="00FB773B" w:rsidP="00787BD5">
      <w:pPr>
        <w:tabs>
          <w:tab w:val="clear" w:pos="1440"/>
        </w:tabs>
        <w:spacing w:before="0" w:after="0" w:line="240" w:lineRule="auto"/>
        <w:ind w:left="1440" w:right="1080"/>
        <w:rPr>
          <w:rFonts w:eastAsiaTheme="minorHAnsi" w:cstheme="minorBidi"/>
          <w:szCs w:val="22"/>
        </w:rPr>
      </w:pPr>
      <w:r>
        <w:rPr>
          <w:rFonts w:eastAsiaTheme="minorHAnsi" w:cstheme="minorBidi"/>
          <w:szCs w:val="22"/>
        </w:rPr>
        <w:t xml:space="preserve">[For Respondent] to take responsibility </w:t>
      </w:r>
      <w:r w:rsidRPr="00FB773B">
        <w:rPr>
          <w:rFonts w:eastAsiaTheme="minorHAnsi" w:cstheme="minorBidi"/>
          <w:szCs w:val="22"/>
        </w:rPr>
        <w:t xml:space="preserve">for not shutting off my PGW </w:t>
      </w:r>
    </w:p>
    <w:p w:rsidR="00FB773B" w:rsidRDefault="00FB773B" w:rsidP="008A44CE">
      <w:pPr>
        <w:tabs>
          <w:tab w:val="clear" w:pos="1440"/>
        </w:tabs>
        <w:spacing w:before="0" w:after="0" w:line="240" w:lineRule="auto"/>
        <w:ind w:left="1440" w:right="1080"/>
        <w:rPr>
          <w:rFonts w:eastAsiaTheme="minorHAnsi" w:cstheme="minorBidi"/>
          <w:szCs w:val="22"/>
        </w:rPr>
      </w:pPr>
      <w:r w:rsidRPr="00FB773B">
        <w:rPr>
          <w:rFonts w:eastAsiaTheme="minorHAnsi" w:cstheme="minorBidi"/>
          <w:szCs w:val="22"/>
        </w:rPr>
        <w:lastRenderedPageBreak/>
        <w:t xml:space="preserve">when I requested and to adjust my bill to reflect credit for the time not in Philadelphia </w:t>
      </w:r>
      <w:r w:rsidR="00317B5F">
        <w:rPr>
          <w:rFonts w:eastAsiaTheme="minorHAnsi" w:cstheme="minorBidi"/>
          <w:szCs w:val="22"/>
        </w:rPr>
        <w:t xml:space="preserve">at </w:t>
      </w:r>
      <w:r w:rsidRPr="00FB773B">
        <w:rPr>
          <w:rFonts w:eastAsiaTheme="minorHAnsi" w:cstheme="minorBidi"/>
          <w:szCs w:val="22"/>
        </w:rPr>
        <w:t>that address 7039 Ardliegh St.  To please put me on CRP Program to help with my bill and payments since I’m not</w:t>
      </w:r>
      <w:r w:rsidR="00576D29">
        <w:rPr>
          <w:rFonts w:eastAsiaTheme="minorHAnsi" w:cstheme="minorBidi"/>
          <w:szCs w:val="22"/>
        </w:rPr>
        <w:t xml:space="preserve"> </w:t>
      </w:r>
      <w:r w:rsidRPr="00FB773B">
        <w:rPr>
          <w:rFonts w:eastAsiaTheme="minorHAnsi" w:cstheme="minorBidi"/>
          <w:szCs w:val="22"/>
        </w:rPr>
        <w:t>working at this time and receiving partial help from my m</w:t>
      </w:r>
      <w:r w:rsidR="00317B5F">
        <w:rPr>
          <w:rFonts w:eastAsiaTheme="minorHAnsi" w:cstheme="minorBidi"/>
          <w:szCs w:val="22"/>
        </w:rPr>
        <w:t>other, who is</w:t>
      </w:r>
      <w:r w:rsidR="00674AB6">
        <w:rPr>
          <w:rFonts w:eastAsiaTheme="minorHAnsi" w:cstheme="minorBidi"/>
          <w:szCs w:val="22"/>
        </w:rPr>
        <w:t xml:space="preserve"> </w:t>
      </w:r>
      <w:r w:rsidR="00317B5F">
        <w:rPr>
          <w:rFonts w:eastAsiaTheme="minorHAnsi" w:cstheme="minorBidi"/>
          <w:szCs w:val="22"/>
        </w:rPr>
        <w:t>on a fixed income.</w:t>
      </w:r>
    </w:p>
    <w:p w:rsidR="00787BD5" w:rsidRDefault="00787BD5" w:rsidP="00787BD5">
      <w:pPr>
        <w:tabs>
          <w:tab w:val="clear" w:pos="1440"/>
        </w:tabs>
        <w:spacing w:before="0" w:after="0"/>
        <w:ind w:left="1440" w:right="1080"/>
        <w:rPr>
          <w:rFonts w:eastAsiaTheme="minorHAnsi" w:cstheme="minorBidi"/>
          <w:szCs w:val="22"/>
        </w:rPr>
      </w:pPr>
    </w:p>
    <w:p w:rsidR="00787BD5" w:rsidRDefault="00787BD5" w:rsidP="00787BD5">
      <w:pPr>
        <w:tabs>
          <w:tab w:val="clear" w:pos="1440"/>
        </w:tabs>
        <w:spacing w:before="0" w:after="0"/>
        <w:ind w:left="1440" w:right="1080" w:hanging="1440"/>
        <w:rPr>
          <w:rFonts w:eastAsiaTheme="minorHAnsi" w:cstheme="minorBidi"/>
          <w:szCs w:val="22"/>
        </w:rPr>
      </w:pPr>
      <w:proofErr w:type="gramStart"/>
      <w:r>
        <w:rPr>
          <w:rFonts w:eastAsiaTheme="minorHAnsi" w:cstheme="minorBidi"/>
          <w:szCs w:val="22"/>
        </w:rPr>
        <w:t xml:space="preserve">Complaint </w:t>
      </w:r>
      <w:r>
        <w:rPr>
          <w:rFonts w:eastAsiaTheme="minorHAnsi"/>
          <w:szCs w:val="22"/>
        </w:rPr>
        <w:t>¶¶</w:t>
      </w:r>
      <w:r>
        <w:rPr>
          <w:rFonts w:eastAsiaTheme="minorHAnsi" w:cstheme="minorBidi"/>
          <w:szCs w:val="22"/>
        </w:rPr>
        <w:t xml:space="preserve"> 4,</w:t>
      </w:r>
      <w:r w:rsidR="001706EE">
        <w:rPr>
          <w:rFonts w:eastAsiaTheme="minorHAnsi" w:cstheme="minorBidi"/>
          <w:szCs w:val="22"/>
        </w:rPr>
        <w:t xml:space="preserve"> </w:t>
      </w:r>
      <w:r>
        <w:rPr>
          <w:rFonts w:eastAsiaTheme="minorHAnsi" w:cstheme="minorBidi"/>
          <w:szCs w:val="22"/>
        </w:rPr>
        <w:t>5.</w:t>
      </w:r>
      <w:proofErr w:type="gramEnd"/>
    </w:p>
    <w:p w:rsidR="00787BD5" w:rsidRDefault="00787BD5" w:rsidP="00787BD5">
      <w:pPr>
        <w:tabs>
          <w:tab w:val="clear" w:pos="1440"/>
        </w:tabs>
        <w:spacing w:before="0" w:after="0" w:line="240" w:lineRule="auto"/>
        <w:ind w:left="1440" w:right="1080"/>
        <w:rPr>
          <w:rFonts w:eastAsiaTheme="minorHAnsi" w:cstheme="minorBidi"/>
          <w:szCs w:val="22"/>
        </w:rPr>
      </w:pPr>
    </w:p>
    <w:p w:rsidR="00093535" w:rsidRDefault="00093535" w:rsidP="00317B5F">
      <w:pPr>
        <w:tabs>
          <w:tab w:val="clear" w:pos="1440"/>
        </w:tabs>
        <w:spacing w:before="0" w:after="0"/>
        <w:rPr>
          <w:rFonts w:eastAsiaTheme="minorHAnsi" w:cstheme="minorBidi"/>
          <w:szCs w:val="22"/>
        </w:rPr>
      </w:pPr>
      <w:r>
        <w:rPr>
          <w:rFonts w:eastAsiaTheme="minorHAnsi" w:cstheme="minorBidi"/>
          <w:szCs w:val="22"/>
        </w:rPr>
        <w:t>B.</w:t>
      </w:r>
      <w:r>
        <w:rPr>
          <w:rFonts w:eastAsiaTheme="minorHAnsi" w:cstheme="minorBidi"/>
          <w:szCs w:val="22"/>
        </w:rPr>
        <w:tab/>
      </w:r>
      <w:r w:rsidRPr="00093535">
        <w:rPr>
          <w:rFonts w:eastAsiaTheme="minorHAnsi" w:cstheme="minorBidi"/>
          <w:szCs w:val="22"/>
          <w:u w:val="single"/>
        </w:rPr>
        <w:t>Respondent’s Answer</w:t>
      </w:r>
    </w:p>
    <w:p w:rsidR="00093535" w:rsidRDefault="00093535" w:rsidP="00317B5F">
      <w:pPr>
        <w:tabs>
          <w:tab w:val="clear" w:pos="1440"/>
        </w:tabs>
        <w:spacing w:before="0" w:after="0"/>
        <w:rPr>
          <w:rFonts w:eastAsiaTheme="minorHAnsi" w:cstheme="minorBidi"/>
          <w:szCs w:val="22"/>
        </w:rPr>
      </w:pPr>
    </w:p>
    <w:p w:rsidR="00317B5F" w:rsidRDefault="00317B5F"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On May 16, 2016, Respondent filed</w:t>
      </w:r>
      <w:r w:rsidR="00191732">
        <w:rPr>
          <w:rFonts w:eastAsiaTheme="minorHAnsi" w:cstheme="minorBidi"/>
          <w:szCs w:val="22"/>
        </w:rPr>
        <w:t xml:space="preserve"> and served </w:t>
      </w:r>
      <w:r w:rsidR="00787BD5">
        <w:rPr>
          <w:rFonts w:eastAsiaTheme="minorHAnsi" w:cstheme="minorBidi"/>
          <w:szCs w:val="22"/>
        </w:rPr>
        <w:t>three pleadings:</w:t>
      </w:r>
      <w:r w:rsidR="00674AB6">
        <w:rPr>
          <w:rFonts w:eastAsiaTheme="minorHAnsi" w:cstheme="minorBidi"/>
          <w:szCs w:val="22"/>
        </w:rPr>
        <w:t xml:space="preserve"> </w:t>
      </w:r>
      <w:r w:rsidR="00787BD5">
        <w:rPr>
          <w:rFonts w:eastAsiaTheme="minorHAnsi" w:cstheme="minorBidi"/>
          <w:szCs w:val="22"/>
        </w:rPr>
        <w:t xml:space="preserve"> </w:t>
      </w:r>
      <w:r w:rsidR="001974BE">
        <w:rPr>
          <w:rFonts w:eastAsiaTheme="minorHAnsi" w:cstheme="minorBidi"/>
          <w:szCs w:val="22"/>
        </w:rPr>
        <w:t xml:space="preserve">an </w:t>
      </w:r>
      <w:r>
        <w:rPr>
          <w:rFonts w:eastAsiaTheme="minorHAnsi" w:cstheme="minorBidi"/>
          <w:szCs w:val="22"/>
        </w:rPr>
        <w:t>Answer and New Matter</w:t>
      </w:r>
      <w:r w:rsidR="00787BD5">
        <w:rPr>
          <w:rFonts w:eastAsiaTheme="minorHAnsi" w:cstheme="minorBidi"/>
          <w:szCs w:val="22"/>
        </w:rPr>
        <w:t>;</w:t>
      </w:r>
      <w:r>
        <w:rPr>
          <w:rFonts w:eastAsiaTheme="minorHAnsi" w:cstheme="minorBidi"/>
          <w:szCs w:val="22"/>
        </w:rPr>
        <w:t xml:space="preserve"> Preliminary</w:t>
      </w:r>
      <w:r w:rsidR="00FE6E90">
        <w:rPr>
          <w:rFonts w:eastAsiaTheme="minorHAnsi" w:cstheme="minorBidi"/>
          <w:szCs w:val="22"/>
        </w:rPr>
        <w:t xml:space="preserve"> </w:t>
      </w:r>
      <w:r>
        <w:rPr>
          <w:rFonts w:eastAsiaTheme="minorHAnsi" w:cstheme="minorBidi"/>
          <w:szCs w:val="22"/>
        </w:rPr>
        <w:t>Objections (P.O.)</w:t>
      </w:r>
      <w:r w:rsidR="007455F5">
        <w:rPr>
          <w:rFonts w:eastAsiaTheme="minorHAnsi" w:cstheme="minorBidi"/>
          <w:szCs w:val="22"/>
        </w:rPr>
        <w:t xml:space="preserve"> and Motion to Strike</w:t>
      </w:r>
      <w:r w:rsidR="00787BD5">
        <w:rPr>
          <w:rFonts w:eastAsiaTheme="minorHAnsi" w:cstheme="minorBidi"/>
          <w:szCs w:val="22"/>
        </w:rPr>
        <w:t>;</w:t>
      </w:r>
      <w:r>
        <w:rPr>
          <w:rFonts w:eastAsiaTheme="minorHAnsi" w:cstheme="minorBidi"/>
          <w:szCs w:val="22"/>
        </w:rPr>
        <w:t xml:space="preserve"> and Motion for Summary Judgment.</w:t>
      </w:r>
    </w:p>
    <w:p w:rsidR="00317B5F" w:rsidRDefault="00317B5F" w:rsidP="00317B5F">
      <w:pPr>
        <w:tabs>
          <w:tab w:val="clear" w:pos="1440"/>
        </w:tabs>
        <w:spacing w:before="0" w:after="0"/>
        <w:rPr>
          <w:rFonts w:eastAsiaTheme="minorHAnsi" w:cstheme="minorBidi"/>
          <w:szCs w:val="22"/>
        </w:rPr>
      </w:pPr>
    </w:p>
    <w:p w:rsidR="00AB0645" w:rsidRDefault="00317B5F"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In its Answer, Respondent admit</w:t>
      </w:r>
      <w:r w:rsidR="00576D29">
        <w:rPr>
          <w:rFonts w:eastAsiaTheme="minorHAnsi" w:cstheme="minorBidi"/>
          <w:szCs w:val="22"/>
        </w:rPr>
        <w:t>s</w:t>
      </w:r>
      <w:r>
        <w:rPr>
          <w:rFonts w:eastAsiaTheme="minorHAnsi" w:cstheme="minorBidi"/>
          <w:szCs w:val="22"/>
        </w:rPr>
        <w:t xml:space="preserve"> issuing Complainant a shut off notice for service at 3745 N. 16</w:t>
      </w:r>
      <w:r w:rsidRPr="00317B5F">
        <w:rPr>
          <w:rFonts w:eastAsiaTheme="minorHAnsi" w:cstheme="minorBidi"/>
          <w:szCs w:val="22"/>
          <w:vertAlign w:val="superscript"/>
        </w:rPr>
        <w:t>th</w:t>
      </w:r>
      <w:r>
        <w:rPr>
          <w:rFonts w:eastAsiaTheme="minorHAnsi" w:cstheme="minorBidi"/>
          <w:szCs w:val="22"/>
        </w:rPr>
        <w:t xml:space="preserve"> Street, 2</w:t>
      </w:r>
      <w:r w:rsidRPr="00317B5F">
        <w:rPr>
          <w:rFonts w:eastAsiaTheme="minorHAnsi" w:cstheme="minorBidi"/>
          <w:szCs w:val="22"/>
          <w:vertAlign w:val="superscript"/>
        </w:rPr>
        <w:t>nd</w:t>
      </w:r>
      <w:r>
        <w:rPr>
          <w:rFonts w:eastAsiaTheme="minorHAnsi" w:cstheme="minorBidi"/>
          <w:szCs w:val="22"/>
        </w:rPr>
        <w:t xml:space="preserve"> Floor, Philadelphia, Pennsylvania (Service Address).  Respondent further aver</w:t>
      </w:r>
      <w:r w:rsidR="00576D29">
        <w:rPr>
          <w:rFonts w:eastAsiaTheme="minorHAnsi" w:cstheme="minorBidi"/>
          <w:szCs w:val="22"/>
        </w:rPr>
        <w:t>s</w:t>
      </w:r>
      <w:r>
        <w:rPr>
          <w:rFonts w:eastAsiaTheme="minorHAnsi" w:cstheme="minorBidi"/>
          <w:szCs w:val="22"/>
        </w:rPr>
        <w:t xml:space="preserve"> it issued a shut off notice on March 28, 2016 with a shut off date </w:t>
      </w:r>
      <w:r w:rsidR="00DE7399">
        <w:rPr>
          <w:rFonts w:eastAsiaTheme="minorHAnsi" w:cstheme="minorBidi"/>
          <w:szCs w:val="22"/>
        </w:rPr>
        <w:t xml:space="preserve">to occur </w:t>
      </w:r>
      <w:r>
        <w:rPr>
          <w:rFonts w:eastAsiaTheme="minorHAnsi" w:cstheme="minorBidi"/>
          <w:szCs w:val="22"/>
        </w:rPr>
        <w:t xml:space="preserve">on or up to sixty days after April 11, </w:t>
      </w:r>
      <w:r w:rsidRPr="00BF06A6">
        <w:rPr>
          <w:rFonts w:eastAsiaTheme="minorHAnsi" w:cstheme="minorBidi"/>
          <w:szCs w:val="22"/>
        </w:rPr>
        <w:t>2016.</w:t>
      </w:r>
      <w:r>
        <w:rPr>
          <w:rFonts w:eastAsiaTheme="minorHAnsi" w:cstheme="minorBidi"/>
          <w:szCs w:val="22"/>
        </w:rPr>
        <w:t xml:space="preserve">  </w:t>
      </w:r>
      <w:r w:rsidR="00AB0645">
        <w:rPr>
          <w:rFonts w:eastAsiaTheme="minorHAnsi" w:cstheme="minorBidi"/>
          <w:szCs w:val="22"/>
        </w:rPr>
        <w:t>Respondent also allege</w:t>
      </w:r>
      <w:r w:rsidR="00576D29">
        <w:rPr>
          <w:rFonts w:eastAsiaTheme="minorHAnsi" w:cstheme="minorBidi"/>
          <w:szCs w:val="22"/>
        </w:rPr>
        <w:t>s</w:t>
      </w:r>
      <w:r w:rsidR="00AB0645">
        <w:rPr>
          <w:rFonts w:eastAsiaTheme="minorHAnsi" w:cstheme="minorBidi"/>
          <w:szCs w:val="22"/>
        </w:rPr>
        <w:t xml:space="preserve"> as follows:</w:t>
      </w:r>
    </w:p>
    <w:p w:rsidR="00AB0645" w:rsidRDefault="00AB0645" w:rsidP="0043752C">
      <w:pPr>
        <w:tabs>
          <w:tab w:val="clear" w:pos="1440"/>
        </w:tabs>
        <w:spacing w:before="0" w:after="0" w:line="240" w:lineRule="auto"/>
        <w:ind w:left="1440" w:right="1080"/>
        <w:rPr>
          <w:rFonts w:eastAsiaTheme="minorHAnsi" w:cstheme="minorBidi"/>
          <w:szCs w:val="22"/>
        </w:rPr>
      </w:pPr>
    </w:p>
    <w:p w:rsidR="00BB5DBD" w:rsidRDefault="00BB5DBD"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t xml:space="preserve">On March 28, 2008, PGW generated the closing bill for service at 7039 Ardleigh Street in the amount of $2,354.90. </w:t>
      </w:r>
    </w:p>
    <w:p w:rsidR="00BB5DBD" w:rsidRDefault="00BB5DBD" w:rsidP="0043752C">
      <w:pPr>
        <w:tabs>
          <w:tab w:val="clear" w:pos="1440"/>
        </w:tabs>
        <w:spacing w:before="0" w:after="0" w:line="240" w:lineRule="auto"/>
        <w:ind w:left="1440" w:right="1080"/>
        <w:rPr>
          <w:rFonts w:eastAsiaTheme="minorHAnsi" w:cstheme="minorBidi"/>
          <w:szCs w:val="22"/>
        </w:rPr>
      </w:pPr>
    </w:p>
    <w:p w:rsidR="00BB5DBD" w:rsidRDefault="00BB5DBD"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t>As of November 21, 2008, the Complainant established service at the Service Address.  The balance of $2,354.90 remained on the Complainant’s account.</w:t>
      </w:r>
    </w:p>
    <w:p w:rsidR="00BB5DBD" w:rsidRDefault="00BB5DBD" w:rsidP="00317B5F">
      <w:pPr>
        <w:tabs>
          <w:tab w:val="clear" w:pos="1440"/>
        </w:tabs>
        <w:spacing w:before="0" w:after="0"/>
        <w:rPr>
          <w:rFonts w:eastAsiaTheme="minorHAnsi" w:cstheme="minorBidi"/>
          <w:szCs w:val="22"/>
        </w:rPr>
      </w:pPr>
    </w:p>
    <w:p w:rsidR="00093535" w:rsidRDefault="00093535" w:rsidP="00317B5F">
      <w:pPr>
        <w:tabs>
          <w:tab w:val="clear" w:pos="1440"/>
        </w:tabs>
        <w:spacing w:before="0" w:after="0"/>
        <w:rPr>
          <w:rFonts w:eastAsiaTheme="minorHAnsi" w:cstheme="minorBidi"/>
          <w:szCs w:val="22"/>
        </w:rPr>
      </w:pPr>
      <w:r>
        <w:rPr>
          <w:rFonts w:eastAsiaTheme="minorHAnsi" w:cstheme="minorBidi"/>
          <w:szCs w:val="22"/>
        </w:rPr>
        <w:t>C.</w:t>
      </w:r>
      <w:r>
        <w:rPr>
          <w:rFonts w:eastAsiaTheme="minorHAnsi" w:cstheme="minorBidi"/>
          <w:szCs w:val="22"/>
        </w:rPr>
        <w:tab/>
      </w:r>
      <w:r w:rsidRPr="00093535">
        <w:rPr>
          <w:rFonts w:eastAsiaTheme="minorHAnsi" w:cstheme="minorBidi"/>
          <w:szCs w:val="22"/>
          <w:u w:val="single"/>
        </w:rPr>
        <w:t>Respondent’s New Matter</w:t>
      </w:r>
    </w:p>
    <w:p w:rsidR="00093535" w:rsidRDefault="0043752C"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
    <w:p w:rsidR="002C1789" w:rsidRDefault="00093535"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43752C">
        <w:rPr>
          <w:rFonts w:eastAsiaTheme="minorHAnsi" w:cstheme="minorBidi"/>
          <w:szCs w:val="22"/>
        </w:rPr>
        <w:t>In New Matter, Respondent allege</w:t>
      </w:r>
      <w:r w:rsidR="00576D29">
        <w:rPr>
          <w:rFonts w:eastAsiaTheme="minorHAnsi" w:cstheme="minorBidi"/>
          <w:szCs w:val="22"/>
        </w:rPr>
        <w:t>s</w:t>
      </w:r>
      <w:r w:rsidR="0043752C">
        <w:rPr>
          <w:rFonts w:eastAsiaTheme="minorHAnsi" w:cstheme="minorBidi"/>
          <w:szCs w:val="22"/>
        </w:rPr>
        <w:t xml:space="preserve"> in relevant part as follows:</w:t>
      </w:r>
    </w:p>
    <w:p w:rsidR="002C1789" w:rsidRDefault="002C1789" w:rsidP="00F20882">
      <w:pPr>
        <w:tabs>
          <w:tab w:val="clear" w:pos="1440"/>
        </w:tabs>
        <w:spacing w:before="0" w:after="0" w:line="240" w:lineRule="auto"/>
        <w:rPr>
          <w:rFonts w:eastAsiaTheme="minorHAnsi" w:cstheme="minorBidi"/>
          <w:szCs w:val="22"/>
        </w:rPr>
      </w:pPr>
    </w:p>
    <w:p w:rsidR="0043752C" w:rsidRDefault="0043752C"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t>On January 4, 2010, the Complainant filed a Formal Complaint at Docket No. C-2010-2152309</w:t>
      </w:r>
      <w:r w:rsidR="00D927E2">
        <w:rPr>
          <w:rFonts w:eastAsiaTheme="minorHAnsi" w:cstheme="minorBidi"/>
          <w:szCs w:val="22"/>
        </w:rPr>
        <w:t xml:space="preserve"> (2010 Complaint)</w:t>
      </w:r>
      <w:r w:rsidR="008D02ED">
        <w:rPr>
          <w:rFonts w:eastAsiaTheme="minorHAnsi" w:cstheme="minorBidi"/>
          <w:szCs w:val="22"/>
        </w:rPr>
        <w:t xml:space="preserve">, . . . . </w:t>
      </w:r>
      <w:r>
        <w:rPr>
          <w:rFonts w:eastAsiaTheme="minorHAnsi" w:cstheme="minorBidi"/>
          <w:szCs w:val="22"/>
        </w:rPr>
        <w:t>disputing the amount owed from services at 7039 Ardleigh Street.  The Complainant again stated that she had contacted PGW and requested a shut off when she moved out of 7039 Ardleigh Street.</w:t>
      </w:r>
      <w:r w:rsidR="008D02ED">
        <w:rPr>
          <w:rFonts w:eastAsiaTheme="minorHAnsi" w:cstheme="minorBidi"/>
          <w:szCs w:val="22"/>
        </w:rPr>
        <w:t xml:space="preserve">  </w:t>
      </w:r>
      <w:r>
        <w:rPr>
          <w:rFonts w:eastAsiaTheme="minorHAnsi" w:cstheme="minorBidi"/>
          <w:szCs w:val="22"/>
        </w:rPr>
        <w:t>She alleged that PGW failed to complete the shut off, which resulted in her being charged for service at that address instead of the person who lived there during that time.</w:t>
      </w:r>
    </w:p>
    <w:p w:rsidR="00365A72" w:rsidRDefault="00365A72" w:rsidP="0043752C">
      <w:pPr>
        <w:tabs>
          <w:tab w:val="clear" w:pos="1440"/>
        </w:tabs>
        <w:spacing w:before="0" w:after="0" w:line="240" w:lineRule="auto"/>
        <w:ind w:left="1440" w:right="1080"/>
        <w:rPr>
          <w:rFonts w:eastAsiaTheme="minorHAnsi" w:cstheme="minorBidi"/>
          <w:szCs w:val="22"/>
        </w:rPr>
      </w:pPr>
    </w:p>
    <w:p w:rsidR="00D927E2" w:rsidRDefault="00D927E2"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lastRenderedPageBreak/>
        <w:t>On February 3, 2010, PGW filed an answer denying the material allegations of the complaint.</w:t>
      </w:r>
    </w:p>
    <w:p w:rsidR="008A44CE" w:rsidRDefault="005279A2" w:rsidP="00D927E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
    <w:p w:rsidR="005279A2" w:rsidRDefault="008A44CE" w:rsidP="00D927E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D927E2">
        <w:rPr>
          <w:rFonts w:eastAsiaTheme="minorHAnsi" w:cstheme="minorBidi"/>
          <w:szCs w:val="22"/>
        </w:rPr>
        <w:t xml:space="preserve">According to the New Matter, an April 5, 2011 Hearing Notice informed the </w:t>
      </w:r>
      <w:r w:rsidR="00576D29">
        <w:rPr>
          <w:rFonts w:eastAsiaTheme="minorHAnsi" w:cstheme="minorBidi"/>
          <w:szCs w:val="22"/>
        </w:rPr>
        <w:t>P</w:t>
      </w:r>
      <w:r w:rsidR="00D927E2">
        <w:rPr>
          <w:rFonts w:eastAsiaTheme="minorHAnsi" w:cstheme="minorBidi"/>
          <w:szCs w:val="22"/>
        </w:rPr>
        <w:t>arties that an initial hearing on Complainant’s 2010 Complaint was scheduled for May 16, 2011</w:t>
      </w:r>
      <w:r w:rsidR="00610F2C">
        <w:rPr>
          <w:rFonts w:eastAsiaTheme="minorHAnsi" w:cstheme="minorBidi"/>
          <w:szCs w:val="22"/>
        </w:rPr>
        <w:t>,</w:t>
      </w:r>
      <w:r w:rsidR="00D927E2">
        <w:rPr>
          <w:rFonts w:eastAsiaTheme="minorHAnsi" w:cstheme="minorBidi"/>
          <w:szCs w:val="22"/>
        </w:rPr>
        <w:t xml:space="preserve"> in Philadelphia. </w:t>
      </w:r>
      <w:r w:rsidR="001228EE">
        <w:rPr>
          <w:rFonts w:eastAsiaTheme="minorHAnsi" w:cstheme="minorBidi"/>
          <w:szCs w:val="22"/>
        </w:rPr>
        <w:t xml:space="preserve"> </w:t>
      </w:r>
      <w:r w:rsidR="00D927E2">
        <w:rPr>
          <w:rFonts w:eastAsiaTheme="minorHAnsi" w:cstheme="minorBidi"/>
          <w:szCs w:val="22"/>
        </w:rPr>
        <w:t xml:space="preserve">However, </w:t>
      </w:r>
      <w:r w:rsidR="005279A2">
        <w:rPr>
          <w:rFonts w:eastAsiaTheme="minorHAnsi" w:cstheme="minorBidi"/>
          <w:szCs w:val="22"/>
        </w:rPr>
        <w:t xml:space="preserve">Respondent asserts, </w:t>
      </w:r>
      <w:r w:rsidR="00D927E2">
        <w:rPr>
          <w:rFonts w:eastAsiaTheme="minorHAnsi" w:cstheme="minorBidi"/>
          <w:szCs w:val="22"/>
        </w:rPr>
        <w:t xml:space="preserve">Complainant </w:t>
      </w:r>
      <w:r w:rsidR="005279A2">
        <w:rPr>
          <w:rFonts w:eastAsiaTheme="minorHAnsi" w:cstheme="minorBidi"/>
          <w:szCs w:val="22"/>
        </w:rPr>
        <w:t>failed to appear for the hearing; therefore, Respondent moved for dismissal of the 2010 Complaint with prejudice.</w:t>
      </w:r>
    </w:p>
    <w:p w:rsidR="005279A2" w:rsidRDefault="005279A2" w:rsidP="00D927E2">
      <w:pPr>
        <w:tabs>
          <w:tab w:val="clear" w:pos="1440"/>
        </w:tabs>
        <w:spacing w:before="0" w:after="0"/>
        <w:rPr>
          <w:rFonts w:eastAsiaTheme="minorHAnsi" w:cstheme="minorBidi"/>
          <w:szCs w:val="22"/>
        </w:rPr>
      </w:pPr>
    </w:p>
    <w:p w:rsidR="00B86F54" w:rsidRDefault="005279A2" w:rsidP="00D927E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In New Matter, Respondent further asserts as follows:</w:t>
      </w:r>
    </w:p>
    <w:p w:rsidR="00B86F54" w:rsidRDefault="00B86F54" w:rsidP="00F20882">
      <w:pPr>
        <w:tabs>
          <w:tab w:val="clear" w:pos="1440"/>
        </w:tabs>
        <w:spacing w:before="0" w:after="0" w:line="240" w:lineRule="auto"/>
        <w:rPr>
          <w:rFonts w:eastAsiaTheme="minorHAnsi" w:cstheme="minorBidi"/>
          <w:szCs w:val="22"/>
        </w:rPr>
      </w:pPr>
    </w:p>
    <w:p w:rsidR="00D927E2" w:rsidRDefault="00B86F54" w:rsidP="001F5680">
      <w:pPr>
        <w:tabs>
          <w:tab w:val="clear" w:pos="1440"/>
        </w:tabs>
        <w:spacing w:before="0" w:after="0" w:line="240" w:lineRule="auto"/>
        <w:ind w:left="1440" w:right="1080"/>
        <w:rPr>
          <w:rFonts w:eastAsiaTheme="minorHAnsi" w:cstheme="minorBidi"/>
          <w:szCs w:val="22"/>
        </w:rPr>
      </w:pPr>
      <w:r>
        <w:rPr>
          <w:rFonts w:eastAsiaTheme="minorHAnsi" w:cstheme="minorBidi"/>
          <w:szCs w:val="22"/>
        </w:rPr>
        <w:t>On June 17, 2011, the Commission issued the Initial Decision, which granted PGW’s motion to dismiss the matter with prejudice.  The Initial Decision was accompanied by a Secretarial Letter</w:t>
      </w:r>
      <w:r w:rsidR="001F5680">
        <w:rPr>
          <w:rFonts w:eastAsiaTheme="minorHAnsi" w:cstheme="minorBidi"/>
          <w:szCs w:val="22"/>
        </w:rPr>
        <w:t xml:space="preserve"> . . . which outlined the procedure for filing Exceptions.</w:t>
      </w:r>
    </w:p>
    <w:p w:rsidR="001F5680" w:rsidRDefault="001F5680" w:rsidP="001F5680">
      <w:pPr>
        <w:tabs>
          <w:tab w:val="clear" w:pos="1440"/>
        </w:tabs>
        <w:spacing w:before="0" w:after="0" w:line="240" w:lineRule="auto"/>
        <w:ind w:left="1440" w:right="1080"/>
        <w:rPr>
          <w:rFonts w:eastAsiaTheme="minorHAnsi" w:cstheme="minorBidi"/>
          <w:szCs w:val="22"/>
        </w:rPr>
      </w:pPr>
    </w:p>
    <w:p w:rsidR="001F5680" w:rsidRDefault="001F5680" w:rsidP="001F5680">
      <w:pPr>
        <w:tabs>
          <w:tab w:val="clear" w:pos="1440"/>
        </w:tabs>
        <w:spacing w:before="0" w:after="0" w:line="240" w:lineRule="auto"/>
        <w:ind w:left="1440" w:right="1080"/>
        <w:rPr>
          <w:rFonts w:eastAsiaTheme="minorHAnsi" w:cstheme="minorBidi"/>
          <w:szCs w:val="22"/>
        </w:rPr>
      </w:pPr>
      <w:r>
        <w:rPr>
          <w:rFonts w:eastAsiaTheme="minorHAnsi" w:cstheme="minorBidi"/>
          <w:szCs w:val="22"/>
        </w:rPr>
        <w:t xml:space="preserve">No Exceptions were filed, and on July 20, 2011, the Commission </w:t>
      </w:r>
      <w:r w:rsidR="008D02ED">
        <w:rPr>
          <w:rFonts w:eastAsiaTheme="minorHAnsi" w:cstheme="minorBidi"/>
          <w:szCs w:val="22"/>
        </w:rPr>
        <w:t xml:space="preserve">issued </w:t>
      </w:r>
      <w:r>
        <w:rPr>
          <w:rFonts w:eastAsiaTheme="minorHAnsi" w:cstheme="minorBidi"/>
          <w:szCs w:val="22"/>
        </w:rPr>
        <w:t xml:space="preserve">a Final Order in the matter. </w:t>
      </w:r>
    </w:p>
    <w:p w:rsidR="001F5680" w:rsidRDefault="001F5680" w:rsidP="001F5680">
      <w:pPr>
        <w:tabs>
          <w:tab w:val="clear" w:pos="1440"/>
        </w:tabs>
        <w:spacing w:before="0" w:after="0" w:line="240" w:lineRule="auto"/>
        <w:ind w:left="1440" w:right="1080"/>
        <w:rPr>
          <w:rFonts w:eastAsiaTheme="minorHAnsi" w:cstheme="minorBidi"/>
          <w:szCs w:val="22"/>
        </w:rPr>
      </w:pPr>
    </w:p>
    <w:p w:rsidR="001F5680" w:rsidRDefault="001F5680" w:rsidP="001F5680">
      <w:pPr>
        <w:tabs>
          <w:tab w:val="clear" w:pos="1440"/>
        </w:tabs>
        <w:spacing w:before="0" w:after="0" w:line="240" w:lineRule="auto"/>
        <w:ind w:left="1440" w:right="1080"/>
        <w:rPr>
          <w:rFonts w:eastAsiaTheme="minorHAnsi" w:cstheme="minorBidi"/>
          <w:szCs w:val="22"/>
        </w:rPr>
      </w:pPr>
      <w:r>
        <w:rPr>
          <w:rFonts w:eastAsiaTheme="minorHAnsi" w:cstheme="minorBidi"/>
          <w:szCs w:val="22"/>
        </w:rPr>
        <w:t>O</w:t>
      </w:r>
      <w:r w:rsidR="008D02ED">
        <w:rPr>
          <w:rFonts w:eastAsiaTheme="minorHAnsi" w:cstheme="minorBidi"/>
          <w:szCs w:val="22"/>
        </w:rPr>
        <w:t>n</w:t>
      </w:r>
      <w:r>
        <w:rPr>
          <w:rFonts w:eastAsiaTheme="minorHAnsi" w:cstheme="minorBidi"/>
          <w:szCs w:val="22"/>
        </w:rPr>
        <w:t xml:space="preserve"> April 27, 2016, the Commission served PGW with the instant Complaint under Docket N</w:t>
      </w:r>
      <w:r w:rsidR="00923A06">
        <w:rPr>
          <w:rFonts w:eastAsiaTheme="minorHAnsi" w:cstheme="minorBidi"/>
          <w:szCs w:val="22"/>
        </w:rPr>
        <w:t>o</w:t>
      </w:r>
      <w:r>
        <w:rPr>
          <w:rFonts w:eastAsiaTheme="minorHAnsi" w:cstheme="minorBidi"/>
          <w:szCs w:val="22"/>
        </w:rPr>
        <w:t>. C-2016-2541771 wherein the Complainant once again contests the amount owed from 7039 Ardleigh Street and states that she called to have PGW shut off her service, which she claims PGW failed to do.</w:t>
      </w:r>
    </w:p>
    <w:p w:rsidR="001F5680" w:rsidRDefault="001F5680" w:rsidP="001F5680">
      <w:pPr>
        <w:tabs>
          <w:tab w:val="clear" w:pos="1440"/>
        </w:tabs>
        <w:spacing w:before="0" w:after="0"/>
        <w:ind w:left="1440" w:right="1080"/>
        <w:rPr>
          <w:rFonts w:eastAsiaTheme="minorHAnsi" w:cstheme="minorBidi"/>
          <w:szCs w:val="22"/>
        </w:rPr>
      </w:pPr>
    </w:p>
    <w:p w:rsidR="00024EE4" w:rsidRDefault="001F5680" w:rsidP="008A44CE">
      <w:pPr>
        <w:tabs>
          <w:tab w:val="clear" w:pos="1440"/>
        </w:tabs>
        <w:spacing w:before="0" w:after="0"/>
        <w:ind w:firstLine="1440"/>
        <w:rPr>
          <w:rFonts w:eastAsiaTheme="minorHAnsi" w:cstheme="minorBidi"/>
          <w:szCs w:val="22"/>
        </w:rPr>
      </w:pPr>
      <w:r>
        <w:rPr>
          <w:rFonts w:eastAsiaTheme="minorHAnsi" w:cstheme="minorBidi"/>
          <w:szCs w:val="22"/>
        </w:rPr>
        <w:t xml:space="preserve">Relying upon </w:t>
      </w:r>
      <w:r w:rsidR="001974BE">
        <w:rPr>
          <w:rFonts w:eastAsiaTheme="minorHAnsi" w:cstheme="minorBidi"/>
          <w:szCs w:val="22"/>
        </w:rPr>
        <w:t xml:space="preserve">the </w:t>
      </w:r>
      <w:r w:rsidR="002C1789">
        <w:rPr>
          <w:rFonts w:eastAsiaTheme="minorHAnsi" w:cstheme="minorBidi"/>
          <w:szCs w:val="22"/>
        </w:rPr>
        <w:t xml:space="preserve">Public Utility Code’s (Code) </w:t>
      </w:r>
      <w:r>
        <w:rPr>
          <w:rFonts w:eastAsiaTheme="minorHAnsi" w:cstheme="minorBidi"/>
          <w:szCs w:val="22"/>
        </w:rPr>
        <w:t xml:space="preserve">3-year statute of limitations </w:t>
      </w:r>
      <w:r w:rsidR="002C1789">
        <w:rPr>
          <w:rFonts w:eastAsiaTheme="minorHAnsi" w:cstheme="minorBidi"/>
          <w:szCs w:val="22"/>
        </w:rPr>
        <w:t>for prosecuting an action</w:t>
      </w:r>
      <w:r w:rsidR="00610F2C">
        <w:rPr>
          <w:rFonts w:eastAsiaTheme="minorHAnsi" w:cstheme="minorBidi"/>
          <w:szCs w:val="22"/>
        </w:rPr>
        <w:t>,</w:t>
      </w:r>
      <w:r w:rsidR="002C1789">
        <w:rPr>
          <w:rStyle w:val="FootnoteReference"/>
          <w:rFonts w:eastAsiaTheme="minorHAnsi" w:cstheme="minorBidi"/>
          <w:szCs w:val="22"/>
        </w:rPr>
        <w:footnoteReference w:id="1"/>
      </w:r>
      <w:r>
        <w:rPr>
          <w:rFonts w:eastAsiaTheme="minorHAnsi" w:cstheme="minorBidi"/>
          <w:szCs w:val="22"/>
        </w:rPr>
        <w:t xml:space="preserve"> </w:t>
      </w:r>
      <w:r w:rsidR="002C1789">
        <w:rPr>
          <w:rFonts w:eastAsiaTheme="minorHAnsi" w:cstheme="minorBidi"/>
          <w:szCs w:val="22"/>
        </w:rPr>
        <w:t xml:space="preserve">as an affirmative defense to the Complaint, </w:t>
      </w:r>
      <w:r>
        <w:rPr>
          <w:rFonts w:eastAsiaTheme="minorHAnsi" w:cstheme="minorBidi"/>
          <w:szCs w:val="22"/>
        </w:rPr>
        <w:t xml:space="preserve">Respondent seeks dismissal of the </w:t>
      </w:r>
      <w:r w:rsidR="00923A06">
        <w:rPr>
          <w:rFonts w:eastAsiaTheme="minorHAnsi" w:cstheme="minorBidi"/>
          <w:szCs w:val="22"/>
        </w:rPr>
        <w:t>Complaint by averring the Commission lack</w:t>
      </w:r>
      <w:r w:rsidR="00024EE4">
        <w:rPr>
          <w:rFonts w:eastAsiaTheme="minorHAnsi" w:cstheme="minorBidi"/>
          <w:szCs w:val="22"/>
        </w:rPr>
        <w:t>s</w:t>
      </w:r>
      <w:r w:rsidR="00923A06">
        <w:rPr>
          <w:rFonts w:eastAsiaTheme="minorHAnsi" w:cstheme="minorBidi"/>
          <w:szCs w:val="22"/>
        </w:rPr>
        <w:t xml:space="preserve"> jurisdiction to hear an action brought more than three years </w:t>
      </w:r>
      <w:r w:rsidR="001974BE">
        <w:rPr>
          <w:rFonts w:eastAsiaTheme="minorHAnsi" w:cstheme="minorBidi"/>
          <w:szCs w:val="22"/>
        </w:rPr>
        <w:t>from</w:t>
      </w:r>
      <w:r w:rsidR="00923A06">
        <w:rPr>
          <w:rFonts w:eastAsiaTheme="minorHAnsi" w:cstheme="minorBidi"/>
          <w:szCs w:val="22"/>
        </w:rPr>
        <w:t xml:space="preserve"> the date the liability arose.</w:t>
      </w:r>
    </w:p>
    <w:p w:rsidR="00024EE4" w:rsidRDefault="00024EE4" w:rsidP="008A44CE">
      <w:pPr>
        <w:tabs>
          <w:tab w:val="clear" w:pos="1440"/>
        </w:tabs>
        <w:spacing w:before="0" w:after="0"/>
        <w:ind w:firstLine="1440"/>
        <w:rPr>
          <w:rFonts w:eastAsiaTheme="minorHAnsi" w:cstheme="minorBidi"/>
          <w:szCs w:val="22"/>
        </w:rPr>
      </w:pPr>
    </w:p>
    <w:p w:rsidR="00024EE4" w:rsidRDefault="00923A06" w:rsidP="008A44CE">
      <w:pPr>
        <w:tabs>
          <w:tab w:val="clear" w:pos="1440"/>
        </w:tabs>
        <w:spacing w:before="0" w:after="0"/>
        <w:ind w:firstLine="1440"/>
        <w:rPr>
          <w:rFonts w:eastAsiaTheme="minorHAnsi" w:cstheme="minorBidi"/>
          <w:szCs w:val="22"/>
        </w:rPr>
      </w:pPr>
      <w:r>
        <w:rPr>
          <w:rFonts w:eastAsiaTheme="minorHAnsi" w:cstheme="minorBidi"/>
          <w:szCs w:val="22"/>
        </w:rPr>
        <w:t>As another bases for dismissal of the Complaint, Respondent asserts Section 316 of the Code</w:t>
      </w:r>
      <w:r w:rsidR="008A3996">
        <w:rPr>
          <w:rStyle w:val="FootnoteReference"/>
          <w:rFonts w:eastAsiaTheme="minorHAnsi" w:cstheme="minorBidi"/>
          <w:szCs w:val="22"/>
        </w:rPr>
        <w:footnoteReference w:id="2"/>
      </w:r>
      <w:r>
        <w:rPr>
          <w:rFonts w:eastAsiaTheme="minorHAnsi" w:cstheme="minorBidi"/>
          <w:szCs w:val="22"/>
        </w:rPr>
        <w:t xml:space="preserve"> precludes Complainant from collaterally attacking the Final Order of the Commission </w:t>
      </w:r>
      <w:r w:rsidR="008A44CE">
        <w:rPr>
          <w:rFonts w:eastAsiaTheme="minorHAnsi" w:cstheme="minorBidi"/>
          <w:szCs w:val="22"/>
        </w:rPr>
        <w:t xml:space="preserve">issued </w:t>
      </w:r>
      <w:r w:rsidR="003A15A7">
        <w:rPr>
          <w:rFonts w:eastAsiaTheme="minorHAnsi" w:cstheme="minorBidi"/>
          <w:szCs w:val="22"/>
        </w:rPr>
        <w:t>in her 2010 Complaint, which raised the same billing and service issue</w:t>
      </w:r>
      <w:r w:rsidR="008A44CE">
        <w:rPr>
          <w:rFonts w:eastAsiaTheme="minorHAnsi" w:cstheme="minorBidi"/>
          <w:szCs w:val="22"/>
        </w:rPr>
        <w:t>s</w:t>
      </w:r>
      <w:r w:rsidR="003A15A7">
        <w:rPr>
          <w:rFonts w:eastAsiaTheme="minorHAnsi" w:cstheme="minorBidi"/>
          <w:szCs w:val="22"/>
        </w:rPr>
        <w:t xml:space="preserve"> which Complainant again raises in the present proceeding.</w:t>
      </w:r>
      <w:r w:rsidR="00024EE4">
        <w:rPr>
          <w:rFonts w:eastAsiaTheme="minorHAnsi" w:cstheme="minorBidi"/>
          <w:szCs w:val="22"/>
        </w:rPr>
        <w:t xml:space="preserve">  More specifically, PGW asserts as follows:</w:t>
      </w:r>
    </w:p>
    <w:p w:rsidR="00024EE4" w:rsidRDefault="00024EE4" w:rsidP="008A44CE">
      <w:pPr>
        <w:tabs>
          <w:tab w:val="clear" w:pos="1440"/>
        </w:tabs>
        <w:spacing w:before="0" w:after="0"/>
        <w:ind w:left="1800"/>
        <w:rPr>
          <w:rFonts w:eastAsiaTheme="minorHAnsi" w:cstheme="minorBidi"/>
          <w:szCs w:val="22"/>
        </w:rPr>
      </w:pPr>
      <w:r>
        <w:rPr>
          <w:rFonts w:eastAsiaTheme="minorHAnsi" w:cstheme="minorBidi"/>
          <w:szCs w:val="22"/>
        </w:rPr>
        <w:lastRenderedPageBreak/>
        <w:t xml:space="preserve">66 Pa.C.S. </w:t>
      </w:r>
      <w:r>
        <w:rPr>
          <w:rFonts w:eastAsiaTheme="minorHAnsi"/>
          <w:szCs w:val="22"/>
        </w:rPr>
        <w:t>§</w:t>
      </w:r>
      <w:r>
        <w:rPr>
          <w:rFonts w:eastAsiaTheme="minorHAnsi" w:cstheme="minorBidi"/>
          <w:szCs w:val="22"/>
        </w:rPr>
        <w:t xml:space="preserve"> 316 states, in relevant part, that:</w:t>
      </w:r>
    </w:p>
    <w:p w:rsidR="00024EE4" w:rsidRDefault="00024EE4" w:rsidP="00024EE4">
      <w:pPr>
        <w:tabs>
          <w:tab w:val="clear" w:pos="1440"/>
        </w:tabs>
        <w:spacing w:before="0" w:after="0" w:line="240" w:lineRule="auto"/>
        <w:ind w:left="1800" w:right="1440"/>
        <w:rPr>
          <w:rFonts w:eastAsiaTheme="minorHAnsi" w:cstheme="minorBidi"/>
          <w:szCs w:val="22"/>
        </w:rPr>
      </w:pPr>
    </w:p>
    <w:p w:rsidR="00024EE4" w:rsidRDefault="00024EE4" w:rsidP="00024EE4">
      <w:pPr>
        <w:tabs>
          <w:tab w:val="clear" w:pos="1440"/>
        </w:tabs>
        <w:spacing w:before="0" w:after="0" w:line="240" w:lineRule="auto"/>
        <w:ind w:left="1800" w:right="1440"/>
        <w:rPr>
          <w:rFonts w:eastAsiaTheme="minorHAnsi" w:cstheme="minorBidi"/>
          <w:szCs w:val="22"/>
        </w:rPr>
      </w:pPr>
      <w:r>
        <w:rPr>
          <w:rFonts w:eastAsiaTheme="minorHAnsi" w:cstheme="minorBidi"/>
          <w:szCs w:val="22"/>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024EE4" w:rsidRDefault="00024EE4" w:rsidP="00024EE4">
      <w:pPr>
        <w:tabs>
          <w:tab w:val="clear" w:pos="1440"/>
        </w:tabs>
        <w:spacing w:before="0" w:after="0" w:line="240" w:lineRule="auto"/>
        <w:ind w:left="1800" w:right="1440"/>
        <w:rPr>
          <w:rFonts w:eastAsiaTheme="minorHAnsi" w:cstheme="minorBidi"/>
          <w:szCs w:val="22"/>
        </w:rPr>
      </w:pPr>
    </w:p>
    <w:p w:rsidR="00024EE4" w:rsidRDefault="00024EE4" w:rsidP="00024EE4">
      <w:pPr>
        <w:tabs>
          <w:tab w:val="clear" w:pos="1440"/>
        </w:tabs>
        <w:spacing w:before="0" w:after="0" w:line="240" w:lineRule="auto"/>
        <w:ind w:left="1440" w:right="1080"/>
        <w:rPr>
          <w:rFonts w:eastAsiaTheme="minorHAnsi" w:cstheme="minorBidi"/>
          <w:szCs w:val="22"/>
        </w:rPr>
      </w:pPr>
      <w:r>
        <w:rPr>
          <w:rFonts w:eastAsiaTheme="minorHAnsi" w:cstheme="minorBidi"/>
          <w:szCs w:val="22"/>
        </w:rPr>
        <w:t>This section of the Public Utility Code precludes a collateral attack upon a Commission order that has not been reversed upon appeal; it operates to preclude litigants from pursuing the same claims that have been previously resolved by the Commission.</w:t>
      </w:r>
    </w:p>
    <w:p w:rsidR="00024EE4" w:rsidRDefault="00024EE4" w:rsidP="00284DD0">
      <w:pPr>
        <w:tabs>
          <w:tab w:val="clear" w:pos="1440"/>
        </w:tabs>
        <w:spacing w:before="0" w:after="0" w:line="240" w:lineRule="auto"/>
        <w:ind w:left="1440" w:right="1080"/>
        <w:rPr>
          <w:rFonts w:eastAsiaTheme="minorHAnsi" w:cstheme="minorBidi"/>
          <w:szCs w:val="22"/>
        </w:rPr>
      </w:pPr>
    </w:p>
    <w:p w:rsidR="00024EE4" w:rsidRDefault="00024EE4" w:rsidP="00284DD0">
      <w:pPr>
        <w:tabs>
          <w:tab w:val="clear" w:pos="1440"/>
        </w:tabs>
        <w:spacing w:before="0" w:after="0" w:line="240" w:lineRule="auto"/>
        <w:ind w:left="1440" w:right="1080"/>
        <w:rPr>
          <w:rFonts w:eastAsiaTheme="minorHAnsi" w:cstheme="minorBidi"/>
          <w:szCs w:val="22"/>
        </w:rPr>
      </w:pPr>
      <w:r>
        <w:rPr>
          <w:rFonts w:eastAsiaTheme="minorHAnsi" w:cstheme="minorBidi"/>
          <w:szCs w:val="22"/>
        </w:rPr>
        <w:t>. . . .</w:t>
      </w:r>
    </w:p>
    <w:p w:rsidR="003A15A7" w:rsidRDefault="003A15A7" w:rsidP="00284DD0">
      <w:pPr>
        <w:tabs>
          <w:tab w:val="clear" w:pos="1440"/>
        </w:tabs>
        <w:spacing w:before="0" w:after="0" w:line="240" w:lineRule="auto"/>
        <w:ind w:left="1440" w:right="1080"/>
        <w:rPr>
          <w:rFonts w:eastAsiaTheme="minorHAnsi" w:cstheme="minorBidi"/>
          <w:szCs w:val="22"/>
        </w:rPr>
      </w:pPr>
    </w:p>
    <w:p w:rsidR="00284DD0" w:rsidRPr="00284DD0" w:rsidRDefault="00D30AA6" w:rsidP="00284DD0">
      <w:pPr>
        <w:tabs>
          <w:tab w:val="clear" w:pos="1440"/>
        </w:tabs>
        <w:spacing w:before="0" w:after="0" w:line="240" w:lineRule="auto"/>
        <w:ind w:left="1440" w:right="1080"/>
        <w:rPr>
          <w:rFonts w:eastAsiaTheme="minorHAnsi" w:cstheme="minorBidi"/>
          <w:szCs w:val="22"/>
        </w:rPr>
      </w:pPr>
      <w:r>
        <w:rPr>
          <w:rFonts w:eastAsiaTheme="minorHAnsi" w:cstheme="minorBidi"/>
          <w:szCs w:val="22"/>
        </w:rPr>
        <w:t>The doctrine of res judicata reflects the refusal of the law to tolerat</w:t>
      </w:r>
      <w:r w:rsidR="00284DD0">
        <w:rPr>
          <w:rFonts w:eastAsiaTheme="minorHAnsi" w:cstheme="minorBidi"/>
          <w:szCs w:val="22"/>
        </w:rPr>
        <w:t>e</w:t>
      </w:r>
      <w:r>
        <w:rPr>
          <w:rFonts w:eastAsiaTheme="minorHAnsi" w:cstheme="minorBidi"/>
          <w:szCs w:val="22"/>
        </w:rPr>
        <w:t xml:space="preserve"> the re-litigation of a matter decided by a court of competent jurisdiction</w:t>
      </w:r>
      <w:r w:rsidR="00284DD0">
        <w:rPr>
          <w:rFonts w:eastAsiaTheme="minorHAnsi" w:cstheme="minorBidi"/>
          <w:szCs w:val="22"/>
        </w:rPr>
        <w:t xml:space="preserve"> </w:t>
      </w:r>
      <w:r>
        <w:rPr>
          <w:rFonts w:eastAsiaTheme="minorHAnsi" w:cstheme="minorBidi"/>
          <w:szCs w:val="22"/>
        </w:rPr>
        <w:t>and is applicable here.</w:t>
      </w:r>
      <w:r w:rsidR="00284DD0">
        <w:rPr>
          <w:rFonts w:eastAsiaTheme="minorHAnsi" w:cstheme="minorBidi"/>
          <w:szCs w:val="22"/>
        </w:rPr>
        <w:t xml:space="preserve">  . . . .  </w:t>
      </w:r>
      <w:r w:rsidR="00284DD0">
        <w:rPr>
          <w:rFonts w:eastAsiaTheme="minorHAnsi" w:cstheme="minorBidi"/>
          <w:i/>
          <w:szCs w:val="22"/>
        </w:rPr>
        <w:t>Stevens Painton Corp. v.</w:t>
      </w:r>
      <w:r w:rsidR="00093535">
        <w:rPr>
          <w:rFonts w:eastAsiaTheme="minorHAnsi" w:cstheme="minorBidi"/>
          <w:i/>
          <w:szCs w:val="22"/>
        </w:rPr>
        <w:t xml:space="preserve"> </w:t>
      </w:r>
      <w:r w:rsidR="00284DD0">
        <w:rPr>
          <w:rFonts w:eastAsiaTheme="minorHAnsi" w:cstheme="minorBidi"/>
          <w:i/>
          <w:szCs w:val="22"/>
        </w:rPr>
        <w:t>First State Ins. Co</w:t>
      </w:r>
      <w:proofErr w:type="gramStart"/>
      <w:r w:rsidR="00284DD0">
        <w:rPr>
          <w:rFonts w:eastAsiaTheme="minorHAnsi" w:cstheme="minorBidi"/>
          <w:i/>
          <w:szCs w:val="22"/>
        </w:rPr>
        <w:t>,.</w:t>
      </w:r>
      <w:proofErr w:type="gramEnd"/>
      <w:r w:rsidR="00284DD0">
        <w:rPr>
          <w:rFonts w:eastAsiaTheme="minorHAnsi" w:cstheme="minorBidi"/>
          <w:i/>
          <w:szCs w:val="22"/>
        </w:rPr>
        <w:t xml:space="preserve"> </w:t>
      </w:r>
      <w:proofErr w:type="gramStart"/>
      <w:r w:rsidR="00284DD0">
        <w:rPr>
          <w:rFonts w:eastAsiaTheme="minorHAnsi" w:cstheme="minorBidi"/>
          <w:szCs w:val="22"/>
        </w:rPr>
        <w:t>746 A.2d 649 (2000).</w:t>
      </w:r>
      <w:proofErr w:type="gramEnd"/>
    </w:p>
    <w:p w:rsidR="00D30AA6" w:rsidRDefault="00D30AA6" w:rsidP="00923A06">
      <w:pPr>
        <w:tabs>
          <w:tab w:val="clear" w:pos="1440"/>
        </w:tabs>
        <w:spacing w:before="0" w:after="0"/>
        <w:ind w:right="1080" w:firstLine="1440"/>
        <w:rPr>
          <w:rFonts w:eastAsiaTheme="minorHAnsi" w:cstheme="minorBidi"/>
          <w:szCs w:val="22"/>
        </w:rPr>
      </w:pPr>
    </w:p>
    <w:p w:rsidR="003A15A7" w:rsidRDefault="00093535" w:rsidP="00A64336">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A15A7">
        <w:rPr>
          <w:rFonts w:eastAsiaTheme="minorHAnsi" w:cstheme="minorBidi"/>
          <w:szCs w:val="22"/>
        </w:rPr>
        <w:t>Complainant did not file a response</w:t>
      </w:r>
      <w:r w:rsidR="00284DD0">
        <w:rPr>
          <w:rFonts w:eastAsiaTheme="minorHAnsi" w:cstheme="minorBidi"/>
          <w:szCs w:val="22"/>
        </w:rPr>
        <w:t xml:space="preserve"> to the Respondent’s New Matter within 20</w:t>
      </w:r>
      <w:r w:rsidR="00F1590A">
        <w:rPr>
          <w:rFonts w:eastAsiaTheme="minorHAnsi" w:cstheme="minorBidi"/>
          <w:szCs w:val="22"/>
        </w:rPr>
        <w:t xml:space="preserve"> </w:t>
      </w:r>
      <w:r w:rsidR="00284DD0">
        <w:rPr>
          <w:rFonts w:eastAsiaTheme="minorHAnsi" w:cstheme="minorBidi"/>
          <w:szCs w:val="22"/>
        </w:rPr>
        <w:t>day</w:t>
      </w:r>
      <w:r w:rsidR="00F1590A">
        <w:rPr>
          <w:rFonts w:eastAsiaTheme="minorHAnsi" w:cstheme="minorBidi"/>
          <w:szCs w:val="22"/>
        </w:rPr>
        <w:t>s</w:t>
      </w:r>
      <w:r w:rsidR="00284DD0">
        <w:rPr>
          <w:rFonts w:eastAsiaTheme="minorHAnsi" w:cstheme="minorBidi"/>
          <w:szCs w:val="22"/>
        </w:rPr>
        <w:t xml:space="preserve"> after service of the New Matter as prescribed by Section 5.63(a) of the Commission’s regulations.  </w:t>
      </w:r>
      <w:proofErr w:type="gramStart"/>
      <w:r w:rsidR="00284DD0">
        <w:rPr>
          <w:rFonts w:eastAsiaTheme="minorHAnsi" w:cstheme="minorBidi"/>
          <w:szCs w:val="22"/>
        </w:rPr>
        <w:t xml:space="preserve">52 Pa.Code </w:t>
      </w:r>
      <w:r w:rsidR="00284DD0">
        <w:rPr>
          <w:rFonts w:eastAsiaTheme="minorHAnsi"/>
          <w:szCs w:val="22"/>
        </w:rPr>
        <w:t>§</w:t>
      </w:r>
      <w:r w:rsidR="00284DD0">
        <w:rPr>
          <w:rFonts w:eastAsiaTheme="minorHAnsi" w:cstheme="minorBidi"/>
          <w:szCs w:val="22"/>
        </w:rPr>
        <w:t xml:space="preserve"> 5.63(a).</w:t>
      </w:r>
      <w:proofErr w:type="gramEnd"/>
    </w:p>
    <w:p w:rsidR="003A15A7" w:rsidRDefault="003A15A7" w:rsidP="00093535">
      <w:pPr>
        <w:tabs>
          <w:tab w:val="clear" w:pos="1440"/>
        </w:tabs>
        <w:spacing w:before="0" w:after="0"/>
        <w:ind w:firstLine="1440"/>
        <w:rPr>
          <w:rFonts w:eastAsiaTheme="minorHAnsi" w:cstheme="minorBidi"/>
          <w:szCs w:val="22"/>
        </w:rPr>
      </w:pPr>
    </w:p>
    <w:p w:rsidR="000F2C40" w:rsidRPr="000F2C40" w:rsidRDefault="000F2C40" w:rsidP="000F2C40">
      <w:pPr>
        <w:tabs>
          <w:tab w:val="clear" w:pos="1440"/>
        </w:tabs>
        <w:spacing w:before="0" w:after="0"/>
        <w:rPr>
          <w:rFonts w:eastAsiaTheme="minorHAnsi" w:cstheme="minorBidi"/>
          <w:szCs w:val="22"/>
          <w:u w:val="single"/>
        </w:rPr>
      </w:pPr>
      <w:r>
        <w:rPr>
          <w:rFonts w:eastAsiaTheme="minorHAnsi" w:cstheme="minorBidi"/>
          <w:szCs w:val="22"/>
        </w:rPr>
        <w:t>D.</w:t>
      </w:r>
      <w:r>
        <w:rPr>
          <w:rFonts w:eastAsiaTheme="minorHAnsi" w:cstheme="minorBidi"/>
          <w:szCs w:val="22"/>
        </w:rPr>
        <w:tab/>
      </w:r>
      <w:r>
        <w:rPr>
          <w:rFonts w:eastAsiaTheme="minorHAnsi" w:cstheme="minorBidi"/>
          <w:szCs w:val="22"/>
          <w:u w:val="single"/>
        </w:rPr>
        <w:t>Respondent’s Preliminary Objections</w:t>
      </w:r>
    </w:p>
    <w:p w:rsidR="000F2C40" w:rsidRDefault="000F2C40" w:rsidP="00093535">
      <w:pPr>
        <w:tabs>
          <w:tab w:val="clear" w:pos="1440"/>
        </w:tabs>
        <w:spacing w:before="0" w:after="0"/>
        <w:ind w:firstLine="1440"/>
        <w:rPr>
          <w:rFonts w:eastAsiaTheme="minorHAnsi" w:cstheme="minorBidi"/>
          <w:szCs w:val="22"/>
        </w:rPr>
      </w:pPr>
    </w:p>
    <w:p w:rsidR="00A64336" w:rsidRDefault="007455F5" w:rsidP="00093535">
      <w:pPr>
        <w:tabs>
          <w:tab w:val="clear" w:pos="1440"/>
        </w:tabs>
        <w:spacing w:before="0" w:after="0"/>
        <w:ind w:firstLine="1440"/>
        <w:rPr>
          <w:rFonts w:eastAsiaTheme="minorHAnsi" w:cstheme="minorBidi"/>
          <w:szCs w:val="22"/>
        </w:rPr>
      </w:pPr>
      <w:r>
        <w:rPr>
          <w:rFonts w:eastAsiaTheme="minorHAnsi" w:cstheme="minorBidi"/>
          <w:szCs w:val="22"/>
        </w:rPr>
        <w:t xml:space="preserve">In its P.O., PGW reiterates its statute of limitations </w:t>
      </w:r>
      <w:r w:rsidR="00A64336">
        <w:rPr>
          <w:rFonts w:eastAsiaTheme="minorHAnsi" w:cstheme="minorBidi"/>
          <w:szCs w:val="22"/>
        </w:rPr>
        <w:t>defense as follows:</w:t>
      </w:r>
    </w:p>
    <w:p w:rsidR="00A64336" w:rsidRDefault="00A64336" w:rsidP="00F20882">
      <w:pPr>
        <w:tabs>
          <w:tab w:val="clear" w:pos="1440"/>
        </w:tabs>
        <w:spacing w:before="0" w:after="0" w:line="240" w:lineRule="auto"/>
        <w:ind w:right="1080" w:firstLine="1440"/>
        <w:rPr>
          <w:rFonts w:eastAsiaTheme="minorHAnsi" w:cstheme="minorBidi"/>
          <w:szCs w:val="22"/>
        </w:rPr>
      </w:pPr>
    </w:p>
    <w:p w:rsidR="00A64336"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The statute of limitations at 66 Pa.C.</w:t>
      </w:r>
      <w:r w:rsidR="00093535">
        <w:rPr>
          <w:rFonts w:eastAsiaTheme="minorHAnsi" w:cstheme="minorBidi"/>
          <w:szCs w:val="22"/>
        </w:rPr>
        <w:t>S</w:t>
      </w:r>
      <w:r>
        <w:rPr>
          <w:rFonts w:eastAsiaTheme="minorHAnsi" w:cstheme="minorBidi"/>
          <w:szCs w:val="22"/>
        </w:rPr>
        <w:t xml:space="preserve">. </w:t>
      </w:r>
      <w:r>
        <w:rPr>
          <w:rFonts w:eastAsiaTheme="minorHAnsi"/>
          <w:szCs w:val="22"/>
        </w:rPr>
        <w:t>§</w:t>
      </w:r>
      <w:r>
        <w:rPr>
          <w:rFonts w:eastAsiaTheme="minorHAnsi" w:cstheme="minorBidi"/>
          <w:szCs w:val="22"/>
        </w:rPr>
        <w:t xml:space="preserve"> 3314 divests the Commission of jurisdiction to hear an action brought more than three years from the date liability arose.</w:t>
      </w:r>
    </w:p>
    <w:p w:rsidR="00A64336" w:rsidRDefault="00A64336" w:rsidP="00A64336">
      <w:pPr>
        <w:tabs>
          <w:tab w:val="clear" w:pos="1440"/>
        </w:tabs>
        <w:spacing w:before="0" w:after="0" w:line="240" w:lineRule="auto"/>
        <w:ind w:left="1440" w:right="1080"/>
        <w:rPr>
          <w:rFonts w:eastAsiaTheme="minorHAnsi" w:cstheme="minorBidi"/>
          <w:szCs w:val="22"/>
        </w:rPr>
      </w:pPr>
    </w:p>
    <w:p w:rsidR="00A64336"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The Complainant has lost he</w:t>
      </w:r>
      <w:r w:rsidR="00191732">
        <w:rPr>
          <w:rFonts w:eastAsiaTheme="minorHAnsi" w:cstheme="minorBidi"/>
          <w:szCs w:val="22"/>
        </w:rPr>
        <w:t>r</w:t>
      </w:r>
      <w:r>
        <w:rPr>
          <w:rFonts w:eastAsiaTheme="minorHAnsi" w:cstheme="minorBidi"/>
          <w:szCs w:val="22"/>
        </w:rPr>
        <w:t xml:space="preserve"> right to pursue litigation regarding the bill for gas service at 7039 Ardleigh Street, as any cause of action arising from that bill falls outside the statute of limitations.</w:t>
      </w:r>
    </w:p>
    <w:p w:rsidR="00A64336" w:rsidRDefault="00A64336" w:rsidP="00A64336">
      <w:pPr>
        <w:tabs>
          <w:tab w:val="clear" w:pos="1440"/>
        </w:tabs>
        <w:spacing w:before="0" w:after="0" w:line="240" w:lineRule="auto"/>
        <w:ind w:left="1440" w:right="1080"/>
        <w:rPr>
          <w:rFonts w:eastAsiaTheme="minorHAnsi" w:cstheme="minorBidi"/>
          <w:szCs w:val="22"/>
        </w:rPr>
      </w:pPr>
    </w:p>
    <w:p w:rsidR="00A64336"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As the Commission is without jurisdiction to decide on matters falling outside of the statute of limitations, the Complain</w:t>
      </w:r>
      <w:r w:rsidR="00093535">
        <w:rPr>
          <w:rFonts w:eastAsiaTheme="minorHAnsi" w:cstheme="minorBidi"/>
          <w:szCs w:val="22"/>
        </w:rPr>
        <w:t>ant</w:t>
      </w:r>
      <w:r w:rsidR="00191732">
        <w:rPr>
          <w:rFonts w:eastAsiaTheme="minorHAnsi" w:cstheme="minorBidi"/>
          <w:szCs w:val="22"/>
        </w:rPr>
        <w:t>’</w:t>
      </w:r>
      <w:r>
        <w:rPr>
          <w:rFonts w:eastAsiaTheme="minorHAnsi" w:cstheme="minorBidi"/>
          <w:szCs w:val="22"/>
        </w:rPr>
        <w:t xml:space="preserve">s request for relief is “impertinent matter” within the use and meaning of 52 Pa.Code </w:t>
      </w:r>
      <w:r>
        <w:rPr>
          <w:rFonts w:eastAsiaTheme="minorHAnsi"/>
          <w:szCs w:val="22"/>
        </w:rPr>
        <w:t>§</w:t>
      </w:r>
      <w:r>
        <w:rPr>
          <w:rFonts w:eastAsiaTheme="minorHAnsi" w:cstheme="minorBidi"/>
          <w:szCs w:val="22"/>
        </w:rPr>
        <w:t xml:space="preserve"> 5.101(a) (2) and should be stricken from the Complaint.</w:t>
      </w:r>
    </w:p>
    <w:p w:rsidR="00A64336" w:rsidRDefault="00A64336" w:rsidP="00A64336">
      <w:pPr>
        <w:tabs>
          <w:tab w:val="clear" w:pos="1440"/>
        </w:tabs>
        <w:spacing w:before="0" w:after="0"/>
        <w:ind w:left="1440" w:right="1080"/>
        <w:rPr>
          <w:rFonts w:eastAsiaTheme="minorHAnsi" w:cstheme="minorBidi"/>
          <w:szCs w:val="22"/>
        </w:rPr>
      </w:pPr>
    </w:p>
    <w:p w:rsidR="00A64336" w:rsidRDefault="000F2C40" w:rsidP="00A64336">
      <w:pPr>
        <w:tabs>
          <w:tab w:val="clear" w:pos="1440"/>
        </w:tabs>
        <w:spacing w:before="0" w:after="0"/>
        <w:rPr>
          <w:rFonts w:eastAsiaTheme="minorHAnsi" w:cstheme="minorBidi"/>
          <w:szCs w:val="22"/>
        </w:rPr>
      </w:pPr>
      <w:r>
        <w:rPr>
          <w:rFonts w:eastAsiaTheme="minorHAnsi" w:cstheme="minorBidi"/>
          <w:szCs w:val="22"/>
        </w:rPr>
        <w:lastRenderedPageBreak/>
        <w:tab/>
      </w:r>
      <w:r>
        <w:rPr>
          <w:rFonts w:eastAsiaTheme="minorHAnsi" w:cstheme="minorBidi"/>
          <w:szCs w:val="22"/>
        </w:rPr>
        <w:tab/>
      </w:r>
      <w:r w:rsidR="001C560D">
        <w:rPr>
          <w:rFonts w:eastAsiaTheme="minorHAnsi" w:cstheme="minorBidi"/>
          <w:szCs w:val="22"/>
        </w:rPr>
        <w:t xml:space="preserve">The P.O. contained a 10-day notice for Complainant to file a response. </w:t>
      </w:r>
      <w:r w:rsidR="00A64336">
        <w:rPr>
          <w:rFonts w:eastAsiaTheme="minorHAnsi" w:cstheme="minorBidi"/>
          <w:szCs w:val="22"/>
        </w:rPr>
        <w:t xml:space="preserve">Complainant did not file a response to the Respondent’s </w:t>
      </w:r>
      <w:r w:rsidR="00191732">
        <w:rPr>
          <w:rFonts w:eastAsiaTheme="minorHAnsi" w:cstheme="minorBidi"/>
          <w:szCs w:val="22"/>
        </w:rPr>
        <w:t>P.O.</w:t>
      </w:r>
      <w:r w:rsidR="00A64336">
        <w:rPr>
          <w:rFonts w:eastAsiaTheme="minorHAnsi" w:cstheme="minorBidi"/>
          <w:szCs w:val="22"/>
        </w:rPr>
        <w:t xml:space="preserve"> within 10</w:t>
      </w:r>
      <w:r w:rsidR="00F1590A">
        <w:rPr>
          <w:rFonts w:eastAsiaTheme="minorHAnsi" w:cstheme="minorBidi"/>
          <w:szCs w:val="22"/>
        </w:rPr>
        <w:t xml:space="preserve"> </w:t>
      </w:r>
      <w:r w:rsidR="00A64336">
        <w:rPr>
          <w:rFonts w:eastAsiaTheme="minorHAnsi" w:cstheme="minorBidi"/>
          <w:szCs w:val="22"/>
        </w:rPr>
        <w:t xml:space="preserve">days after service of the </w:t>
      </w:r>
      <w:r w:rsidR="00F1590A">
        <w:rPr>
          <w:rFonts w:eastAsiaTheme="minorHAnsi" w:cstheme="minorBidi"/>
          <w:szCs w:val="22"/>
        </w:rPr>
        <w:t>P.O.</w:t>
      </w:r>
      <w:r w:rsidR="00AD778C">
        <w:rPr>
          <w:rFonts w:eastAsiaTheme="minorHAnsi" w:cstheme="minorBidi"/>
          <w:szCs w:val="22"/>
        </w:rPr>
        <w:t>,</w:t>
      </w:r>
      <w:r w:rsidR="00A64336">
        <w:rPr>
          <w:rFonts w:eastAsiaTheme="minorHAnsi" w:cstheme="minorBidi"/>
          <w:szCs w:val="22"/>
        </w:rPr>
        <w:t xml:space="preserve"> as prescribed by Section 5.</w:t>
      </w:r>
      <w:r w:rsidR="00F1590A">
        <w:rPr>
          <w:rFonts w:eastAsiaTheme="minorHAnsi" w:cstheme="minorBidi"/>
          <w:szCs w:val="22"/>
        </w:rPr>
        <w:t>101</w:t>
      </w:r>
      <w:r w:rsidR="00A64336">
        <w:rPr>
          <w:rFonts w:eastAsiaTheme="minorHAnsi" w:cstheme="minorBidi"/>
          <w:szCs w:val="22"/>
        </w:rPr>
        <w:t>(</w:t>
      </w:r>
      <w:r w:rsidR="00F1590A">
        <w:rPr>
          <w:rFonts w:eastAsiaTheme="minorHAnsi" w:cstheme="minorBidi"/>
          <w:szCs w:val="22"/>
        </w:rPr>
        <w:t>7</w:t>
      </w:r>
      <w:proofErr w:type="gramStart"/>
      <w:r w:rsidR="00A64336">
        <w:rPr>
          <w:rFonts w:eastAsiaTheme="minorHAnsi" w:cstheme="minorBidi"/>
          <w:szCs w:val="22"/>
        </w:rPr>
        <w:t>)</w:t>
      </w:r>
      <w:r w:rsidR="00F1590A">
        <w:rPr>
          <w:rFonts w:eastAsiaTheme="minorHAnsi" w:cstheme="minorBidi"/>
          <w:szCs w:val="22"/>
        </w:rPr>
        <w:t>(</w:t>
      </w:r>
      <w:proofErr w:type="gramEnd"/>
      <w:r w:rsidR="00F1590A">
        <w:rPr>
          <w:rFonts w:eastAsiaTheme="minorHAnsi" w:cstheme="minorBidi"/>
          <w:szCs w:val="22"/>
        </w:rPr>
        <w:t>f)(1)</w:t>
      </w:r>
      <w:r w:rsidR="00A64336">
        <w:rPr>
          <w:rFonts w:eastAsiaTheme="minorHAnsi" w:cstheme="minorBidi"/>
          <w:szCs w:val="22"/>
        </w:rPr>
        <w:t xml:space="preserve"> of the Commission’s regulations.  52 Pa.Code</w:t>
      </w:r>
      <w:r w:rsidR="00F20882">
        <w:rPr>
          <w:rFonts w:eastAsiaTheme="minorHAnsi" w:cstheme="minorBidi"/>
          <w:szCs w:val="22"/>
        </w:rPr>
        <w:t xml:space="preserve"> </w:t>
      </w:r>
      <w:r w:rsidR="00F20882">
        <w:rPr>
          <w:rFonts w:eastAsiaTheme="minorHAnsi" w:cstheme="minorBidi"/>
          <w:szCs w:val="22"/>
        </w:rPr>
        <w:br w:type="textWrapping" w:clear="all"/>
      </w:r>
      <w:r w:rsidR="00A64336">
        <w:rPr>
          <w:rFonts w:eastAsiaTheme="minorHAnsi"/>
          <w:szCs w:val="22"/>
        </w:rPr>
        <w:t>§</w:t>
      </w:r>
      <w:r w:rsidR="00A64336">
        <w:rPr>
          <w:rFonts w:eastAsiaTheme="minorHAnsi" w:cstheme="minorBidi"/>
          <w:szCs w:val="22"/>
        </w:rPr>
        <w:t xml:space="preserve"> 5.</w:t>
      </w:r>
      <w:r w:rsidR="00F1590A">
        <w:rPr>
          <w:rFonts w:eastAsiaTheme="minorHAnsi" w:cstheme="minorBidi"/>
          <w:szCs w:val="22"/>
        </w:rPr>
        <w:t>101</w:t>
      </w:r>
      <w:r w:rsidR="00A64336">
        <w:rPr>
          <w:rFonts w:eastAsiaTheme="minorHAnsi" w:cstheme="minorBidi"/>
          <w:szCs w:val="22"/>
        </w:rPr>
        <w:t>(</w:t>
      </w:r>
      <w:r w:rsidR="00F1590A">
        <w:rPr>
          <w:rFonts w:eastAsiaTheme="minorHAnsi" w:cstheme="minorBidi"/>
          <w:szCs w:val="22"/>
        </w:rPr>
        <w:t>7</w:t>
      </w:r>
      <w:proofErr w:type="gramStart"/>
      <w:r w:rsidR="00A64336">
        <w:rPr>
          <w:rFonts w:eastAsiaTheme="minorHAnsi" w:cstheme="minorBidi"/>
          <w:szCs w:val="22"/>
        </w:rPr>
        <w:t>)</w:t>
      </w:r>
      <w:r w:rsidR="00F1590A">
        <w:rPr>
          <w:rFonts w:eastAsiaTheme="minorHAnsi" w:cstheme="minorBidi"/>
          <w:szCs w:val="22"/>
        </w:rPr>
        <w:t>(</w:t>
      </w:r>
      <w:proofErr w:type="gramEnd"/>
      <w:r w:rsidR="00F1590A">
        <w:rPr>
          <w:rFonts w:eastAsiaTheme="minorHAnsi" w:cstheme="minorBidi"/>
          <w:szCs w:val="22"/>
        </w:rPr>
        <w:t>f)(1)</w:t>
      </w:r>
      <w:r w:rsidR="00A64336">
        <w:rPr>
          <w:rFonts w:eastAsiaTheme="minorHAnsi" w:cstheme="minorBidi"/>
          <w:szCs w:val="22"/>
        </w:rPr>
        <w:t>.</w:t>
      </w:r>
    </w:p>
    <w:p w:rsidR="00A64336" w:rsidRDefault="00A64336" w:rsidP="006A47F3">
      <w:pPr>
        <w:tabs>
          <w:tab w:val="clear" w:pos="1440"/>
        </w:tabs>
        <w:spacing w:before="0" w:after="0"/>
        <w:rPr>
          <w:rFonts w:eastAsiaTheme="minorHAnsi" w:cstheme="minorBidi"/>
          <w:szCs w:val="22"/>
        </w:rPr>
      </w:pPr>
    </w:p>
    <w:p w:rsidR="000F2C40" w:rsidRPr="000F2C40" w:rsidRDefault="000F2C40" w:rsidP="006A47F3">
      <w:pPr>
        <w:tabs>
          <w:tab w:val="clear" w:pos="1440"/>
        </w:tabs>
        <w:spacing w:before="0" w:after="0"/>
        <w:rPr>
          <w:rFonts w:eastAsiaTheme="minorHAnsi" w:cstheme="minorBidi"/>
          <w:szCs w:val="22"/>
          <w:u w:val="single"/>
        </w:rPr>
      </w:pPr>
      <w:r>
        <w:rPr>
          <w:rFonts w:eastAsiaTheme="minorHAnsi" w:cstheme="minorBidi"/>
          <w:szCs w:val="22"/>
        </w:rPr>
        <w:t>E.</w:t>
      </w:r>
      <w:r>
        <w:rPr>
          <w:rFonts w:eastAsiaTheme="minorHAnsi" w:cstheme="minorBidi"/>
          <w:szCs w:val="22"/>
        </w:rPr>
        <w:tab/>
      </w:r>
      <w:r>
        <w:rPr>
          <w:rFonts w:eastAsiaTheme="minorHAnsi" w:cstheme="minorBidi"/>
          <w:szCs w:val="22"/>
          <w:u w:val="single"/>
        </w:rPr>
        <w:t>Respondent’s Motion for Summary Judgment</w:t>
      </w:r>
    </w:p>
    <w:p w:rsidR="000F2C40" w:rsidRDefault="000F2C40" w:rsidP="006A47F3">
      <w:pPr>
        <w:tabs>
          <w:tab w:val="clear" w:pos="1440"/>
        </w:tabs>
        <w:spacing w:before="0" w:after="0"/>
        <w:rPr>
          <w:rFonts w:eastAsiaTheme="minorHAnsi" w:cstheme="minorBidi"/>
          <w:szCs w:val="22"/>
        </w:rPr>
      </w:pPr>
    </w:p>
    <w:p w:rsidR="002B027A" w:rsidRDefault="006A47F3" w:rsidP="006A47F3">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In its Motion for Summary Judgment, PGW re</w:t>
      </w:r>
      <w:r w:rsidR="007101C7">
        <w:rPr>
          <w:rFonts w:eastAsiaTheme="minorHAnsi" w:cstheme="minorBidi"/>
          <w:szCs w:val="22"/>
        </w:rPr>
        <w:t>peats the allegation of its New Matter, that is, Complainant is estopped from raising in her current Complaint the same allegations she raised in her 2010 Complaint at Docket No. C-2010-2152309</w:t>
      </w:r>
      <w:r w:rsidR="005B0CEA">
        <w:rPr>
          <w:rFonts w:eastAsiaTheme="minorHAnsi" w:cstheme="minorBidi"/>
          <w:szCs w:val="22"/>
        </w:rPr>
        <w:t xml:space="preserve">. </w:t>
      </w:r>
      <w:r w:rsidR="007E5623">
        <w:rPr>
          <w:rFonts w:eastAsiaTheme="minorHAnsi" w:cstheme="minorBidi"/>
          <w:szCs w:val="22"/>
        </w:rPr>
        <w:t xml:space="preserve"> </w:t>
      </w:r>
      <w:r w:rsidR="005B0CEA">
        <w:rPr>
          <w:rFonts w:eastAsiaTheme="minorHAnsi" w:cstheme="minorBidi"/>
          <w:szCs w:val="22"/>
        </w:rPr>
        <w:t xml:space="preserve">No exceptions were filed to the Initial Decision issued on </w:t>
      </w:r>
      <w:r w:rsidR="002B027A">
        <w:rPr>
          <w:rFonts w:eastAsiaTheme="minorHAnsi" w:cstheme="minorBidi"/>
          <w:szCs w:val="22"/>
        </w:rPr>
        <w:t>Complainant’s 2010 Complaint, and t</w:t>
      </w:r>
      <w:r w:rsidR="005B0CEA">
        <w:rPr>
          <w:rFonts w:eastAsiaTheme="minorHAnsi" w:cstheme="minorBidi"/>
          <w:szCs w:val="22"/>
        </w:rPr>
        <w:t>he Commission entered a Final Order in that matter on July 20, 2011.</w:t>
      </w:r>
      <w:r w:rsidR="002B027A">
        <w:rPr>
          <w:rFonts w:eastAsiaTheme="minorHAnsi" w:cstheme="minorBidi"/>
          <w:szCs w:val="22"/>
        </w:rPr>
        <w:t xml:space="preserve"> </w:t>
      </w:r>
      <w:r w:rsidR="005B0CEA">
        <w:rPr>
          <w:rFonts w:eastAsiaTheme="minorHAnsi" w:cstheme="minorBidi"/>
          <w:szCs w:val="22"/>
        </w:rPr>
        <w:t xml:space="preserve"> </w:t>
      </w:r>
      <w:r w:rsidR="007101C7">
        <w:rPr>
          <w:rFonts w:eastAsiaTheme="minorHAnsi" w:cstheme="minorBidi"/>
          <w:szCs w:val="22"/>
        </w:rPr>
        <w:t>According to PGW</w:t>
      </w:r>
      <w:r w:rsidR="008A3996">
        <w:rPr>
          <w:rFonts w:eastAsiaTheme="minorHAnsi" w:cstheme="minorBidi"/>
          <w:szCs w:val="22"/>
        </w:rPr>
        <w:t>,</w:t>
      </w:r>
      <w:r w:rsidR="007101C7">
        <w:rPr>
          <w:rFonts w:eastAsiaTheme="minorHAnsi" w:cstheme="minorBidi"/>
          <w:szCs w:val="22"/>
        </w:rPr>
        <w:t xml:space="preserve"> the doctrine of res judicata applies to Complainant’s current Complaint, therefore the Complaint must be dismissed.</w:t>
      </w:r>
      <w:r w:rsidR="002B027A">
        <w:rPr>
          <w:rFonts w:eastAsiaTheme="minorHAnsi" w:cstheme="minorBidi"/>
          <w:szCs w:val="22"/>
        </w:rPr>
        <w:t xml:space="preserve">  </w:t>
      </w:r>
      <w:r w:rsidR="007101C7">
        <w:rPr>
          <w:rFonts w:eastAsiaTheme="minorHAnsi" w:cstheme="minorBidi"/>
          <w:szCs w:val="22"/>
        </w:rPr>
        <w:t>Notably, PGW does not raise the affirmative defense of the statute of limitations in its Motion for Summary Judgment.</w:t>
      </w:r>
    </w:p>
    <w:p w:rsidR="007101C7" w:rsidRDefault="007101C7" w:rsidP="006A47F3">
      <w:pPr>
        <w:tabs>
          <w:tab w:val="clear" w:pos="1440"/>
        </w:tabs>
        <w:spacing w:before="0" w:after="0"/>
        <w:rPr>
          <w:rFonts w:eastAsiaTheme="minorHAnsi" w:cstheme="minorBidi"/>
          <w:szCs w:val="22"/>
        </w:rPr>
      </w:pPr>
    </w:p>
    <w:p w:rsidR="007101C7" w:rsidRDefault="007101C7"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Complainant did not file a response to the PGW’s Motion for Summary Judgment within 20 days after service of the Motion</w:t>
      </w:r>
      <w:r w:rsidR="00AD778C">
        <w:rPr>
          <w:rFonts w:eastAsiaTheme="minorHAnsi" w:cstheme="minorBidi"/>
          <w:szCs w:val="22"/>
        </w:rPr>
        <w:t>,</w:t>
      </w:r>
      <w:r>
        <w:rPr>
          <w:rFonts w:eastAsiaTheme="minorHAnsi" w:cstheme="minorBidi"/>
          <w:szCs w:val="22"/>
        </w:rPr>
        <w:t xml:space="preserve"> as prescribed by Section 5.10</w:t>
      </w:r>
      <w:r w:rsidR="00705F9E">
        <w:rPr>
          <w:rFonts w:eastAsiaTheme="minorHAnsi" w:cstheme="minorBidi"/>
          <w:szCs w:val="22"/>
        </w:rPr>
        <w:t>2</w:t>
      </w:r>
      <w:r>
        <w:rPr>
          <w:rFonts w:eastAsiaTheme="minorHAnsi" w:cstheme="minorBidi"/>
          <w:szCs w:val="22"/>
        </w:rPr>
        <w:t>(</w:t>
      </w:r>
      <w:r w:rsidR="00705F9E">
        <w:rPr>
          <w:rFonts w:eastAsiaTheme="minorHAnsi" w:cstheme="minorBidi"/>
          <w:szCs w:val="22"/>
        </w:rPr>
        <w:t>b</w:t>
      </w:r>
      <w:r>
        <w:rPr>
          <w:rFonts w:eastAsiaTheme="minorHAnsi" w:cstheme="minorBidi"/>
          <w:szCs w:val="22"/>
        </w:rPr>
        <w:t xml:space="preserve">) of the Commission’s regulations.  52 Pa.Code </w:t>
      </w:r>
      <w:r>
        <w:rPr>
          <w:rFonts w:eastAsiaTheme="minorHAnsi"/>
          <w:szCs w:val="22"/>
        </w:rPr>
        <w:t>§</w:t>
      </w:r>
      <w:r>
        <w:rPr>
          <w:rFonts w:eastAsiaTheme="minorHAnsi" w:cstheme="minorBidi"/>
          <w:szCs w:val="22"/>
        </w:rPr>
        <w:t xml:space="preserve"> 5.10</w:t>
      </w:r>
      <w:r w:rsidR="00705F9E">
        <w:rPr>
          <w:rFonts w:eastAsiaTheme="minorHAnsi" w:cstheme="minorBidi"/>
          <w:szCs w:val="22"/>
        </w:rPr>
        <w:t>2</w:t>
      </w:r>
      <w:r>
        <w:rPr>
          <w:rFonts w:eastAsiaTheme="minorHAnsi" w:cstheme="minorBidi"/>
          <w:szCs w:val="22"/>
        </w:rPr>
        <w:t>(</w:t>
      </w:r>
      <w:r w:rsidR="00705F9E">
        <w:rPr>
          <w:rFonts w:eastAsiaTheme="minorHAnsi" w:cstheme="minorBidi"/>
          <w:szCs w:val="22"/>
        </w:rPr>
        <w:t>b</w:t>
      </w:r>
      <w:r>
        <w:rPr>
          <w:rFonts w:eastAsiaTheme="minorHAnsi" w:cstheme="minorBidi"/>
          <w:szCs w:val="22"/>
        </w:rPr>
        <w:t>).</w:t>
      </w:r>
    </w:p>
    <w:p w:rsidR="008C46FC" w:rsidRDefault="008C46FC" w:rsidP="007101C7">
      <w:pPr>
        <w:tabs>
          <w:tab w:val="clear" w:pos="1440"/>
        </w:tabs>
        <w:spacing w:before="0" w:after="0"/>
        <w:rPr>
          <w:rFonts w:eastAsiaTheme="minorHAnsi" w:cstheme="minorBidi"/>
          <w:szCs w:val="22"/>
        </w:rPr>
      </w:pPr>
    </w:p>
    <w:p w:rsidR="008C46FC" w:rsidRDefault="008C46FC"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C665D3">
        <w:rPr>
          <w:rFonts w:eastAsiaTheme="minorHAnsi" w:cstheme="minorBidi"/>
          <w:szCs w:val="22"/>
        </w:rPr>
        <w:t>On June 13, 2016, the PGW’s P.O. and Motion for Summary Judgment were assigned to me for ruling.</w:t>
      </w:r>
    </w:p>
    <w:p w:rsidR="00705F9E" w:rsidRDefault="00705F9E" w:rsidP="007101C7">
      <w:pPr>
        <w:tabs>
          <w:tab w:val="clear" w:pos="1440"/>
        </w:tabs>
        <w:spacing w:before="0" w:after="0"/>
        <w:rPr>
          <w:rFonts w:eastAsiaTheme="minorHAnsi" w:cstheme="minorBidi"/>
          <w:szCs w:val="22"/>
        </w:rPr>
      </w:pPr>
    </w:p>
    <w:p w:rsidR="00AB7B65" w:rsidRPr="00AB7B65" w:rsidRDefault="00AB7B65" w:rsidP="00AB7B65">
      <w:pPr>
        <w:tabs>
          <w:tab w:val="clear" w:pos="1440"/>
        </w:tabs>
        <w:spacing w:before="0" w:after="0"/>
        <w:jc w:val="center"/>
        <w:rPr>
          <w:rFonts w:eastAsiaTheme="minorHAnsi" w:cstheme="minorBidi"/>
          <w:szCs w:val="22"/>
          <w:u w:val="single"/>
        </w:rPr>
      </w:pPr>
      <w:r>
        <w:rPr>
          <w:rFonts w:eastAsiaTheme="minorHAnsi" w:cstheme="minorBidi"/>
          <w:szCs w:val="22"/>
          <w:u w:val="single"/>
        </w:rPr>
        <w:t>DISCUSSION</w:t>
      </w:r>
    </w:p>
    <w:p w:rsidR="00AB7B65" w:rsidRDefault="00AB7B65" w:rsidP="006A47F3">
      <w:pPr>
        <w:tabs>
          <w:tab w:val="clear" w:pos="1440"/>
        </w:tabs>
        <w:spacing w:before="0" w:after="0"/>
        <w:rPr>
          <w:rFonts w:eastAsiaTheme="minorHAnsi" w:cstheme="minorBidi"/>
          <w:szCs w:val="22"/>
        </w:rPr>
      </w:pPr>
    </w:p>
    <w:p w:rsidR="007101C7" w:rsidRPr="00705F9E" w:rsidRDefault="00AB7B65" w:rsidP="006A47F3">
      <w:pPr>
        <w:tabs>
          <w:tab w:val="clear" w:pos="1440"/>
        </w:tabs>
        <w:spacing w:before="0" w:after="0"/>
        <w:rPr>
          <w:rFonts w:eastAsiaTheme="minorHAnsi" w:cstheme="minorBidi"/>
          <w:szCs w:val="22"/>
          <w:u w:val="single"/>
        </w:rPr>
      </w:pPr>
      <w:r>
        <w:rPr>
          <w:rFonts w:eastAsiaTheme="minorHAnsi" w:cstheme="minorBidi"/>
          <w:szCs w:val="22"/>
        </w:rPr>
        <w:t>A</w:t>
      </w:r>
      <w:r w:rsidR="000F2C40">
        <w:rPr>
          <w:rFonts w:eastAsiaTheme="minorHAnsi" w:cstheme="minorBidi"/>
          <w:szCs w:val="22"/>
        </w:rPr>
        <w:t>.</w:t>
      </w:r>
      <w:r w:rsidR="000F2C40">
        <w:rPr>
          <w:rFonts w:eastAsiaTheme="minorHAnsi" w:cstheme="minorBidi"/>
          <w:szCs w:val="22"/>
        </w:rPr>
        <w:tab/>
      </w:r>
      <w:r w:rsidR="00705F9E" w:rsidRPr="00705F9E">
        <w:rPr>
          <w:rFonts w:eastAsiaTheme="minorHAnsi" w:cstheme="minorBidi"/>
          <w:szCs w:val="22"/>
          <w:u w:val="single"/>
        </w:rPr>
        <w:t>Ruling on Preliminary Objections</w:t>
      </w:r>
    </w:p>
    <w:p w:rsidR="007101C7" w:rsidRDefault="007101C7" w:rsidP="006A47F3">
      <w:pPr>
        <w:tabs>
          <w:tab w:val="clear" w:pos="1440"/>
        </w:tabs>
        <w:spacing w:before="0" w:after="0"/>
        <w:rPr>
          <w:rFonts w:eastAsiaTheme="minorHAnsi" w:cstheme="minorBidi"/>
          <w:szCs w:val="22"/>
        </w:rPr>
      </w:pPr>
      <w:r>
        <w:rPr>
          <w:rFonts w:eastAsiaTheme="minorHAnsi" w:cstheme="minorBidi"/>
          <w:szCs w:val="22"/>
        </w:rPr>
        <w:t xml:space="preserve">  </w:t>
      </w:r>
    </w:p>
    <w:p w:rsidR="00705F9E" w:rsidRPr="007A5913" w:rsidRDefault="00705F9E" w:rsidP="00705F9E">
      <w:pPr>
        <w:tabs>
          <w:tab w:val="clear" w:pos="1440"/>
        </w:tabs>
        <w:spacing w:before="0" w:after="0"/>
      </w:pPr>
      <w:r>
        <w:rPr>
          <w:rFonts w:eastAsiaTheme="minorHAnsi" w:cstheme="minorBidi"/>
          <w:szCs w:val="22"/>
        </w:rPr>
        <w:tab/>
      </w:r>
      <w:r>
        <w:rPr>
          <w:rFonts w:eastAsiaTheme="minorHAnsi" w:cstheme="minorBidi"/>
          <w:szCs w:val="22"/>
        </w:rPr>
        <w:tab/>
        <w:t xml:space="preserve">Initially, I will address Respondent’s P.O.  </w:t>
      </w:r>
      <w:r w:rsidRPr="007A5913">
        <w:t>Preliminary objections are permitted under Commission regulations.</w:t>
      </w:r>
      <w:r w:rsidRPr="007A5913">
        <w:rPr>
          <w:vertAlign w:val="superscript"/>
        </w:rPr>
        <w:footnoteReference w:id="3"/>
      </w:r>
      <w:r w:rsidRPr="007A5913">
        <w:t xml:space="preserve">  Commission regulations</w:t>
      </w:r>
      <w:r w:rsidRPr="007A5913">
        <w:rPr>
          <w:vertAlign w:val="superscript"/>
        </w:rPr>
        <w:footnoteReference w:id="4"/>
      </w:r>
      <w:r w:rsidRPr="007A5913">
        <w:t xml:space="preserve"> provide</w:t>
      </w:r>
      <w:r>
        <w:t xml:space="preserve"> as follows</w:t>
      </w:r>
      <w:r w:rsidRPr="007A5913">
        <w:t>:</w:t>
      </w:r>
    </w:p>
    <w:p w:rsidR="00705F9E" w:rsidRPr="007A5913" w:rsidRDefault="00705F9E" w:rsidP="00705F9E">
      <w:pPr>
        <w:tabs>
          <w:tab w:val="clear" w:pos="1440"/>
        </w:tabs>
        <w:spacing w:before="0" w:after="0"/>
        <w:ind w:firstLine="720"/>
        <w:rPr>
          <w:iCs/>
          <w:color w:val="000000" w:themeColor="text1"/>
        </w:rPr>
      </w:pPr>
      <w:r w:rsidRPr="007A5913">
        <w:rPr>
          <w:iCs/>
          <w:color w:val="000000" w:themeColor="text1"/>
        </w:rPr>
        <w:lastRenderedPageBreak/>
        <w:t>§ 5.101.  Preliminary objections.</w:t>
      </w:r>
    </w:p>
    <w:p w:rsidR="00705F9E" w:rsidRDefault="00705F9E" w:rsidP="00705F9E">
      <w:pPr>
        <w:tabs>
          <w:tab w:val="clear" w:pos="1440"/>
        </w:tabs>
        <w:spacing w:before="0" w:after="0"/>
        <w:ind w:firstLine="1440"/>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w:t>
      </w:r>
      <w:r w:rsidRPr="007A5913">
        <w:rPr>
          <w:iCs/>
          <w:color w:val="000000" w:themeColor="text1"/>
        </w:rP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705F9E" w:rsidRPr="007A5913" w:rsidRDefault="00705F9E" w:rsidP="00705F9E">
      <w:pPr>
        <w:tabs>
          <w:tab w:val="clear" w:pos="1440"/>
        </w:tabs>
        <w:spacing w:before="0" w:after="0" w:line="240" w:lineRule="auto"/>
        <w:ind w:left="1440" w:right="1440"/>
        <w:rPr>
          <w:iCs/>
          <w:color w:val="000000" w:themeColor="text1"/>
        </w:rPr>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b/>
        <w:t>(1)</w:t>
      </w:r>
      <w:r w:rsidRPr="007A5913">
        <w:rPr>
          <w:iCs/>
          <w:color w:val="000000" w:themeColor="text1"/>
        </w:rPr>
        <w:tab/>
      </w:r>
      <w:r>
        <w:rPr>
          <w:iCs/>
          <w:color w:val="000000" w:themeColor="text1"/>
        </w:rPr>
        <w:t xml:space="preserve">Lack </w:t>
      </w:r>
      <w:r w:rsidRPr="007A5913">
        <w:rPr>
          <w:iCs/>
          <w:color w:val="000000" w:themeColor="text1"/>
        </w:rPr>
        <w:t>of Commission jurisdiction or improper service of the pleading initiating the proceeding.</w:t>
      </w:r>
    </w:p>
    <w:p w:rsidR="00705F9E" w:rsidRPr="007A5913" w:rsidRDefault="00705F9E" w:rsidP="00705F9E">
      <w:pPr>
        <w:tabs>
          <w:tab w:val="clear" w:pos="1440"/>
        </w:tabs>
        <w:spacing w:before="0" w:after="0" w:line="240" w:lineRule="auto"/>
        <w:ind w:left="1440" w:right="1440"/>
        <w:rPr>
          <w:iCs/>
          <w:color w:val="000000" w:themeColor="text1"/>
        </w:rPr>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b/>
        <w:t>(2)</w:t>
      </w:r>
      <w:r w:rsidRPr="007A5913">
        <w:rPr>
          <w:iCs/>
          <w:color w:val="000000" w:themeColor="text1"/>
        </w:rPr>
        <w:tab/>
        <w:t>Failure of a pleading to conform to this chapter or the inclusion of scandalous or impertinent matter.</w:t>
      </w:r>
    </w:p>
    <w:p w:rsidR="00705F9E" w:rsidRPr="007A5913" w:rsidRDefault="00705F9E" w:rsidP="00705F9E">
      <w:pPr>
        <w:tabs>
          <w:tab w:val="clear" w:pos="1440"/>
        </w:tabs>
        <w:spacing w:before="0" w:after="0" w:line="240" w:lineRule="auto"/>
        <w:ind w:left="1440" w:right="1440"/>
        <w:rPr>
          <w:iCs/>
          <w:color w:val="000000" w:themeColor="text1"/>
        </w:rPr>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b/>
        <w:t>(3)</w:t>
      </w:r>
      <w:r w:rsidRPr="007A5913">
        <w:rPr>
          <w:iCs/>
          <w:color w:val="000000" w:themeColor="text1"/>
        </w:rPr>
        <w:tab/>
        <w:t>Insufficient specificity of a pleading.</w:t>
      </w:r>
    </w:p>
    <w:p w:rsidR="00705F9E" w:rsidRPr="007A5913" w:rsidRDefault="00705F9E" w:rsidP="00705F9E">
      <w:pPr>
        <w:tabs>
          <w:tab w:val="clear" w:pos="1440"/>
        </w:tabs>
        <w:spacing w:before="0" w:after="0" w:line="240" w:lineRule="auto"/>
        <w:ind w:left="1440" w:right="1440"/>
        <w:rPr>
          <w:iCs/>
          <w:color w:val="000000" w:themeColor="text1"/>
        </w:rPr>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b/>
        <w:t>(4)</w:t>
      </w:r>
      <w:r w:rsidRPr="007A5913">
        <w:rPr>
          <w:iCs/>
          <w:color w:val="000000" w:themeColor="text1"/>
        </w:rPr>
        <w:tab/>
        <w:t>Legal insufficiency of a pleading.</w:t>
      </w:r>
    </w:p>
    <w:p w:rsidR="00705F9E" w:rsidRPr="007A5913" w:rsidRDefault="00705F9E" w:rsidP="00705F9E">
      <w:pPr>
        <w:tabs>
          <w:tab w:val="clear" w:pos="1440"/>
        </w:tabs>
        <w:spacing w:before="0" w:after="0" w:line="240" w:lineRule="auto"/>
        <w:ind w:left="1440" w:right="1440"/>
        <w:rPr>
          <w:iCs/>
          <w:color w:val="000000" w:themeColor="text1"/>
        </w:rPr>
      </w:pPr>
    </w:p>
    <w:p w:rsidR="00705F9E" w:rsidRPr="007A5913" w:rsidRDefault="00705F9E" w:rsidP="00705F9E">
      <w:pPr>
        <w:tabs>
          <w:tab w:val="clear" w:pos="1440"/>
        </w:tabs>
        <w:spacing w:before="0" w:after="0" w:line="240" w:lineRule="auto"/>
        <w:ind w:left="1440" w:right="1440"/>
        <w:rPr>
          <w:iCs/>
          <w:color w:val="000000" w:themeColor="text1"/>
        </w:rPr>
      </w:pPr>
      <w:r w:rsidRPr="007A5913">
        <w:rPr>
          <w:iCs/>
          <w:color w:val="000000" w:themeColor="text1"/>
        </w:rPr>
        <w:tab/>
        <w:t>(5)</w:t>
      </w:r>
      <w:r w:rsidRPr="007A5913">
        <w:rPr>
          <w:iCs/>
          <w:color w:val="000000" w:themeColor="text1"/>
        </w:rPr>
        <w:tab/>
        <w:t>Lack of capacity to sue, nonjoinder of a necessary party or misjoinder of a cause of action.</w:t>
      </w:r>
    </w:p>
    <w:p w:rsidR="00705F9E" w:rsidRDefault="00705F9E" w:rsidP="00705F9E">
      <w:pPr>
        <w:tabs>
          <w:tab w:val="clear" w:pos="1440"/>
        </w:tabs>
        <w:spacing w:before="0" w:after="0" w:line="240" w:lineRule="auto"/>
        <w:ind w:left="1440" w:right="1440"/>
        <w:rPr>
          <w:iCs/>
          <w:color w:val="000000" w:themeColor="text1"/>
        </w:rPr>
      </w:pPr>
    </w:p>
    <w:p w:rsidR="00705F9E" w:rsidRPr="007A5913" w:rsidRDefault="002B027A" w:rsidP="00705F9E">
      <w:pPr>
        <w:tabs>
          <w:tab w:val="clear" w:pos="1440"/>
        </w:tabs>
        <w:spacing w:before="0" w:after="0" w:line="240" w:lineRule="auto"/>
        <w:ind w:left="1440" w:right="1440"/>
        <w:rPr>
          <w:iCs/>
          <w:color w:val="000000" w:themeColor="text1"/>
        </w:rPr>
      </w:pPr>
      <w:r>
        <w:rPr>
          <w:iCs/>
          <w:color w:val="000000" w:themeColor="text1"/>
        </w:rPr>
        <w:tab/>
      </w:r>
      <w:r w:rsidR="00705F9E" w:rsidRPr="007A5913">
        <w:rPr>
          <w:iCs/>
          <w:color w:val="000000" w:themeColor="text1"/>
        </w:rPr>
        <w:t>(6)</w:t>
      </w:r>
      <w:r w:rsidR="00705F9E" w:rsidRPr="007A5913">
        <w:rPr>
          <w:iCs/>
          <w:color w:val="000000" w:themeColor="text1"/>
        </w:rPr>
        <w:tab/>
        <w:t>Pendency of a prior proceeding or agreement for alternative dispute resolution.</w:t>
      </w:r>
    </w:p>
    <w:p w:rsidR="00705F9E" w:rsidRDefault="00705F9E" w:rsidP="00705F9E">
      <w:pPr>
        <w:tabs>
          <w:tab w:val="clear" w:pos="1440"/>
        </w:tabs>
        <w:spacing w:before="0" w:after="0"/>
        <w:ind w:firstLine="1440"/>
      </w:pPr>
    </w:p>
    <w:p w:rsidR="00705F9E" w:rsidRPr="007A5913" w:rsidRDefault="00705F9E" w:rsidP="00705F9E">
      <w:pPr>
        <w:tabs>
          <w:tab w:val="clear" w:pos="1440"/>
        </w:tabs>
        <w:spacing w:before="0" w:after="0"/>
        <w:ind w:firstLine="1440"/>
      </w:pPr>
      <w:r w:rsidRPr="007A5913">
        <w:tab/>
        <w:t>(7)</w:t>
      </w:r>
      <w:r w:rsidRPr="007A5913">
        <w:tab/>
        <w:t>Standing of a party to participate in the proceeding.</w:t>
      </w:r>
    </w:p>
    <w:p w:rsidR="00705F9E" w:rsidRPr="007A5913" w:rsidRDefault="00705F9E" w:rsidP="00705F9E">
      <w:pPr>
        <w:tabs>
          <w:tab w:val="clear" w:pos="1440"/>
          <w:tab w:val="left" w:pos="-720"/>
        </w:tabs>
        <w:suppressAutoHyphens/>
        <w:spacing w:before="0" w:after="0"/>
        <w:ind w:firstLine="1440"/>
      </w:pPr>
    </w:p>
    <w:p w:rsidR="00D46CB9" w:rsidRDefault="00705F9E" w:rsidP="00705F9E">
      <w:pPr>
        <w:tabs>
          <w:tab w:val="clear" w:pos="1440"/>
          <w:tab w:val="left" w:pos="-720"/>
        </w:tabs>
        <w:suppressAutoHyphens/>
        <w:spacing w:before="0" w:after="0"/>
        <w:ind w:firstLine="1440"/>
        <w:rPr>
          <w:szCs w:val="24"/>
        </w:rPr>
      </w:pPr>
      <w:r w:rsidRPr="007A5913">
        <w:t>Preliminary objection practice before the Commission is similar to Pennsylvania civil practice respecting preliminary objections.</w:t>
      </w:r>
      <w:r w:rsidRPr="007A5913">
        <w:rPr>
          <w:vertAlign w:val="superscript"/>
        </w:rPr>
        <w:footnoteReference w:id="5"/>
      </w:r>
      <w:r w:rsidRPr="007A5913">
        <w:t xml:space="preserve">  </w:t>
      </w:r>
      <w:r w:rsidRPr="007A5913">
        <w:rPr>
          <w:szCs w:val="24"/>
        </w:rPr>
        <w:t>The Commission may not rely upon the factual assertions of the moving party but must accept as true for purposes of disposing of the motion all well pleaded, material facts of the nonmoving party, as well as every inference from those facts.</w:t>
      </w:r>
      <w:r w:rsidRPr="007A5913">
        <w:rPr>
          <w:szCs w:val="24"/>
          <w:vertAlign w:val="superscript"/>
        </w:rPr>
        <w:footnoteReference w:id="6"/>
      </w:r>
      <w:r w:rsidRPr="007A5913">
        <w:rPr>
          <w:szCs w:val="24"/>
        </w:rPr>
        <w:t xml:space="preserve">  The Commission must view the Complaint in this case in the light most favorable to Complainant and should dismiss the Complaint only if it appears that Complainant would not be entitled to relief under any circumstances as a matter of law.</w:t>
      </w:r>
      <w:r w:rsidRPr="007A5913">
        <w:rPr>
          <w:szCs w:val="24"/>
          <w:vertAlign w:val="superscript"/>
        </w:rPr>
        <w:footnoteReference w:id="7"/>
      </w:r>
      <w:r w:rsidRPr="007A5913">
        <w:rPr>
          <w:szCs w:val="24"/>
        </w:rPr>
        <w:t xml:space="preserve"> </w:t>
      </w:r>
    </w:p>
    <w:p w:rsidR="00F94B32" w:rsidRDefault="008F6247" w:rsidP="00F20882">
      <w:pPr>
        <w:tabs>
          <w:tab w:val="clear" w:pos="1440"/>
          <w:tab w:val="left" w:pos="-720"/>
        </w:tabs>
        <w:suppressAutoHyphens/>
        <w:spacing w:before="0" w:after="0"/>
        <w:ind w:firstLine="1440"/>
        <w:rPr>
          <w:szCs w:val="24"/>
        </w:rPr>
      </w:pPr>
      <w:r>
        <w:rPr>
          <w:szCs w:val="24"/>
        </w:rPr>
        <w:lastRenderedPageBreak/>
        <w:t xml:space="preserve">Here, PGW raises the statute of limitations as an affirmative defense in both New Matter and P. O.  </w:t>
      </w:r>
      <w:r w:rsidR="00D46CB9">
        <w:rPr>
          <w:szCs w:val="24"/>
        </w:rPr>
        <w:t xml:space="preserve">While PGW </w:t>
      </w:r>
      <w:r>
        <w:rPr>
          <w:szCs w:val="24"/>
        </w:rPr>
        <w:t>proper</w:t>
      </w:r>
      <w:r w:rsidR="00D46CB9">
        <w:rPr>
          <w:szCs w:val="24"/>
        </w:rPr>
        <w:t>ly raises the statute of limitations as an affirmative defense</w:t>
      </w:r>
      <w:r>
        <w:rPr>
          <w:szCs w:val="24"/>
        </w:rPr>
        <w:t xml:space="preserve"> in New Matter, generally affirmative defense</w:t>
      </w:r>
      <w:r w:rsidR="00D46CB9">
        <w:rPr>
          <w:szCs w:val="24"/>
        </w:rPr>
        <w:t>s</w:t>
      </w:r>
      <w:r>
        <w:rPr>
          <w:szCs w:val="24"/>
        </w:rPr>
        <w:t xml:space="preserve"> </w:t>
      </w:r>
      <w:r w:rsidR="00F94B32">
        <w:rPr>
          <w:szCs w:val="24"/>
        </w:rPr>
        <w:t>are not properly raised as preliminary objections.</w:t>
      </w:r>
      <w:r w:rsidR="00F20882">
        <w:rPr>
          <w:szCs w:val="24"/>
        </w:rPr>
        <w:t xml:space="preserve">  </w:t>
      </w:r>
      <w:r w:rsidR="00E10BD3">
        <w:rPr>
          <w:szCs w:val="24"/>
        </w:rPr>
        <w:t xml:space="preserve">However, both the </w:t>
      </w:r>
      <w:r w:rsidR="001C560D">
        <w:rPr>
          <w:szCs w:val="24"/>
        </w:rPr>
        <w:t xml:space="preserve">Commonwealth Court and Supreme Court of Pennsylvania have stated that an affirmative defense in the nature of a demur may be considered when it is transparently clear on the face of the complaint that the affirmative defense applies.  </w:t>
      </w:r>
      <w:r w:rsidR="008F13FB">
        <w:rPr>
          <w:szCs w:val="24"/>
        </w:rPr>
        <w:t xml:space="preserve">This is especially so where the opposing party does not object to the technical error and the procedural defect does not affect the substantial right of the parties.  </w:t>
      </w:r>
      <w:r w:rsidR="008F13FB">
        <w:rPr>
          <w:i/>
          <w:szCs w:val="24"/>
        </w:rPr>
        <w:t xml:space="preserve">Feldman v. Hoffman, </w:t>
      </w:r>
      <w:r w:rsidR="008F13FB">
        <w:rPr>
          <w:szCs w:val="24"/>
        </w:rPr>
        <w:t xml:space="preserve">107 A.3d 821 (Pa.Cmwlth. 2014).  </w:t>
      </w:r>
    </w:p>
    <w:p w:rsidR="008F13FB" w:rsidRDefault="008F13FB" w:rsidP="00E10BD3">
      <w:pPr>
        <w:tabs>
          <w:tab w:val="clear" w:pos="1440"/>
          <w:tab w:val="left" w:pos="-720"/>
        </w:tabs>
        <w:suppressAutoHyphens/>
        <w:spacing w:before="0" w:after="0"/>
        <w:rPr>
          <w:szCs w:val="24"/>
        </w:rPr>
      </w:pPr>
    </w:p>
    <w:p w:rsidR="001A708C" w:rsidRDefault="008F13FB" w:rsidP="00E10BD3">
      <w:pPr>
        <w:tabs>
          <w:tab w:val="clear" w:pos="1440"/>
          <w:tab w:val="left" w:pos="-720"/>
        </w:tabs>
        <w:suppressAutoHyphens/>
        <w:spacing w:before="0" w:after="0"/>
        <w:rPr>
          <w:szCs w:val="24"/>
        </w:rPr>
      </w:pPr>
      <w:r>
        <w:rPr>
          <w:szCs w:val="24"/>
        </w:rPr>
        <w:tab/>
      </w:r>
      <w:r>
        <w:rPr>
          <w:szCs w:val="24"/>
        </w:rPr>
        <w:tab/>
      </w:r>
      <w:r w:rsidR="00473E87">
        <w:rPr>
          <w:szCs w:val="24"/>
        </w:rPr>
        <w:t xml:space="preserve">In </w:t>
      </w:r>
      <w:r w:rsidR="00473E87">
        <w:rPr>
          <w:i/>
          <w:szCs w:val="24"/>
        </w:rPr>
        <w:t xml:space="preserve">Feldman, </w:t>
      </w:r>
      <w:r w:rsidR="00473E87">
        <w:rPr>
          <w:szCs w:val="24"/>
        </w:rPr>
        <w:t xml:space="preserve">Plaintiff Feldman filed </w:t>
      </w:r>
      <w:r w:rsidR="007E06D5">
        <w:rPr>
          <w:szCs w:val="24"/>
        </w:rPr>
        <w:t xml:space="preserve">a complaint </w:t>
      </w:r>
      <w:r w:rsidR="00473E87">
        <w:rPr>
          <w:szCs w:val="24"/>
        </w:rPr>
        <w:t>against Defendant Hoffman, alleging intentional infliction of emotion</w:t>
      </w:r>
      <w:r w:rsidR="001A708C">
        <w:rPr>
          <w:szCs w:val="24"/>
        </w:rPr>
        <w:t>al</w:t>
      </w:r>
      <w:r w:rsidR="00473E87">
        <w:rPr>
          <w:szCs w:val="24"/>
        </w:rPr>
        <w:t xml:space="preserve"> distress. </w:t>
      </w:r>
      <w:r w:rsidR="007E06D5">
        <w:rPr>
          <w:szCs w:val="24"/>
        </w:rPr>
        <w:t xml:space="preserve"> The complaint </w:t>
      </w:r>
      <w:r w:rsidR="001A708C">
        <w:rPr>
          <w:szCs w:val="24"/>
        </w:rPr>
        <w:t xml:space="preserve">on its face </w:t>
      </w:r>
      <w:r w:rsidR="007E06D5">
        <w:rPr>
          <w:szCs w:val="24"/>
        </w:rPr>
        <w:t>alleged that Defendant Hoffman</w:t>
      </w:r>
      <w:r w:rsidR="00F458A1">
        <w:rPr>
          <w:szCs w:val="24"/>
        </w:rPr>
        <w:t xml:space="preserve">, </w:t>
      </w:r>
      <w:r w:rsidR="000E7AFE">
        <w:rPr>
          <w:szCs w:val="24"/>
        </w:rPr>
        <w:t>a county coroner,</w:t>
      </w:r>
      <w:r w:rsidR="00F458A1">
        <w:rPr>
          <w:szCs w:val="24"/>
        </w:rPr>
        <w:t xml:space="preserve"> </w:t>
      </w:r>
      <w:r w:rsidR="007E06D5">
        <w:rPr>
          <w:szCs w:val="24"/>
        </w:rPr>
        <w:t>was a</w:t>
      </w:r>
      <w:r w:rsidR="000E7AFE">
        <w:rPr>
          <w:szCs w:val="24"/>
        </w:rPr>
        <w:t>t all times acting under color of state law</w:t>
      </w:r>
      <w:r w:rsidR="00945C45">
        <w:rPr>
          <w:szCs w:val="24"/>
        </w:rPr>
        <w:t xml:space="preserve"> </w:t>
      </w:r>
      <w:r w:rsidR="007F267C">
        <w:rPr>
          <w:szCs w:val="24"/>
        </w:rPr>
        <w:t>at</w:t>
      </w:r>
      <w:r w:rsidR="000E7AFE">
        <w:rPr>
          <w:szCs w:val="24"/>
        </w:rPr>
        <w:t xml:space="preserve"> t</w:t>
      </w:r>
      <w:r w:rsidR="007E06D5">
        <w:rPr>
          <w:szCs w:val="24"/>
        </w:rPr>
        <w:t xml:space="preserve">he time of </w:t>
      </w:r>
      <w:r w:rsidR="007F267C">
        <w:rPr>
          <w:szCs w:val="24"/>
        </w:rPr>
        <w:t xml:space="preserve">Plaintiff’s </w:t>
      </w:r>
      <w:r w:rsidR="007E06D5">
        <w:rPr>
          <w:szCs w:val="24"/>
        </w:rPr>
        <w:t xml:space="preserve">alleged emotional distress injury </w:t>
      </w:r>
      <w:r w:rsidR="007F267C">
        <w:rPr>
          <w:szCs w:val="24"/>
        </w:rPr>
        <w:t>and conversion claim</w:t>
      </w:r>
      <w:r w:rsidR="007E06D5">
        <w:rPr>
          <w:szCs w:val="24"/>
        </w:rPr>
        <w:t xml:space="preserve">. </w:t>
      </w:r>
      <w:r w:rsidR="001A708C">
        <w:rPr>
          <w:szCs w:val="24"/>
        </w:rPr>
        <w:t xml:space="preserve"> </w:t>
      </w:r>
      <w:r w:rsidR="007E06D5">
        <w:rPr>
          <w:szCs w:val="24"/>
        </w:rPr>
        <w:t xml:space="preserve">Defendant Hoffman </w:t>
      </w:r>
      <w:r w:rsidR="000E7AFE">
        <w:rPr>
          <w:szCs w:val="24"/>
        </w:rPr>
        <w:t xml:space="preserve">contended he was immune from suit for action taken while carrying out his official duties.  Thus, Defendant Hoffman </w:t>
      </w:r>
      <w:r w:rsidR="00473E87">
        <w:rPr>
          <w:szCs w:val="24"/>
        </w:rPr>
        <w:t xml:space="preserve">filed preliminary objections raising the affirmative defense of </w:t>
      </w:r>
      <w:r w:rsidR="000E7AFE">
        <w:rPr>
          <w:szCs w:val="24"/>
        </w:rPr>
        <w:t xml:space="preserve">“high ranking public official” </w:t>
      </w:r>
      <w:r w:rsidR="00E22AD8">
        <w:rPr>
          <w:szCs w:val="24"/>
        </w:rPr>
        <w:t xml:space="preserve">immunity </w:t>
      </w:r>
      <w:r w:rsidR="00473E87">
        <w:rPr>
          <w:szCs w:val="24"/>
        </w:rPr>
        <w:t xml:space="preserve">as a </w:t>
      </w:r>
      <w:r w:rsidR="00E22AD8">
        <w:rPr>
          <w:szCs w:val="24"/>
        </w:rPr>
        <w:t>bar</w:t>
      </w:r>
      <w:r w:rsidR="00473E87">
        <w:rPr>
          <w:szCs w:val="24"/>
        </w:rPr>
        <w:t xml:space="preserve"> to the complaint and requested dismissal of the complaint. </w:t>
      </w:r>
      <w:r>
        <w:rPr>
          <w:szCs w:val="24"/>
        </w:rPr>
        <w:t>Noting that over a decade and a half ago there were a divergent line of case</w:t>
      </w:r>
      <w:r w:rsidR="00E22AD8">
        <w:rPr>
          <w:szCs w:val="24"/>
        </w:rPr>
        <w:t xml:space="preserve">s addressing the propriety of raising affirmative defenses by means of preliminary objections, the majority in the Commonwealth Court </w:t>
      </w:r>
      <w:r w:rsidR="001A708C">
        <w:rPr>
          <w:szCs w:val="24"/>
        </w:rPr>
        <w:t>undertook a thorough analysis of the inconsistent decisions on this issue.  After its analysis</w:t>
      </w:r>
      <w:r w:rsidR="007E5623">
        <w:rPr>
          <w:szCs w:val="24"/>
        </w:rPr>
        <w:t>,</w:t>
      </w:r>
      <w:r w:rsidR="001A708C">
        <w:rPr>
          <w:szCs w:val="24"/>
        </w:rPr>
        <w:t xml:space="preserve"> Commonwealth reasoned as follows:</w:t>
      </w:r>
    </w:p>
    <w:p w:rsidR="009B0EB5" w:rsidRDefault="009B0EB5" w:rsidP="00945C45">
      <w:pPr>
        <w:tabs>
          <w:tab w:val="clear" w:pos="1440"/>
          <w:tab w:val="left" w:pos="-720"/>
        </w:tabs>
        <w:suppressAutoHyphens/>
        <w:spacing w:before="0" w:after="0" w:line="240" w:lineRule="auto"/>
        <w:rPr>
          <w:szCs w:val="24"/>
        </w:rPr>
      </w:pPr>
    </w:p>
    <w:p w:rsidR="00025F2C" w:rsidRDefault="00025F2C" w:rsidP="00247F8C">
      <w:pPr>
        <w:tabs>
          <w:tab w:val="clear" w:pos="1440"/>
        </w:tabs>
        <w:autoSpaceDE w:val="0"/>
        <w:autoSpaceDN w:val="0"/>
        <w:adjustRightInd w:val="0"/>
        <w:spacing w:before="0" w:after="0" w:line="240" w:lineRule="auto"/>
        <w:ind w:left="1440" w:right="1080"/>
        <w:rPr>
          <w:rFonts w:eastAsiaTheme="minorEastAsia"/>
          <w:szCs w:val="24"/>
        </w:rPr>
      </w:pPr>
      <w:r w:rsidRPr="00025F2C">
        <w:rPr>
          <w:rFonts w:eastAsiaTheme="minorEastAsia"/>
          <w:szCs w:val="24"/>
        </w:rPr>
        <w:t>This Court believes that it would serve no purpose to summarily reverse the trial court's order which sustained Dr. Hoffman's preliminary objections on the sole, procedural ground that Feldman filed preliminary objections to Dr. Hoffman's preliminary objections.</w:t>
      </w:r>
      <w:r>
        <w:rPr>
          <w:rFonts w:eastAsiaTheme="minorEastAsia"/>
          <w:szCs w:val="24"/>
        </w:rPr>
        <w:t xml:space="preserve"> [Fn. </w:t>
      </w:r>
      <w:r w:rsidR="007F267C">
        <w:rPr>
          <w:rFonts w:eastAsiaTheme="minorEastAsia"/>
          <w:szCs w:val="24"/>
        </w:rPr>
        <w:t>o</w:t>
      </w:r>
      <w:r>
        <w:rPr>
          <w:rFonts w:eastAsiaTheme="minorEastAsia"/>
          <w:szCs w:val="24"/>
        </w:rPr>
        <w:t xml:space="preserve">mitted] </w:t>
      </w:r>
      <w:r w:rsidRPr="00025F2C">
        <w:rPr>
          <w:rFonts w:eastAsiaTheme="minorEastAsia"/>
          <w:szCs w:val="24"/>
        </w:rPr>
        <w:t xml:space="preserve"> Rather than simply relying on the lone fact that she objected to a technical procedural error, this Court believes that the approach taken by the courts in </w:t>
      </w:r>
      <w:proofErr w:type="spellStart"/>
      <w:r w:rsidRPr="00025F2C">
        <w:rPr>
          <w:rFonts w:eastAsiaTheme="minorEastAsia"/>
          <w:i/>
          <w:iCs/>
          <w:szCs w:val="24"/>
        </w:rPr>
        <w:t>Iudicello</w:t>
      </w:r>
      <w:proofErr w:type="spellEnd"/>
      <w:r w:rsidRPr="00025F2C">
        <w:rPr>
          <w:rFonts w:eastAsiaTheme="minorEastAsia"/>
          <w:szCs w:val="24"/>
        </w:rPr>
        <w:t xml:space="preserve">, </w:t>
      </w:r>
      <w:r w:rsidRPr="00025F2C">
        <w:rPr>
          <w:rFonts w:eastAsiaTheme="minorEastAsia"/>
          <w:i/>
          <w:iCs/>
          <w:szCs w:val="24"/>
        </w:rPr>
        <w:t>Combs</w:t>
      </w:r>
      <w:r w:rsidRPr="00025F2C">
        <w:rPr>
          <w:rFonts w:eastAsiaTheme="minorEastAsia"/>
          <w:szCs w:val="24"/>
        </w:rPr>
        <w:t xml:space="preserve">, </w:t>
      </w:r>
      <w:proofErr w:type="spellStart"/>
      <w:r w:rsidRPr="00025F2C">
        <w:rPr>
          <w:rFonts w:eastAsiaTheme="minorEastAsia"/>
          <w:i/>
          <w:iCs/>
          <w:szCs w:val="24"/>
        </w:rPr>
        <w:t>Dorfman</w:t>
      </w:r>
      <w:proofErr w:type="spellEnd"/>
      <w:r w:rsidRPr="00025F2C">
        <w:rPr>
          <w:rFonts w:eastAsiaTheme="minorEastAsia"/>
          <w:szCs w:val="24"/>
        </w:rPr>
        <w:t xml:space="preserve">, and </w:t>
      </w:r>
      <w:r w:rsidRPr="00025F2C">
        <w:rPr>
          <w:rFonts w:eastAsiaTheme="minorEastAsia"/>
          <w:i/>
          <w:iCs/>
          <w:szCs w:val="24"/>
        </w:rPr>
        <w:t>R.H.S.</w:t>
      </w:r>
      <w:r w:rsidRPr="00025F2C">
        <w:rPr>
          <w:rFonts w:eastAsiaTheme="minorEastAsia"/>
          <w:szCs w:val="24"/>
        </w:rPr>
        <w:t xml:space="preserve"> is the more sound approach especially in light of the fact that here, Feldman failed to articulate before the trial court, and this Court, what effect, other than prolonging the matter, requiring Dr. Hoffman to wait until New Matter to raise his objection would have on the case. </w:t>
      </w:r>
      <w:r>
        <w:rPr>
          <w:rFonts w:eastAsiaTheme="minorEastAsia"/>
          <w:szCs w:val="24"/>
        </w:rPr>
        <w:t xml:space="preserve">. . . . </w:t>
      </w:r>
      <w:r w:rsidRPr="00025F2C">
        <w:rPr>
          <w:rFonts w:eastAsiaTheme="minorEastAsia"/>
          <w:szCs w:val="24"/>
        </w:rPr>
        <w:t>Indeed, her Complaint specifically stated that Dr. Hoffman "at all times, acted under the color of state law."</w:t>
      </w:r>
      <w:r>
        <w:rPr>
          <w:rFonts w:eastAsiaTheme="minorEastAsia"/>
          <w:szCs w:val="24"/>
        </w:rPr>
        <w:t xml:space="preserve"> . . . </w:t>
      </w:r>
      <w:r w:rsidRPr="00025F2C">
        <w:rPr>
          <w:rFonts w:eastAsiaTheme="minorEastAsia"/>
          <w:szCs w:val="24"/>
        </w:rPr>
        <w:t>. There is no question that the doctrine of high official immunity applies with regard to claims for intentional infliction of emotional distress and conversion.</w:t>
      </w:r>
      <w:r>
        <w:rPr>
          <w:rFonts w:eastAsiaTheme="minorEastAsia"/>
          <w:szCs w:val="24"/>
        </w:rPr>
        <w:t xml:space="preserve">  </w:t>
      </w:r>
      <w:r w:rsidRPr="00025F2C">
        <w:rPr>
          <w:rFonts w:eastAsiaTheme="minorEastAsia"/>
          <w:szCs w:val="24"/>
        </w:rPr>
        <w:t xml:space="preserve"> </w:t>
      </w:r>
      <w:r>
        <w:rPr>
          <w:rFonts w:eastAsiaTheme="minorEastAsia"/>
          <w:szCs w:val="24"/>
        </w:rPr>
        <w:t xml:space="preserve">. . . .  </w:t>
      </w:r>
      <w:r w:rsidRPr="00025F2C">
        <w:rPr>
          <w:rFonts w:eastAsiaTheme="minorEastAsia"/>
          <w:szCs w:val="24"/>
        </w:rPr>
        <w:t xml:space="preserve">This Court cannot fathom what additional facts are necessary to </w:t>
      </w:r>
      <w:r w:rsidRPr="00025F2C">
        <w:rPr>
          <w:rFonts w:eastAsiaTheme="minorEastAsia"/>
          <w:szCs w:val="24"/>
        </w:rPr>
        <w:lastRenderedPageBreak/>
        <w:t>decide if Dr. Hoffman, as Coroner of Montgomery County, is entitled to high public official immunity.</w:t>
      </w:r>
      <w:r w:rsidR="00247F8C">
        <w:rPr>
          <w:rFonts w:eastAsiaTheme="minorEastAsia"/>
          <w:szCs w:val="24"/>
        </w:rPr>
        <w:t>”</w:t>
      </w:r>
      <w:r>
        <w:rPr>
          <w:rFonts w:eastAsiaTheme="minorEastAsia"/>
          <w:szCs w:val="24"/>
        </w:rPr>
        <w:t xml:space="preserve"> [Fn. Omitted]</w:t>
      </w:r>
    </w:p>
    <w:p w:rsidR="00247F8C" w:rsidRPr="00025F2C" w:rsidRDefault="00247F8C" w:rsidP="00247F8C">
      <w:pPr>
        <w:tabs>
          <w:tab w:val="clear" w:pos="1440"/>
        </w:tabs>
        <w:autoSpaceDE w:val="0"/>
        <w:autoSpaceDN w:val="0"/>
        <w:adjustRightInd w:val="0"/>
        <w:spacing w:before="0" w:after="0" w:line="240" w:lineRule="auto"/>
        <w:ind w:left="1440" w:right="1080"/>
        <w:rPr>
          <w:rFonts w:eastAsiaTheme="minorEastAsia"/>
          <w:szCs w:val="24"/>
        </w:rPr>
      </w:pPr>
    </w:p>
    <w:p w:rsidR="00247F8C" w:rsidRDefault="00247F8C" w:rsidP="00247F8C">
      <w:pPr>
        <w:tabs>
          <w:tab w:val="clear" w:pos="1440"/>
          <w:tab w:val="left" w:pos="-720"/>
        </w:tabs>
        <w:suppressAutoHyphens/>
        <w:spacing w:before="0" w:after="0" w:line="240" w:lineRule="auto"/>
        <w:rPr>
          <w:szCs w:val="24"/>
        </w:rPr>
      </w:pPr>
      <w:r>
        <w:rPr>
          <w:szCs w:val="24"/>
        </w:rPr>
        <w:tab/>
      </w:r>
      <w:r>
        <w:rPr>
          <w:szCs w:val="24"/>
        </w:rPr>
        <w:tab/>
        <w:t>. . . .</w:t>
      </w:r>
    </w:p>
    <w:p w:rsidR="00247F8C" w:rsidRDefault="00247F8C" w:rsidP="00247F8C">
      <w:pPr>
        <w:tabs>
          <w:tab w:val="clear" w:pos="1440"/>
        </w:tabs>
        <w:suppressAutoHyphens/>
        <w:spacing w:before="0" w:after="0" w:line="240" w:lineRule="auto"/>
        <w:ind w:left="1440" w:right="1080"/>
        <w:rPr>
          <w:szCs w:val="24"/>
        </w:rPr>
      </w:pPr>
    </w:p>
    <w:p w:rsidR="00247F8C" w:rsidRDefault="00247F8C" w:rsidP="00247F8C">
      <w:pPr>
        <w:tabs>
          <w:tab w:val="clear" w:pos="1440"/>
        </w:tabs>
        <w:suppressAutoHyphens/>
        <w:spacing w:before="0" w:after="0" w:line="240" w:lineRule="auto"/>
        <w:ind w:left="1440" w:right="1080"/>
        <w:rPr>
          <w:szCs w:val="24"/>
        </w:rPr>
      </w:pPr>
      <w:r>
        <w:rPr>
          <w:szCs w:val="24"/>
        </w:rPr>
        <w:t>For the foregoing reasons, this Court finds that the trial court did not err when it granted Dr. Hoffman’s preliminary objections and dismiss Feldman’s Complaint with prejudice.</w:t>
      </w:r>
    </w:p>
    <w:p w:rsidR="001A708C" w:rsidRDefault="001A708C" w:rsidP="00E10BD3">
      <w:pPr>
        <w:tabs>
          <w:tab w:val="clear" w:pos="1440"/>
          <w:tab w:val="left" w:pos="-720"/>
        </w:tabs>
        <w:suppressAutoHyphens/>
        <w:spacing w:before="0" w:after="0"/>
        <w:rPr>
          <w:szCs w:val="24"/>
        </w:rPr>
      </w:pPr>
    </w:p>
    <w:p w:rsidR="009B0EB5" w:rsidRDefault="00E22AD8" w:rsidP="00E10BD3">
      <w:pPr>
        <w:tabs>
          <w:tab w:val="clear" w:pos="1440"/>
          <w:tab w:val="left" w:pos="-720"/>
        </w:tabs>
        <w:suppressAutoHyphens/>
        <w:spacing w:before="0" w:after="0"/>
        <w:rPr>
          <w:szCs w:val="24"/>
        </w:rPr>
      </w:pPr>
      <w:r w:rsidRPr="00E22AD8">
        <w:rPr>
          <w:i/>
          <w:szCs w:val="24"/>
        </w:rPr>
        <w:t>Feldman</w:t>
      </w:r>
      <w:r w:rsidR="00247F8C">
        <w:rPr>
          <w:i/>
          <w:szCs w:val="24"/>
        </w:rPr>
        <w:t>,</w:t>
      </w:r>
      <w:r w:rsidR="00247F8C">
        <w:rPr>
          <w:szCs w:val="24"/>
        </w:rPr>
        <w:t xml:space="preserve"> </w:t>
      </w:r>
      <w:r w:rsidR="009B0EB5">
        <w:rPr>
          <w:szCs w:val="24"/>
        </w:rPr>
        <w:t>at 835-836.</w:t>
      </w:r>
    </w:p>
    <w:p w:rsidR="009B0EB5" w:rsidRDefault="009B0EB5" w:rsidP="00E10BD3">
      <w:pPr>
        <w:tabs>
          <w:tab w:val="clear" w:pos="1440"/>
          <w:tab w:val="left" w:pos="-720"/>
        </w:tabs>
        <w:suppressAutoHyphens/>
        <w:spacing w:before="0" w:after="0"/>
        <w:rPr>
          <w:szCs w:val="24"/>
        </w:rPr>
      </w:pPr>
    </w:p>
    <w:p w:rsidR="007F44FF" w:rsidRDefault="009B0EB5" w:rsidP="008C29EA">
      <w:pPr>
        <w:tabs>
          <w:tab w:val="clear" w:pos="1440"/>
          <w:tab w:val="left" w:pos="-720"/>
        </w:tabs>
        <w:suppressAutoHyphens/>
        <w:spacing w:before="0" w:after="0"/>
        <w:rPr>
          <w:szCs w:val="24"/>
        </w:rPr>
      </w:pPr>
      <w:r>
        <w:rPr>
          <w:szCs w:val="24"/>
        </w:rPr>
        <w:tab/>
      </w:r>
      <w:r>
        <w:rPr>
          <w:szCs w:val="24"/>
        </w:rPr>
        <w:tab/>
        <w:t xml:space="preserve">Applying the court’s reasoning in </w:t>
      </w:r>
      <w:r>
        <w:rPr>
          <w:i/>
          <w:szCs w:val="24"/>
        </w:rPr>
        <w:t>Feldman,</w:t>
      </w:r>
      <w:r>
        <w:rPr>
          <w:szCs w:val="24"/>
        </w:rPr>
        <w:t xml:space="preserve"> to the present proceeding, it is clear on the face of the Complaint that Ms. Slaughter is seeking relief, in part, from events dating back to 2007</w:t>
      </w:r>
      <w:r w:rsidR="00E02458">
        <w:rPr>
          <w:szCs w:val="24"/>
        </w:rPr>
        <w:t xml:space="preserve">.  </w:t>
      </w:r>
      <w:r w:rsidR="000E01DE">
        <w:rPr>
          <w:szCs w:val="24"/>
        </w:rPr>
        <w:t>Here I must note (1) Ms. Slaughter did not file a response to the P.O., and (2) the substantial rights of the parties will not affected because both parties are bound by the barring effect of the statute of limitations.  Therefore, the procedural defect in the P.O. may be disregarded</w:t>
      </w:r>
      <w:r w:rsidR="003B71EB">
        <w:rPr>
          <w:szCs w:val="24"/>
        </w:rPr>
        <w:t>.</w:t>
      </w:r>
      <w:r w:rsidR="000E01DE">
        <w:rPr>
          <w:szCs w:val="24"/>
        </w:rPr>
        <w:t xml:space="preserve"> </w:t>
      </w:r>
    </w:p>
    <w:p w:rsidR="007F44FF" w:rsidRDefault="007F44FF" w:rsidP="008C29EA">
      <w:pPr>
        <w:tabs>
          <w:tab w:val="clear" w:pos="1440"/>
          <w:tab w:val="left" w:pos="-720"/>
        </w:tabs>
        <w:suppressAutoHyphens/>
        <w:spacing w:before="0" w:after="0"/>
        <w:rPr>
          <w:szCs w:val="24"/>
        </w:rPr>
      </w:pPr>
    </w:p>
    <w:p w:rsidR="007F267C" w:rsidRDefault="000E01DE" w:rsidP="008C29EA">
      <w:pPr>
        <w:tabs>
          <w:tab w:val="clear" w:pos="1440"/>
          <w:tab w:val="left" w:pos="-720"/>
        </w:tabs>
        <w:suppressAutoHyphens/>
        <w:spacing w:before="0" w:after="0"/>
        <w:rPr>
          <w:szCs w:val="24"/>
        </w:rPr>
      </w:pPr>
      <w:r>
        <w:rPr>
          <w:szCs w:val="24"/>
        </w:rPr>
        <w:tab/>
      </w:r>
      <w:r>
        <w:rPr>
          <w:szCs w:val="24"/>
        </w:rPr>
        <w:tab/>
      </w:r>
      <w:r w:rsidR="008C29EA">
        <w:rPr>
          <w:szCs w:val="24"/>
        </w:rPr>
        <w:t>Ms. Slaughter specifically alleges that she moved f</w:t>
      </w:r>
      <w:r w:rsidR="008C29EA" w:rsidRPr="008C29EA">
        <w:rPr>
          <w:szCs w:val="24"/>
        </w:rPr>
        <w:t xml:space="preserve">rom 7039 Ardleigh Street, </w:t>
      </w:r>
      <w:r w:rsidR="008C29EA">
        <w:rPr>
          <w:szCs w:val="24"/>
        </w:rPr>
        <w:t xml:space="preserve">Philadelphia, Pennsylvania </w:t>
      </w:r>
      <w:r w:rsidR="008C29EA" w:rsidRPr="008C29EA">
        <w:rPr>
          <w:szCs w:val="24"/>
        </w:rPr>
        <w:t xml:space="preserve">in </w:t>
      </w:r>
      <w:r w:rsidR="007F267C">
        <w:rPr>
          <w:szCs w:val="24"/>
        </w:rPr>
        <w:t xml:space="preserve">the </w:t>
      </w:r>
      <w:r w:rsidR="008C29EA" w:rsidRPr="008C29EA">
        <w:rPr>
          <w:szCs w:val="24"/>
        </w:rPr>
        <w:t>latter part of 2007</w:t>
      </w:r>
      <w:r w:rsidR="008C29EA">
        <w:rPr>
          <w:szCs w:val="24"/>
        </w:rPr>
        <w:t xml:space="preserve"> </w:t>
      </w:r>
      <w:r w:rsidR="008C29EA" w:rsidRPr="008C29EA">
        <w:rPr>
          <w:szCs w:val="24"/>
        </w:rPr>
        <w:t>and called to have service shut-off due to being out of town</w:t>
      </w:r>
      <w:r w:rsidR="008C29EA">
        <w:rPr>
          <w:szCs w:val="24"/>
        </w:rPr>
        <w:t>.  She further alleges,</w:t>
      </w:r>
      <w:r w:rsidR="008C29EA" w:rsidRPr="008C29EA">
        <w:rPr>
          <w:rFonts w:eastAsiaTheme="minorHAnsi" w:cstheme="minorBidi"/>
          <w:szCs w:val="22"/>
        </w:rPr>
        <w:t xml:space="preserve"> </w:t>
      </w:r>
      <w:r w:rsidR="008C29EA">
        <w:rPr>
          <w:rFonts w:eastAsiaTheme="minorHAnsi" w:cstheme="minorBidi"/>
          <w:szCs w:val="22"/>
        </w:rPr>
        <w:t>“</w:t>
      </w:r>
      <w:r w:rsidR="008C29EA" w:rsidRPr="008C29EA">
        <w:rPr>
          <w:szCs w:val="24"/>
        </w:rPr>
        <w:t>To my surprise the PGW never shut off service to 7039 Ardleigh</w:t>
      </w:r>
      <w:r w:rsidR="006F67F8">
        <w:rPr>
          <w:szCs w:val="24"/>
        </w:rPr>
        <w:t xml:space="preserve"> Street</w:t>
      </w:r>
      <w:r w:rsidR="008C29EA" w:rsidRPr="008C29EA">
        <w:rPr>
          <w:szCs w:val="24"/>
        </w:rPr>
        <w:t>, and whoever purchased the property was using electric under my name.</w:t>
      </w:r>
      <w:r w:rsidR="008C29EA">
        <w:rPr>
          <w:szCs w:val="24"/>
        </w:rPr>
        <w:t xml:space="preserve">” </w:t>
      </w:r>
      <w:r w:rsidR="00E02458">
        <w:rPr>
          <w:szCs w:val="24"/>
        </w:rPr>
        <w:t xml:space="preserve"> </w:t>
      </w:r>
      <w:r w:rsidR="001208C2">
        <w:rPr>
          <w:szCs w:val="24"/>
        </w:rPr>
        <w:t xml:space="preserve">Again, it is clear from the face of the Complaint that Ms. Slaughter’s allegations relate back to the latter part of 2007. </w:t>
      </w:r>
      <w:r w:rsidR="00E02458">
        <w:rPr>
          <w:szCs w:val="24"/>
        </w:rPr>
        <w:t xml:space="preserve"> However,</w:t>
      </w:r>
      <w:r w:rsidR="006F67F8">
        <w:rPr>
          <w:szCs w:val="24"/>
        </w:rPr>
        <w:t xml:space="preserve"> </w:t>
      </w:r>
      <w:r w:rsidR="00E02458">
        <w:rPr>
          <w:szCs w:val="24"/>
        </w:rPr>
        <w:t>Ms. Slaughter did not file her Complaint until April 18, 2016</w:t>
      </w:r>
      <w:r w:rsidR="005E4191">
        <w:rPr>
          <w:szCs w:val="24"/>
        </w:rPr>
        <w:t xml:space="preserve">, which is more than </w:t>
      </w:r>
      <w:r>
        <w:rPr>
          <w:szCs w:val="24"/>
        </w:rPr>
        <w:t>8</w:t>
      </w:r>
      <w:r w:rsidR="005E4191">
        <w:rPr>
          <w:szCs w:val="24"/>
        </w:rPr>
        <w:t xml:space="preserve"> years later.</w:t>
      </w:r>
      <w:r w:rsidR="00E02458">
        <w:rPr>
          <w:szCs w:val="24"/>
        </w:rPr>
        <w:t xml:space="preserve">  </w:t>
      </w:r>
    </w:p>
    <w:p w:rsidR="007F267C" w:rsidRDefault="007F267C" w:rsidP="008C29EA">
      <w:pPr>
        <w:tabs>
          <w:tab w:val="clear" w:pos="1440"/>
          <w:tab w:val="left" w:pos="-720"/>
        </w:tabs>
        <w:suppressAutoHyphens/>
        <w:spacing w:before="0" w:after="0"/>
        <w:rPr>
          <w:szCs w:val="24"/>
        </w:rPr>
      </w:pPr>
    </w:p>
    <w:p w:rsidR="007F267C" w:rsidRDefault="007F267C" w:rsidP="008C29EA">
      <w:pPr>
        <w:tabs>
          <w:tab w:val="clear" w:pos="1440"/>
          <w:tab w:val="left" w:pos="-720"/>
        </w:tabs>
        <w:suppressAutoHyphens/>
        <w:spacing w:before="0" w:after="0"/>
        <w:rPr>
          <w:szCs w:val="24"/>
        </w:rPr>
      </w:pPr>
      <w:r>
        <w:rPr>
          <w:szCs w:val="24"/>
        </w:rPr>
        <w:tab/>
      </w:r>
      <w:r>
        <w:rPr>
          <w:szCs w:val="24"/>
        </w:rPr>
        <w:tab/>
      </w:r>
      <w:r w:rsidR="00E02458">
        <w:rPr>
          <w:szCs w:val="24"/>
        </w:rPr>
        <w:t xml:space="preserve">Ms. Slaughter was required to file </w:t>
      </w:r>
      <w:r w:rsidR="001208C2">
        <w:rPr>
          <w:szCs w:val="24"/>
        </w:rPr>
        <w:t xml:space="preserve">her </w:t>
      </w:r>
      <w:r w:rsidR="00E02458">
        <w:rPr>
          <w:szCs w:val="24"/>
        </w:rPr>
        <w:t>Complaint within 3 years of 2007</w:t>
      </w:r>
      <w:r w:rsidR="001208C2">
        <w:rPr>
          <w:szCs w:val="24"/>
        </w:rPr>
        <w:t>, under Section 3314 of the Code, 66 Pa.C.S. § 3314, which</w:t>
      </w:r>
      <w:r>
        <w:rPr>
          <w:szCs w:val="24"/>
        </w:rPr>
        <w:t xml:space="preserve"> provides as follows:</w:t>
      </w:r>
    </w:p>
    <w:p w:rsidR="007F267C" w:rsidRDefault="007F267C" w:rsidP="00945C45">
      <w:pPr>
        <w:tabs>
          <w:tab w:val="clear" w:pos="1440"/>
          <w:tab w:val="left" w:pos="-720"/>
        </w:tabs>
        <w:suppressAutoHyphens/>
        <w:spacing w:before="0" w:after="0" w:line="240" w:lineRule="auto"/>
        <w:rPr>
          <w:szCs w:val="24"/>
        </w:rPr>
      </w:pPr>
    </w:p>
    <w:p w:rsidR="007F267C" w:rsidRDefault="007F267C" w:rsidP="007F267C">
      <w:pPr>
        <w:tabs>
          <w:tab w:val="clear" w:pos="1440"/>
          <w:tab w:val="left" w:pos="-720"/>
        </w:tabs>
        <w:suppressAutoHyphens/>
        <w:spacing w:before="0" w:after="0" w:line="240" w:lineRule="auto"/>
        <w:ind w:left="1440" w:right="1166"/>
        <w:rPr>
          <w:szCs w:val="24"/>
        </w:rPr>
      </w:pPr>
      <w:r>
        <w:rPr>
          <w:szCs w:val="24"/>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 this part.</w:t>
      </w:r>
    </w:p>
    <w:p w:rsidR="007F267C" w:rsidRDefault="007F267C" w:rsidP="00945C45">
      <w:pPr>
        <w:tabs>
          <w:tab w:val="clear" w:pos="1440"/>
          <w:tab w:val="left" w:pos="-720"/>
        </w:tabs>
        <w:suppressAutoHyphens/>
        <w:spacing w:before="0" w:after="0"/>
        <w:ind w:left="1440" w:right="1166"/>
        <w:rPr>
          <w:szCs w:val="24"/>
        </w:rPr>
      </w:pPr>
    </w:p>
    <w:p w:rsidR="001208C2" w:rsidRDefault="00E02458" w:rsidP="008C29EA">
      <w:pPr>
        <w:tabs>
          <w:tab w:val="clear" w:pos="1440"/>
          <w:tab w:val="left" w:pos="-720"/>
        </w:tabs>
        <w:suppressAutoHyphens/>
        <w:spacing w:before="0" w:after="0"/>
        <w:rPr>
          <w:szCs w:val="24"/>
        </w:rPr>
      </w:pPr>
      <w:r>
        <w:rPr>
          <w:szCs w:val="24"/>
        </w:rPr>
        <w:t xml:space="preserve">Assuming Ms. Slaughter called PGW on </w:t>
      </w:r>
      <w:r w:rsidR="001208C2">
        <w:rPr>
          <w:szCs w:val="24"/>
        </w:rPr>
        <w:t xml:space="preserve">the last day of 2007, that is, </w:t>
      </w:r>
      <w:r>
        <w:rPr>
          <w:szCs w:val="24"/>
        </w:rPr>
        <w:t>December 31, 2007, she would have been required to file her Complaint by December 31, 2010.</w:t>
      </w:r>
    </w:p>
    <w:p w:rsidR="004C5F1E" w:rsidRDefault="001208C2" w:rsidP="008C29EA">
      <w:pPr>
        <w:tabs>
          <w:tab w:val="clear" w:pos="1440"/>
          <w:tab w:val="left" w:pos="-720"/>
        </w:tabs>
        <w:suppressAutoHyphens/>
        <w:spacing w:before="0" w:after="0"/>
        <w:rPr>
          <w:szCs w:val="24"/>
        </w:rPr>
      </w:pPr>
      <w:r>
        <w:rPr>
          <w:szCs w:val="24"/>
        </w:rPr>
        <w:lastRenderedPageBreak/>
        <w:tab/>
      </w:r>
      <w:r>
        <w:rPr>
          <w:szCs w:val="24"/>
        </w:rPr>
        <w:tab/>
      </w:r>
      <w:r w:rsidR="005E4191">
        <w:rPr>
          <w:szCs w:val="24"/>
        </w:rPr>
        <w:t>Since Ms</w:t>
      </w:r>
      <w:r>
        <w:rPr>
          <w:szCs w:val="24"/>
        </w:rPr>
        <w:t xml:space="preserve">. Slaughter </w:t>
      </w:r>
      <w:r w:rsidR="006F67F8">
        <w:rPr>
          <w:szCs w:val="24"/>
        </w:rPr>
        <w:t>did not file the instant Complaint until April 1</w:t>
      </w:r>
      <w:r w:rsidR="00B76C28">
        <w:rPr>
          <w:szCs w:val="24"/>
        </w:rPr>
        <w:t>8</w:t>
      </w:r>
      <w:r w:rsidR="006F67F8">
        <w:rPr>
          <w:szCs w:val="24"/>
        </w:rPr>
        <w:t>, 2016</w:t>
      </w:r>
      <w:r w:rsidR="005E4191">
        <w:rPr>
          <w:szCs w:val="24"/>
        </w:rPr>
        <w:t xml:space="preserve">, </w:t>
      </w:r>
      <w:r>
        <w:rPr>
          <w:szCs w:val="24"/>
        </w:rPr>
        <w:t xml:space="preserve">she is </w:t>
      </w:r>
      <w:r w:rsidR="006F67F8">
        <w:rPr>
          <w:szCs w:val="24"/>
        </w:rPr>
        <w:t>estopped from raising any events relating to her service at 7039 Ardleigh Street that occurred three years prior to April 1</w:t>
      </w:r>
      <w:r w:rsidR="0061215B">
        <w:rPr>
          <w:szCs w:val="24"/>
        </w:rPr>
        <w:t>8</w:t>
      </w:r>
      <w:r w:rsidR="006F67F8">
        <w:rPr>
          <w:szCs w:val="24"/>
        </w:rPr>
        <w:t>, 2016.  In other words, Section 3314 of the Code prevents Ms.</w:t>
      </w:r>
      <w:r w:rsidR="00EF692C">
        <w:rPr>
          <w:szCs w:val="24"/>
        </w:rPr>
        <w:t> S</w:t>
      </w:r>
      <w:r w:rsidR="006F67F8">
        <w:rPr>
          <w:szCs w:val="24"/>
        </w:rPr>
        <w:t xml:space="preserve">laughter from asserting any allegations relating to her </w:t>
      </w:r>
      <w:r w:rsidR="004C5F1E">
        <w:rPr>
          <w:szCs w:val="24"/>
        </w:rPr>
        <w:t xml:space="preserve">gas </w:t>
      </w:r>
      <w:r w:rsidR="006F67F8">
        <w:rPr>
          <w:szCs w:val="24"/>
        </w:rPr>
        <w:t xml:space="preserve">service </w:t>
      </w:r>
      <w:r w:rsidR="004C5F1E">
        <w:rPr>
          <w:szCs w:val="24"/>
        </w:rPr>
        <w:t xml:space="preserve">or </w:t>
      </w:r>
      <w:r w:rsidR="004B42CB">
        <w:rPr>
          <w:szCs w:val="24"/>
        </w:rPr>
        <w:t xml:space="preserve">account billings for service </w:t>
      </w:r>
      <w:r w:rsidR="006F67F8">
        <w:rPr>
          <w:szCs w:val="24"/>
        </w:rPr>
        <w:t>at 7039 Ardleigh Street occurring prior to April 1</w:t>
      </w:r>
      <w:r w:rsidR="00B76C28">
        <w:rPr>
          <w:szCs w:val="24"/>
        </w:rPr>
        <w:t>7</w:t>
      </w:r>
      <w:r w:rsidR="006F67F8">
        <w:rPr>
          <w:szCs w:val="24"/>
        </w:rPr>
        <w:t>, 2013.</w:t>
      </w:r>
      <w:r w:rsidR="004C5F1E">
        <w:rPr>
          <w:szCs w:val="24"/>
        </w:rPr>
        <w:t xml:space="preserve">  Accordingly, PGW’s P.O. will be granted to </w:t>
      </w:r>
      <w:r w:rsidR="005E4191">
        <w:rPr>
          <w:szCs w:val="24"/>
        </w:rPr>
        <w:t xml:space="preserve">the extent that </w:t>
      </w:r>
      <w:r w:rsidR="004C5F1E">
        <w:rPr>
          <w:szCs w:val="24"/>
        </w:rPr>
        <w:t xml:space="preserve">the 3-year statute of limitations bars Ms. Slaughter </w:t>
      </w:r>
      <w:r w:rsidR="008A3996">
        <w:rPr>
          <w:szCs w:val="24"/>
        </w:rPr>
        <w:t xml:space="preserve">from </w:t>
      </w:r>
      <w:r w:rsidR="004C5F1E">
        <w:rPr>
          <w:szCs w:val="24"/>
        </w:rPr>
        <w:t>asserting matters dating back to 2007.</w:t>
      </w:r>
    </w:p>
    <w:p w:rsidR="00CD7A65" w:rsidRDefault="00CD7A65" w:rsidP="008C29EA">
      <w:pPr>
        <w:tabs>
          <w:tab w:val="clear" w:pos="1440"/>
          <w:tab w:val="left" w:pos="-720"/>
        </w:tabs>
        <w:suppressAutoHyphens/>
        <w:spacing w:before="0" w:after="0"/>
        <w:rPr>
          <w:szCs w:val="24"/>
        </w:rPr>
      </w:pPr>
    </w:p>
    <w:p w:rsidR="00C02B3D" w:rsidRPr="00C02B3D" w:rsidRDefault="00AB7B65" w:rsidP="008C29EA">
      <w:pPr>
        <w:tabs>
          <w:tab w:val="clear" w:pos="1440"/>
          <w:tab w:val="left" w:pos="-720"/>
        </w:tabs>
        <w:suppressAutoHyphens/>
        <w:spacing w:before="0" w:after="0"/>
        <w:rPr>
          <w:szCs w:val="24"/>
        </w:rPr>
      </w:pPr>
      <w:r>
        <w:rPr>
          <w:szCs w:val="24"/>
        </w:rPr>
        <w:t>B</w:t>
      </w:r>
      <w:r w:rsidR="00C02B3D">
        <w:rPr>
          <w:szCs w:val="24"/>
        </w:rPr>
        <w:t>.</w:t>
      </w:r>
      <w:r w:rsidR="00C02B3D">
        <w:rPr>
          <w:szCs w:val="24"/>
        </w:rPr>
        <w:tab/>
      </w:r>
      <w:r w:rsidR="00C02B3D">
        <w:rPr>
          <w:szCs w:val="24"/>
          <w:u w:val="single"/>
        </w:rPr>
        <w:t>Ruling on Motion for Summary Judgment</w:t>
      </w:r>
    </w:p>
    <w:p w:rsidR="00C86376" w:rsidRDefault="00C86376" w:rsidP="008C29EA">
      <w:pPr>
        <w:tabs>
          <w:tab w:val="clear" w:pos="1440"/>
          <w:tab w:val="left" w:pos="-720"/>
        </w:tabs>
        <w:suppressAutoHyphens/>
        <w:spacing w:before="0" w:after="0"/>
        <w:rPr>
          <w:szCs w:val="24"/>
        </w:rPr>
      </w:pPr>
    </w:p>
    <w:p w:rsidR="00C86376" w:rsidRPr="00C86376" w:rsidRDefault="00C86376" w:rsidP="00EF692C">
      <w:pPr>
        <w:rPr>
          <w:szCs w:val="24"/>
        </w:rPr>
      </w:pPr>
      <w:r>
        <w:rPr>
          <w:szCs w:val="24"/>
        </w:rPr>
        <w:tab/>
      </w:r>
      <w:r w:rsidRPr="00C86376">
        <w:rPr>
          <w:szCs w:val="24"/>
        </w:rPr>
        <w:t>The Commission’s Rules of Administrative Practice and Procedure, 52 Pa.Code §§ 1.1–5.633, provide for summary judgment and judgment on the pleadings, in relevant part, state as follows:</w:t>
      </w:r>
    </w:p>
    <w:p w:rsidR="00C86376" w:rsidRPr="00C86376" w:rsidRDefault="00C86376" w:rsidP="00C86376">
      <w:pPr>
        <w:tabs>
          <w:tab w:val="clear" w:pos="1440"/>
        </w:tabs>
        <w:autoSpaceDE w:val="0"/>
        <w:autoSpaceDN w:val="0"/>
        <w:adjustRightInd w:val="0"/>
        <w:spacing w:before="0" w:after="0" w:line="240" w:lineRule="auto"/>
        <w:ind w:left="1440" w:right="1440"/>
        <w:rPr>
          <w:b/>
          <w:szCs w:val="28"/>
        </w:rPr>
      </w:pPr>
    </w:p>
    <w:p w:rsidR="00C86376" w:rsidRPr="00C86376" w:rsidRDefault="00C86376" w:rsidP="00C86376">
      <w:pPr>
        <w:tabs>
          <w:tab w:val="clear" w:pos="1440"/>
        </w:tabs>
        <w:autoSpaceDE w:val="0"/>
        <w:autoSpaceDN w:val="0"/>
        <w:adjustRightInd w:val="0"/>
        <w:spacing w:before="0" w:after="0" w:line="240" w:lineRule="auto"/>
        <w:ind w:left="1440" w:right="1440"/>
        <w:rPr>
          <w:b/>
          <w:szCs w:val="28"/>
        </w:rPr>
      </w:pPr>
      <w:r w:rsidRPr="00C86376">
        <w:rPr>
          <w:b/>
          <w:szCs w:val="28"/>
        </w:rPr>
        <w:t>§ 5.102.  Motions for summary judgment and judgment on the pleadings.</w:t>
      </w:r>
    </w:p>
    <w:p w:rsidR="00C86376" w:rsidRPr="00C86376" w:rsidRDefault="00C86376" w:rsidP="00C86376">
      <w:pPr>
        <w:tabs>
          <w:tab w:val="clear" w:pos="1440"/>
        </w:tabs>
        <w:autoSpaceDE w:val="0"/>
        <w:autoSpaceDN w:val="0"/>
        <w:adjustRightInd w:val="0"/>
        <w:spacing w:before="0" w:after="0" w:line="240" w:lineRule="auto"/>
        <w:ind w:left="1440" w:right="1440"/>
        <w:rPr>
          <w:iCs/>
          <w:szCs w:val="24"/>
        </w:rPr>
      </w:pPr>
    </w:p>
    <w:p w:rsidR="00C86376" w:rsidRPr="00C86376" w:rsidRDefault="00C86376" w:rsidP="00C86376">
      <w:pPr>
        <w:tabs>
          <w:tab w:val="clear" w:pos="1440"/>
        </w:tabs>
        <w:autoSpaceDE w:val="0"/>
        <w:autoSpaceDN w:val="0"/>
        <w:adjustRightInd w:val="0"/>
        <w:spacing w:before="0" w:after="0" w:line="240" w:lineRule="auto"/>
        <w:ind w:left="1440" w:right="1440"/>
        <w:rPr>
          <w:szCs w:val="24"/>
        </w:rPr>
      </w:pPr>
      <w:r w:rsidRPr="00C86376">
        <w:rPr>
          <w:iCs/>
          <w:szCs w:val="24"/>
        </w:rPr>
        <w:t>(a)</w:t>
      </w:r>
      <w:r w:rsidRPr="00C86376">
        <w:rPr>
          <w:iCs/>
          <w:szCs w:val="24"/>
        </w:rPr>
        <w:tab/>
        <w:t>Ge</w:t>
      </w:r>
      <w:r w:rsidRPr="00C86376">
        <w:rPr>
          <w:i/>
          <w:iCs/>
          <w:szCs w:val="24"/>
        </w:rPr>
        <w:t>nerally.</w:t>
      </w:r>
      <w:r w:rsidRPr="00C86376">
        <w:rPr>
          <w:iCs/>
          <w:szCs w:val="24"/>
        </w:rPr>
        <w:t xml:space="preserve">  </w:t>
      </w:r>
      <w:r w:rsidRPr="00C86376">
        <w:rPr>
          <w:szCs w:val="24"/>
        </w:rPr>
        <w:t>After the pleadings are closed, but within a time so that the hearing is not delayed, a party may move for judgment on the pleadings or summary judgment.  . . . .</w:t>
      </w:r>
    </w:p>
    <w:p w:rsidR="00C86376" w:rsidRPr="00C86376" w:rsidRDefault="00C86376" w:rsidP="00C86376">
      <w:pPr>
        <w:tabs>
          <w:tab w:val="clear" w:pos="1440"/>
        </w:tabs>
        <w:autoSpaceDE w:val="0"/>
        <w:autoSpaceDN w:val="0"/>
        <w:adjustRightInd w:val="0"/>
        <w:spacing w:before="0" w:after="0" w:line="240" w:lineRule="auto"/>
        <w:ind w:left="1440" w:right="1440"/>
        <w:rPr>
          <w:szCs w:val="24"/>
        </w:rPr>
      </w:pPr>
    </w:p>
    <w:p w:rsidR="00C86376" w:rsidRPr="00C86376" w:rsidRDefault="00C86376" w:rsidP="00C86376">
      <w:pPr>
        <w:tabs>
          <w:tab w:val="clear" w:pos="1440"/>
        </w:tabs>
        <w:autoSpaceDE w:val="0"/>
        <w:autoSpaceDN w:val="0"/>
        <w:adjustRightInd w:val="0"/>
        <w:spacing w:before="0" w:after="0" w:line="240" w:lineRule="auto"/>
        <w:ind w:left="1440" w:right="1440"/>
        <w:rPr>
          <w:szCs w:val="24"/>
        </w:rPr>
      </w:pPr>
      <w:r w:rsidRPr="00C86376">
        <w:rPr>
          <w:szCs w:val="24"/>
        </w:rPr>
        <w:t>. . . .</w:t>
      </w:r>
    </w:p>
    <w:p w:rsidR="00C86376" w:rsidRPr="00C86376" w:rsidRDefault="00C86376" w:rsidP="00C86376">
      <w:pPr>
        <w:tabs>
          <w:tab w:val="clear" w:pos="1440"/>
          <w:tab w:val="left" w:pos="204"/>
        </w:tabs>
        <w:autoSpaceDE w:val="0"/>
        <w:autoSpaceDN w:val="0"/>
        <w:adjustRightInd w:val="0"/>
        <w:spacing w:before="0" w:after="0" w:line="240" w:lineRule="auto"/>
        <w:ind w:left="1440" w:right="1440"/>
        <w:rPr>
          <w:szCs w:val="24"/>
        </w:rPr>
      </w:pPr>
    </w:p>
    <w:p w:rsidR="00C86376" w:rsidRPr="00C86376" w:rsidRDefault="00C86376" w:rsidP="00C86376">
      <w:pPr>
        <w:tabs>
          <w:tab w:val="clear" w:pos="1440"/>
          <w:tab w:val="left" w:pos="204"/>
        </w:tabs>
        <w:autoSpaceDE w:val="0"/>
        <w:autoSpaceDN w:val="0"/>
        <w:adjustRightInd w:val="0"/>
        <w:spacing w:before="0" w:after="0" w:line="240" w:lineRule="auto"/>
        <w:ind w:left="1440" w:right="1440"/>
        <w:rPr>
          <w:iCs/>
          <w:szCs w:val="24"/>
        </w:rPr>
      </w:pPr>
      <w:r w:rsidRPr="00C86376">
        <w:rPr>
          <w:szCs w:val="24"/>
        </w:rPr>
        <w:t>(d)</w:t>
      </w:r>
      <w:r w:rsidRPr="00C86376">
        <w:rPr>
          <w:szCs w:val="24"/>
        </w:rPr>
        <w:tab/>
      </w:r>
      <w:r w:rsidRPr="00C86376">
        <w:rPr>
          <w:i/>
          <w:iCs/>
          <w:szCs w:val="24"/>
        </w:rPr>
        <w:t>Decisions on motions.</w:t>
      </w:r>
    </w:p>
    <w:p w:rsidR="00C86376" w:rsidRPr="00C86376" w:rsidRDefault="00C86376" w:rsidP="00C86376">
      <w:pPr>
        <w:tabs>
          <w:tab w:val="clear" w:pos="1440"/>
          <w:tab w:val="left" w:pos="204"/>
        </w:tabs>
        <w:autoSpaceDE w:val="0"/>
        <w:autoSpaceDN w:val="0"/>
        <w:adjustRightInd w:val="0"/>
        <w:spacing w:before="0" w:after="0" w:line="240" w:lineRule="auto"/>
        <w:ind w:left="1440" w:right="1440"/>
        <w:rPr>
          <w:iCs/>
          <w:szCs w:val="24"/>
        </w:rPr>
      </w:pPr>
    </w:p>
    <w:p w:rsidR="00C86376" w:rsidRPr="00C86376" w:rsidRDefault="00C86376" w:rsidP="00C86376">
      <w:pPr>
        <w:tabs>
          <w:tab w:val="clear" w:pos="1440"/>
          <w:tab w:val="left" w:pos="204"/>
        </w:tabs>
        <w:autoSpaceDE w:val="0"/>
        <w:autoSpaceDN w:val="0"/>
        <w:adjustRightInd w:val="0"/>
        <w:spacing w:before="0" w:after="0" w:line="240" w:lineRule="auto"/>
        <w:ind w:left="1440" w:right="1440"/>
        <w:rPr>
          <w:iCs/>
          <w:szCs w:val="24"/>
        </w:rPr>
      </w:pPr>
      <w:r w:rsidRPr="00C86376">
        <w:rPr>
          <w:iCs/>
          <w:szCs w:val="24"/>
        </w:rPr>
        <w:t>(1)</w:t>
      </w:r>
      <w:r w:rsidRPr="00C86376">
        <w:rPr>
          <w:iCs/>
          <w:szCs w:val="24"/>
        </w:rPr>
        <w:tab/>
      </w:r>
      <w:r w:rsidRPr="00C86376">
        <w:rPr>
          <w:i/>
          <w:iCs/>
          <w:szCs w:val="24"/>
        </w:rPr>
        <w:t>Standard for grant or denial on all counts.</w:t>
      </w:r>
      <w:r w:rsidRPr="00C86376">
        <w:rPr>
          <w:iCs/>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C86376" w:rsidRPr="00C86376" w:rsidRDefault="00C86376" w:rsidP="00C86376">
      <w:pPr>
        <w:tabs>
          <w:tab w:val="clear" w:pos="1440"/>
          <w:tab w:val="left" w:pos="0"/>
        </w:tabs>
        <w:spacing w:before="0" w:after="0" w:line="233" w:lineRule="auto"/>
      </w:pPr>
    </w:p>
    <w:p w:rsidR="00C86376" w:rsidRDefault="00C86376" w:rsidP="00C86376">
      <w:pPr>
        <w:tabs>
          <w:tab w:val="clear" w:pos="1440"/>
          <w:tab w:val="left" w:pos="0"/>
        </w:tabs>
        <w:spacing w:before="0" w:after="0" w:line="233" w:lineRule="auto"/>
        <w:rPr>
          <w:szCs w:val="28"/>
        </w:rPr>
      </w:pPr>
      <w:r w:rsidRPr="00C86376">
        <w:rPr>
          <w:szCs w:val="28"/>
        </w:rPr>
        <w:t>52 Pa.Code § 5.102</w:t>
      </w:r>
    </w:p>
    <w:p w:rsidR="00C86376" w:rsidRPr="00C86376" w:rsidRDefault="00C86376" w:rsidP="00C86376">
      <w:pPr>
        <w:tabs>
          <w:tab w:val="clear" w:pos="1440"/>
          <w:tab w:val="left" w:pos="0"/>
        </w:tabs>
        <w:spacing w:before="0" w:after="0"/>
        <w:rPr>
          <w:szCs w:val="28"/>
        </w:rPr>
      </w:pPr>
    </w:p>
    <w:p w:rsidR="00C86376" w:rsidRPr="00C86376" w:rsidRDefault="00C86376" w:rsidP="00C86376">
      <w:pPr>
        <w:tabs>
          <w:tab w:val="clear" w:pos="1440"/>
        </w:tabs>
        <w:spacing w:before="0" w:after="0"/>
        <w:ind w:firstLine="1440"/>
      </w:pPr>
      <w:r w:rsidRPr="00C86376">
        <w:t xml:space="preserve">The standard for granting both motions is the same.  The presiding officer will grant a preliminary motion if the record shows that there is no genuine issue as to a material fact and that the moving party is entitled to judgment as a matter of law.  </w:t>
      </w:r>
      <w:r w:rsidRPr="00E51EBC">
        <w:rPr>
          <w:i/>
        </w:rPr>
        <w:t>Id</w:t>
      </w:r>
      <w:r w:rsidRPr="00C86376">
        <w:t>. § 5.102(d</w:t>
      </w:r>
      <w:proofErr w:type="gramStart"/>
      <w:r w:rsidRPr="00C86376">
        <w:t>)(</w:t>
      </w:r>
      <w:proofErr w:type="gramEnd"/>
      <w:r w:rsidRPr="00C86376">
        <w:t>1).</w:t>
      </w:r>
    </w:p>
    <w:p w:rsidR="00C86376" w:rsidRPr="00C86376" w:rsidRDefault="00C86376" w:rsidP="00C86376">
      <w:pPr>
        <w:tabs>
          <w:tab w:val="clear" w:pos="1440"/>
        </w:tabs>
        <w:autoSpaceDE w:val="0"/>
        <w:autoSpaceDN w:val="0"/>
        <w:spacing w:before="0" w:after="0"/>
      </w:pPr>
      <w:r w:rsidRPr="00C86376">
        <w:lastRenderedPageBreak/>
        <w:tab/>
      </w:r>
      <w:r w:rsidRPr="00C86376">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C86376">
        <w:rPr>
          <w:i/>
        </w:rPr>
        <w:t>First Mortgage Co. of Pennsylvania v. McCall</w:t>
      </w:r>
      <w:r w:rsidRPr="00C86376">
        <w:t xml:space="preserve">, 459 A.2d 406 (Pa.Super. 1983); </w:t>
      </w:r>
      <w:r w:rsidRPr="00C86376">
        <w:rPr>
          <w:i/>
        </w:rPr>
        <w:t xml:space="preserve">Mertz v. </w:t>
      </w:r>
      <w:proofErr w:type="spellStart"/>
      <w:r w:rsidRPr="00C86376">
        <w:rPr>
          <w:i/>
        </w:rPr>
        <w:t>Lakatos</w:t>
      </w:r>
      <w:proofErr w:type="spellEnd"/>
      <w:r w:rsidRPr="00C86376">
        <w:t xml:space="preserve">, 381 A.2d 497 (Pa.Cmwlth. 1976).  All doubts as to the existence of a genuine issue of material fact must be resolved against the moving party.  </w:t>
      </w:r>
      <w:r w:rsidRPr="00C86376">
        <w:rPr>
          <w:i/>
        </w:rPr>
        <w:t>Thomson Coal Company v. Pike Coal Company,</w:t>
      </w:r>
      <w:r w:rsidRPr="00C86376">
        <w:t xml:space="preserve"> 412 A.2d 466 (Pa. 1979).  Judgment will be granted only where the right to relief is clear and free from doubt.</w:t>
      </w:r>
    </w:p>
    <w:p w:rsidR="00C86376" w:rsidRPr="00C86376" w:rsidRDefault="00C86376" w:rsidP="00C86376">
      <w:pPr>
        <w:tabs>
          <w:tab w:val="clear" w:pos="1440"/>
        </w:tabs>
        <w:autoSpaceDE w:val="0"/>
        <w:autoSpaceDN w:val="0"/>
        <w:spacing w:before="0" w:after="0"/>
      </w:pPr>
    </w:p>
    <w:p w:rsidR="00C665D3" w:rsidRDefault="00C86376" w:rsidP="00C86376">
      <w:pPr>
        <w:tabs>
          <w:tab w:val="clear" w:pos="1440"/>
        </w:tabs>
        <w:autoSpaceDE w:val="0"/>
        <w:autoSpaceDN w:val="0"/>
        <w:spacing w:before="0" w:after="0"/>
      </w:pPr>
      <w:r w:rsidRPr="00C86376">
        <w:tab/>
      </w:r>
      <w:r w:rsidRPr="00C86376">
        <w:tab/>
        <w:t xml:space="preserve">The Commission has interpreted Section 5.102 of its Regulations in conformity with Rule 1035 (now Rule 1035.1) of the Pennsylvania Rules of Civil Procedure.  </w:t>
      </w:r>
      <w:r w:rsidRPr="00C86376">
        <w:rPr>
          <w:i/>
        </w:rPr>
        <w:t>South River Power Partners, L.P. v. West Penn Power Company,</w:t>
      </w:r>
      <w:r w:rsidRPr="00C86376">
        <w:t xml:space="preserve"> Docket No. C-00935287 (Order entered November 6, 1996).  Accordingly, a non-moving party may not rest upon mere allegations or denials of the pleadings, but must submit some materials to establish that a genuine issue of material fact exists.  Pa.R.C.P. No. 1035.3; </w:t>
      </w:r>
      <w:r w:rsidRPr="00C86376">
        <w:rPr>
          <w:i/>
        </w:rPr>
        <w:t>Stover v. The United Telephone Co. of Pennsylvania</w:t>
      </w:r>
      <w:r w:rsidRPr="00C86376">
        <w:t xml:space="preserve">, Docket No. C-00923833 (Order entered July 21, 1992); see also </w:t>
      </w:r>
      <w:r w:rsidRPr="00C86376">
        <w:rPr>
          <w:i/>
        </w:rPr>
        <w:t>Nicastro v. Cuyler,</w:t>
      </w:r>
      <w:r w:rsidRPr="00C86376">
        <w:t xml:space="preserve"> 467 A.2d 1218 (Pa.Cmwlth. 1983); </w:t>
      </w:r>
      <w:r w:rsidRPr="00C86376">
        <w:rPr>
          <w:i/>
        </w:rPr>
        <w:t>Pennsylvania Gas &amp; Water Co. v. Nenna &amp; Frain, Inc.,</w:t>
      </w:r>
      <w:r w:rsidRPr="00C86376">
        <w:t xml:space="preserve"> 467 A.2d 330 </w:t>
      </w:r>
    </w:p>
    <w:p w:rsidR="00C86376" w:rsidRPr="00C86376" w:rsidRDefault="00C86376" w:rsidP="00C86376">
      <w:pPr>
        <w:tabs>
          <w:tab w:val="clear" w:pos="1440"/>
        </w:tabs>
        <w:autoSpaceDE w:val="0"/>
        <w:autoSpaceDN w:val="0"/>
        <w:spacing w:before="0" w:after="0"/>
      </w:pPr>
      <w:r w:rsidRPr="00C86376">
        <w:t xml:space="preserve">(Pa.Super. 1983); </w:t>
      </w:r>
      <w:r w:rsidRPr="00C86376">
        <w:rPr>
          <w:i/>
        </w:rPr>
        <w:t>Geriot v. Council of Borough of Darby</w:t>
      </w:r>
      <w:r w:rsidRPr="00C86376">
        <w:t>, 457 A.2d 202 (Pa.Cmwlth. 1983).</w:t>
      </w:r>
    </w:p>
    <w:p w:rsidR="00C86376" w:rsidRPr="00C86376" w:rsidRDefault="00C86376" w:rsidP="00E62F8E">
      <w:pPr>
        <w:tabs>
          <w:tab w:val="clear" w:pos="1440"/>
          <w:tab w:val="left" w:pos="0"/>
        </w:tabs>
        <w:spacing w:before="0" w:after="0"/>
      </w:pPr>
    </w:p>
    <w:p w:rsidR="00C92607" w:rsidRDefault="00C02B3D" w:rsidP="00C92607">
      <w:pPr>
        <w:tabs>
          <w:tab w:val="clear" w:pos="1440"/>
          <w:tab w:val="left" w:pos="-720"/>
        </w:tabs>
        <w:suppressAutoHyphens/>
        <w:spacing w:before="0" w:after="0"/>
        <w:rPr>
          <w:szCs w:val="24"/>
        </w:rPr>
      </w:pPr>
      <w:r>
        <w:rPr>
          <w:szCs w:val="24"/>
        </w:rPr>
        <w:tab/>
      </w:r>
      <w:r>
        <w:rPr>
          <w:szCs w:val="24"/>
        </w:rPr>
        <w:tab/>
      </w:r>
      <w:r w:rsidR="004C5F1E">
        <w:rPr>
          <w:szCs w:val="24"/>
        </w:rPr>
        <w:t>Turning to PGW’s Motion for Summary Judgment (MSJ), PGW asserts that Ms.</w:t>
      </w:r>
      <w:r w:rsidR="00EF692C">
        <w:t> </w:t>
      </w:r>
      <w:r w:rsidR="004C5F1E">
        <w:rPr>
          <w:szCs w:val="24"/>
        </w:rPr>
        <w:t>Slaughter</w:t>
      </w:r>
      <w:r w:rsidR="00F36C9B">
        <w:rPr>
          <w:szCs w:val="24"/>
        </w:rPr>
        <w:t>’s current Complaint</w:t>
      </w:r>
      <w:r w:rsidR="004C5F1E">
        <w:rPr>
          <w:szCs w:val="24"/>
        </w:rPr>
        <w:t xml:space="preserve"> raise</w:t>
      </w:r>
      <w:r w:rsidR="00F36C9B">
        <w:rPr>
          <w:szCs w:val="24"/>
        </w:rPr>
        <w:t>s</w:t>
      </w:r>
      <w:r w:rsidR="004C5F1E">
        <w:rPr>
          <w:szCs w:val="24"/>
        </w:rPr>
        <w:t xml:space="preserve"> the same facts and issues concerning service a</w:t>
      </w:r>
      <w:r w:rsidR="00FE5B94">
        <w:rPr>
          <w:szCs w:val="24"/>
        </w:rPr>
        <w:t>t</w:t>
      </w:r>
      <w:r w:rsidR="004C5F1E">
        <w:rPr>
          <w:szCs w:val="24"/>
        </w:rPr>
        <w:t xml:space="preserve"> </w:t>
      </w:r>
      <w:r w:rsidR="00FE719D">
        <w:rPr>
          <w:szCs w:val="24"/>
        </w:rPr>
        <w:br w:type="textWrapping" w:clear="all"/>
      </w:r>
      <w:r w:rsidR="004C5F1E">
        <w:rPr>
          <w:szCs w:val="24"/>
        </w:rPr>
        <w:t xml:space="preserve">7039 </w:t>
      </w:r>
      <w:proofErr w:type="spellStart"/>
      <w:r w:rsidR="004C5F1E">
        <w:rPr>
          <w:szCs w:val="24"/>
        </w:rPr>
        <w:t>Ardliegh</w:t>
      </w:r>
      <w:proofErr w:type="spellEnd"/>
      <w:r w:rsidR="004C5F1E">
        <w:rPr>
          <w:szCs w:val="24"/>
        </w:rPr>
        <w:t xml:space="preserve"> Street in her 2010 Complaint at </w:t>
      </w:r>
      <w:r w:rsidR="004C5F1E">
        <w:rPr>
          <w:rFonts w:eastAsiaTheme="minorHAnsi" w:cstheme="minorBidi"/>
          <w:szCs w:val="22"/>
        </w:rPr>
        <w:t xml:space="preserve">Docket No.  C-2010-2152309.  </w:t>
      </w:r>
      <w:r w:rsidR="00F36C9B">
        <w:rPr>
          <w:rFonts w:eastAsiaTheme="minorHAnsi" w:cstheme="minorBidi"/>
          <w:szCs w:val="22"/>
        </w:rPr>
        <w:t xml:space="preserve">PGW argues that the decision on Ms. Slaughter’s 2010 Complaint became final on July 20, 2011. </w:t>
      </w:r>
      <w:r w:rsidR="009A4B51">
        <w:rPr>
          <w:rFonts w:eastAsiaTheme="minorHAnsi" w:cstheme="minorBidi"/>
          <w:szCs w:val="22"/>
        </w:rPr>
        <w:t xml:space="preserve"> </w:t>
      </w:r>
      <w:r w:rsidR="00F36C9B">
        <w:rPr>
          <w:rFonts w:eastAsiaTheme="minorHAnsi" w:cstheme="minorBidi"/>
          <w:szCs w:val="22"/>
        </w:rPr>
        <w:t xml:space="preserve">Thus PGW </w:t>
      </w:r>
      <w:r w:rsidR="009A4B51">
        <w:rPr>
          <w:rFonts w:eastAsiaTheme="minorHAnsi" w:cstheme="minorBidi"/>
          <w:szCs w:val="22"/>
        </w:rPr>
        <w:t xml:space="preserve">submits Ms. Slaughter </w:t>
      </w:r>
      <w:r w:rsidR="00730900">
        <w:rPr>
          <w:rFonts w:eastAsiaTheme="minorHAnsi" w:cstheme="minorBidi"/>
          <w:szCs w:val="22"/>
        </w:rPr>
        <w:t xml:space="preserve">is </w:t>
      </w:r>
      <w:r w:rsidR="009A4B51">
        <w:rPr>
          <w:rFonts w:eastAsiaTheme="minorHAnsi" w:cstheme="minorBidi"/>
          <w:szCs w:val="22"/>
        </w:rPr>
        <w:t>precluded from re-litigating the same fact and issues, under Section 613</w:t>
      </w:r>
      <w:r w:rsidR="00C92607">
        <w:rPr>
          <w:rFonts w:eastAsiaTheme="minorHAnsi" w:cstheme="minorBidi"/>
          <w:szCs w:val="22"/>
        </w:rPr>
        <w:t xml:space="preserve"> </w:t>
      </w:r>
      <w:r w:rsidR="009A4B51">
        <w:rPr>
          <w:rFonts w:eastAsiaTheme="minorHAnsi" w:cstheme="minorBidi"/>
          <w:szCs w:val="22"/>
        </w:rPr>
        <w:t xml:space="preserve">of the Code, 66 Pa.C.S. </w:t>
      </w:r>
      <w:r w:rsidR="009A4B51">
        <w:rPr>
          <w:rFonts w:eastAsiaTheme="minorHAnsi"/>
          <w:szCs w:val="22"/>
        </w:rPr>
        <w:t>§ 613, and the doctrine of res judicita</w:t>
      </w:r>
      <w:r w:rsidR="00C92607">
        <w:rPr>
          <w:rFonts w:eastAsiaTheme="minorHAnsi"/>
          <w:szCs w:val="22"/>
        </w:rPr>
        <w:t xml:space="preserve">.  </w:t>
      </w:r>
      <w:r w:rsidR="00C92607" w:rsidRPr="00C92607">
        <w:rPr>
          <w:szCs w:val="24"/>
        </w:rPr>
        <w:t xml:space="preserve">Res judicata, which is also known as claim preclusion, holds that a final judgment on the merits by a court of competent jurisdiction will bar any future action on the same cause of action between the parties and their privies.  </w:t>
      </w:r>
      <w:r w:rsidR="00C92607" w:rsidRPr="00C92607">
        <w:rPr>
          <w:i/>
          <w:szCs w:val="24"/>
        </w:rPr>
        <w:t>Hopewell Estates, Inc. v. Kent</w:t>
      </w:r>
      <w:r w:rsidR="00C92607" w:rsidRPr="00C92607">
        <w:rPr>
          <w:szCs w:val="24"/>
        </w:rPr>
        <w:t>, 646 A.2d 1192 (Pa.Super. 1994</w:t>
      </w:r>
      <w:r w:rsidR="002A6569">
        <w:rPr>
          <w:szCs w:val="24"/>
        </w:rPr>
        <w:t>).</w:t>
      </w:r>
    </w:p>
    <w:p w:rsidR="002A6569" w:rsidRDefault="002A6569" w:rsidP="00C92607">
      <w:pPr>
        <w:tabs>
          <w:tab w:val="clear" w:pos="1440"/>
          <w:tab w:val="left" w:pos="-720"/>
        </w:tabs>
        <w:suppressAutoHyphens/>
        <w:spacing w:before="0" w:after="0"/>
        <w:rPr>
          <w:szCs w:val="24"/>
        </w:rPr>
      </w:pPr>
    </w:p>
    <w:p w:rsidR="002A6569" w:rsidRDefault="002A6569" w:rsidP="002A6569">
      <w:pPr>
        <w:spacing w:before="0" w:after="0"/>
        <w:ind w:firstLine="1440"/>
      </w:pPr>
      <w:r>
        <w:t xml:space="preserve">In order for the doctrine of </w:t>
      </w:r>
      <w:r>
        <w:rPr>
          <w:i/>
        </w:rPr>
        <w:t>res judicata</w:t>
      </w:r>
      <w:r>
        <w:t xml:space="preserve"> to bar a subsequent claim, several factors must be met:</w:t>
      </w:r>
    </w:p>
    <w:p w:rsidR="002A6569" w:rsidRDefault="002A6569" w:rsidP="002A6569">
      <w:pPr>
        <w:pStyle w:val="IndentedQuote"/>
        <w:ind w:left="1440" w:right="1350"/>
      </w:pPr>
      <w:r>
        <w:lastRenderedPageBreak/>
        <w:t xml:space="preserve">The doctrine of </w:t>
      </w:r>
      <w:r>
        <w:rPr>
          <w:i/>
        </w:rPr>
        <w:t>res judicata</w:t>
      </w:r>
      <w: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 identity of causes of action, (3) identity of persons and parties to the action, and (4) identity of the quality or capacity of the parties suing or sued.</w:t>
      </w:r>
      <w:r>
        <w:rPr>
          <w:rStyle w:val="FootnoteReference"/>
        </w:rPr>
        <w:footnoteReference w:id="8"/>
      </w:r>
    </w:p>
    <w:p w:rsidR="00C92607" w:rsidRDefault="00C92607" w:rsidP="008C29EA">
      <w:pPr>
        <w:tabs>
          <w:tab w:val="clear" w:pos="1440"/>
          <w:tab w:val="left" w:pos="-720"/>
        </w:tabs>
        <w:suppressAutoHyphens/>
        <w:spacing w:before="0" w:after="0"/>
        <w:rPr>
          <w:rFonts w:eastAsiaTheme="minorHAnsi"/>
          <w:szCs w:val="22"/>
        </w:rPr>
      </w:pPr>
    </w:p>
    <w:p w:rsidR="004C5F1E" w:rsidRDefault="00C92607" w:rsidP="008C29EA">
      <w:pPr>
        <w:tabs>
          <w:tab w:val="clear" w:pos="1440"/>
          <w:tab w:val="left" w:pos="-720"/>
        </w:tabs>
        <w:suppressAutoHyphens/>
        <w:spacing w:before="0" w:after="0"/>
        <w:rPr>
          <w:rFonts w:eastAsiaTheme="minorHAnsi" w:cstheme="minorBidi"/>
          <w:szCs w:val="22"/>
        </w:rPr>
      </w:pPr>
      <w:r>
        <w:rPr>
          <w:rFonts w:eastAsiaTheme="minorHAnsi"/>
          <w:szCs w:val="22"/>
        </w:rPr>
        <w:tab/>
      </w:r>
      <w:r>
        <w:rPr>
          <w:rFonts w:eastAsiaTheme="minorHAnsi"/>
          <w:szCs w:val="22"/>
        </w:rPr>
        <w:tab/>
      </w:r>
      <w:r w:rsidR="005F0006">
        <w:rPr>
          <w:rFonts w:eastAsiaTheme="minorHAnsi"/>
          <w:szCs w:val="22"/>
        </w:rPr>
        <w:t xml:space="preserve">In the present case, </w:t>
      </w:r>
      <w:r w:rsidR="004C5F1E">
        <w:rPr>
          <w:rFonts w:eastAsiaTheme="minorHAnsi" w:cstheme="minorBidi"/>
          <w:szCs w:val="22"/>
        </w:rPr>
        <w:t>PGW attached a copy of Ms. Slaughter’</w:t>
      </w:r>
      <w:r w:rsidR="00DD4D17">
        <w:rPr>
          <w:rFonts w:eastAsiaTheme="minorHAnsi" w:cstheme="minorBidi"/>
          <w:szCs w:val="22"/>
        </w:rPr>
        <w:t>s 2010 Complaint to its MSJ.  In her 2010 Complaint, Ms. Slaughter alleged that her complaint involved utility services at 7039 Ardleigh Street, Philadelphia, Pennsylv</w:t>
      </w:r>
      <w:r w:rsidR="00C02B3D">
        <w:rPr>
          <w:rFonts w:eastAsiaTheme="minorHAnsi" w:cstheme="minorBidi"/>
          <w:szCs w:val="22"/>
        </w:rPr>
        <w:t>a</w:t>
      </w:r>
      <w:r w:rsidR="00DD4D17">
        <w:rPr>
          <w:rFonts w:eastAsiaTheme="minorHAnsi" w:cstheme="minorBidi"/>
          <w:szCs w:val="22"/>
        </w:rPr>
        <w:t>nia 19119.  She further alleged</w:t>
      </w:r>
      <w:r w:rsidR="00C02B3D">
        <w:rPr>
          <w:rFonts w:eastAsiaTheme="minorHAnsi" w:cstheme="minorBidi"/>
          <w:szCs w:val="22"/>
        </w:rPr>
        <w:t xml:space="preserve"> in relevant part</w:t>
      </w:r>
      <w:r w:rsidR="00DD4D17">
        <w:rPr>
          <w:rFonts w:eastAsiaTheme="minorHAnsi" w:cstheme="minorBidi"/>
          <w:szCs w:val="22"/>
        </w:rPr>
        <w:t xml:space="preserve"> </w:t>
      </w:r>
      <w:r w:rsidR="00C02B3D">
        <w:rPr>
          <w:rFonts w:eastAsiaTheme="minorHAnsi" w:cstheme="minorBidi"/>
          <w:szCs w:val="22"/>
        </w:rPr>
        <w:t xml:space="preserve">as </w:t>
      </w:r>
      <w:r w:rsidR="00DD4D17">
        <w:rPr>
          <w:rFonts w:eastAsiaTheme="minorHAnsi" w:cstheme="minorBidi"/>
          <w:szCs w:val="22"/>
        </w:rPr>
        <w:t>follow</w:t>
      </w:r>
      <w:r w:rsidR="00C02B3D">
        <w:rPr>
          <w:rFonts w:eastAsiaTheme="minorHAnsi" w:cstheme="minorBidi"/>
          <w:szCs w:val="22"/>
        </w:rPr>
        <w:t>s</w:t>
      </w:r>
      <w:r w:rsidR="00DD4D17">
        <w:rPr>
          <w:rFonts w:eastAsiaTheme="minorHAnsi" w:cstheme="minorBidi"/>
          <w:szCs w:val="22"/>
        </w:rPr>
        <w:t>:</w:t>
      </w:r>
    </w:p>
    <w:p w:rsidR="00DD4D17" w:rsidRDefault="00DD4D17" w:rsidP="008C29EA">
      <w:pPr>
        <w:tabs>
          <w:tab w:val="clear" w:pos="1440"/>
          <w:tab w:val="left" w:pos="-720"/>
        </w:tabs>
        <w:suppressAutoHyphens/>
        <w:spacing w:before="0" w:after="0"/>
        <w:rPr>
          <w:rFonts w:eastAsiaTheme="minorHAnsi" w:cstheme="minorBidi"/>
          <w:szCs w:val="22"/>
        </w:rPr>
      </w:pP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 xml:space="preserve">4.  </w:t>
      </w:r>
      <w:r>
        <w:rPr>
          <w:rFonts w:eastAsiaTheme="minorHAnsi" w:cstheme="minorBidi"/>
          <w:szCs w:val="22"/>
        </w:rPr>
        <w:tab/>
        <w:t>COMPLAINT</w:t>
      </w: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p>
    <w:p w:rsidR="00C02B3D" w:rsidRDefault="00DD4D17" w:rsidP="00DD4D17">
      <w:pPr>
        <w:tabs>
          <w:tab w:val="clear" w:pos="1440"/>
          <w:tab w:val="left" w:pos="-720"/>
        </w:tabs>
        <w:suppressAutoHyphens/>
        <w:spacing w:before="0" w:after="0" w:line="240" w:lineRule="auto"/>
        <w:ind w:left="1440" w:right="1080"/>
        <w:rPr>
          <w:rFonts w:eastAsiaTheme="minorHAnsi" w:cstheme="minorBidi"/>
          <w:b/>
          <w:szCs w:val="22"/>
        </w:rPr>
      </w:pPr>
      <w:r>
        <w:rPr>
          <w:rFonts w:eastAsiaTheme="minorHAnsi" w:cstheme="minorBidi"/>
          <w:szCs w:val="22"/>
        </w:rPr>
        <w:tab/>
        <w:t>A.</w:t>
      </w:r>
      <w:r>
        <w:rPr>
          <w:rFonts w:eastAsiaTheme="minorHAnsi" w:cstheme="minorBidi"/>
          <w:szCs w:val="22"/>
        </w:rPr>
        <w:tab/>
      </w:r>
      <w:r w:rsidR="00C02B3D">
        <w:rPr>
          <w:rFonts w:eastAsiaTheme="minorHAnsi" w:cstheme="minorBidi"/>
          <w:b/>
          <w:szCs w:val="22"/>
        </w:rPr>
        <w:t>In general, which is your complaint?</w:t>
      </w:r>
    </w:p>
    <w:p w:rsidR="00C02B3D" w:rsidRPr="00C02B3D" w:rsidRDefault="00C02B3D" w:rsidP="00DD4D17">
      <w:pPr>
        <w:tabs>
          <w:tab w:val="clear" w:pos="1440"/>
          <w:tab w:val="left" w:pos="-720"/>
        </w:tabs>
        <w:suppressAutoHyphens/>
        <w:spacing w:before="0" w:after="0" w:line="240" w:lineRule="auto"/>
        <w:ind w:left="1440" w:right="1080"/>
        <w:rPr>
          <w:rFonts w:eastAsiaTheme="minorHAnsi" w:cstheme="minorBidi"/>
          <w:b/>
          <w:szCs w:val="22"/>
        </w:rPr>
      </w:pPr>
    </w:p>
    <w:p w:rsidR="00DD4D17" w:rsidRDefault="00C02B3D"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ab/>
      </w:r>
      <w:r w:rsidR="00DD4D17">
        <w:rPr>
          <w:rFonts w:eastAsiaTheme="minorHAnsi" w:cstheme="minorBidi"/>
          <w:szCs w:val="22"/>
        </w:rPr>
        <w:t>There are incorrect charges on my bill.</w:t>
      </w: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p>
    <w:p w:rsidR="00C02B3D" w:rsidRPr="00C02B3D" w:rsidRDefault="00DD4D17" w:rsidP="00DD4D17">
      <w:pPr>
        <w:tabs>
          <w:tab w:val="clear" w:pos="1440"/>
          <w:tab w:val="left" w:pos="-720"/>
        </w:tabs>
        <w:suppressAutoHyphens/>
        <w:spacing w:before="0" w:after="0" w:line="240" w:lineRule="auto"/>
        <w:ind w:left="1440" w:right="1080"/>
        <w:rPr>
          <w:rFonts w:eastAsiaTheme="minorHAnsi" w:cstheme="minorBidi"/>
          <w:b/>
          <w:szCs w:val="22"/>
        </w:rPr>
      </w:pPr>
      <w:r>
        <w:rPr>
          <w:rFonts w:eastAsiaTheme="minorHAnsi" w:cstheme="minorBidi"/>
          <w:szCs w:val="22"/>
        </w:rPr>
        <w:tab/>
        <w:t>B.</w:t>
      </w:r>
      <w:r>
        <w:rPr>
          <w:rFonts w:eastAsiaTheme="minorHAnsi" w:cstheme="minorBidi"/>
          <w:szCs w:val="22"/>
        </w:rPr>
        <w:tab/>
      </w:r>
      <w:r w:rsidR="00C02B3D">
        <w:rPr>
          <w:rFonts w:eastAsiaTheme="minorHAnsi" w:cstheme="minorBidi"/>
          <w:b/>
          <w:szCs w:val="22"/>
        </w:rPr>
        <w:t>State of the facts of your complaint.</w:t>
      </w:r>
    </w:p>
    <w:p w:rsidR="00C02B3D" w:rsidRDefault="00C02B3D" w:rsidP="00DD4D17">
      <w:pPr>
        <w:tabs>
          <w:tab w:val="clear" w:pos="1440"/>
          <w:tab w:val="left" w:pos="-720"/>
        </w:tabs>
        <w:suppressAutoHyphens/>
        <w:spacing w:before="0" w:after="0" w:line="240" w:lineRule="auto"/>
        <w:ind w:left="1440" w:right="1080"/>
        <w:rPr>
          <w:rFonts w:eastAsiaTheme="minorHAnsi" w:cstheme="minorBidi"/>
          <w:szCs w:val="22"/>
        </w:rPr>
      </w:pPr>
    </w:p>
    <w:p w:rsidR="00DD4D17" w:rsidRDefault="00C02B3D"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ab/>
      </w:r>
      <w:r w:rsidR="00DD4D17">
        <w:rPr>
          <w:rFonts w:eastAsiaTheme="minorHAnsi" w:cstheme="minorBidi"/>
          <w:szCs w:val="22"/>
        </w:rPr>
        <w:t>I was no longer living in the property after 9/26/2006.</w:t>
      </w: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ab/>
        <w:t xml:space="preserve">Prior to that date, I contacted all the utility companies and </w:t>
      </w:r>
      <w:r>
        <w:rPr>
          <w:rFonts w:eastAsiaTheme="minorHAnsi" w:cstheme="minorBidi"/>
          <w:szCs w:val="22"/>
        </w:rPr>
        <w:tab/>
        <w:t>requested shut off.  Your rep. Linda Gagnon tol</w:t>
      </w:r>
      <w:r w:rsidR="000B44B3">
        <w:rPr>
          <w:rFonts w:eastAsiaTheme="minorHAnsi" w:cstheme="minorBidi"/>
          <w:szCs w:val="22"/>
        </w:rPr>
        <w:t>d</w:t>
      </w:r>
      <w:r>
        <w:rPr>
          <w:rFonts w:eastAsiaTheme="minorHAnsi" w:cstheme="minorBidi"/>
          <w:szCs w:val="22"/>
        </w:rPr>
        <w:t xml:space="preserve"> me she spoke </w:t>
      </w:r>
      <w:r>
        <w:rPr>
          <w:rFonts w:eastAsiaTheme="minorHAnsi" w:cstheme="minorBidi"/>
          <w:szCs w:val="22"/>
        </w:rPr>
        <w:tab/>
        <w:t xml:space="preserve">with someone who verified that I contacted the </w:t>
      </w:r>
      <w:r w:rsidR="00C02B3D">
        <w:rPr>
          <w:rFonts w:eastAsiaTheme="minorHAnsi" w:cstheme="minorBidi"/>
          <w:szCs w:val="22"/>
        </w:rPr>
        <w:t xml:space="preserve">other </w:t>
      </w:r>
      <w:r>
        <w:rPr>
          <w:rFonts w:eastAsiaTheme="minorHAnsi" w:cstheme="minorBidi"/>
          <w:szCs w:val="22"/>
        </w:rPr>
        <w:t xml:space="preserve">ones for </w:t>
      </w:r>
      <w:r w:rsidR="00C02B3D">
        <w:rPr>
          <w:rFonts w:eastAsiaTheme="minorHAnsi" w:cstheme="minorBidi"/>
          <w:szCs w:val="22"/>
        </w:rPr>
        <w:tab/>
      </w:r>
      <w:r>
        <w:rPr>
          <w:rFonts w:eastAsiaTheme="minorHAnsi" w:cstheme="minorBidi"/>
          <w:szCs w:val="22"/>
        </w:rPr>
        <w:t>shut off.</w:t>
      </w:r>
      <w:r w:rsidR="00C02B3D">
        <w:rPr>
          <w:rFonts w:eastAsiaTheme="minorHAnsi" w:cstheme="minorBidi"/>
          <w:szCs w:val="22"/>
        </w:rPr>
        <w:t xml:space="preserve">  . . . .</w:t>
      </w:r>
    </w:p>
    <w:p w:rsidR="00C02B3D" w:rsidRDefault="00C02B3D" w:rsidP="00DD4D17">
      <w:pPr>
        <w:tabs>
          <w:tab w:val="clear" w:pos="1440"/>
          <w:tab w:val="left" w:pos="-720"/>
        </w:tabs>
        <w:suppressAutoHyphens/>
        <w:spacing w:before="0" w:after="0" w:line="240" w:lineRule="auto"/>
        <w:ind w:left="1440" w:right="1080"/>
        <w:rPr>
          <w:rFonts w:eastAsiaTheme="minorHAnsi" w:cstheme="minorBidi"/>
          <w:szCs w:val="22"/>
        </w:rPr>
      </w:pPr>
    </w:p>
    <w:p w:rsidR="00C02B3D" w:rsidRDefault="00C02B3D"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5.</w:t>
      </w:r>
      <w:r>
        <w:rPr>
          <w:rFonts w:eastAsiaTheme="minorHAnsi" w:cstheme="minorBidi"/>
          <w:szCs w:val="22"/>
        </w:rPr>
        <w:tab/>
        <w:t>RELIEF</w:t>
      </w: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p>
    <w:p w:rsidR="00DD4D17" w:rsidRDefault="00DD4D17"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ab/>
      </w:r>
      <w:r w:rsidR="00C02B3D">
        <w:rPr>
          <w:rFonts w:eastAsiaTheme="minorHAnsi" w:cstheme="minorBidi"/>
          <w:szCs w:val="22"/>
        </w:rPr>
        <w:t>How do you want your complaint to be resolved?</w:t>
      </w:r>
    </w:p>
    <w:p w:rsidR="00C02B3D" w:rsidRDefault="00C02B3D" w:rsidP="00DD4D17">
      <w:pPr>
        <w:tabs>
          <w:tab w:val="clear" w:pos="1440"/>
          <w:tab w:val="left" w:pos="-720"/>
        </w:tabs>
        <w:suppressAutoHyphens/>
        <w:spacing w:before="0" w:after="0" w:line="240" w:lineRule="auto"/>
        <w:ind w:left="1440" w:right="1080"/>
        <w:rPr>
          <w:rFonts w:eastAsiaTheme="minorHAnsi" w:cstheme="minorBidi"/>
          <w:szCs w:val="22"/>
        </w:rPr>
      </w:pPr>
    </w:p>
    <w:p w:rsidR="00C02B3D" w:rsidRDefault="00C02B3D" w:rsidP="00DD4D17">
      <w:pPr>
        <w:tabs>
          <w:tab w:val="clear" w:pos="1440"/>
          <w:tab w:val="left" w:pos="-720"/>
        </w:tabs>
        <w:suppressAutoHyphens/>
        <w:spacing w:before="0" w:after="0" w:line="240" w:lineRule="auto"/>
        <w:ind w:left="1440" w:right="1080"/>
        <w:rPr>
          <w:rFonts w:eastAsiaTheme="minorHAnsi" w:cstheme="minorBidi"/>
          <w:szCs w:val="22"/>
        </w:rPr>
      </w:pPr>
      <w:r>
        <w:rPr>
          <w:rFonts w:eastAsiaTheme="minorHAnsi" w:cstheme="minorBidi"/>
          <w:szCs w:val="22"/>
        </w:rPr>
        <w:tab/>
        <w:t xml:space="preserve">To make the person who falsely used by </w:t>
      </w:r>
      <w:r w:rsidR="005F0006">
        <w:rPr>
          <w:rFonts w:eastAsiaTheme="minorHAnsi" w:cstheme="minorBidi"/>
          <w:szCs w:val="22"/>
        </w:rPr>
        <w:t>name</w:t>
      </w:r>
      <w:r>
        <w:rPr>
          <w:rFonts w:eastAsiaTheme="minorHAnsi" w:cstheme="minorBidi"/>
          <w:szCs w:val="22"/>
        </w:rPr>
        <w:t xml:space="preserve"> and gas account </w:t>
      </w:r>
      <w:r w:rsidR="00235B57">
        <w:rPr>
          <w:rFonts w:eastAsiaTheme="minorHAnsi" w:cstheme="minorBidi"/>
          <w:szCs w:val="22"/>
        </w:rPr>
        <w:tab/>
      </w:r>
      <w:r>
        <w:rPr>
          <w:rFonts w:eastAsiaTheme="minorHAnsi" w:cstheme="minorBidi"/>
          <w:szCs w:val="22"/>
        </w:rPr>
        <w:t xml:space="preserve">fraudulently pay the bill because I called the gas company </w:t>
      </w:r>
      <w:r w:rsidR="00235B57">
        <w:rPr>
          <w:rFonts w:eastAsiaTheme="minorHAnsi" w:cstheme="minorBidi"/>
          <w:szCs w:val="22"/>
        </w:rPr>
        <w:tab/>
      </w:r>
      <w:r>
        <w:rPr>
          <w:rFonts w:eastAsiaTheme="minorHAnsi" w:cstheme="minorBidi"/>
          <w:szCs w:val="22"/>
        </w:rPr>
        <w:t xml:space="preserve">however, the gas company did not complete my request. </w:t>
      </w:r>
      <w:r w:rsidR="00235B57">
        <w:rPr>
          <w:rFonts w:eastAsiaTheme="minorHAnsi" w:cstheme="minorBidi"/>
          <w:szCs w:val="22"/>
        </w:rPr>
        <w:t xml:space="preserve">This is </w:t>
      </w:r>
      <w:r w:rsidR="00235B57">
        <w:rPr>
          <w:rFonts w:eastAsiaTheme="minorHAnsi" w:cstheme="minorBidi"/>
          <w:szCs w:val="22"/>
        </w:rPr>
        <w:tab/>
        <w:t>not my fault.</w:t>
      </w:r>
    </w:p>
    <w:p w:rsidR="00812161" w:rsidRDefault="00812161" w:rsidP="00812161">
      <w:pPr>
        <w:tabs>
          <w:tab w:val="clear" w:pos="1440"/>
          <w:tab w:val="left" w:pos="-720"/>
        </w:tabs>
        <w:suppressAutoHyphens/>
        <w:spacing w:before="0" w:after="0"/>
        <w:ind w:left="1440" w:right="1080"/>
        <w:rPr>
          <w:rFonts w:eastAsiaTheme="minorHAnsi" w:cstheme="minorBidi"/>
          <w:szCs w:val="22"/>
        </w:rPr>
      </w:pPr>
    </w:p>
    <w:p w:rsidR="00DD4D17" w:rsidRDefault="00091765" w:rsidP="00B31333">
      <w:pPr>
        <w:tabs>
          <w:tab w:val="clear" w:pos="1440"/>
          <w:tab w:val="left" w:pos="-720"/>
        </w:tabs>
        <w:suppressAutoHyphens/>
        <w:spacing w:before="0" w:after="0"/>
        <w:rPr>
          <w:rFonts w:eastAsiaTheme="minorHAnsi" w:cstheme="minorBidi"/>
          <w:szCs w:val="22"/>
        </w:rPr>
      </w:pPr>
      <w:r>
        <w:rPr>
          <w:rFonts w:eastAsiaTheme="minorHAnsi" w:cstheme="minorBidi"/>
          <w:szCs w:val="22"/>
        </w:rPr>
        <w:tab/>
      </w:r>
      <w:r>
        <w:rPr>
          <w:rFonts w:eastAsiaTheme="minorHAnsi" w:cstheme="minorBidi"/>
          <w:szCs w:val="22"/>
        </w:rPr>
        <w:tab/>
        <w:t xml:space="preserve">PGW also attached to the Administrative Law Judge’s (ALJ) May 18, 2011 Initial Decision to the MSJ.  The Initial Decision simply states Ms. Slaughter alleged a billing dispute, and PGW denied the material allegations of the complaint. </w:t>
      </w:r>
    </w:p>
    <w:p w:rsidR="00C71A0D" w:rsidRDefault="00DD4D17" w:rsidP="00B31333">
      <w:pPr>
        <w:tabs>
          <w:tab w:val="clear" w:pos="1440"/>
          <w:tab w:val="left" w:pos="-720"/>
        </w:tabs>
        <w:suppressAutoHyphens/>
        <w:spacing w:before="0" w:after="0"/>
        <w:rPr>
          <w:rFonts w:eastAsiaTheme="minorHAnsi" w:cstheme="minorBidi"/>
          <w:szCs w:val="22"/>
        </w:rPr>
      </w:pPr>
      <w:r>
        <w:rPr>
          <w:rFonts w:eastAsiaTheme="minorHAnsi" w:cstheme="minorBidi"/>
          <w:szCs w:val="22"/>
        </w:rPr>
        <w:lastRenderedPageBreak/>
        <w:tab/>
      </w:r>
      <w:r>
        <w:rPr>
          <w:rFonts w:eastAsiaTheme="minorHAnsi" w:cstheme="minorBidi"/>
          <w:szCs w:val="22"/>
        </w:rPr>
        <w:tab/>
      </w:r>
      <w:r w:rsidR="005F0006">
        <w:rPr>
          <w:rFonts w:eastAsiaTheme="minorHAnsi" w:cstheme="minorBidi"/>
          <w:szCs w:val="22"/>
        </w:rPr>
        <w:t xml:space="preserve">In her current Complaint, Ms. Slaughter alleges 1) she left 7039 Ardleigh Street in 2008; 2) she contacted PGW to shut-off service; 3) PGW failed to terminate service; </w:t>
      </w:r>
      <w:r w:rsidR="003A6B74">
        <w:rPr>
          <w:rFonts w:eastAsiaTheme="minorHAnsi" w:cstheme="minorBidi"/>
          <w:szCs w:val="22"/>
        </w:rPr>
        <w:t>4) she wants an adjustment or credit on her bill for PGW’s failure to terminate service at 7039 Ardleigh Street when she requested Respondent to do so in 2008.  Thus, the allegations in Ms. Slaughter’s current Complaint are similar to the allegations in her 2010 Complaint.</w:t>
      </w:r>
      <w:r w:rsidR="00812161">
        <w:rPr>
          <w:rFonts w:eastAsiaTheme="minorHAnsi" w:cstheme="minorBidi"/>
          <w:szCs w:val="22"/>
        </w:rPr>
        <w:t xml:space="preserve"> </w:t>
      </w:r>
      <w:r w:rsidR="003A6B74">
        <w:rPr>
          <w:rFonts w:eastAsiaTheme="minorHAnsi" w:cstheme="minorBidi"/>
          <w:szCs w:val="22"/>
        </w:rPr>
        <w:t xml:space="preserve"> However Ms.</w:t>
      </w:r>
      <w:r w:rsidR="00812161">
        <w:rPr>
          <w:rFonts w:eastAsiaTheme="minorHAnsi" w:cstheme="minorBidi"/>
          <w:szCs w:val="22"/>
        </w:rPr>
        <w:t> </w:t>
      </w:r>
      <w:r w:rsidR="003A6B74">
        <w:rPr>
          <w:rFonts w:eastAsiaTheme="minorHAnsi" w:cstheme="minorBidi"/>
          <w:szCs w:val="22"/>
        </w:rPr>
        <w:t>Slaughter’s current Complaint raises an additional issue, which is not found in her 2010 Complaint.  Ms.</w:t>
      </w:r>
      <w:r w:rsidR="00EF692C">
        <w:rPr>
          <w:rFonts w:eastAsiaTheme="minorHAnsi" w:cstheme="minorBidi"/>
          <w:szCs w:val="22"/>
        </w:rPr>
        <w:t> </w:t>
      </w:r>
      <w:r w:rsidR="003A6B74">
        <w:rPr>
          <w:rFonts w:eastAsiaTheme="minorHAnsi" w:cstheme="minorBidi"/>
          <w:szCs w:val="22"/>
        </w:rPr>
        <w:t>Slaughter alleges PGW is threatening to shut off her service or already shut off her service at the Service Address, i.e., 3745 N. 16h Street, 2</w:t>
      </w:r>
      <w:r w:rsidR="003A6B74" w:rsidRPr="003A6B74">
        <w:rPr>
          <w:rFonts w:eastAsiaTheme="minorHAnsi" w:cstheme="minorBidi"/>
          <w:szCs w:val="22"/>
          <w:vertAlign w:val="superscript"/>
        </w:rPr>
        <w:t>nd</w:t>
      </w:r>
      <w:r w:rsidR="003A6B74">
        <w:rPr>
          <w:rFonts w:eastAsiaTheme="minorHAnsi" w:cstheme="minorBidi"/>
          <w:szCs w:val="22"/>
        </w:rPr>
        <w:t xml:space="preserve"> Floor, Philadelphia, Pennsylvania 19140.  </w:t>
      </w:r>
      <w:r w:rsidR="00C71A0D">
        <w:rPr>
          <w:rFonts w:eastAsiaTheme="minorHAnsi" w:cstheme="minorBidi"/>
          <w:szCs w:val="22"/>
        </w:rPr>
        <w:t>The termination allegations raised in her current Complaint are separate and distinct from the allegations of her 2010 Complaint. Thus the doctrine of res judicata does not apply to the current proceeding and cannot be the bases for granting a PGW’s MSJ.</w:t>
      </w:r>
    </w:p>
    <w:p w:rsidR="00C71A0D" w:rsidRDefault="00C71A0D" w:rsidP="00B31333">
      <w:pPr>
        <w:tabs>
          <w:tab w:val="clear" w:pos="1440"/>
          <w:tab w:val="left" w:pos="-720"/>
        </w:tabs>
        <w:suppressAutoHyphens/>
        <w:spacing w:before="0" w:after="0"/>
        <w:rPr>
          <w:rFonts w:eastAsiaTheme="minorHAnsi" w:cstheme="minorBidi"/>
          <w:szCs w:val="22"/>
        </w:rPr>
      </w:pPr>
    </w:p>
    <w:p w:rsidR="00222323" w:rsidRDefault="00C71A0D" w:rsidP="00B31333">
      <w:pPr>
        <w:tabs>
          <w:tab w:val="clear" w:pos="1440"/>
          <w:tab w:val="left" w:pos="-720"/>
        </w:tabs>
        <w:suppressAutoHyphens/>
        <w:spacing w:before="0" w:after="0"/>
      </w:pPr>
      <w:r>
        <w:rPr>
          <w:rFonts w:eastAsiaTheme="minorHAnsi" w:cstheme="minorBidi"/>
          <w:szCs w:val="22"/>
        </w:rPr>
        <w:tab/>
      </w:r>
      <w:r>
        <w:rPr>
          <w:rFonts w:eastAsiaTheme="minorHAnsi" w:cstheme="minorBidi"/>
          <w:szCs w:val="22"/>
        </w:rPr>
        <w:tab/>
        <w:t>Furthermore t</w:t>
      </w:r>
      <w:r w:rsidR="00C16FF1">
        <w:t xml:space="preserve">here are </w:t>
      </w:r>
      <w:r>
        <w:t xml:space="preserve">factual </w:t>
      </w:r>
      <w:r w:rsidR="00C16FF1">
        <w:t xml:space="preserve">issues surrounding her current Complaint that cannot be resolved through PGW’s MSJ.  There </w:t>
      </w:r>
      <w:r w:rsidR="006627B3">
        <w:t>are</w:t>
      </w:r>
      <w:r w:rsidR="00C16FF1">
        <w:t xml:space="preserve"> question of facts</w:t>
      </w:r>
      <w:r w:rsidR="003C44E4">
        <w:t xml:space="preserve"> concerning Ms. Slaughter’s service termination allegations.</w:t>
      </w:r>
      <w:r w:rsidR="00812161">
        <w:t xml:space="preserve">  </w:t>
      </w:r>
      <w:r w:rsidR="003C44E4">
        <w:t xml:space="preserve">For example, did PGW follow the Commission’s regulations in notifying Ms. Slaughter of an impending </w:t>
      </w:r>
      <w:r w:rsidR="006627B3">
        <w:t xml:space="preserve">gas </w:t>
      </w:r>
      <w:r w:rsidR="003C44E4">
        <w:t>service termination</w:t>
      </w:r>
      <w:r w:rsidR="006627B3">
        <w:t>?</w:t>
      </w:r>
      <w:r w:rsidR="00AA29E9">
        <w:rPr>
          <w:rStyle w:val="FootnoteReference"/>
        </w:rPr>
        <w:footnoteReference w:id="9"/>
      </w:r>
      <w:r w:rsidR="00AE078E">
        <w:t xml:space="preserve"> </w:t>
      </w:r>
      <w:r w:rsidR="003C44E4">
        <w:t xml:space="preserve"> </w:t>
      </w:r>
      <w:r w:rsidR="006627B3">
        <w:t>If service was terminated, did PGW properly follow gas termination procedures?</w:t>
      </w:r>
      <w:r w:rsidR="00AA29E9">
        <w:rPr>
          <w:rStyle w:val="FootnoteReference"/>
        </w:rPr>
        <w:footnoteReference w:id="10"/>
      </w:r>
      <w:r w:rsidR="006627B3">
        <w:t xml:space="preserve">  </w:t>
      </w:r>
      <w:r w:rsidR="00812161">
        <w:t>H</w:t>
      </w:r>
      <w:r w:rsidR="00AE078E">
        <w:t>ere is a question of fact as to the amount of the bill adjustment that Ms. Slaughter is requesting.  Ms. Slaughter alleges she left 7039 Ardleigh Street in 2008, but according to Ms. Slaughter, PGW neve</w:t>
      </w:r>
      <w:r w:rsidR="00AA29E9">
        <w:t>r</w:t>
      </w:r>
      <w:r w:rsidR="00AE078E">
        <w:t xml:space="preserve"> shut off service, an</w:t>
      </w:r>
      <w:r w:rsidR="00AA29E9">
        <w:t>d</w:t>
      </w:r>
      <w:r w:rsidR="00AE078E">
        <w:t xml:space="preserve"> whoever purchased the property was using electric under my name.  </w:t>
      </w:r>
      <w:r w:rsidR="00222323">
        <w:t xml:space="preserve">In her request for relief, she seeks an adjustment or credit on her bill for time she was not in Philadelphia at 7039 Ardleigh Street.  </w:t>
      </w:r>
      <w:r w:rsidR="00AA29E9">
        <w:t xml:space="preserve">Construing the Complaint most favorably to Ms. Slaughter, her allegations suggest </w:t>
      </w:r>
      <w:r w:rsidR="00222323">
        <w:t xml:space="preserve">she is seeking a credit for billings at 7039 Ardleigh Street from 2008 to the present.   </w:t>
      </w:r>
    </w:p>
    <w:p w:rsidR="00D97302" w:rsidRDefault="00D97302" w:rsidP="00B31333">
      <w:pPr>
        <w:spacing w:before="0" w:after="0"/>
        <w:ind w:firstLine="1440"/>
      </w:pPr>
    </w:p>
    <w:p w:rsidR="00D727D9" w:rsidRDefault="00AE078E" w:rsidP="00B31333">
      <w:pPr>
        <w:spacing w:before="0" w:after="0"/>
        <w:ind w:firstLine="1440"/>
      </w:pPr>
      <w:r>
        <w:t xml:space="preserve">While PGW asserts in its </w:t>
      </w:r>
      <w:r w:rsidR="00D727D9">
        <w:t>A</w:t>
      </w:r>
      <w:r>
        <w:t xml:space="preserve">nswer </w:t>
      </w:r>
      <w:r w:rsidR="00D727D9">
        <w:t xml:space="preserve">and P.O. </w:t>
      </w:r>
      <w:r>
        <w:t xml:space="preserve">that the bill was finalized on </w:t>
      </w:r>
      <w:r w:rsidR="00834710">
        <w:t>March 28</w:t>
      </w:r>
      <w:r>
        <w:t>, 2008 at $2,354.90, there is nothing on the face of Ms. Slaughter’s current Complaint that admits PGW’s assertion as to the date and amount</w:t>
      </w:r>
      <w:r w:rsidR="00AA29E9">
        <w:t xml:space="preserve"> of the bill</w:t>
      </w:r>
      <w:r>
        <w:t xml:space="preserve">.  </w:t>
      </w:r>
      <w:r w:rsidR="00D727D9">
        <w:t>Notably PGW does not assert the date and amount of the finalized bill in its New Matter, to which Ms. Slaughter failed to file</w:t>
      </w:r>
      <w:r>
        <w:t xml:space="preserve"> </w:t>
      </w:r>
      <w:r w:rsidR="00D727D9">
        <w:t xml:space="preserve">a response.  Had PGW asserted the date and amount of the finalized bill in its New Matter, this </w:t>
      </w:r>
      <w:r w:rsidR="00D727D9">
        <w:lastRenderedPageBreak/>
        <w:t>assertion may have been deemed an admission on Ms. Slaughter’s part</w:t>
      </w:r>
      <w:r w:rsidR="00F34D50">
        <w:t>,</w:t>
      </w:r>
      <w:r w:rsidR="00C56BDB">
        <w:rPr>
          <w:rStyle w:val="FootnoteReference"/>
        </w:rPr>
        <w:footnoteReference w:id="11"/>
      </w:r>
      <w:r w:rsidR="00D727D9">
        <w:t xml:space="preserve"> but PGW did not make such an assertion. </w:t>
      </w:r>
      <w:r w:rsidR="00812161">
        <w:t xml:space="preserve"> </w:t>
      </w:r>
      <w:r w:rsidR="00C56BDB">
        <w:t>As discussed above, Ms. Slaughter is barred from seeking relief for any charges at 7039 Ardleigh accruing prior to April 1</w:t>
      </w:r>
      <w:r w:rsidR="003667B4">
        <w:t>7</w:t>
      </w:r>
      <w:r w:rsidR="00C56BDB">
        <w:t xml:space="preserve">, 2013.  However </w:t>
      </w:r>
      <w:r w:rsidR="00D727D9">
        <w:t xml:space="preserve">viewing the record most favorably to Ms. Slaughter as the non-moving party, questions of fact remain as to </w:t>
      </w:r>
      <w:r w:rsidR="00C56BDB">
        <w:t xml:space="preserve">whether PGW billed Ms. Slaughter for any charges </w:t>
      </w:r>
      <w:r w:rsidR="00F34D50">
        <w:t xml:space="preserve">for service </w:t>
      </w:r>
      <w:r w:rsidR="00C56BDB">
        <w:t>a</w:t>
      </w:r>
      <w:r w:rsidR="00F34D50">
        <w:t>t</w:t>
      </w:r>
      <w:r w:rsidR="00C56BDB">
        <w:t xml:space="preserve"> 7039 Ardleigh Street, subsequent to April 1</w:t>
      </w:r>
      <w:r w:rsidR="003667B4">
        <w:t>7</w:t>
      </w:r>
      <w:r w:rsidR="00C56BDB">
        <w:t xml:space="preserve">, 2013. </w:t>
      </w:r>
      <w:r w:rsidR="00F34D50">
        <w:t xml:space="preserve"> Accordingly</w:t>
      </w:r>
      <w:r w:rsidR="00A330B0">
        <w:t>,</w:t>
      </w:r>
      <w:r w:rsidR="00F34D50">
        <w:t xml:space="preserve"> the MSJ will be denied in the ordering paragraphs below.</w:t>
      </w:r>
    </w:p>
    <w:p w:rsidR="00F34D50" w:rsidRDefault="00F34D50" w:rsidP="00B31333">
      <w:pPr>
        <w:spacing w:before="0" w:after="0"/>
        <w:ind w:firstLine="1440"/>
      </w:pPr>
    </w:p>
    <w:p w:rsidR="007A5913" w:rsidRPr="007A5913" w:rsidRDefault="007A5913" w:rsidP="00B31333">
      <w:pPr>
        <w:tabs>
          <w:tab w:val="clear" w:pos="1440"/>
        </w:tabs>
        <w:spacing w:before="0" w:after="0"/>
        <w:jc w:val="center"/>
        <w:rPr>
          <w:szCs w:val="24"/>
          <w:u w:val="single"/>
        </w:rPr>
      </w:pPr>
      <w:r w:rsidRPr="005D25FC">
        <w:rPr>
          <w:szCs w:val="24"/>
          <w:u w:val="single"/>
        </w:rPr>
        <w:t>CONCLUSIONS OF LAW</w:t>
      </w:r>
    </w:p>
    <w:p w:rsidR="007A5913" w:rsidRPr="007A5913" w:rsidRDefault="007A5913" w:rsidP="00B31333">
      <w:pPr>
        <w:tabs>
          <w:tab w:val="clear" w:pos="1440"/>
        </w:tabs>
        <w:spacing w:before="0" w:after="0"/>
        <w:rPr>
          <w:szCs w:val="24"/>
        </w:rPr>
      </w:pPr>
    </w:p>
    <w:p w:rsidR="007A5913" w:rsidRPr="007A5913" w:rsidRDefault="007A5913" w:rsidP="00B31333">
      <w:pPr>
        <w:tabs>
          <w:tab w:val="clear" w:pos="1440"/>
        </w:tabs>
        <w:spacing w:before="0" w:after="0"/>
        <w:ind w:firstLine="1440"/>
      </w:pPr>
      <w:r w:rsidRPr="007A5913">
        <w:t>1.</w:t>
      </w:r>
      <w:r w:rsidRPr="007A5913">
        <w:tab/>
        <w:t xml:space="preserve">The Commission has jurisdiction over the parties and the subject matter of this dispute.  </w:t>
      </w:r>
      <w:proofErr w:type="gramStart"/>
      <w:r w:rsidRPr="007A5913">
        <w:t xml:space="preserve">66 </w:t>
      </w:r>
      <w:proofErr w:type="spellStart"/>
      <w:r w:rsidRPr="007A5913">
        <w:t>Pa.C.S.A</w:t>
      </w:r>
      <w:proofErr w:type="spellEnd"/>
      <w:r w:rsidRPr="007A5913">
        <w:t>.</w:t>
      </w:r>
      <w:proofErr w:type="gramEnd"/>
      <w:r w:rsidRPr="007A5913">
        <w:t xml:space="preserve"> § 701.</w:t>
      </w:r>
    </w:p>
    <w:p w:rsidR="007A5913" w:rsidRPr="007A5913" w:rsidRDefault="007A5913" w:rsidP="00B31333">
      <w:pPr>
        <w:tabs>
          <w:tab w:val="clear" w:pos="1440"/>
        </w:tabs>
        <w:spacing w:before="0" w:after="0"/>
        <w:ind w:firstLine="1440"/>
        <w:rPr>
          <w:szCs w:val="24"/>
        </w:rPr>
      </w:pPr>
    </w:p>
    <w:p w:rsidR="00EB2E3E" w:rsidRPr="00EB2E3E" w:rsidRDefault="007A5913" w:rsidP="00B31333">
      <w:pPr>
        <w:spacing w:before="0" w:after="0"/>
        <w:rPr>
          <w:szCs w:val="24"/>
        </w:rPr>
      </w:pPr>
      <w:r w:rsidRPr="007A5913">
        <w:rPr>
          <w:szCs w:val="24"/>
        </w:rPr>
        <w:tab/>
        <w:t>2.</w:t>
      </w:r>
      <w:r w:rsidRPr="007A5913">
        <w:rPr>
          <w:szCs w:val="24"/>
        </w:rPr>
        <w:tab/>
      </w:r>
      <w:r w:rsidR="00EB2E3E" w:rsidRPr="00EB2E3E">
        <w:rPr>
          <w:szCs w:val="24"/>
        </w:rPr>
        <w:t>The Commission’s Rules of Administrative Practice and Procedure permit the filing of preliminary motions.</w:t>
      </w:r>
      <w:r w:rsidR="00EB2E3E">
        <w:rPr>
          <w:szCs w:val="24"/>
        </w:rPr>
        <w:t xml:space="preserve">  </w:t>
      </w:r>
      <w:proofErr w:type="gramStart"/>
      <w:r w:rsidR="00EB2E3E">
        <w:rPr>
          <w:szCs w:val="24"/>
        </w:rPr>
        <w:t xml:space="preserve">52 Pa.Code </w:t>
      </w:r>
      <w:r w:rsidR="00EB2E3E" w:rsidRPr="007A5913">
        <w:rPr>
          <w:iCs/>
          <w:color w:val="000000" w:themeColor="text1"/>
        </w:rPr>
        <w:t>§ 5.101</w:t>
      </w:r>
      <w:r w:rsidR="00EB2E3E">
        <w:rPr>
          <w:iCs/>
          <w:color w:val="000000" w:themeColor="text1"/>
        </w:rPr>
        <w:t>.</w:t>
      </w:r>
      <w:proofErr w:type="gramEnd"/>
    </w:p>
    <w:p w:rsidR="00EB2E3E" w:rsidRDefault="00EB2E3E" w:rsidP="00B31333">
      <w:pPr>
        <w:tabs>
          <w:tab w:val="clear" w:pos="1440"/>
          <w:tab w:val="left" w:pos="-720"/>
        </w:tabs>
        <w:suppressAutoHyphens/>
        <w:spacing w:before="0" w:after="0"/>
        <w:rPr>
          <w:szCs w:val="24"/>
        </w:rPr>
      </w:pPr>
    </w:p>
    <w:p w:rsidR="006D5123" w:rsidRDefault="00EB2E3E" w:rsidP="00B31333">
      <w:pPr>
        <w:tabs>
          <w:tab w:val="clear" w:pos="1440"/>
          <w:tab w:val="left" w:pos="-720"/>
        </w:tabs>
        <w:suppressAutoHyphens/>
        <w:spacing w:before="0" w:after="0"/>
        <w:rPr>
          <w:szCs w:val="24"/>
        </w:rPr>
      </w:pPr>
      <w:r>
        <w:rPr>
          <w:szCs w:val="24"/>
        </w:rPr>
        <w:tab/>
      </w:r>
      <w:r>
        <w:rPr>
          <w:szCs w:val="24"/>
        </w:rPr>
        <w:tab/>
        <w:t>3.</w:t>
      </w:r>
      <w:r>
        <w:rPr>
          <w:szCs w:val="24"/>
        </w:rPr>
        <w:tab/>
      </w:r>
      <w:r w:rsidR="006D5123">
        <w:rPr>
          <w:szCs w:val="24"/>
        </w:rPr>
        <w:t>An affirmative defense may be considered by the presiding officer under rules for preliminary objections</w:t>
      </w:r>
      <w:r>
        <w:rPr>
          <w:szCs w:val="24"/>
        </w:rPr>
        <w:t xml:space="preserve"> </w:t>
      </w:r>
      <w:r w:rsidR="006D5123">
        <w:rPr>
          <w:szCs w:val="24"/>
        </w:rPr>
        <w:t>when it is transparently clear on the face of the complaint that the affirmative defense applies, and the procedural defect does not affect the substantial right</w:t>
      </w:r>
      <w:r w:rsidR="00476090">
        <w:rPr>
          <w:szCs w:val="24"/>
        </w:rPr>
        <w:t xml:space="preserve">s </w:t>
      </w:r>
      <w:r w:rsidR="006D5123">
        <w:rPr>
          <w:szCs w:val="24"/>
        </w:rPr>
        <w:t xml:space="preserve">of the parties.  </w:t>
      </w:r>
      <w:r w:rsidR="006D5123">
        <w:rPr>
          <w:i/>
          <w:szCs w:val="24"/>
        </w:rPr>
        <w:t xml:space="preserve">Feldman v. Hoffman, </w:t>
      </w:r>
      <w:r w:rsidR="006D5123">
        <w:rPr>
          <w:szCs w:val="24"/>
        </w:rPr>
        <w:t xml:space="preserve">107 A.3d 821 (Pa.Cmwlth. 2014).  </w:t>
      </w:r>
    </w:p>
    <w:p w:rsidR="007A5913" w:rsidRPr="007A5913" w:rsidRDefault="007A5913" w:rsidP="00B31333">
      <w:pPr>
        <w:tabs>
          <w:tab w:val="clear" w:pos="1440"/>
        </w:tabs>
        <w:spacing w:before="0" w:after="0"/>
        <w:rPr>
          <w:szCs w:val="24"/>
        </w:rPr>
      </w:pPr>
    </w:p>
    <w:p w:rsidR="006D5123" w:rsidRDefault="007A5913" w:rsidP="00B31333">
      <w:pPr>
        <w:tabs>
          <w:tab w:val="clear" w:pos="1440"/>
          <w:tab w:val="left" w:pos="-720"/>
        </w:tabs>
        <w:suppressAutoHyphens/>
        <w:spacing w:before="0" w:after="0"/>
        <w:rPr>
          <w:szCs w:val="24"/>
        </w:rPr>
      </w:pPr>
      <w:r w:rsidRPr="007A5913">
        <w:rPr>
          <w:szCs w:val="24"/>
        </w:rPr>
        <w:tab/>
      </w:r>
      <w:r w:rsidRPr="007A5913">
        <w:rPr>
          <w:szCs w:val="24"/>
        </w:rPr>
        <w:tab/>
      </w:r>
      <w:r w:rsidR="00EB2E3E">
        <w:rPr>
          <w:szCs w:val="24"/>
        </w:rPr>
        <w:t>4</w:t>
      </w:r>
      <w:r w:rsidRPr="007A5913">
        <w:rPr>
          <w:szCs w:val="24"/>
        </w:rPr>
        <w:t>.</w:t>
      </w:r>
      <w:r w:rsidRPr="007A5913">
        <w:rPr>
          <w:szCs w:val="24"/>
        </w:rPr>
        <w:tab/>
      </w:r>
      <w:r w:rsidR="006D5123">
        <w:rPr>
          <w:szCs w:val="24"/>
        </w:rPr>
        <w:t>Section 3314 of the Code, 66 Pa.C.S. § 3314, requires a complainant to prosecute her complaint within three years from the date the liability there</w:t>
      </w:r>
      <w:r w:rsidR="00145633">
        <w:rPr>
          <w:szCs w:val="24"/>
        </w:rPr>
        <w:t xml:space="preserve">for arose. </w:t>
      </w:r>
    </w:p>
    <w:p w:rsidR="007A5913" w:rsidRDefault="007A5913" w:rsidP="00B31333">
      <w:pPr>
        <w:tabs>
          <w:tab w:val="clear" w:pos="1440"/>
        </w:tabs>
        <w:spacing w:before="0" w:after="0"/>
      </w:pPr>
    </w:p>
    <w:p w:rsidR="00EF2261" w:rsidRDefault="005D25FC" w:rsidP="00B31333">
      <w:pPr>
        <w:autoSpaceDE w:val="0"/>
        <w:autoSpaceDN w:val="0"/>
        <w:spacing w:before="0" w:after="0"/>
      </w:pPr>
      <w:r>
        <w:tab/>
        <w:t>5.</w:t>
      </w:r>
      <w:r>
        <w:tab/>
      </w:r>
      <w:r w:rsidRPr="005D25FC">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w:t>
      </w:r>
      <w:r w:rsidR="00EF2261">
        <w:br w:type="page"/>
      </w:r>
    </w:p>
    <w:p w:rsidR="005D25FC" w:rsidRDefault="005D25FC" w:rsidP="00B31333">
      <w:pPr>
        <w:autoSpaceDE w:val="0"/>
        <w:autoSpaceDN w:val="0"/>
        <w:spacing w:before="0" w:after="0"/>
      </w:pPr>
      <w:proofErr w:type="gramStart"/>
      <w:r w:rsidRPr="005D25FC">
        <w:lastRenderedPageBreak/>
        <w:t>giving</w:t>
      </w:r>
      <w:proofErr w:type="gramEnd"/>
      <w:r w:rsidRPr="005D25FC">
        <w:t xml:space="preserve"> that party the benefit of all reasonable inferences.  </w:t>
      </w:r>
      <w:proofErr w:type="gramStart"/>
      <w:r w:rsidRPr="005D25FC">
        <w:rPr>
          <w:i/>
        </w:rPr>
        <w:t>First Mortgage Co. of Pennsylvania v. McCall</w:t>
      </w:r>
      <w:r w:rsidRPr="005D25FC">
        <w:t xml:space="preserve">, 459 A.2d 406 (Pa.Super. 1983); </w:t>
      </w:r>
      <w:r w:rsidRPr="005D25FC">
        <w:rPr>
          <w:i/>
        </w:rPr>
        <w:t xml:space="preserve">Mertz v. </w:t>
      </w:r>
      <w:proofErr w:type="spellStart"/>
      <w:r w:rsidRPr="005D25FC">
        <w:rPr>
          <w:i/>
        </w:rPr>
        <w:t>Lakatos</w:t>
      </w:r>
      <w:proofErr w:type="spellEnd"/>
      <w:r w:rsidRPr="005D25FC">
        <w:t>, 381 A.2d 497 (Pa.Cmwlth. 1976).</w:t>
      </w:r>
      <w:proofErr w:type="gramEnd"/>
      <w:r w:rsidRPr="005D25FC">
        <w:t xml:space="preserve">  </w:t>
      </w:r>
    </w:p>
    <w:p w:rsidR="00EF2261" w:rsidRPr="005D25FC" w:rsidRDefault="00EF2261" w:rsidP="00B31333">
      <w:pPr>
        <w:autoSpaceDE w:val="0"/>
        <w:autoSpaceDN w:val="0"/>
        <w:spacing w:before="0" w:after="0"/>
      </w:pPr>
    </w:p>
    <w:p w:rsidR="007A5913" w:rsidRDefault="007A5913" w:rsidP="00B31333">
      <w:pPr>
        <w:tabs>
          <w:tab w:val="clear" w:pos="1440"/>
        </w:tabs>
        <w:spacing w:before="0" w:after="0"/>
        <w:jc w:val="center"/>
        <w:rPr>
          <w:szCs w:val="24"/>
          <w:u w:val="single"/>
        </w:rPr>
      </w:pPr>
      <w:r w:rsidRPr="007A5913">
        <w:rPr>
          <w:szCs w:val="24"/>
          <w:u w:val="single"/>
        </w:rPr>
        <w:t>ORDER</w:t>
      </w:r>
    </w:p>
    <w:p w:rsidR="003B3EB2" w:rsidRPr="007A5913" w:rsidRDefault="003B3EB2" w:rsidP="00B31333">
      <w:pPr>
        <w:tabs>
          <w:tab w:val="clear" w:pos="1440"/>
        </w:tabs>
        <w:spacing w:before="0" w:after="0"/>
        <w:jc w:val="center"/>
        <w:rPr>
          <w:szCs w:val="24"/>
          <w:u w:val="single"/>
        </w:rPr>
      </w:pPr>
    </w:p>
    <w:p w:rsidR="007A5913" w:rsidRPr="007A5913" w:rsidRDefault="007A5913" w:rsidP="00B31333">
      <w:pPr>
        <w:tabs>
          <w:tab w:val="clear" w:pos="1440"/>
        </w:tabs>
        <w:spacing w:before="0" w:after="0"/>
        <w:rPr>
          <w:szCs w:val="24"/>
        </w:rPr>
      </w:pPr>
    </w:p>
    <w:p w:rsidR="007A5913" w:rsidRPr="007A5913" w:rsidRDefault="007A5913" w:rsidP="00B31333">
      <w:pPr>
        <w:tabs>
          <w:tab w:val="clear" w:pos="1440"/>
        </w:tabs>
        <w:spacing w:before="0" w:after="0"/>
        <w:rPr>
          <w:szCs w:val="24"/>
        </w:rPr>
      </w:pPr>
      <w:r w:rsidRPr="007A5913">
        <w:rPr>
          <w:szCs w:val="24"/>
        </w:rPr>
        <w:tab/>
      </w:r>
      <w:r w:rsidRPr="007A5913">
        <w:rPr>
          <w:szCs w:val="24"/>
        </w:rPr>
        <w:tab/>
        <w:t>THEREFORE,</w:t>
      </w:r>
    </w:p>
    <w:p w:rsidR="007A5913" w:rsidRPr="007A5913" w:rsidRDefault="007A5913" w:rsidP="00B31333">
      <w:pPr>
        <w:tabs>
          <w:tab w:val="clear" w:pos="1440"/>
        </w:tabs>
        <w:spacing w:before="0" w:after="0"/>
        <w:rPr>
          <w:szCs w:val="24"/>
        </w:rPr>
      </w:pPr>
    </w:p>
    <w:p w:rsidR="007A5913" w:rsidRPr="007A5913" w:rsidRDefault="007A5913" w:rsidP="00B31333">
      <w:pPr>
        <w:tabs>
          <w:tab w:val="clear" w:pos="1440"/>
        </w:tabs>
        <w:spacing w:before="0" w:after="0"/>
        <w:rPr>
          <w:szCs w:val="24"/>
        </w:rPr>
      </w:pPr>
      <w:r w:rsidRPr="007A5913">
        <w:rPr>
          <w:szCs w:val="24"/>
        </w:rPr>
        <w:tab/>
      </w:r>
      <w:r w:rsidRPr="007A5913">
        <w:rPr>
          <w:szCs w:val="24"/>
        </w:rPr>
        <w:tab/>
        <w:t>IT IS ORDERED:</w:t>
      </w:r>
    </w:p>
    <w:p w:rsidR="007A5913" w:rsidRPr="007A5913" w:rsidRDefault="007A5913" w:rsidP="00B31333">
      <w:pPr>
        <w:tabs>
          <w:tab w:val="clear" w:pos="1440"/>
        </w:tabs>
        <w:spacing w:before="0" w:after="0"/>
        <w:rPr>
          <w:szCs w:val="24"/>
        </w:rPr>
      </w:pPr>
    </w:p>
    <w:p w:rsidR="005E4C50" w:rsidRDefault="007A5913" w:rsidP="00B31333">
      <w:pPr>
        <w:tabs>
          <w:tab w:val="clear" w:pos="1440"/>
        </w:tabs>
        <w:spacing w:before="0" w:after="0"/>
        <w:ind w:firstLine="1440"/>
      </w:pPr>
      <w:r w:rsidRPr="007A5913">
        <w:t>1.</w:t>
      </w:r>
      <w:r w:rsidRPr="007A5913">
        <w:tab/>
        <w:t>That Respondent P</w:t>
      </w:r>
      <w:r w:rsidR="005D25FC">
        <w:t>hiladelphia Gas Works</w:t>
      </w:r>
      <w:r w:rsidRPr="007A5913">
        <w:t>’ preliminary objection</w:t>
      </w:r>
      <w:r w:rsidR="005D25FC">
        <w:t xml:space="preserve"> </w:t>
      </w:r>
      <w:r w:rsidR="00A07292">
        <w:t xml:space="preserve">filed in the matter of Elease Slaughter v. Philadelphia Gas Works is sustained to the extent that </w:t>
      </w:r>
      <w:r w:rsidR="003B71EB">
        <w:t>Complainant</w:t>
      </w:r>
      <w:bookmarkStart w:id="0" w:name="_GoBack"/>
      <w:bookmarkEnd w:id="0"/>
      <w:r w:rsidR="00A07292">
        <w:t xml:space="preserve"> Elease Slaughter </w:t>
      </w:r>
      <w:r w:rsidR="0061215B">
        <w:t>is barred from prosecuting her complaint or seeking</w:t>
      </w:r>
      <w:r w:rsidR="00A07292">
        <w:t xml:space="preserve"> relief based upon matters occurring </w:t>
      </w:r>
      <w:r w:rsidR="005E4C50">
        <w:t xml:space="preserve">more than three years before the filing of her Complaint on April 18, 2016. </w:t>
      </w:r>
    </w:p>
    <w:p w:rsidR="005E4C50" w:rsidRDefault="005E4C50" w:rsidP="00B31333">
      <w:pPr>
        <w:tabs>
          <w:tab w:val="clear" w:pos="1440"/>
        </w:tabs>
        <w:spacing w:before="0" w:after="0"/>
        <w:ind w:firstLine="1440"/>
      </w:pPr>
    </w:p>
    <w:p w:rsidR="005E4C50" w:rsidRDefault="005E4C50" w:rsidP="00B31333">
      <w:pPr>
        <w:tabs>
          <w:tab w:val="clear" w:pos="1440"/>
        </w:tabs>
        <w:spacing w:before="0" w:after="0"/>
        <w:ind w:firstLine="1440"/>
      </w:pPr>
      <w:r>
        <w:t>2.</w:t>
      </w:r>
      <w:r>
        <w:tab/>
      </w:r>
      <w:r w:rsidRPr="007A5913">
        <w:t>That Respondent P</w:t>
      </w:r>
      <w:r>
        <w:t>hiladelphia Gas Works</w:t>
      </w:r>
      <w:r w:rsidRPr="007A5913">
        <w:t xml:space="preserve">’ </w:t>
      </w:r>
      <w:r w:rsidR="0061215B">
        <w:t>Mo</w:t>
      </w:r>
      <w:r>
        <w:t xml:space="preserve">tion for </w:t>
      </w:r>
      <w:r w:rsidR="0061215B">
        <w:t>S</w:t>
      </w:r>
      <w:r>
        <w:t xml:space="preserve">ummary </w:t>
      </w:r>
      <w:r w:rsidR="0061215B">
        <w:t>J</w:t>
      </w:r>
      <w:r>
        <w:t>udgment is denied to the extent that there are genuine issue</w:t>
      </w:r>
      <w:r w:rsidR="0061215B">
        <w:t>s</w:t>
      </w:r>
      <w:r>
        <w:t xml:space="preserve"> of material fact alleged in the Complaint, which defeat the Motion and require a hearing.</w:t>
      </w:r>
    </w:p>
    <w:p w:rsidR="005E4C50" w:rsidRDefault="005E4C50" w:rsidP="00B31333">
      <w:pPr>
        <w:tabs>
          <w:tab w:val="clear" w:pos="1440"/>
        </w:tabs>
        <w:spacing w:before="0" w:after="0"/>
        <w:ind w:firstLine="1440"/>
      </w:pPr>
    </w:p>
    <w:p w:rsidR="005E4C50" w:rsidRDefault="005E4C50" w:rsidP="00B31333">
      <w:pPr>
        <w:tabs>
          <w:tab w:val="clear" w:pos="1440"/>
        </w:tabs>
        <w:spacing w:before="0" w:after="0"/>
        <w:ind w:firstLine="1440"/>
      </w:pPr>
      <w:r>
        <w:t>3.</w:t>
      </w:r>
      <w:r>
        <w:tab/>
        <w:t>That the Scheduling Office of the Office of Administrative Law Judge will schedule this case for hearing</w:t>
      </w:r>
      <w:r w:rsidR="0061215B">
        <w:t xml:space="preserve"> consistent with this order.</w:t>
      </w:r>
    </w:p>
    <w:p w:rsidR="00707C21" w:rsidRDefault="00707C21" w:rsidP="00B31333">
      <w:pPr>
        <w:tabs>
          <w:tab w:val="clear" w:pos="1440"/>
        </w:tabs>
        <w:spacing w:before="0" w:after="0"/>
        <w:ind w:firstLine="1440"/>
      </w:pPr>
    </w:p>
    <w:p w:rsidR="00B76C28" w:rsidRDefault="003B3EB2" w:rsidP="007A5913">
      <w:pPr>
        <w:tabs>
          <w:tab w:val="clear" w:pos="1440"/>
        </w:tabs>
        <w:spacing w:before="0" w:after="0"/>
        <w:ind w:firstLine="1440"/>
      </w:pPr>
      <w:r w:rsidRPr="00696D94">
        <w:rPr>
          <w:rFonts w:ascii="CG Times" w:hAnsi="CG Times" w:cs="CG Times"/>
          <w:noProof/>
          <w:szCs w:val="24"/>
        </w:rPr>
        <w:drawing>
          <wp:anchor distT="0" distB="0" distL="114300" distR="114300" simplePos="0" relativeHeight="251659264" behindDoc="1" locked="0" layoutInCell="1" allowOverlap="1" wp14:anchorId="0DFE4016" wp14:editId="6DED471C">
            <wp:simplePos x="0" y="0"/>
            <wp:positionH relativeFrom="column">
              <wp:posOffset>3769360</wp:posOffset>
            </wp:positionH>
            <wp:positionV relativeFrom="paragraph">
              <wp:posOffset>252095</wp:posOffset>
            </wp:positionV>
            <wp:extent cx="2341245" cy="975360"/>
            <wp:effectExtent l="0" t="0" r="1905" b="0"/>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12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C28" w:rsidRDefault="008C46FC" w:rsidP="00B76C28">
      <w:pPr>
        <w:tabs>
          <w:tab w:val="clear" w:pos="1440"/>
        </w:tabs>
        <w:spacing w:before="0" w:after="0"/>
        <w:rPr>
          <w:rFonts w:eastAsiaTheme="minorHAnsi" w:cstheme="minorBidi"/>
          <w:szCs w:val="22"/>
          <w:u w:val="single"/>
        </w:rPr>
      </w:pPr>
      <w:r w:rsidRPr="00696D94">
        <w:rPr>
          <w:rFonts w:eastAsiaTheme="minorHAnsi" w:cstheme="minorBidi"/>
          <w:szCs w:val="22"/>
        </w:rPr>
        <w:t>Date:</w:t>
      </w:r>
      <w:r>
        <w:rPr>
          <w:rFonts w:eastAsiaTheme="minorHAnsi" w:cstheme="minorBidi"/>
          <w:szCs w:val="22"/>
        </w:rPr>
        <w:t xml:space="preserve"> </w:t>
      </w:r>
      <w:r w:rsidRPr="00696D94">
        <w:rPr>
          <w:rFonts w:eastAsiaTheme="minorHAnsi" w:cstheme="minorBidi"/>
          <w:szCs w:val="22"/>
        </w:rPr>
        <w:t xml:space="preserve"> </w:t>
      </w:r>
      <w:r w:rsidRPr="008C46FC">
        <w:rPr>
          <w:rFonts w:eastAsiaTheme="minorHAnsi" w:cstheme="minorBidi"/>
          <w:szCs w:val="22"/>
          <w:u w:val="single"/>
        </w:rPr>
        <w:t>July 20</w:t>
      </w:r>
      <w:r w:rsidRPr="005305DA">
        <w:rPr>
          <w:rFonts w:eastAsiaTheme="minorHAnsi" w:cstheme="minorBidi"/>
          <w:szCs w:val="22"/>
          <w:u w:val="single"/>
        </w:rPr>
        <w:t>, 201</w:t>
      </w:r>
      <w:r>
        <w:rPr>
          <w:rFonts w:eastAsiaTheme="minorHAnsi" w:cstheme="minorBidi"/>
          <w:szCs w:val="22"/>
          <w:u w:val="single"/>
        </w:rPr>
        <w:t>6</w:t>
      </w: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pPr>
    </w:p>
    <w:p w:rsidR="00707C21" w:rsidRDefault="00707C21" w:rsidP="00966D62">
      <w:pPr>
        <w:tabs>
          <w:tab w:val="clear" w:pos="1440"/>
        </w:tabs>
        <w:spacing w:before="0" w:after="0" w:line="240" w:lineRule="auto"/>
        <w:rPr>
          <w:rFonts w:ascii="Microsoft Sans Serif" w:eastAsiaTheme="minorEastAsia" w:hAnsiTheme="minorHAnsi" w:cstheme="minorBidi"/>
          <w:b/>
          <w:szCs w:val="22"/>
          <w:u w:val="single"/>
        </w:rPr>
        <w:sectPr w:rsidR="00707C21" w:rsidSect="00761D9C">
          <w:footerReference w:type="default" r:id="rId10"/>
          <w:pgSz w:w="12240" w:h="15840" w:code="1"/>
          <w:pgMar w:top="1152" w:right="1440" w:bottom="1440" w:left="1440" w:header="720" w:footer="720" w:gutter="0"/>
          <w:cols w:space="720"/>
          <w:titlePg/>
          <w:docGrid w:linePitch="360"/>
        </w:sectPr>
      </w:pPr>
    </w:p>
    <w:p w:rsidR="00966D62" w:rsidRPr="00966D62" w:rsidRDefault="00966D62" w:rsidP="00966D62">
      <w:pPr>
        <w:tabs>
          <w:tab w:val="clear" w:pos="1440"/>
        </w:tabs>
        <w:spacing w:before="0" w:after="0" w:line="240" w:lineRule="auto"/>
        <w:rPr>
          <w:rFonts w:ascii="Microsoft Sans Serif" w:eastAsiaTheme="minorEastAsia" w:hAnsiTheme="minorHAnsi" w:cstheme="minorBidi"/>
          <w:b/>
          <w:szCs w:val="22"/>
          <w:u w:val="single"/>
        </w:rPr>
      </w:pPr>
      <w:r w:rsidRPr="00966D62">
        <w:rPr>
          <w:rFonts w:ascii="Microsoft Sans Serif" w:eastAsiaTheme="minorEastAsia" w:hAnsiTheme="minorHAnsi" w:cstheme="minorBidi"/>
          <w:b/>
          <w:szCs w:val="22"/>
          <w:u w:val="single"/>
        </w:rPr>
        <w:lastRenderedPageBreak/>
        <w:t>C-2016-2541771 - ELEASE SLAUGHTER v. PHILADELPHIA GAS WORKS</w:t>
      </w:r>
      <w:r w:rsidRPr="00966D62">
        <w:rPr>
          <w:rFonts w:ascii="Microsoft Sans Serif" w:eastAsiaTheme="minorEastAsia" w:hAnsiTheme="minorHAnsi" w:cstheme="minorBidi"/>
          <w:b/>
          <w:szCs w:val="22"/>
          <w:u w:val="single"/>
        </w:rPr>
        <w:cr/>
      </w:r>
    </w:p>
    <w:p w:rsidR="00966D62" w:rsidRPr="00966D62" w:rsidRDefault="00966D62" w:rsidP="00966D62">
      <w:pPr>
        <w:tabs>
          <w:tab w:val="clear" w:pos="1440"/>
        </w:tabs>
        <w:spacing w:before="0" w:after="0" w:line="240" w:lineRule="auto"/>
        <w:rPr>
          <w:rFonts w:ascii="Microsoft Sans Serif" w:eastAsiaTheme="minorEastAsia" w:hAnsiTheme="minorHAnsi" w:cstheme="minorBidi"/>
          <w:b/>
          <w:szCs w:val="22"/>
          <w:u w:val="single"/>
        </w:rPr>
      </w:pPr>
      <w:r w:rsidRPr="00966D62">
        <w:rPr>
          <w:rFonts w:ascii="Microsoft Sans Serif" w:eastAsiaTheme="minorEastAsia" w:hAnsiTheme="minorHAnsi" w:cstheme="minorBidi"/>
          <w:b/>
          <w:szCs w:val="22"/>
          <w:u w:val="single"/>
        </w:rPr>
        <w:cr/>
      </w:r>
      <w:r w:rsidRPr="00966D62">
        <w:rPr>
          <w:rFonts w:ascii="Microsoft Sans Serif" w:eastAsiaTheme="minorEastAsia" w:hAnsiTheme="minorHAnsi" w:cstheme="minorBidi"/>
          <w:szCs w:val="22"/>
        </w:rPr>
        <w:t>ELEASE SLAUGHTER</w:t>
      </w:r>
      <w:r w:rsidRPr="00966D62">
        <w:rPr>
          <w:rFonts w:ascii="Microsoft Sans Serif" w:eastAsiaTheme="minorEastAsia" w:hAnsiTheme="minorHAnsi" w:cstheme="minorBidi"/>
          <w:szCs w:val="22"/>
        </w:rPr>
        <w:cr/>
        <w:t>3745 N 16TH STREET</w:t>
      </w:r>
      <w:r w:rsidRPr="00966D62">
        <w:rPr>
          <w:rFonts w:ascii="Microsoft Sans Serif" w:eastAsiaTheme="minorEastAsia" w:hAnsiTheme="minorHAnsi" w:cstheme="minorBidi"/>
          <w:szCs w:val="22"/>
        </w:rPr>
        <w:cr/>
        <w:t>PHILADELPHIA PA  19140</w:t>
      </w:r>
      <w:r w:rsidRPr="00966D62">
        <w:rPr>
          <w:rFonts w:ascii="Microsoft Sans Serif" w:eastAsiaTheme="minorEastAsia" w:hAnsiTheme="minorHAnsi" w:cstheme="minorBidi"/>
          <w:szCs w:val="22"/>
        </w:rPr>
        <w:cr/>
      </w:r>
      <w:r w:rsidRPr="00966D62">
        <w:rPr>
          <w:rFonts w:ascii="Microsoft Sans Serif" w:eastAsiaTheme="minorEastAsia" w:hAnsiTheme="minorHAnsi" w:cstheme="minorBidi"/>
          <w:b/>
          <w:i/>
          <w:szCs w:val="22"/>
        </w:rPr>
        <w:t>267-977-1491</w:t>
      </w:r>
    </w:p>
    <w:p w:rsidR="00966D62" w:rsidRPr="00966D62" w:rsidRDefault="00966D62" w:rsidP="00966D62">
      <w:pPr>
        <w:tabs>
          <w:tab w:val="clear" w:pos="1440"/>
        </w:tabs>
        <w:spacing w:before="0" w:after="0" w:line="240" w:lineRule="auto"/>
        <w:rPr>
          <w:rFonts w:ascii="Microsoft Sans Serif" w:eastAsiaTheme="minorEastAsia" w:hAnsiTheme="minorHAnsi" w:cstheme="minorBidi"/>
          <w:b/>
          <w:szCs w:val="22"/>
          <w:u w:val="single"/>
        </w:rPr>
      </w:pPr>
    </w:p>
    <w:p w:rsidR="00966D62" w:rsidRPr="00966D62" w:rsidRDefault="00966D62" w:rsidP="00966D62">
      <w:pPr>
        <w:tabs>
          <w:tab w:val="clear" w:pos="1440"/>
        </w:tabs>
        <w:spacing w:before="0" w:after="0" w:line="240" w:lineRule="auto"/>
        <w:rPr>
          <w:rFonts w:asciiTheme="minorHAnsi" w:eastAsiaTheme="minorEastAsia" w:hAnsiTheme="minorHAnsi" w:cstheme="minorBidi"/>
          <w:sz w:val="22"/>
          <w:szCs w:val="22"/>
        </w:rPr>
      </w:pPr>
      <w:r w:rsidRPr="00966D62">
        <w:rPr>
          <w:rFonts w:ascii="Microsoft Sans Serif" w:eastAsiaTheme="minorEastAsia" w:hAnsiTheme="minorHAnsi" w:cstheme="minorBidi"/>
          <w:szCs w:val="22"/>
        </w:rPr>
        <w:t>GRACIELA CHRISTLIEB ESQUIRE</w:t>
      </w:r>
      <w:r w:rsidRPr="00966D62">
        <w:rPr>
          <w:rFonts w:ascii="Microsoft Sans Serif" w:eastAsiaTheme="minorEastAsia" w:hAnsiTheme="minorHAnsi" w:cstheme="minorBidi"/>
          <w:szCs w:val="22"/>
        </w:rPr>
        <w:cr/>
        <w:t>PHILADELPHIA GAS WORKS</w:t>
      </w:r>
      <w:r w:rsidRPr="00966D62">
        <w:rPr>
          <w:rFonts w:ascii="Microsoft Sans Serif" w:eastAsiaTheme="minorEastAsia" w:hAnsiTheme="minorHAnsi" w:cstheme="minorBidi"/>
          <w:szCs w:val="22"/>
        </w:rPr>
        <w:cr/>
        <w:t>800 WEST MONTGOMERY AVENUE</w:t>
      </w:r>
      <w:r w:rsidRPr="00966D62">
        <w:rPr>
          <w:rFonts w:ascii="Microsoft Sans Serif" w:eastAsiaTheme="minorEastAsia" w:hAnsiTheme="minorHAnsi" w:cstheme="minorBidi"/>
          <w:szCs w:val="22"/>
        </w:rPr>
        <w:cr/>
        <w:t>PHILADELPHIA PA  19122</w:t>
      </w:r>
      <w:r w:rsidRPr="00966D62">
        <w:rPr>
          <w:rFonts w:ascii="Microsoft Sans Serif" w:eastAsiaTheme="minorEastAsia" w:hAnsiTheme="minorHAnsi" w:cstheme="minorBidi"/>
          <w:szCs w:val="22"/>
        </w:rPr>
        <w:cr/>
      </w:r>
      <w:r w:rsidRPr="00966D62">
        <w:rPr>
          <w:rFonts w:ascii="Microsoft Sans Serif" w:eastAsiaTheme="minorEastAsia" w:hAnsiTheme="minorHAnsi" w:cstheme="minorBidi"/>
          <w:b/>
          <w:i/>
          <w:szCs w:val="22"/>
        </w:rPr>
        <w:t>215-684-6164</w:t>
      </w:r>
      <w:r w:rsidRPr="00966D62">
        <w:rPr>
          <w:rFonts w:ascii="Microsoft Sans Serif" w:eastAsiaTheme="minorEastAsia" w:hAnsiTheme="minorHAnsi" w:cstheme="minorBidi"/>
          <w:szCs w:val="22"/>
        </w:rPr>
        <w:cr/>
      </w:r>
      <w:r w:rsidRPr="00966D62">
        <w:rPr>
          <w:rFonts w:ascii="Microsoft Sans Serif" w:eastAsiaTheme="minorEastAsia" w:hAnsiTheme="minorHAnsi" w:cstheme="minorBidi"/>
          <w:i/>
          <w:szCs w:val="22"/>
        </w:rPr>
        <w:t>ACCEPTS E SERVICE</w:t>
      </w:r>
    </w:p>
    <w:p w:rsidR="00966D62" w:rsidRDefault="00966D62" w:rsidP="00B76C28">
      <w:pPr>
        <w:tabs>
          <w:tab w:val="clear" w:pos="1440"/>
        </w:tabs>
        <w:spacing w:before="0" w:after="0"/>
      </w:pPr>
    </w:p>
    <w:sectPr w:rsidR="00966D62" w:rsidSect="00761D9C">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0B" w:rsidRDefault="00741B0B" w:rsidP="00C51596">
      <w:pPr>
        <w:spacing w:before="0" w:after="0" w:line="240" w:lineRule="auto"/>
      </w:pPr>
      <w:r>
        <w:separator/>
      </w:r>
    </w:p>
  </w:endnote>
  <w:endnote w:type="continuationSeparator" w:id="0">
    <w:p w:rsidR="00741B0B" w:rsidRDefault="00741B0B" w:rsidP="00C515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7668"/>
      <w:docPartObj>
        <w:docPartGallery w:val="Page Numbers (Bottom of Page)"/>
        <w:docPartUnique/>
      </w:docPartObj>
    </w:sdtPr>
    <w:sdtEndPr>
      <w:rPr>
        <w:noProof/>
        <w:sz w:val="20"/>
      </w:rPr>
    </w:sdtEndPr>
    <w:sdtContent>
      <w:p w:rsidR="006627B3" w:rsidRPr="00212EA2" w:rsidRDefault="006627B3">
        <w:pPr>
          <w:pStyle w:val="Footer"/>
          <w:jc w:val="center"/>
          <w:rPr>
            <w:sz w:val="20"/>
          </w:rPr>
        </w:pPr>
        <w:r w:rsidRPr="00212EA2">
          <w:rPr>
            <w:sz w:val="20"/>
          </w:rPr>
          <w:fldChar w:fldCharType="begin"/>
        </w:r>
        <w:r w:rsidRPr="00212EA2">
          <w:rPr>
            <w:sz w:val="20"/>
          </w:rPr>
          <w:instrText xml:space="preserve"> PAGE   \* MERGEFORMAT </w:instrText>
        </w:r>
        <w:r w:rsidRPr="00212EA2">
          <w:rPr>
            <w:sz w:val="20"/>
          </w:rPr>
          <w:fldChar w:fldCharType="separate"/>
        </w:r>
        <w:r w:rsidR="003B71EB">
          <w:rPr>
            <w:noProof/>
            <w:sz w:val="20"/>
          </w:rPr>
          <w:t>14</w:t>
        </w:r>
        <w:r w:rsidRPr="00212EA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0B" w:rsidRDefault="00741B0B" w:rsidP="00C51596">
      <w:pPr>
        <w:spacing w:before="0" w:after="0" w:line="240" w:lineRule="auto"/>
      </w:pPr>
      <w:r>
        <w:separator/>
      </w:r>
    </w:p>
  </w:footnote>
  <w:footnote w:type="continuationSeparator" w:id="0">
    <w:p w:rsidR="00741B0B" w:rsidRDefault="00741B0B" w:rsidP="00C51596">
      <w:pPr>
        <w:spacing w:before="0" w:after="0" w:line="240" w:lineRule="auto"/>
      </w:pPr>
      <w:r>
        <w:continuationSeparator/>
      </w:r>
    </w:p>
  </w:footnote>
  <w:footnote w:id="1">
    <w:p w:rsidR="002C1789" w:rsidRDefault="002C1789">
      <w:pPr>
        <w:pStyle w:val="FootnoteText"/>
      </w:pPr>
      <w:r>
        <w:rPr>
          <w:rStyle w:val="FootnoteReference"/>
        </w:rPr>
        <w:footnoteRef/>
      </w:r>
      <w:r>
        <w:t xml:space="preserve">   </w:t>
      </w:r>
      <w:r w:rsidR="00F20882">
        <w:tab/>
      </w:r>
      <w:r>
        <w:t>66 Pa.C.S. § 3314.</w:t>
      </w:r>
    </w:p>
    <w:p w:rsidR="008A3996" w:rsidRDefault="008A3996">
      <w:pPr>
        <w:pStyle w:val="FootnoteText"/>
      </w:pPr>
    </w:p>
  </w:footnote>
  <w:footnote w:id="2">
    <w:p w:rsidR="008A3996" w:rsidRPr="008A3996" w:rsidRDefault="008A3996">
      <w:pPr>
        <w:pStyle w:val="FootnoteText"/>
      </w:pPr>
      <w:r>
        <w:rPr>
          <w:rStyle w:val="FootnoteReference"/>
        </w:rPr>
        <w:footnoteRef/>
      </w:r>
      <w:r>
        <w:t xml:space="preserve"> </w:t>
      </w:r>
      <w:r w:rsidR="00F20882">
        <w:tab/>
      </w:r>
      <w:r>
        <w:rPr>
          <w:i/>
        </w:rPr>
        <w:t xml:space="preserve">Id. </w:t>
      </w:r>
      <w:r>
        <w:t>§ 613.</w:t>
      </w:r>
    </w:p>
    <w:p w:rsidR="008A3996" w:rsidRDefault="008A3996">
      <w:pPr>
        <w:pStyle w:val="FootnoteText"/>
      </w:pPr>
    </w:p>
  </w:footnote>
  <w:footnote w:id="3">
    <w:p w:rsidR="006627B3" w:rsidRPr="004229FB" w:rsidRDefault="006627B3" w:rsidP="00705F9E">
      <w:pPr>
        <w:pStyle w:val="FootnoteText"/>
        <w:spacing w:after="240"/>
      </w:pPr>
      <w:r w:rsidRPr="004229FB">
        <w:rPr>
          <w:rStyle w:val="FootnoteReference"/>
        </w:rPr>
        <w:footnoteRef/>
      </w:r>
      <w:r>
        <w:t xml:space="preserve"> </w:t>
      </w:r>
      <w:r w:rsidR="00F20882">
        <w:tab/>
      </w:r>
      <w:r>
        <w:t>52 Pa.</w:t>
      </w:r>
      <w:r w:rsidRPr="004229FB">
        <w:t>Code § 5.101.</w:t>
      </w:r>
    </w:p>
  </w:footnote>
  <w:footnote w:id="4">
    <w:p w:rsidR="006627B3" w:rsidRDefault="006627B3" w:rsidP="00705F9E">
      <w:pPr>
        <w:pStyle w:val="FootnoteText"/>
      </w:pPr>
      <w:r>
        <w:rPr>
          <w:rStyle w:val="FootnoteReference"/>
        </w:rPr>
        <w:footnoteRef/>
      </w:r>
      <w:r>
        <w:t xml:space="preserve">  </w:t>
      </w:r>
      <w:r w:rsidR="00F20882">
        <w:tab/>
      </w:r>
      <w:r w:rsidRPr="00286B5E">
        <w:rPr>
          <w:i/>
        </w:rPr>
        <w:t>Id</w:t>
      </w:r>
      <w:r>
        <w:t>. § 5.101(a).</w:t>
      </w:r>
    </w:p>
    <w:p w:rsidR="00AB7B65" w:rsidRDefault="00AB7B65" w:rsidP="00705F9E">
      <w:pPr>
        <w:pStyle w:val="FootnoteText"/>
      </w:pPr>
    </w:p>
  </w:footnote>
  <w:footnote w:id="5">
    <w:p w:rsidR="006627B3" w:rsidRDefault="006627B3" w:rsidP="00705F9E">
      <w:pPr>
        <w:pStyle w:val="FootnoteText"/>
      </w:pPr>
      <w:r>
        <w:rPr>
          <w:rStyle w:val="FootnoteReference"/>
        </w:rPr>
        <w:footnoteRef/>
      </w:r>
      <w:r>
        <w:t xml:space="preserve">  </w:t>
      </w:r>
      <w:r w:rsidR="00F20882">
        <w:tab/>
      </w:r>
      <w:r w:rsidRPr="000E2B4C">
        <w:rPr>
          <w:i/>
        </w:rPr>
        <w:t>Equitable Small Transportation Intervenors v. Equitable Gas Company</w:t>
      </w:r>
      <w:r>
        <w:t>, 1994 Pa. PUC LEXIS 69, Docket No. C-00935435 (July 18, 1994).</w:t>
      </w:r>
    </w:p>
    <w:p w:rsidR="006627B3" w:rsidRDefault="006627B3" w:rsidP="00705F9E">
      <w:pPr>
        <w:pStyle w:val="FootnoteText"/>
      </w:pPr>
      <w:r>
        <w:t xml:space="preserve">  </w:t>
      </w:r>
    </w:p>
  </w:footnote>
  <w:footnote w:id="6">
    <w:p w:rsidR="006627B3" w:rsidRDefault="006627B3" w:rsidP="00705F9E">
      <w:pPr>
        <w:pStyle w:val="FootnoteText"/>
        <w:rPr>
          <w:szCs w:val="24"/>
        </w:rPr>
      </w:pPr>
      <w:r>
        <w:rPr>
          <w:rStyle w:val="FootnoteReference"/>
        </w:rPr>
        <w:footnoteRef/>
      </w:r>
      <w:r>
        <w:t xml:space="preserve"> </w:t>
      </w:r>
      <w:r w:rsidR="00F20882">
        <w:tab/>
      </w:r>
      <w:r w:rsidRPr="00F21662">
        <w:rPr>
          <w:i/>
          <w:szCs w:val="24"/>
        </w:rPr>
        <w:t xml:space="preserve">County of Allegheny v. Commonwealth of Pennsylvania, </w:t>
      </w:r>
      <w:r w:rsidRPr="00F21662">
        <w:rPr>
          <w:szCs w:val="24"/>
        </w:rPr>
        <w:t>490 A. 2d 402 (Pa. 1985);</w:t>
      </w:r>
      <w:r w:rsidRPr="00F21662">
        <w:rPr>
          <w:i/>
          <w:szCs w:val="24"/>
        </w:rPr>
        <w:t xml:space="preserve"> Commonwealth of Pennsylvania v. Bell Telephone</w:t>
      </w:r>
      <w:r w:rsidRPr="00F21662">
        <w:rPr>
          <w:szCs w:val="24"/>
        </w:rPr>
        <w:t xml:space="preserve"> </w:t>
      </w:r>
      <w:r w:rsidRPr="00F21662">
        <w:rPr>
          <w:i/>
          <w:szCs w:val="24"/>
        </w:rPr>
        <w:t>Co. of Pa.,</w:t>
      </w:r>
      <w:r w:rsidRPr="00F21662">
        <w:rPr>
          <w:szCs w:val="24"/>
        </w:rPr>
        <w:t xml:space="preserve"> 551 A.2d 602 (Pa.Cmwlth. 1988).  </w:t>
      </w:r>
    </w:p>
    <w:p w:rsidR="00B92F4C" w:rsidRDefault="00B92F4C" w:rsidP="00705F9E">
      <w:pPr>
        <w:pStyle w:val="FootnoteText"/>
      </w:pPr>
    </w:p>
  </w:footnote>
  <w:footnote w:id="7">
    <w:p w:rsidR="006627B3" w:rsidRDefault="006627B3" w:rsidP="00705F9E">
      <w:pPr>
        <w:pStyle w:val="FootnoteText"/>
      </w:pPr>
      <w:r>
        <w:rPr>
          <w:rStyle w:val="FootnoteReference"/>
        </w:rPr>
        <w:footnoteRef/>
      </w:r>
      <w:r>
        <w:t xml:space="preserve">  </w:t>
      </w:r>
      <w:r w:rsidR="00F20882">
        <w:tab/>
      </w:r>
      <w:r w:rsidRPr="007F44FF">
        <w:rPr>
          <w:i/>
        </w:rPr>
        <w:t>Id.</w:t>
      </w:r>
    </w:p>
  </w:footnote>
  <w:footnote w:id="8">
    <w:p w:rsidR="002A6569" w:rsidRDefault="002A6569" w:rsidP="002A6569">
      <w:pPr>
        <w:pStyle w:val="FootnoteText"/>
      </w:pPr>
      <w:r>
        <w:rPr>
          <w:rStyle w:val="FootnoteReference"/>
        </w:rPr>
        <w:footnoteRef/>
      </w:r>
      <w:r>
        <w:tab/>
      </w:r>
      <w:r>
        <w:rPr>
          <w:i/>
        </w:rPr>
        <w:t>Reynolds v. PPL Electric Utilities Corp.</w:t>
      </w:r>
      <w:r>
        <w:t xml:space="preserve">, PUC Docket No. C-2011-2255268 (Commission order entered January 5, 2012), slip op. at 4 (citing </w:t>
      </w:r>
      <w:r>
        <w:rPr>
          <w:i/>
        </w:rPr>
        <w:t>Day v. Volkswagenwerk Aktiengesellschaft</w:t>
      </w:r>
      <w:r>
        <w:t>, 464 A.2d 1313, 1316 (Pa.Super. 1983).</w:t>
      </w:r>
    </w:p>
    <w:p w:rsidR="002A6569" w:rsidRDefault="002A6569" w:rsidP="002A6569">
      <w:pPr>
        <w:pStyle w:val="FootnoteText"/>
      </w:pPr>
    </w:p>
  </w:footnote>
  <w:footnote w:id="9">
    <w:p w:rsidR="00AA29E9" w:rsidRDefault="00AA29E9">
      <w:pPr>
        <w:pStyle w:val="FootnoteText"/>
      </w:pPr>
      <w:r>
        <w:rPr>
          <w:rStyle w:val="FootnoteReference"/>
        </w:rPr>
        <w:footnoteRef/>
      </w:r>
      <w:r>
        <w:t xml:space="preserve">  </w:t>
      </w:r>
      <w:r w:rsidR="00812161">
        <w:tab/>
      </w:r>
      <w:r>
        <w:t>See 52 Pa.Code §§ 56.81-56.118.</w:t>
      </w:r>
    </w:p>
    <w:p w:rsidR="00AA29E9" w:rsidRDefault="00AA29E9">
      <w:pPr>
        <w:pStyle w:val="FootnoteText"/>
      </w:pPr>
    </w:p>
  </w:footnote>
  <w:footnote w:id="10">
    <w:p w:rsidR="00AA29E9" w:rsidRDefault="00AA29E9">
      <w:pPr>
        <w:pStyle w:val="FootnoteText"/>
      </w:pPr>
      <w:r>
        <w:rPr>
          <w:rStyle w:val="FootnoteReference"/>
        </w:rPr>
        <w:footnoteRef/>
      </w:r>
      <w:r>
        <w:t xml:space="preserve"> </w:t>
      </w:r>
      <w:r w:rsidR="00665D52">
        <w:tab/>
      </w:r>
      <w:r>
        <w:rPr>
          <w:i/>
        </w:rPr>
        <w:t>Id.</w:t>
      </w:r>
    </w:p>
    <w:p w:rsidR="00C56BDB" w:rsidRPr="00C56BDB" w:rsidRDefault="00C56BDB">
      <w:pPr>
        <w:pStyle w:val="FootnoteText"/>
      </w:pPr>
    </w:p>
  </w:footnote>
  <w:footnote w:id="11">
    <w:p w:rsidR="00C56BDB" w:rsidRDefault="00C56BDB">
      <w:pPr>
        <w:pStyle w:val="FootnoteText"/>
      </w:pPr>
      <w:r>
        <w:rPr>
          <w:rStyle w:val="FootnoteReference"/>
        </w:rPr>
        <w:footnoteRef/>
      </w:r>
      <w:r>
        <w:t xml:space="preserve"> </w:t>
      </w:r>
      <w:r w:rsidR="003B3EB2">
        <w:tab/>
      </w:r>
      <w:r>
        <w:t>52 Pa.Code § 5.63(b).</w:t>
      </w:r>
    </w:p>
    <w:p w:rsidR="00A330B0" w:rsidRDefault="00A330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89EA4"/>
    <w:lvl w:ilvl="0">
      <w:start w:val="1"/>
      <w:numFmt w:val="decimal"/>
      <w:lvlText w:val="%1."/>
      <w:lvlJc w:val="left"/>
      <w:pPr>
        <w:tabs>
          <w:tab w:val="num" w:pos="1800"/>
        </w:tabs>
        <w:ind w:left="1800" w:hanging="360"/>
      </w:pPr>
    </w:lvl>
  </w:abstractNum>
  <w:abstractNum w:abstractNumId="1">
    <w:nsid w:val="FFFFFF7D"/>
    <w:multiLevelType w:val="singleLevel"/>
    <w:tmpl w:val="3E663296"/>
    <w:lvl w:ilvl="0">
      <w:start w:val="1"/>
      <w:numFmt w:val="decimal"/>
      <w:lvlText w:val="%1."/>
      <w:lvlJc w:val="left"/>
      <w:pPr>
        <w:tabs>
          <w:tab w:val="num" w:pos="1440"/>
        </w:tabs>
        <w:ind w:left="1440" w:hanging="360"/>
      </w:pPr>
    </w:lvl>
  </w:abstractNum>
  <w:abstractNum w:abstractNumId="2">
    <w:nsid w:val="FFFFFF7E"/>
    <w:multiLevelType w:val="singleLevel"/>
    <w:tmpl w:val="9404E3F2"/>
    <w:lvl w:ilvl="0">
      <w:start w:val="1"/>
      <w:numFmt w:val="decimal"/>
      <w:lvlText w:val="%1."/>
      <w:lvlJc w:val="left"/>
      <w:pPr>
        <w:tabs>
          <w:tab w:val="num" w:pos="1080"/>
        </w:tabs>
        <w:ind w:left="1080" w:hanging="360"/>
      </w:pPr>
    </w:lvl>
  </w:abstractNum>
  <w:abstractNum w:abstractNumId="3">
    <w:nsid w:val="FFFFFF7F"/>
    <w:multiLevelType w:val="singleLevel"/>
    <w:tmpl w:val="881E4E92"/>
    <w:lvl w:ilvl="0">
      <w:start w:val="1"/>
      <w:numFmt w:val="decimal"/>
      <w:lvlText w:val="%1."/>
      <w:lvlJc w:val="left"/>
      <w:pPr>
        <w:tabs>
          <w:tab w:val="num" w:pos="720"/>
        </w:tabs>
        <w:ind w:left="720" w:hanging="360"/>
      </w:pPr>
    </w:lvl>
  </w:abstractNum>
  <w:abstractNum w:abstractNumId="4">
    <w:nsid w:val="FFFFFF80"/>
    <w:multiLevelType w:val="singleLevel"/>
    <w:tmpl w:val="9D0C6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EEA5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C09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E8AD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88C3E"/>
    <w:lvl w:ilvl="0">
      <w:start w:val="1"/>
      <w:numFmt w:val="decimal"/>
      <w:lvlText w:val="%1."/>
      <w:lvlJc w:val="left"/>
      <w:pPr>
        <w:tabs>
          <w:tab w:val="num" w:pos="360"/>
        </w:tabs>
        <w:ind w:left="360" w:hanging="360"/>
      </w:pPr>
    </w:lvl>
  </w:abstractNum>
  <w:abstractNum w:abstractNumId="9">
    <w:nsid w:val="FFFFFF89"/>
    <w:multiLevelType w:val="singleLevel"/>
    <w:tmpl w:val="7212A644"/>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9913FD1"/>
    <w:multiLevelType w:val="hybridMultilevel"/>
    <w:tmpl w:val="DF3E0CB0"/>
    <w:lvl w:ilvl="0" w:tplc="FAD0A14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7"/>
  </w:num>
  <w:num w:numId="4">
    <w:abstractNumId w:val="31"/>
  </w:num>
  <w:num w:numId="5">
    <w:abstractNumId w:val="16"/>
  </w:num>
  <w:num w:numId="6">
    <w:abstractNumId w:val="14"/>
  </w:num>
  <w:num w:numId="7">
    <w:abstractNumId w:val="13"/>
  </w:num>
  <w:num w:numId="8">
    <w:abstractNumId w:val="30"/>
  </w:num>
  <w:num w:numId="9">
    <w:abstractNumId w:val="11"/>
  </w:num>
  <w:num w:numId="10">
    <w:abstractNumId w:val="24"/>
  </w:num>
  <w:num w:numId="11">
    <w:abstractNumId w:val="26"/>
  </w:num>
  <w:num w:numId="12">
    <w:abstractNumId w:val="20"/>
  </w:num>
  <w:num w:numId="13">
    <w:abstractNumId w:val="25"/>
  </w:num>
  <w:num w:numId="14">
    <w:abstractNumId w:val="28"/>
  </w:num>
  <w:num w:numId="15">
    <w:abstractNumId w:val="10"/>
  </w:num>
  <w:num w:numId="16">
    <w:abstractNumId w:val="23"/>
  </w:num>
  <w:num w:numId="17">
    <w:abstractNumId w:val="23"/>
  </w:num>
  <w:num w:numId="18">
    <w:abstractNumId w:val="15"/>
  </w:num>
  <w:num w:numId="19">
    <w:abstractNumId w:val="21"/>
  </w:num>
  <w:num w:numId="20">
    <w:abstractNumId w:val="32"/>
  </w:num>
  <w:num w:numId="21">
    <w:abstractNumId w:val="18"/>
  </w:num>
  <w:num w:numId="22">
    <w:abstractNumId w:val="12"/>
  </w:num>
  <w:num w:numId="23">
    <w:abstractNumId w:val="19"/>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E7"/>
    <w:rsid w:val="00004C37"/>
    <w:rsid w:val="00024EE4"/>
    <w:rsid w:val="00025F2C"/>
    <w:rsid w:val="0005241F"/>
    <w:rsid w:val="000839D4"/>
    <w:rsid w:val="00091765"/>
    <w:rsid w:val="00093535"/>
    <w:rsid w:val="000B44B3"/>
    <w:rsid w:val="000E01DE"/>
    <w:rsid w:val="000E3EDE"/>
    <w:rsid w:val="000E7AFE"/>
    <w:rsid w:val="000F1729"/>
    <w:rsid w:val="000F2C40"/>
    <w:rsid w:val="0010179D"/>
    <w:rsid w:val="001059A0"/>
    <w:rsid w:val="001208C2"/>
    <w:rsid w:val="001228EE"/>
    <w:rsid w:val="00125A25"/>
    <w:rsid w:val="00126598"/>
    <w:rsid w:val="00145633"/>
    <w:rsid w:val="0016673E"/>
    <w:rsid w:val="001706EE"/>
    <w:rsid w:val="00191732"/>
    <w:rsid w:val="001974BE"/>
    <w:rsid w:val="001A21B6"/>
    <w:rsid w:val="001A708C"/>
    <w:rsid w:val="001B1CBA"/>
    <w:rsid w:val="001B6154"/>
    <w:rsid w:val="001C560D"/>
    <w:rsid w:val="001D0BFF"/>
    <w:rsid w:val="001D2587"/>
    <w:rsid w:val="001D2AF7"/>
    <w:rsid w:val="001E0F42"/>
    <w:rsid w:val="001F13E3"/>
    <w:rsid w:val="001F513B"/>
    <w:rsid w:val="001F5680"/>
    <w:rsid w:val="00207878"/>
    <w:rsid w:val="00212EA2"/>
    <w:rsid w:val="00213167"/>
    <w:rsid w:val="0021784A"/>
    <w:rsid w:val="00222323"/>
    <w:rsid w:val="00235B57"/>
    <w:rsid w:val="00235FA4"/>
    <w:rsid w:val="0023662B"/>
    <w:rsid w:val="00237FE3"/>
    <w:rsid w:val="00240BBF"/>
    <w:rsid w:val="00247F8C"/>
    <w:rsid w:val="002512F9"/>
    <w:rsid w:val="00274CFD"/>
    <w:rsid w:val="00275DCE"/>
    <w:rsid w:val="00284DD0"/>
    <w:rsid w:val="00286B5E"/>
    <w:rsid w:val="00290AC7"/>
    <w:rsid w:val="002A6569"/>
    <w:rsid w:val="002A7865"/>
    <w:rsid w:val="002B027A"/>
    <w:rsid w:val="002B42A7"/>
    <w:rsid w:val="002C1789"/>
    <w:rsid w:val="002C1DB6"/>
    <w:rsid w:val="002E1EAB"/>
    <w:rsid w:val="003145FA"/>
    <w:rsid w:val="00317B5F"/>
    <w:rsid w:val="00355DFD"/>
    <w:rsid w:val="003579FB"/>
    <w:rsid w:val="00365A72"/>
    <w:rsid w:val="003667B4"/>
    <w:rsid w:val="00367A41"/>
    <w:rsid w:val="00374075"/>
    <w:rsid w:val="00380690"/>
    <w:rsid w:val="00384DF8"/>
    <w:rsid w:val="00391E86"/>
    <w:rsid w:val="00393C92"/>
    <w:rsid w:val="003A15A7"/>
    <w:rsid w:val="003A6B74"/>
    <w:rsid w:val="003B0304"/>
    <w:rsid w:val="003B3EB2"/>
    <w:rsid w:val="003B71EB"/>
    <w:rsid w:val="003C18C7"/>
    <w:rsid w:val="003C44E4"/>
    <w:rsid w:val="003E2278"/>
    <w:rsid w:val="003F06C9"/>
    <w:rsid w:val="003F1F5E"/>
    <w:rsid w:val="003F6B5B"/>
    <w:rsid w:val="004015D0"/>
    <w:rsid w:val="00427572"/>
    <w:rsid w:val="0043752C"/>
    <w:rsid w:val="0044228B"/>
    <w:rsid w:val="00450D64"/>
    <w:rsid w:val="00473E87"/>
    <w:rsid w:val="00476090"/>
    <w:rsid w:val="004826A4"/>
    <w:rsid w:val="00484A37"/>
    <w:rsid w:val="00486269"/>
    <w:rsid w:val="00495B6E"/>
    <w:rsid w:val="004B42CB"/>
    <w:rsid w:val="004B4817"/>
    <w:rsid w:val="004C5F1E"/>
    <w:rsid w:val="004D523C"/>
    <w:rsid w:val="00503E16"/>
    <w:rsid w:val="005279A2"/>
    <w:rsid w:val="005317A5"/>
    <w:rsid w:val="00534F75"/>
    <w:rsid w:val="005463FC"/>
    <w:rsid w:val="00550C0E"/>
    <w:rsid w:val="005563EC"/>
    <w:rsid w:val="005602DF"/>
    <w:rsid w:val="00567D35"/>
    <w:rsid w:val="0057364C"/>
    <w:rsid w:val="00576D29"/>
    <w:rsid w:val="0058169A"/>
    <w:rsid w:val="0059130B"/>
    <w:rsid w:val="005A1C17"/>
    <w:rsid w:val="005A2ABA"/>
    <w:rsid w:val="005A561F"/>
    <w:rsid w:val="005B0CEA"/>
    <w:rsid w:val="005D25FC"/>
    <w:rsid w:val="005E4191"/>
    <w:rsid w:val="005E4C50"/>
    <w:rsid w:val="005E7B69"/>
    <w:rsid w:val="005F0006"/>
    <w:rsid w:val="00600CF3"/>
    <w:rsid w:val="006069AC"/>
    <w:rsid w:val="00610F2C"/>
    <w:rsid w:val="0061215B"/>
    <w:rsid w:val="0061775F"/>
    <w:rsid w:val="00647BEE"/>
    <w:rsid w:val="006620D4"/>
    <w:rsid w:val="006627B3"/>
    <w:rsid w:val="00665D52"/>
    <w:rsid w:val="00674AB6"/>
    <w:rsid w:val="006829B6"/>
    <w:rsid w:val="00686F49"/>
    <w:rsid w:val="00692028"/>
    <w:rsid w:val="006969B2"/>
    <w:rsid w:val="00696C0D"/>
    <w:rsid w:val="006A47F3"/>
    <w:rsid w:val="006D5123"/>
    <w:rsid w:val="006D591F"/>
    <w:rsid w:val="006F0329"/>
    <w:rsid w:val="006F67F8"/>
    <w:rsid w:val="00700807"/>
    <w:rsid w:val="00705F9E"/>
    <w:rsid w:val="00707C21"/>
    <w:rsid w:val="007101C7"/>
    <w:rsid w:val="00712E58"/>
    <w:rsid w:val="0071520D"/>
    <w:rsid w:val="00721CE3"/>
    <w:rsid w:val="00730900"/>
    <w:rsid w:val="007370CD"/>
    <w:rsid w:val="0074102B"/>
    <w:rsid w:val="00741B0B"/>
    <w:rsid w:val="007429F3"/>
    <w:rsid w:val="007455F5"/>
    <w:rsid w:val="00745B7A"/>
    <w:rsid w:val="00761D9C"/>
    <w:rsid w:val="00787BD5"/>
    <w:rsid w:val="0079206A"/>
    <w:rsid w:val="00792796"/>
    <w:rsid w:val="007A3F35"/>
    <w:rsid w:val="007A5913"/>
    <w:rsid w:val="007E06D5"/>
    <w:rsid w:val="007E5623"/>
    <w:rsid w:val="007E6779"/>
    <w:rsid w:val="007F267C"/>
    <w:rsid w:val="007F44FF"/>
    <w:rsid w:val="00801430"/>
    <w:rsid w:val="00812161"/>
    <w:rsid w:val="00820B4C"/>
    <w:rsid w:val="00834710"/>
    <w:rsid w:val="00846DFE"/>
    <w:rsid w:val="008529D2"/>
    <w:rsid w:val="00893999"/>
    <w:rsid w:val="00893F39"/>
    <w:rsid w:val="008A3996"/>
    <w:rsid w:val="008A3DFF"/>
    <w:rsid w:val="008A44CE"/>
    <w:rsid w:val="008C232A"/>
    <w:rsid w:val="008C29EA"/>
    <w:rsid w:val="008C46FC"/>
    <w:rsid w:val="008C54E1"/>
    <w:rsid w:val="008D02ED"/>
    <w:rsid w:val="008E26A0"/>
    <w:rsid w:val="008F13FB"/>
    <w:rsid w:val="008F21CD"/>
    <w:rsid w:val="008F6247"/>
    <w:rsid w:val="009151A5"/>
    <w:rsid w:val="00923A06"/>
    <w:rsid w:val="009267C6"/>
    <w:rsid w:val="0093102E"/>
    <w:rsid w:val="009450D7"/>
    <w:rsid w:val="00945C45"/>
    <w:rsid w:val="00966D62"/>
    <w:rsid w:val="009A4B51"/>
    <w:rsid w:val="009B0EB5"/>
    <w:rsid w:val="009B1CA3"/>
    <w:rsid w:val="009B5334"/>
    <w:rsid w:val="009B7766"/>
    <w:rsid w:val="009E4FFB"/>
    <w:rsid w:val="009F1D27"/>
    <w:rsid w:val="009F5106"/>
    <w:rsid w:val="009F6A3E"/>
    <w:rsid w:val="00A0620D"/>
    <w:rsid w:val="00A07292"/>
    <w:rsid w:val="00A130D9"/>
    <w:rsid w:val="00A330B0"/>
    <w:rsid w:val="00A42FB8"/>
    <w:rsid w:val="00A47096"/>
    <w:rsid w:val="00A50FAA"/>
    <w:rsid w:val="00A576C3"/>
    <w:rsid w:val="00A64336"/>
    <w:rsid w:val="00A738C8"/>
    <w:rsid w:val="00A75B19"/>
    <w:rsid w:val="00A942CF"/>
    <w:rsid w:val="00AA29E9"/>
    <w:rsid w:val="00AA2EC5"/>
    <w:rsid w:val="00AB0645"/>
    <w:rsid w:val="00AB3FBB"/>
    <w:rsid w:val="00AB4C73"/>
    <w:rsid w:val="00AB7B65"/>
    <w:rsid w:val="00AD6565"/>
    <w:rsid w:val="00AD778C"/>
    <w:rsid w:val="00AE078E"/>
    <w:rsid w:val="00AE6F47"/>
    <w:rsid w:val="00AF2EC0"/>
    <w:rsid w:val="00AF2F7F"/>
    <w:rsid w:val="00B03227"/>
    <w:rsid w:val="00B31333"/>
    <w:rsid w:val="00B47C6D"/>
    <w:rsid w:val="00B6740F"/>
    <w:rsid w:val="00B76C28"/>
    <w:rsid w:val="00B77DCF"/>
    <w:rsid w:val="00B86F54"/>
    <w:rsid w:val="00B877D3"/>
    <w:rsid w:val="00B91E47"/>
    <w:rsid w:val="00B92F4C"/>
    <w:rsid w:val="00BB5DBD"/>
    <w:rsid w:val="00BB6CAB"/>
    <w:rsid w:val="00BC1297"/>
    <w:rsid w:val="00BC6B21"/>
    <w:rsid w:val="00BF06A6"/>
    <w:rsid w:val="00BF2548"/>
    <w:rsid w:val="00BF321F"/>
    <w:rsid w:val="00C024E7"/>
    <w:rsid w:val="00C02B3D"/>
    <w:rsid w:val="00C15072"/>
    <w:rsid w:val="00C1673F"/>
    <w:rsid w:val="00C16FF1"/>
    <w:rsid w:val="00C2093E"/>
    <w:rsid w:val="00C4077C"/>
    <w:rsid w:val="00C459F2"/>
    <w:rsid w:val="00C51596"/>
    <w:rsid w:val="00C55480"/>
    <w:rsid w:val="00C56BDB"/>
    <w:rsid w:val="00C665D3"/>
    <w:rsid w:val="00C71A0D"/>
    <w:rsid w:val="00C775D2"/>
    <w:rsid w:val="00C811EF"/>
    <w:rsid w:val="00C86376"/>
    <w:rsid w:val="00C87E57"/>
    <w:rsid w:val="00C9193C"/>
    <w:rsid w:val="00C92607"/>
    <w:rsid w:val="00C92DF5"/>
    <w:rsid w:val="00C9685E"/>
    <w:rsid w:val="00CA34BE"/>
    <w:rsid w:val="00CD420B"/>
    <w:rsid w:val="00CD42D8"/>
    <w:rsid w:val="00CD7A65"/>
    <w:rsid w:val="00CE57B4"/>
    <w:rsid w:val="00D01776"/>
    <w:rsid w:val="00D10FBF"/>
    <w:rsid w:val="00D21BB1"/>
    <w:rsid w:val="00D30AA6"/>
    <w:rsid w:val="00D46CB9"/>
    <w:rsid w:val="00D727D9"/>
    <w:rsid w:val="00D927E2"/>
    <w:rsid w:val="00D97302"/>
    <w:rsid w:val="00DB0545"/>
    <w:rsid w:val="00DD4D17"/>
    <w:rsid w:val="00DD5C37"/>
    <w:rsid w:val="00DD5CB3"/>
    <w:rsid w:val="00DE3039"/>
    <w:rsid w:val="00DE7399"/>
    <w:rsid w:val="00DE7F31"/>
    <w:rsid w:val="00DF41F5"/>
    <w:rsid w:val="00E02458"/>
    <w:rsid w:val="00E10BD3"/>
    <w:rsid w:val="00E22AD8"/>
    <w:rsid w:val="00E4239A"/>
    <w:rsid w:val="00E51EBC"/>
    <w:rsid w:val="00E62F8E"/>
    <w:rsid w:val="00E753F7"/>
    <w:rsid w:val="00E94E57"/>
    <w:rsid w:val="00EB2E3E"/>
    <w:rsid w:val="00EC1CBA"/>
    <w:rsid w:val="00ED48C6"/>
    <w:rsid w:val="00EE5226"/>
    <w:rsid w:val="00EE7801"/>
    <w:rsid w:val="00EF2261"/>
    <w:rsid w:val="00EF692C"/>
    <w:rsid w:val="00F07741"/>
    <w:rsid w:val="00F1590A"/>
    <w:rsid w:val="00F15EE2"/>
    <w:rsid w:val="00F16554"/>
    <w:rsid w:val="00F20882"/>
    <w:rsid w:val="00F23021"/>
    <w:rsid w:val="00F34D50"/>
    <w:rsid w:val="00F36C9B"/>
    <w:rsid w:val="00F376CE"/>
    <w:rsid w:val="00F458A1"/>
    <w:rsid w:val="00F50CE7"/>
    <w:rsid w:val="00F544E1"/>
    <w:rsid w:val="00F81441"/>
    <w:rsid w:val="00F83872"/>
    <w:rsid w:val="00F94B32"/>
    <w:rsid w:val="00FB234E"/>
    <w:rsid w:val="00FB773B"/>
    <w:rsid w:val="00FD29F0"/>
    <w:rsid w:val="00FD5C10"/>
    <w:rsid w:val="00FE214C"/>
    <w:rsid w:val="00FE5B94"/>
    <w:rsid w:val="00FE6E90"/>
    <w:rsid w:val="00FE719D"/>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F00C-B9F3-4144-9B91-BB94C8D3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15</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37</cp:revision>
  <cp:lastPrinted>2016-07-20T20:17:00Z</cp:lastPrinted>
  <dcterms:created xsi:type="dcterms:W3CDTF">2016-07-19T20:00:00Z</dcterms:created>
  <dcterms:modified xsi:type="dcterms:W3CDTF">2016-07-20T20:19:00Z</dcterms:modified>
</cp:coreProperties>
</file>