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70F" w:rsidRPr="00F4675E" w:rsidRDefault="00D6270F" w:rsidP="00AA5B9C">
      <w:pPr>
        <w:tabs>
          <w:tab w:val="clear" w:pos="1440"/>
          <w:tab w:val="left" w:pos="360"/>
        </w:tabs>
        <w:spacing w:before="0" w:after="0" w:line="240" w:lineRule="auto"/>
        <w:ind w:left="420"/>
        <w:jc w:val="center"/>
        <w:rPr>
          <w:rFonts w:eastAsia="SimSun"/>
          <w:b/>
        </w:rPr>
      </w:pPr>
      <w:r w:rsidRPr="00F4675E">
        <w:rPr>
          <w:rFonts w:eastAsia="SimSun"/>
          <w:b/>
        </w:rPr>
        <w:t>BEFORE THE</w:t>
      </w:r>
    </w:p>
    <w:p w:rsidR="00D6270F" w:rsidRPr="00F4675E" w:rsidRDefault="00D6270F" w:rsidP="00AA5B9C">
      <w:pPr>
        <w:tabs>
          <w:tab w:val="clear" w:pos="1440"/>
          <w:tab w:val="left" w:pos="360"/>
        </w:tabs>
        <w:spacing w:before="0" w:after="0" w:line="240" w:lineRule="auto"/>
        <w:jc w:val="center"/>
        <w:rPr>
          <w:rFonts w:eastAsia="SimSun"/>
          <w:b/>
        </w:rPr>
      </w:pPr>
      <w:r w:rsidRPr="00F4675E">
        <w:rPr>
          <w:rFonts w:eastAsia="SimSun"/>
          <w:b/>
        </w:rPr>
        <w:t>PENNSYLVANIA PUBLIC UTILITY COMMISSION</w:t>
      </w:r>
    </w:p>
    <w:p w:rsidR="00D6270F" w:rsidRPr="00F4675E" w:rsidRDefault="00D6270F" w:rsidP="00AA5B9C">
      <w:pPr>
        <w:tabs>
          <w:tab w:val="clear" w:pos="1440"/>
          <w:tab w:val="left" w:pos="360"/>
        </w:tabs>
        <w:spacing w:before="0" w:after="0" w:line="240" w:lineRule="auto"/>
        <w:jc w:val="both"/>
        <w:rPr>
          <w:rFonts w:eastAsia="SimSun"/>
          <w:b/>
        </w:rPr>
      </w:pPr>
    </w:p>
    <w:p w:rsidR="00D6270F" w:rsidRPr="00F4675E" w:rsidRDefault="00D6270F" w:rsidP="00AA5B9C">
      <w:pPr>
        <w:tabs>
          <w:tab w:val="clear" w:pos="1440"/>
          <w:tab w:val="left" w:pos="360"/>
        </w:tabs>
        <w:spacing w:before="0" w:after="0" w:line="240" w:lineRule="auto"/>
        <w:jc w:val="both"/>
        <w:rPr>
          <w:rFonts w:eastAsia="SimSun"/>
          <w:b/>
        </w:rPr>
      </w:pPr>
    </w:p>
    <w:p w:rsidR="00D6270F" w:rsidRDefault="00D6270F" w:rsidP="00AA5B9C">
      <w:pPr>
        <w:tabs>
          <w:tab w:val="clear" w:pos="1440"/>
          <w:tab w:val="left" w:pos="360"/>
        </w:tabs>
        <w:spacing w:before="0" w:after="0" w:line="240" w:lineRule="auto"/>
        <w:jc w:val="both"/>
        <w:rPr>
          <w:rFonts w:eastAsia="SimSun"/>
          <w:b/>
        </w:rPr>
      </w:pPr>
    </w:p>
    <w:p w:rsidR="00D6270F" w:rsidRDefault="00D6270F" w:rsidP="00AA5B9C">
      <w:pPr>
        <w:tabs>
          <w:tab w:val="left" w:pos="0"/>
          <w:tab w:val="left" w:pos="5040"/>
        </w:tabs>
        <w:spacing w:before="0" w:after="0" w:line="240" w:lineRule="auto"/>
        <w:jc w:val="both"/>
        <w:rPr>
          <w:b/>
        </w:rPr>
      </w:pPr>
      <w:r>
        <w:t xml:space="preserve">Sharon Kremer  </w:t>
      </w:r>
      <w:r>
        <w:tab/>
        <w:t>:</w:t>
      </w:r>
    </w:p>
    <w:p w:rsidR="00D6270F" w:rsidRPr="00560DC5" w:rsidRDefault="00D6270F" w:rsidP="00AA5B9C">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D6270F" w:rsidRPr="003B279A" w:rsidRDefault="00D6270F" w:rsidP="00AA5B9C">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F-2016-2523765</w:t>
      </w:r>
    </w:p>
    <w:p w:rsidR="00D6270F" w:rsidRPr="00560DC5" w:rsidRDefault="00D6270F" w:rsidP="00AA5B9C">
      <w:pPr>
        <w:tabs>
          <w:tab w:val="left" w:pos="0"/>
        </w:tabs>
        <w:spacing w:before="0" w:after="0" w:line="240" w:lineRule="auto"/>
        <w:jc w:val="both"/>
      </w:pPr>
      <w:r>
        <w:tab/>
      </w:r>
      <w:r>
        <w:tab/>
      </w:r>
      <w:r>
        <w:tab/>
      </w:r>
      <w:r>
        <w:tab/>
      </w:r>
      <w:r>
        <w:tab/>
      </w:r>
      <w:r>
        <w:tab/>
      </w:r>
      <w:r w:rsidRPr="00560DC5">
        <w:t>:</w:t>
      </w:r>
    </w:p>
    <w:p w:rsidR="00D6270F" w:rsidRDefault="00D6270F" w:rsidP="00AA5B9C">
      <w:pPr>
        <w:tabs>
          <w:tab w:val="left" w:pos="0"/>
        </w:tabs>
        <w:spacing w:before="0" w:after="0" w:line="240" w:lineRule="auto"/>
        <w:jc w:val="both"/>
      </w:pPr>
      <w:r>
        <w:t>PPL Electric Utilities Corporation</w:t>
      </w:r>
      <w:r>
        <w:tab/>
      </w:r>
      <w:r>
        <w:tab/>
      </w:r>
      <w:r>
        <w:tab/>
      </w:r>
      <w:r w:rsidRPr="00560DC5">
        <w:t>:</w:t>
      </w:r>
    </w:p>
    <w:p w:rsidR="00D6270F" w:rsidRDefault="00D6270F" w:rsidP="00AA5B9C">
      <w:pPr>
        <w:tabs>
          <w:tab w:val="left" w:pos="0"/>
        </w:tabs>
        <w:spacing w:before="0" w:after="0" w:line="240" w:lineRule="auto"/>
        <w:jc w:val="both"/>
      </w:pPr>
      <w:r>
        <w:tab/>
      </w:r>
      <w:r>
        <w:tab/>
      </w:r>
    </w:p>
    <w:p w:rsidR="00D6270F" w:rsidRDefault="00D6270F" w:rsidP="00AA5B9C">
      <w:pPr>
        <w:tabs>
          <w:tab w:val="left" w:pos="0"/>
        </w:tabs>
        <w:spacing w:before="0" w:after="0" w:line="240" w:lineRule="auto"/>
        <w:jc w:val="both"/>
        <w:rPr>
          <w:b/>
        </w:rPr>
      </w:pPr>
    </w:p>
    <w:p w:rsidR="00667D42" w:rsidRDefault="00667D42" w:rsidP="00AA5B9C">
      <w:pPr>
        <w:spacing w:before="0" w:after="0" w:line="240" w:lineRule="auto"/>
      </w:pPr>
    </w:p>
    <w:p w:rsidR="00667D42" w:rsidRPr="002E36A8" w:rsidRDefault="00667D42" w:rsidP="00AA5B9C">
      <w:pPr>
        <w:spacing w:before="0" w:after="0" w:line="240" w:lineRule="auto"/>
        <w:jc w:val="center"/>
        <w:rPr>
          <w:b/>
          <w:u w:val="single"/>
        </w:rPr>
      </w:pPr>
      <w:r w:rsidRPr="002E36A8">
        <w:rPr>
          <w:b/>
          <w:u w:val="single"/>
        </w:rPr>
        <w:t>INITIAL DECISION</w:t>
      </w:r>
    </w:p>
    <w:p w:rsidR="002E36A8" w:rsidRDefault="002E36A8" w:rsidP="00AA5B9C">
      <w:pPr>
        <w:spacing w:before="0" w:after="0" w:line="240" w:lineRule="auto"/>
        <w:jc w:val="center"/>
      </w:pPr>
    </w:p>
    <w:p w:rsidR="00A60532" w:rsidRDefault="00A60532" w:rsidP="00AA5B9C">
      <w:pPr>
        <w:spacing w:before="0" w:after="0" w:line="240" w:lineRule="auto"/>
        <w:jc w:val="center"/>
      </w:pPr>
    </w:p>
    <w:p w:rsidR="00667D42" w:rsidRDefault="00667D42" w:rsidP="00AA5B9C">
      <w:pPr>
        <w:spacing w:before="0" w:after="0" w:line="240" w:lineRule="auto"/>
        <w:jc w:val="center"/>
      </w:pPr>
      <w:r>
        <w:t>Before</w:t>
      </w:r>
    </w:p>
    <w:p w:rsidR="00667D42" w:rsidRDefault="00667D42" w:rsidP="00AA5B9C">
      <w:pPr>
        <w:spacing w:before="0" w:after="0" w:line="240" w:lineRule="auto"/>
        <w:jc w:val="center"/>
      </w:pPr>
      <w:r>
        <w:t>Mary D. Long</w:t>
      </w:r>
    </w:p>
    <w:p w:rsidR="00667D42" w:rsidRDefault="00667D42" w:rsidP="00AA5B9C">
      <w:pPr>
        <w:spacing w:before="0" w:after="0" w:line="240" w:lineRule="auto"/>
        <w:jc w:val="center"/>
      </w:pPr>
      <w:r>
        <w:t>Administrative Law Judge</w:t>
      </w:r>
    </w:p>
    <w:p w:rsidR="00667D42" w:rsidRDefault="00667D42" w:rsidP="00AA5B9C">
      <w:pPr>
        <w:spacing w:before="0" w:after="0" w:line="240" w:lineRule="auto"/>
      </w:pPr>
    </w:p>
    <w:p w:rsidR="00A60532" w:rsidRDefault="00A60532" w:rsidP="00AA5B9C">
      <w:pPr>
        <w:spacing w:before="0" w:after="0" w:line="240" w:lineRule="auto"/>
      </w:pPr>
    </w:p>
    <w:p w:rsidR="00667D42" w:rsidRDefault="00667D42" w:rsidP="00AA5B9C">
      <w:pPr>
        <w:spacing w:before="0" w:after="0" w:line="240" w:lineRule="auto"/>
        <w:jc w:val="center"/>
        <w:rPr>
          <w:u w:val="single"/>
        </w:rPr>
      </w:pPr>
      <w:r w:rsidRPr="002E36A8">
        <w:rPr>
          <w:u w:val="single"/>
        </w:rPr>
        <w:t>INTRODUCTION</w:t>
      </w:r>
    </w:p>
    <w:p w:rsidR="00A60532" w:rsidRPr="002E36A8" w:rsidRDefault="00A60532" w:rsidP="00AA5B9C">
      <w:pPr>
        <w:spacing w:before="0" w:after="0" w:line="240" w:lineRule="auto"/>
        <w:jc w:val="center"/>
        <w:rPr>
          <w:u w:val="single"/>
        </w:rPr>
      </w:pPr>
    </w:p>
    <w:p w:rsidR="00C314B6" w:rsidRDefault="00C314B6" w:rsidP="00AA5B9C">
      <w:pPr>
        <w:spacing w:before="0" w:after="0" w:line="240" w:lineRule="auto"/>
      </w:pPr>
    </w:p>
    <w:p w:rsidR="00667D42" w:rsidRDefault="00667D42" w:rsidP="00AA5B9C">
      <w:pPr>
        <w:spacing w:before="0" w:after="0"/>
      </w:pPr>
      <w:r>
        <w:tab/>
        <w:t>A formal complaint in which a utility customer claims that she is entitled to a refund is dismissed.</w:t>
      </w:r>
    </w:p>
    <w:p w:rsidR="00A60532" w:rsidRDefault="00A60532" w:rsidP="00AA5B9C">
      <w:pPr>
        <w:spacing w:before="0" w:after="0" w:line="240" w:lineRule="auto"/>
        <w:jc w:val="center"/>
        <w:rPr>
          <w:u w:val="single"/>
        </w:rPr>
      </w:pPr>
    </w:p>
    <w:p w:rsidR="00C314B6" w:rsidRDefault="00C314B6" w:rsidP="00AA5B9C">
      <w:pPr>
        <w:spacing w:before="0" w:after="0" w:line="240" w:lineRule="auto"/>
        <w:jc w:val="center"/>
        <w:rPr>
          <w:u w:val="single"/>
        </w:rPr>
      </w:pPr>
    </w:p>
    <w:p w:rsidR="00667D42" w:rsidRDefault="00667D42" w:rsidP="007F5D2A">
      <w:pPr>
        <w:spacing w:before="0" w:after="0"/>
        <w:jc w:val="center"/>
        <w:rPr>
          <w:u w:val="single"/>
        </w:rPr>
      </w:pPr>
      <w:r w:rsidRPr="002E36A8">
        <w:rPr>
          <w:u w:val="single"/>
        </w:rPr>
        <w:t>HISTORY OF THE PROCEEDINGS</w:t>
      </w:r>
    </w:p>
    <w:p w:rsidR="004E3FEC" w:rsidRDefault="004E3FEC" w:rsidP="007F5D2A">
      <w:pPr>
        <w:spacing w:before="0" w:after="0"/>
        <w:jc w:val="center"/>
        <w:rPr>
          <w:u w:val="single"/>
        </w:rPr>
      </w:pPr>
    </w:p>
    <w:p w:rsidR="00667D42" w:rsidRDefault="00667D42" w:rsidP="004E3FEC">
      <w:pPr>
        <w:spacing w:before="0" w:after="0"/>
      </w:pPr>
      <w:r>
        <w:tab/>
        <w:t xml:space="preserve">On January 12, 2016, Sharon Kremer (Complainant) filed a formal complaint against PPL Electric Utilities Corporation (PPL) alleging that she was entitled to a refund of money which she </w:t>
      </w:r>
      <w:r w:rsidR="00761C43">
        <w:t xml:space="preserve">believes she </w:t>
      </w:r>
      <w:r>
        <w:t>overpaid on her account.  On February 2, 2016, PPL filed an answer denying the material allegations of the complaint, noting that the amount paid was required to reconnect the Complainant’s service which had been terminated for non-payment.</w:t>
      </w:r>
    </w:p>
    <w:p w:rsidR="007F5D2A" w:rsidRDefault="007F5D2A" w:rsidP="00AA5B9C">
      <w:pPr>
        <w:spacing w:before="0" w:after="0"/>
      </w:pPr>
    </w:p>
    <w:p w:rsidR="00667D42" w:rsidRDefault="00667D42" w:rsidP="00AA5B9C">
      <w:pPr>
        <w:spacing w:before="0" w:after="0"/>
      </w:pPr>
      <w:r>
        <w:tab/>
        <w:t xml:space="preserve">By hearing notice dated February 3, 2016, this matter was scheduled for a hearing on March 17, 2016, and assigned to me.  A prehearing order was served on February 5, 2016, setting forth the procedures for the conduct of the hearing.  </w:t>
      </w:r>
    </w:p>
    <w:p w:rsidR="00667D42" w:rsidRDefault="00667D42" w:rsidP="00AA5B9C">
      <w:pPr>
        <w:spacing w:before="0" w:after="0"/>
      </w:pPr>
      <w:r>
        <w:lastRenderedPageBreak/>
        <w:tab/>
        <w:t>The hearing convened as scheduled.  The Complainant appeared and was self-represented.  PPL appeared and was represented by Graig M. Schultz, Esquire.  The Complainant testified on her own behalf.  PPL presented the testimony of one witness, Brenda Snyder, and three exhibits which were admitted into the record.  The hearing resulted in a transcript of 79 pages.  By interim order dated April 19, 2016, the record was closed.</w:t>
      </w:r>
    </w:p>
    <w:p w:rsidR="007F5D2A" w:rsidRDefault="007F5D2A" w:rsidP="00AA5B9C">
      <w:pPr>
        <w:spacing w:before="0" w:after="0"/>
      </w:pPr>
    </w:p>
    <w:p w:rsidR="00667D42" w:rsidRDefault="00667D42" w:rsidP="00AA5B9C">
      <w:pPr>
        <w:spacing w:before="0" w:after="0"/>
        <w:jc w:val="center"/>
        <w:rPr>
          <w:u w:val="single"/>
        </w:rPr>
      </w:pPr>
      <w:r w:rsidRPr="004A64CB">
        <w:rPr>
          <w:u w:val="single"/>
        </w:rPr>
        <w:t>FINDINGS OF FACT</w:t>
      </w:r>
    </w:p>
    <w:p w:rsidR="007F5D2A" w:rsidRPr="004A64CB" w:rsidRDefault="007F5D2A" w:rsidP="00AA5B9C">
      <w:pPr>
        <w:spacing w:before="0" w:after="0"/>
        <w:jc w:val="center"/>
        <w:rPr>
          <w:u w:val="single"/>
        </w:rPr>
      </w:pPr>
    </w:p>
    <w:p w:rsidR="00667D42" w:rsidRDefault="00DF78E5" w:rsidP="00AA5B9C">
      <w:pPr>
        <w:pStyle w:val="ListParagraph"/>
      </w:pPr>
      <w:r>
        <w:t>The Complainant, Sharon Kremer, resides at 109 Poplar Place, Blakeslee, PA and receives electric utility service from PPL at that address.  (N.T. 12-13)</w:t>
      </w:r>
    </w:p>
    <w:p w:rsidR="007F5D2A" w:rsidRDefault="007F5D2A" w:rsidP="00AA5B9C">
      <w:pPr>
        <w:spacing w:before="0" w:after="0"/>
        <w:ind w:left="720"/>
      </w:pPr>
    </w:p>
    <w:p w:rsidR="00DF78E5" w:rsidRDefault="00DF78E5" w:rsidP="00AA5B9C">
      <w:pPr>
        <w:pStyle w:val="ListParagraph"/>
      </w:pPr>
      <w:r>
        <w:t>PPL is a jurisdictional public utility.</w:t>
      </w:r>
    </w:p>
    <w:p w:rsidR="007F5D2A" w:rsidRDefault="007F5D2A" w:rsidP="00AA5B9C">
      <w:pPr>
        <w:spacing w:before="0" w:after="0"/>
        <w:ind w:left="720"/>
      </w:pPr>
    </w:p>
    <w:p w:rsidR="0007593D" w:rsidRDefault="0007593D" w:rsidP="00AA5B9C">
      <w:pPr>
        <w:pStyle w:val="ListParagraph"/>
      </w:pPr>
      <w:r>
        <w:t>On October 20, 2015, PPL sent the Complainant a ten-day termination</w:t>
      </w:r>
      <w:r w:rsidR="00D414FC">
        <w:t xml:space="preserve"> notice</w:t>
      </w:r>
      <w:r>
        <w:t>.  (N.T. 29)</w:t>
      </w:r>
    </w:p>
    <w:p w:rsidR="007F5D2A" w:rsidRDefault="007F5D2A" w:rsidP="00AA5B9C">
      <w:pPr>
        <w:spacing w:before="0" w:after="0"/>
        <w:ind w:left="720"/>
      </w:pPr>
    </w:p>
    <w:p w:rsidR="006C5CCF" w:rsidRDefault="006C5CCF" w:rsidP="00AA5B9C">
      <w:pPr>
        <w:pStyle w:val="ListParagraph"/>
      </w:pPr>
      <w:r>
        <w:t>As of October 20, 2015, the Complainant’s account balance was $1,107.32.  (N.T. 33)</w:t>
      </w:r>
    </w:p>
    <w:p w:rsidR="007F5D2A" w:rsidRDefault="007F5D2A" w:rsidP="00AA5B9C">
      <w:pPr>
        <w:spacing w:before="0" w:after="0"/>
        <w:ind w:left="720"/>
      </w:pPr>
    </w:p>
    <w:p w:rsidR="00684665" w:rsidRDefault="00684665" w:rsidP="00AA5B9C">
      <w:pPr>
        <w:pStyle w:val="ListParagraph"/>
      </w:pPr>
      <w:r>
        <w:t xml:space="preserve">PPL left </w:t>
      </w:r>
      <w:r w:rsidR="00D414FC">
        <w:t xml:space="preserve">a </w:t>
      </w:r>
      <w:r>
        <w:t>phone message</w:t>
      </w:r>
      <w:r w:rsidR="00761C43">
        <w:t xml:space="preserve"> notifying </w:t>
      </w:r>
      <w:r w:rsidR="00A64539">
        <w:t xml:space="preserve">the Complainant </w:t>
      </w:r>
      <w:r w:rsidR="00761C43">
        <w:t>of the pending termination</w:t>
      </w:r>
      <w:r>
        <w:t xml:space="preserve"> on </w:t>
      </w:r>
      <w:r w:rsidR="00A64539">
        <w:t>her</w:t>
      </w:r>
      <w:r>
        <w:t xml:space="preserve"> </w:t>
      </w:r>
      <w:r w:rsidR="00761C43">
        <w:t>answering machine</w:t>
      </w:r>
      <w:r>
        <w:t xml:space="preserve"> on October 28, 2015. </w:t>
      </w:r>
      <w:r w:rsidR="00077F0D">
        <w:t xml:space="preserve"> </w:t>
      </w:r>
      <w:r>
        <w:t>(N.T. 29-20)</w:t>
      </w:r>
    </w:p>
    <w:p w:rsidR="007F5D2A" w:rsidRDefault="007F5D2A" w:rsidP="00AA5B9C">
      <w:pPr>
        <w:pStyle w:val="ListParagraph"/>
        <w:numPr>
          <w:ilvl w:val="0"/>
          <w:numId w:val="0"/>
        </w:numPr>
        <w:ind w:left="1440"/>
      </w:pPr>
    </w:p>
    <w:p w:rsidR="00B851E0" w:rsidRDefault="00B851E0" w:rsidP="00AA5B9C">
      <w:pPr>
        <w:pStyle w:val="ListParagraph"/>
      </w:pPr>
      <w:r>
        <w:t>The Complainant contacted PPL on November 4, 2015, and was informed that she would have to pay $516 in order to reinstate her payment arrangement and avoid service termination.  (N.T. 30)</w:t>
      </w:r>
    </w:p>
    <w:p w:rsidR="007F5D2A" w:rsidRDefault="007F5D2A" w:rsidP="00AA5B9C">
      <w:pPr>
        <w:pStyle w:val="ListParagraph"/>
        <w:numPr>
          <w:ilvl w:val="0"/>
          <w:numId w:val="0"/>
        </w:numPr>
        <w:ind w:left="1440"/>
      </w:pPr>
    </w:p>
    <w:p w:rsidR="00E83618" w:rsidRDefault="00E83618" w:rsidP="00AA5B9C">
      <w:pPr>
        <w:pStyle w:val="ListParagraph"/>
      </w:pPr>
      <w:r>
        <w:t>The Complainant did not agree to make the payment.  (N.T. 31-32)</w:t>
      </w:r>
    </w:p>
    <w:p w:rsidR="007F5D2A" w:rsidRDefault="007F5D2A" w:rsidP="00AA5B9C">
      <w:pPr>
        <w:pStyle w:val="ListParagraph"/>
        <w:numPr>
          <w:ilvl w:val="0"/>
          <w:numId w:val="0"/>
        </w:numPr>
        <w:ind w:left="1440"/>
      </w:pPr>
    </w:p>
    <w:p w:rsidR="00DF78E5" w:rsidRDefault="00DF78E5" w:rsidP="00AA5B9C">
      <w:pPr>
        <w:pStyle w:val="ListParagraph"/>
      </w:pPr>
      <w:r>
        <w:t>The Complainant’s utility service was</w:t>
      </w:r>
      <w:r w:rsidR="00B851E0">
        <w:t xml:space="preserve"> not</w:t>
      </w:r>
      <w:r>
        <w:t xml:space="preserve"> terminated </w:t>
      </w:r>
      <w:r w:rsidR="00B851E0">
        <w:t>until</w:t>
      </w:r>
      <w:r>
        <w:t xml:space="preserve"> November</w:t>
      </w:r>
      <w:r w:rsidR="0007593D">
        <w:t xml:space="preserve"> 17,</w:t>
      </w:r>
      <w:r>
        <w:t xml:space="preserve"> 2015.  (N.T. 14</w:t>
      </w:r>
      <w:r w:rsidR="0007593D">
        <w:t>; 28</w:t>
      </w:r>
      <w:r w:rsidR="00B851E0">
        <w:t>, 31</w:t>
      </w:r>
      <w:r>
        <w:t>)</w:t>
      </w:r>
    </w:p>
    <w:p w:rsidR="007F5D2A" w:rsidRDefault="007F5D2A" w:rsidP="00AA5B9C">
      <w:pPr>
        <w:pStyle w:val="ListParagraph"/>
        <w:numPr>
          <w:ilvl w:val="0"/>
          <w:numId w:val="0"/>
        </w:numPr>
        <w:ind w:left="1440"/>
      </w:pPr>
    </w:p>
    <w:p w:rsidR="00DF78E5" w:rsidRDefault="00DF78E5" w:rsidP="00AA5B9C">
      <w:pPr>
        <w:pStyle w:val="ListParagraph"/>
      </w:pPr>
      <w:r>
        <w:lastRenderedPageBreak/>
        <w:t>The Complainant contacted the Commission’s Bureau of Consumer Services (BCS)</w:t>
      </w:r>
      <w:r w:rsidR="00B851E0">
        <w:t xml:space="preserve"> and filed an informal complaint</w:t>
      </w:r>
      <w:r w:rsidR="00761C43">
        <w:t xml:space="preserve"> on November 25, 2015, </w:t>
      </w:r>
      <w:r w:rsidR="00BC7E5E">
        <w:t>after her service was terminated</w:t>
      </w:r>
      <w:r>
        <w:t>.</w:t>
      </w:r>
      <w:r w:rsidR="001D5280">
        <w:t xml:space="preserve"> </w:t>
      </w:r>
      <w:r>
        <w:t xml:space="preserve"> (N.T. 15</w:t>
      </w:r>
      <w:r w:rsidR="005A1AF3">
        <w:t>; 34</w:t>
      </w:r>
      <w:r>
        <w:t>)</w:t>
      </w:r>
    </w:p>
    <w:p w:rsidR="007F5D2A" w:rsidRDefault="007F5D2A" w:rsidP="00AA5B9C">
      <w:pPr>
        <w:pStyle w:val="ListParagraph"/>
        <w:numPr>
          <w:ilvl w:val="0"/>
          <w:numId w:val="0"/>
        </w:numPr>
        <w:ind w:left="1440"/>
      </w:pPr>
    </w:p>
    <w:p w:rsidR="00DF78E5" w:rsidRDefault="00544025" w:rsidP="00AA5B9C">
      <w:pPr>
        <w:pStyle w:val="ListParagraph"/>
      </w:pPr>
      <w:r>
        <w:t>On November 30, 2015, the Complainant</w:t>
      </w:r>
      <w:r w:rsidR="00DF78E5">
        <w:t xml:space="preserve"> contacted PPL</w:t>
      </w:r>
      <w:r>
        <w:t xml:space="preserve"> several times</w:t>
      </w:r>
      <w:r w:rsidR="00DF78E5">
        <w:t>.  (N.T. 17</w:t>
      </w:r>
      <w:r>
        <w:t>; PPL Ex. 2)</w:t>
      </w:r>
    </w:p>
    <w:p w:rsidR="007F5D2A" w:rsidRDefault="007F5D2A" w:rsidP="00AA5B9C">
      <w:pPr>
        <w:pStyle w:val="ListParagraph"/>
        <w:numPr>
          <w:ilvl w:val="0"/>
          <w:numId w:val="0"/>
        </w:numPr>
        <w:ind w:left="1440"/>
      </w:pPr>
    </w:p>
    <w:p w:rsidR="00DF78E5" w:rsidRDefault="00544025" w:rsidP="00AA5B9C">
      <w:pPr>
        <w:pStyle w:val="ListParagraph"/>
      </w:pPr>
      <w:r>
        <w:t>One</w:t>
      </w:r>
      <w:r w:rsidR="00DF78E5">
        <w:t xml:space="preserve"> PPL representative told her that PPL was not aware of any contact from BCS.  (N.T. 17)</w:t>
      </w:r>
    </w:p>
    <w:p w:rsidR="007F5D2A" w:rsidRDefault="007F5D2A" w:rsidP="00AA5B9C">
      <w:pPr>
        <w:pStyle w:val="ListParagraph"/>
        <w:numPr>
          <w:ilvl w:val="0"/>
          <w:numId w:val="0"/>
        </w:numPr>
        <w:ind w:left="1440"/>
      </w:pPr>
    </w:p>
    <w:p w:rsidR="00544025" w:rsidRDefault="00544025" w:rsidP="00AA5B9C">
      <w:pPr>
        <w:pStyle w:val="ListParagraph"/>
      </w:pPr>
      <w:r>
        <w:t>PPL negotiated the amount immediately due for reinstatement from $1,107.32, down to $ 775.12.  (N.T. 36; PPL Ex. 2)</w:t>
      </w:r>
    </w:p>
    <w:p w:rsidR="007F5D2A" w:rsidRDefault="007F5D2A" w:rsidP="00C31ACF">
      <w:pPr>
        <w:pStyle w:val="ListParagraph"/>
        <w:numPr>
          <w:ilvl w:val="0"/>
          <w:numId w:val="0"/>
        </w:numPr>
        <w:ind w:left="1440"/>
      </w:pPr>
    </w:p>
    <w:p w:rsidR="00DF78E5" w:rsidRDefault="00544025" w:rsidP="00C31ACF">
      <w:pPr>
        <w:pStyle w:val="ListParagraph"/>
      </w:pPr>
      <w:r>
        <w:t>A second PPL representative whom the Complainant spoke with on November 30, 2015, noted in the customer contact comments that PPL had not yet received a decision from BCS.  (PPL Ex. 4)</w:t>
      </w:r>
    </w:p>
    <w:p w:rsidR="007F5D2A" w:rsidRDefault="007F5D2A" w:rsidP="00C31ACF">
      <w:pPr>
        <w:pStyle w:val="ListParagraph"/>
        <w:numPr>
          <w:ilvl w:val="0"/>
          <w:numId w:val="0"/>
        </w:numPr>
        <w:ind w:left="1440"/>
      </w:pPr>
    </w:p>
    <w:p w:rsidR="005A1AF3" w:rsidRDefault="00DF78E5" w:rsidP="00C31ACF">
      <w:pPr>
        <w:pStyle w:val="ListParagraph"/>
      </w:pPr>
      <w:r>
        <w:t xml:space="preserve">The Complainant </w:t>
      </w:r>
      <w:r w:rsidR="00544025">
        <w:t xml:space="preserve">made two payments to </w:t>
      </w:r>
      <w:r>
        <w:t xml:space="preserve">PPL </w:t>
      </w:r>
      <w:r w:rsidR="00544025">
        <w:t xml:space="preserve">on </w:t>
      </w:r>
      <w:r w:rsidR="005A1AF3">
        <w:t>November 30, 2015,</w:t>
      </w:r>
      <w:r w:rsidR="00544025">
        <w:t xml:space="preserve"> in the amounts of $229 and $546.12, </w:t>
      </w:r>
      <w:r>
        <w:t>and her service was reinstated.  (N.T. 18</w:t>
      </w:r>
      <w:r w:rsidR="00544025">
        <w:t>; 37; PPL Ex. 1</w:t>
      </w:r>
      <w:r>
        <w:t>)</w:t>
      </w:r>
      <w:r w:rsidR="005A1AF3">
        <w:t xml:space="preserve"> </w:t>
      </w:r>
    </w:p>
    <w:p w:rsidR="007F5D2A" w:rsidRDefault="007F5D2A" w:rsidP="00C31ACF">
      <w:pPr>
        <w:pStyle w:val="ListParagraph"/>
        <w:numPr>
          <w:ilvl w:val="0"/>
          <w:numId w:val="0"/>
        </w:numPr>
      </w:pPr>
    </w:p>
    <w:p w:rsidR="00DF78E5" w:rsidRDefault="00810164" w:rsidP="00C31ACF">
      <w:pPr>
        <w:pStyle w:val="ListParagraph"/>
      </w:pPr>
      <w:r>
        <w:t>The Complainant’s service was reinstated on December 1, 2015.  (PPL Ex. 2; see N.T. 23)</w:t>
      </w:r>
    </w:p>
    <w:p w:rsidR="00C31ACF" w:rsidRDefault="00C31ACF" w:rsidP="00C31ACF">
      <w:pPr>
        <w:spacing w:before="0" w:after="0"/>
      </w:pPr>
    </w:p>
    <w:p w:rsidR="005A1AF3" w:rsidRDefault="005A1AF3" w:rsidP="00C31ACF">
      <w:pPr>
        <w:pStyle w:val="ListParagraph"/>
      </w:pPr>
      <w:r>
        <w:t>The BCS decision was rendered on December 1, 2015.  (N.T. 34)</w:t>
      </w:r>
    </w:p>
    <w:p w:rsidR="007F5D2A" w:rsidRDefault="007F5D2A" w:rsidP="00C31ACF">
      <w:pPr>
        <w:pStyle w:val="ListParagraph"/>
        <w:numPr>
          <w:ilvl w:val="0"/>
          <w:numId w:val="0"/>
        </w:numPr>
      </w:pPr>
    </w:p>
    <w:p w:rsidR="005A1AF3" w:rsidRDefault="005A1AF3" w:rsidP="00AA5B9C">
      <w:pPr>
        <w:pStyle w:val="ListParagraph"/>
      </w:pPr>
      <w:r>
        <w:t xml:space="preserve">The BCS decision directed the Complainant to pay $25 to reconnect her service and to pay a budget amount of $204 plus $25 toward her balance, for a total of $229 per month. </w:t>
      </w:r>
      <w:r w:rsidR="007F5D2A">
        <w:t xml:space="preserve"> </w:t>
      </w:r>
      <w:r>
        <w:t xml:space="preserve">(N.T. </w:t>
      </w:r>
      <w:r w:rsidR="002C1150">
        <w:t xml:space="preserve">18-19; </w:t>
      </w:r>
      <w:r>
        <w:t>35</w:t>
      </w:r>
      <w:r w:rsidR="00755593">
        <w:t>; PPL Ex. 4</w:t>
      </w:r>
      <w:r>
        <w:t>)</w:t>
      </w:r>
    </w:p>
    <w:p w:rsidR="00CC663D" w:rsidRDefault="00CC663D" w:rsidP="00CC663D">
      <w:pPr>
        <w:pStyle w:val="ListParagraph"/>
        <w:numPr>
          <w:ilvl w:val="0"/>
          <w:numId w:val="0"/>
        </w:numPr>
        <w:ind w:left="1440"/>
      </w:pPr>
    </w:p>
    <w:p w:rsidR="00277C6B" w:rsidRDefault="00DF78E5" w:rsidP="00AA5B9C">
      <w:pPr>
        <w:pStyle w:val="ListParagraph"/>
      </w:pPr>
      <w:r>
        <w:t>The Complainant contacted PPL because she want</w:t>
      </w:r>
      <w:r w:rsidR="0007593D">
        <w:t xml:space="preserve">ed a refund of </w:t>
      </w:r>
      <w:r w:rsidR="002C1150">
        <w:t>$521.12, which</w:t>
      </w:r>
      <w:r w:rsidR="0007593D">
        <w:t xml:space="preserve"> she had paid in excess of the $25 which was </w:t>
      </w:r>
      <w:r w:rsidR="002C1150">
        <w:t>required</w:t>
      </w:r>
      <w:r w:rsidR="0007593D">
        <w:t xml:space="preserve"> by BCS.  (N.T. 20, 23-24)</w:t>
      </w:r>
      <w:r w:rsidR="00277C6B" w:rsidRPr="00277C6B">
        <w:t xml:space="preserve"> </w:t>
      </w:r>
    </w:p>
    <w:p w:rsidR="00DF78E5" w:rsidRDefault="00277C6B" w:rsidP="00AA5B9C">
      <w:pPr>
        <w:pStyle w:val="ListParagraph"/>
      </w:pPr>
      <w:r>
        <w:lastRenderedPageBreak/>
        <w:t>Since the Complainant’s service was reconnected she enrolled in OnTrak and</w:t>
      </w:r>
      <w:r w:rsidR="006268AF">
        <w:t>,</w:t>
      </w:r>
      <w:r>
        <w:t xml:space="preserve"> she also received a LIHEAP grant.  (N.T. 24; 38-39)</w:t>
      </w:r>
    </w:p>
    <w:p w:rsidR="007F5D2A" w:rsidRDefault="007F5D2A" w:rsidP="00AA5B9C">
      <w:pPr>
        <w:pStyle w:val="ListParagraph"/>
        <w:numPr>
          <w:ilvl w:val="0"/>
          <w:numId w:val="0"/>
        </w:numPr>
        <w:ind w:left="1440"/>
      </w:pPr>
    </w:p>
    <w:p w:rsidR="0007593D" w:rsidRDefault="0007593D" w:rsidP="00AA5B9C">
      <w:pPr>
        <w:pStyle w:val="ListParagraph"/>
      </w:pPr>
      <w:r>
        <w:t>The Complainant called PPL at least six times between November 2015 and February 2016.  (N.T. 21)</w:t>
      </w:r>
    </w:p>
    <w:p w:rsidR="007F5D2A" w:rsidRDefault="007F5D2A" w:rsidP="00AA5B9C">
      <w:pPr>
        <w:pStyle w:val="ListParagraph"/>
        <w:numPr>
          <w:ilvl w:val="0"/>
          <w:numId w:val="0"/>
        </w:numPr>
        <w:ind w:left="1440"/>
      </w:pPr>
    </w:p>
    <w:p w:rsidR="00916184" w:rsidRDefault="00544025" w:rsidP="00AA5B9C">
      <w:pPr>
        <w:pStyle w:val="ListParagraph"/>
      </w:pPr>
      <w:r>
        <w:t>The Complainant could not recall the names of the customer service representatives to whom she spoke, but she spoke to a different person each time.  (N.T. 21)</w:t>
      </w:r>
      <w:r w:rsidR="00916184" w:rsidRPr="00916184">
        <w:t xml:space="preserve"> </w:t>
      </w:r>
    </w:p>
    <w:p w:rsidR="007F5D2A" w:rsidRDefault="007F5D2A" w:rsidP="00AA5B9C">
      <w:pPr>
        <w:pStyle w:val="ListParagraph"/>
        <w:numPr>
          <w:ilvl w:val="0"/>
          <w:numId w:val="0"/>
        </w:numPr>
        <w:ind w:left="1440"/>
      </w:pPr>
    </w:p>
    <w:p w:rsidR="00544025" w:rsidRDefault="00916184" w:rsidP="00AA5B9C">
      <w:pPr>
        <w:pStyle w:val="ListParagraph"/>
      </w:pPr>
      <w:r>
        <w:t>PPL’s customer contact records catalog seven contacts with the Complainant</w:t>
      </w:r>
      <w:r w:rsidRPr="00916184">
        <w:t xml:space="preserve"> </w:t>
      </w:r>
      <w:r>
        <w:t>on November 30, 2015, December 1, 2015, and on February 3, 2016.  (PPL Ex. 2)</w:t>
      </w:r>
    </w:p>
    <w:p w:rsidR="007F5D2A" w:rsidRDefault="007F5D2A" w:rsidP="00AA5B9C">
      <w:pPr>
        <w:pStyle w:val="ListParagraph"/>
        <w:numPr>
          <w:ilvl w:val="0"/>
          <w:numId w:val="0"/>
        </w:numPr>
        <w:ind w:left="1440"/>
      </w:pPr>
    </w:p>
    <w:p w:rsidR="0007593D" w:rsidRDefault="00277C6B" w:rsidP="00AA5B9C">
      <w:pPr>
        <w:pStyle w:val="ListParagraph"/>
      </w:pPr>
      <w:r>
        <w:t>On February 3, 2016, the Complainant called and asked for “Brenda.”  (N.T. 22; PPL Ex. 2)</w:t>
      </w:r>
    </w:p>
    <w:p w:rsidR="007F5D2A" w:rsidRDefault="007F5D2A" w:rsidP="00AA5B9C">
      <w:pPr>
        <w:pStyle w:val="ListParagraph"/>
        <w:numPr>
          <w:ilvl w:val="0"/>
          <w:numId w:val="0"/>
        </w:numPr>
        <w:ind w:left="1440"/>
      </w:pPr>
    </w:p>
    <w:p w:rsidR="00277C6B" w:rsidRDefault="00277C6B" w:rsidP="00AA5B9C">
      <w:pPr>
        <w:pStyle w:val="ListParagraph"/>
      </w:pPr>
      <w:r>
        <w:t>The customer service representative told the Complainant that Brenda would call her back.  (N.T. 22; PPL Ex. 2)</w:t>
      </w:r>
    </w:p>
    <w:p w:rsidR="007F5D2A" w:rsidRDefault="007F5D2A" w:rsidP="00AA5B9C">
      <w:pPr>
        <w:pStyle w:val="ListParagraph"/>
        <w:numPr>
          <w:ilvl w:val="0"/>
          <w:numId w:val="0"/>
        </w:numPr>
        <w:ind w:left="1440"/>
      </w:pPr>
    </w:p>
    <w:p w:rsidR="00277C6B" w:rsidRDefault="00277C6B" w:rsidP="00AA5B9C">
      <w:pPr>
        <w:pStyle w:val="ListParagraph"/>
      </w:pPr>
      <w:r>
        <w:t>PPL admits that the call was not returned.  (N.T. 50; PPL Ex. 2)</w:t>
      </w:r>
    </w:p>
    <w:p w:rsidR="007F5D2A" w:rsidRDefault="007F5D2A" w:rsidP="00AA5B9C">
      <w:pPr>
        <w:pStyle w:val="ListParagraph"/>
        <w:numPr>
          <w:ilvl w:val="0"/>
          <w:numId w:val="0"/>
        </w:numPr>
        <w:ind w:left="1440"/>
      </w:pPr>
    </w:p>
    <w:p w:rsidR="009A123D" w:rsidRDefault="009A123D" w:rsidP="00AA5B9C">
      <w:pPr>
        <w:spacing w:before="0" w:after="0"/>
        <w:jc w:val="center"/>
        <w:rPr>
          <w:u w:val="single"/>
        </w:rPr>
      </w:pPr>
      <w:r w:rsidRPr="009A123D">
        <w:rPr>
          <w:u w:val="single"/>
        </w:rPr>
        <w:t>DISCUSSION</w:t>
      </w:r>
    </w:p>
    <w:p w:rsidR="007F5D2A" w:rsidRDefault="007F5D2A" w:rsidP="00AA5B9C">
      <w:pPr>
        <w:spacing w:before="0" w:after="0"/>
        <w:jc w:val="center"/>
        <w:rPr>
          <w:u w:val="single"/>
        </w:rPr>
      </w:pPr>
    </w:p>
    <w:p w:rsidR="00D07C25" w:rsidRPr="00AC7009" w:rsidRDefault="00D07C25" w:rsidP="00AA5B9C">
      <w:pPr>
        <w:spacing w:before="0" w:after="0"/>
        <w:ind w:firstLine="1440"/>
        <w:rPr>
          <w:szCs w:val="24"/>
        </w:rPr>
      </w:pPr>
      <w:r w:rsidRPr="00AC7009">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AC7009">
        <w:rPr>
          <w:szCs w:val="24"/>
          <w:vertAlign w:val="superscript"/>
        </w:rPr>
        <w:footnoteReference w:id="1"/>
      </w:r>
      <w:r w:rsidRPr="00AC7009">
        <w:rPr>
          <w:szCs w:val="24"/>
        </w:rPr>
        <w:t xml:space="preserve">  A person seeking affirmative relief from the Commission has the burden of proof.</w:t>
      </w:r>
      <w:r w:rsidRPr="00AC7009">
        <w:rPr>
          <w:szCs w:val="24"/>
          <w:vertAlign w:val="superscript"/>
        </w:rPr>
        <w:footnoteReference w:id="2"/>
      </w:r>
    </w:p>
    <w:p w:rsidR="00D07C25" w:rsidRDefault="00D07C25" w:rsidP="00AA5B9C">
      <w:pPr>
        <w:spacing w:before="0" w:after="0"/>
        <w:ind w:firstLine="1440"/>
        <w:rPr>
          <w:szCs w:val="24"/>
        </w:rPr>
      </w:pPr>
      <w:r w:rsidRPr="00AC7009">
        <w:rPr>
          <w:szCs w:val="24"/>
        </w:rPr>
        <w:lastRenderedPageBreak/>
        <w:t>In this matter, the Complainant is the party seeking affirmative relief from the Commission; therefore, she has the burden of proof.  This means that she must establish a material fact by a preponderance of the evidence, and must show that the company has violated the Public Utility Code or Commission regulations.</w:t>
      </w:r>
      <w:r w:rsidRPr="00AC7009">
        <w:rPr>
          <w:szCs w:val="24"/>
          <w:vertAlign w:val="superscript"/>
        </w:rPr>
        <w:footnoteReference w:id="3"/>
      </w:r>
      <w:r w:rsidRPr="00AC7009">
        <w:rPr>
          <w:szCs w:val="24"/>
        </w:rPr>
        <w:t xml:space="preserve"> </w:t>
      </w:r>
    </w:p>
    <w:p w:rsidR="000075A0" w:rsidRDefault="000075A0" w:rsidP="00AA5B9C">
      <w:pPr>
        <w:spacing w:before="0" w:after="0"/>
        <w:ind w:firstLine="1440"/>
        <w:rPr>
          <w:szCs w:val="24"/>
        </w:rPr>
      </w:pPr>
    </w:p>
    <w:p w:rsidR="00D07C25" w:rsidRDefault="00D07C25" w:rsidP="00AA5B9C">
      <w:pPr>
        <w:spacing w:before="0" w:after="0"/>
      </w:pPr>
      <w:r>
        <w:tab/>
      </w:r>
      <w:r w:rsidRPr="00BE0EE1">
        <w:t>Section 1501 of the Code,</w:t>
      </w:r>
      <w:r>
        <w:rPr>
          <w:rStyle w:val="FootnoteReference"/>
        </w:rPr>
        <w:footnoteReference w:id="4"/>
      </w:r>
      <w:r w:rsidRPr="00BE0EE1">
        <w:t xml:space="preserve">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w:t>
      </w:r>
      <w:r>
        <w:rPr>
          <w:rStyle w:val="FootnoteReference"/>
        </w:rPr>
        <w:footnoteReference w:id="5"/>
      </w:r>
      <w:r w:rsidRPr="00BE0EE1">
        <w:t xml:space="preserve">  </w:t>
      </w:r>
    </w:p>
    <w:p w:rsidR="00D07C25" w:rsidRDefault="00D07C25" w:rsidP="00AA5B9C">
      <w:pPr>
        <w:spacing w:before="0" w:after="0"/>
      </w:pPr>
    </w:p>
    <w:p w:rsidR="00D07C25" w:rsidRDefault="00D07C25" w:rsidP="00AA5B9C">
      <w:pPr>
        <w:spacing w:before="0" w:after="0"/>
      </w:pPr>
      <w:r>
        <w:tab/>
      </w:r>
      <w:r w:rsidRPr="00382788">
        <w:t>The Commonwealth Court has cautioned that the Commission may not sustain a complaint pursuant to Section 1501 unless it finds that a utility has violated a duty to render reasonable and reliable service.</w:t>
      </w:r>
      <w:r w:rsidRPr="00382788">
        <w:rPr>
          <w:vertAlign w:val="superscript"/>
        </w:rPr>
        <w:footnoteReference w:id="6"/>
      </w:r>
      <w:r w:rsidRPr="00382788">
        <w:t xml:space="preserve">  Further, the Commission has stated that a utility is not mandated to furnish perfect service:</w:t>
      </w:r>
    </w:p>
    <w:p w:rsidR="00D07C25" w:rsidRPr="00382788" w:rsidRDefault="00D07C25" w:rsidP="007F5D2A">
      <w:pPr>
        <w:spacing w:before="0" w:after="0" w:line="240" w:lineRule="auto"/>
      </w:pPr>
    </w:p>
    <w:p w:rsidR="00D07C25" w:rsidRDefault="00D07C25" w:rsidP="007F5D2A">
      <w:pPr>
        <w:spacing w:before="0" w:after="0" w:line="240" w:lineRule="auto"/>
        <w:ind w:left="1440" w:right="1440"/>
      </w:pPr>
      <w:r w:rsidRPr="00382788">
        <w:t>[Section 1501] does not mandate perfect service nor must a public utility provide the best possible service.  Most certainly, a public utility is not a guarantor of either perfect service or the best possible service.</w:t>
      </w:r>
      <w:r w:rsidRPr="00382788">
        <w:rPr>
          <w:vertAlign w:val="superscript"/>
        </w:rPr>
        <w:footnoteReference w:id="7"/>
      </w:r>
    </w:p>
    <w:p w:rsidR="00D07C25" w:rsidRPr="00382788" w:rsidRDefault="00D07C25" w:rsidP="007F5D2A">
      <w:pPr>
        <w:spacing w:before="0" w:after="0"/>
        <w:ind w:left="1440" w:right="1440"/>
      </w:pPr>
    </w:p>
    <w:p w:rsidR="00D07C25" w:rsidRDefault="00D07C25" w:rsidP="007F5D2A">
      <w:pPr>
        <w:spacing w:before="0" w:after="0"/>
      </w:pPr>
      <w:r w:rsidRPr="00382788">
        <w:lastRenderedPageBreak/>
        <w:t>Thus the test to determine the adequacy of a utility’s service and facilities is that of reasonableness.</w:t>
      </w:r>
      <w:r w:rsidRPr="00382788">
        <w:rPr>
          <w:vertAlign w:val="superscript"/>
        </w:rPr>
        <w:footnoteReference w:id="8"/>
      </w:r>
      <w:r w:rsidRPr="00382788">
        <w:t xml:space="preserve">  This is also the test to determine the adequacy of a utility’s response to customer service complaints, as well as repairs made to its facilities.</w:t>
      </w:r>
      <w:r w:rsidRPr="00382788">
        <w:rPr>
          <w:vertAlign w:val="superscript"/>
        </w:rPr>
        <w:footnoteReference w:id="9"/>
      </w:r>
    </w:p>
    <w:p w:rsidR="00E26D13" w:rsidRDefault="00E26D13" w:rsidP="007F5D2A">
      <w:pPr>
        <w:spacing w:before="0" w:after="0"/>
      </w:pPr>
    </w:p>
    <w:p w:rsidR="001453AB" w:rsidRDefault="001453AB" w:rsidP="007F5D2A">
      <w:pPr>
        <w:spacing w:before="0" w:after="0"/>
      </w:pPr>
      <w:r>
        <w:tab/>
        <w:t>I find that PPL did not violate any provisions of the Public Utility Code, nor was the service rendered to the Complainant unreasonable within the meaning of the Public Utility Code.  First, PPL did not err by negotiating with the Complainant for the reconnection of her service during the pendency of her informal BCS complaint. There is nothing in the Commission’s statute or regulations which precludes a utility from working with a customer to restore service even where there has been an informal complaint filed.  Indeed, Commission policy encourages settlements between ratepayers and public utilities.</w:t>
      </w:r>
      <w:r w:rsidR="00E26D13">
        <w:rPr>
          <w:rStyle w:val="FootnoteReference"/>
        </w:rPr>
        <w:footnoteReference w:id="10"/>
      </w:r>
      <w:r>
        <w:t xml:space="preserve">  </w:t>
      </w:r>
    </w:p>
    <w:p w:rsidR="00E26D13" w:rsidRDefault="00E26D13" w:rsidP="007F5D2A">
      <w:pPr>
        <w:spacing w:before="0" w:after="0"/>
      </w:pPr>
    </w:p>
    <w:p w:rsidR="00E26D13" w:rsidRDefault="001453AB" w:rsidP="007F5D2A">
      <w:pPr>
        <w:spacing w:before="0" w:after="0"/>
      </w:pPr>
      <w:r>
        <w:tab/>
        <w:t>Here, PPL agreed to accept less than the full amount due in order to reconnect the Complainant’s service.  The Complainant agreed to the terms and made the payment</w:t>
      </w:r>
      <w:r w:rsidR="00E26D13">
        <w:t>.</w:t>
      </w:r>
      <w:r>
        <w:t xml:space="preserve"> </w:t>
      </w:r>
      <w:r w:rsidR="00E26D13">
        <w:t xml:space="preserve"> </w:t>
      </w:r>
      <w:r>
        <w:t>At the time the Complainant made the agreed payment neither the Complainant nor PPL were aware that BCS would complete its investigation and notify the parties of its decision the following day, which would include a lower amount required for reconnection.  There is no dispute that the Complainant owed the amount that she agreed to pay.  Therefore, there is no basis upon which to direct PPL to refund any portion of the payment the Complainant made on November 30, 2015, to reconnect her service.</w:t>
      </w:r>
    </w:p>
    <w:p w:rsidR="00E26D13" w:rsidRDefault="00E26D13" w:rsidP="007F5D2A">
      <w:pPr>
        <w:spacing w:before="0" w:after="0"/>
      </w:pPr>
    </w:p>
    <w:p w:rsidR="00F8316F" w:rsidRDefault="00F8316F" w:rsidP="007F5D2A">
      <w:pPr>
        <w:spacing w:before="0" w:after="0"/>
      </w:pPr>
      <w:r>
        <w:tab/>
        <w:t>The record also does not demonstrate that PPL violated Section 1501 by failing to render reasonable customer service.  The Complainant alleges that she made calls to PPL that were not recorded on her customer contact record.  The Complainant also alleges that she left a message for a customer service representative, Brenda Snyder, to call her back and Ms. Snyder never returned her call.</w:t>
      </w:r>
    </w:p>
    <w:p w:rsidR="00E26D13" w:rsidRDefault="00E26D13" w:rsidP="007F5D2A">
      <w:pPr>
        <w:spacing w:before="0" w:after="0"/>
      </w:pPr>
    </w:p>
    <w:p w:rsidR="00F8316F" w:rsidRDefault="00F8316F" w:rsidP="007F5D2A">
      <w:pPr>
        <w:spacing w:before="0" w:after="0"/>
      </w:pPr>
      <w:r>
        <w:lastRenderedPageBreak/>
        <w:tab/>
        <w:t>PPL admits that Ms. Snyder failed to return the Complainant’s phone call.  Of course, this is not a best practice for customer service representatives.  However, as noted above, public utilities are not required to render perfect service</w:t>
      </w:r>
      <w:r w:rsidR="00E26D13">
        <w:t xml:space="preserve"> or even the best possible service</w:t>
      </w:r>
      <w:r>
        <w:t>.  The customer account history notes that the Complainant did contact PPL on several occasions and that her concerns were addressed</w:t>
      </w:r>
      <w:r w:rsidR="00E26D13">
        <w:t xml:space="preserve"> by a customer service representative</w:t>
      </w:r>
      <w:r>
        <w:t xml:space="preserve">.  Clearly, the Complainant </w:t>
      </w:r>
      <w:r w:rsidR="00E26D13">
        <w:t>was not satisfied</w:t>
      </w:r>
      <w:r>
        <w:t xml:space="preserve"> with the outcome of </w:t>
      </w:r>
      <w:r w:rsidR="00E26D13">
        <w:t>every</w:t>
      </w:r>
      <w:r>
        <w:t xml:space="preserve"> conversation</w:t>
      </w:r>
      <w:r w:rsidR="00E26D13">
        <w:t>.</w:t>
      </w:r>
      <w:r>
        <w:t xml:space="preserve">  </w:t>
      </w:r>
      <w:r w:rsidR="00E26D13">
        <w:t>However, t</w:t>
      </w:r>
      <w:r>
        <w:t>he Complainant was also subsequently enrolled in PPL’s customer assistance program, OnTrak.  In totality, the Complainant’s challenges in paying for electricity service were ultimately met by PPL</w:t>
      </w:r>
      <w:r w:rsidR="006268AF">
        <w:t>,</w:t>
      </w:r>
      <w:r>
        <w:t xml:space="preserve"> and the record does not support a finding that Section 1501 was violated.</w:t>
      </w:r>
    </w:p>
    <w:p w:rsidR="00E26D13" w:rsidRDefault="00E26D13" w:rsidP="007F5D2A">
      <w:pPr>
        <w:spacing w:before="0" w:after="0"/>
      </w:pPr>
    </w:p>
    <w:p w:rsidR="00F8316F" w:rsidRDefault="00F8316F" w:rsidP="007F5D2A">
      <w:pPr>
        <w:spacing w:before="0" w:after="0"/>
      </w:pPr>
      <w:r>
        <w:tab/>
        <w:t xml:space="preserve">It may well be that the Complainant made calls to PPL that were not recorded in her customer contacts.  However, she could not remember the dates that she called nor could she remember </w:t>
      </w:r>
      <w:r w:rsidR="00E26D13">
        <w:t>to whom she spoke</w:t>
      </w:r>
      <w:r>
        <w:t xml:space="preserve">.  She did not describe the content of </w:t>
      </w:r>
      <w:r w:rsidR="00C31ACF">
        <w:t xml:space="preserve">any of </w:t>
      </w:r>
      <w:r>
        <w:t>the conversation</w:t>
      </w:r>
      <w:r w:rsidR="00C31ACF">
        <w:t>s</w:t>
      </w:r>
      <w:r>
        <w:t xml:space="preserve">.  Therefore, she failed in her burden of proving that PPL </w:t>
      </w:r>
      <w:r w:rsidR="00CF228F">
        <w:t>did not</w:t>
      </w:r>
      <w:r>
        <w:t xml:space="preserve"> record a customer contact that should have been included with her account record.</w:t>
      </w:r>
    </w:p>
    <w:p w:rsidR="00426EBB" w:rsidRDefault="00426EBB" w:rsidP="007F5D2A">
      <w:pPr>
        <w:spacing w:before="0" w:after="0"/>
      </w:pPr>
    </w:p>
    <w:p w:rsidR="00F8316F" w:rsidRDefault="00F8316F" w:rsidP="007F5D2A">
      <w:pPr>
        <w:spacing w:before="0" w:after="0"/>
      </w:pPr>
      <w:r>
        <w:tab/>
        <w:t xml:space="preserve">In sum, the Complainant did not </w:t>
      </w:r>
      <w:r w:rsidR="00E26D13">
        <w:t>prove</w:t>
      </w:r>
      <w:r>
        <w:t xml:space="preserve"> that PPL violated the Public Utility Code, the Commission’s regulations or any order of the Commission.  Therefore, her complaint must be dismissed.</w:t>
      </w:r>
    </w:p>
    <w:p w:rsidR="00426EBB" w:rsidRDefault="00426EBB" w:rsidP="007F5D2A">
      <w:pPr>
        <w:spacing w:before="0" w:after="0"/>
      </w:pPr>
    </w:p>
    <w:p w:rsidR="00F8316F" w:rsidRDefault="00F8316F" w:rsidP="007F5D2A">
      <w:pPr>
        <w:spacing w:before="0" w:after="0"/>
        <w:jc w:val="center"/>
        <w:rPr>
          <w:u w:val="single"/>
        </w:rPr>
      </w:pPr>
      <w:r w:rsidRPr="00A85F5E">
        <w:rPr>
          <w:u w:val="single"/>
        </w:rPr>
        <w:t>CONCLUSION OF LAW</w:t>
      </w:r>
    </w:p>
    <w:p w:rsidR="00C314B6" w:rsidRPr="00A85F5E" w:rsidRDefault="00C314B6" w:rsidP="007F5D2A">
      <w:pPr>
        <w:spacing w:before="0" w:after="0"/>
        <w:jc w:val="center"/>
        <w:rPr>
          <w:u w:val="single"/>
        </w:rPr>
      </w:pPr>
    </w:p>
    <w:p w:rsidR="00F8316F" w:rsidRDefault="00F8316F" w:rsidP="007F5D2A">
      <w:pPr>
        <w:spacing w:before="0" w:after="0"/>
      </w:pPr>
      <w:r>
        <w:tab/>
        <w:t>1.</w:t>
      </w:r>
      <w:r>
        <w:tab/>
        <w:t>The Commission has jurisdiction over the parties and subject matter of this dispute.  66 Pa.C.S. § 701.</w:t>
      </w:r>
    </w:p>
    <w:p w:rsidR="00C314B6" w:rsidRDefault="00C314B6" w:rsidP="007F5D2A">
      <w:pPr>
        <w:spacing w:before="0" w:after="0"/>
      </w:pPr>
    </w:p>
    <w:p w:rsidR="00F8316F" w:rsidRDefault="00F8316F" w:rsidP="007F5D2A">
      <w:pPr>
        <w:spacing w:before="0" w:after="0"/>
      </w:pPr>
      <w:r>
        <w:tab/>
        <w:t>2.</w:t>
      </w:r>
      <w:r>
        <w:tab/>
        <w:t xml:space="preserve">The </w:t>
      </w:r>
      <w:r w:rsidR="00B23ABF">
        <w:t>Complainant</w:t>
      </w:r>
      <w:r>
        <w:t xml:space="preserve"> bears the burden of proof.  66 Pa.C.S. § 332.</w:t>
      </w:r>
    </w:p>
    <w:p w:rsidR="00C314B6" w:rsidRDefault="00C314B6" w:rsidP="007F5D2A">
      <w:pPr>
        <w:spacing w:before="0" w:after="0"/>
      </w:pPr>
    </w:p>
    <w:p w:rsidR="00F8316F" w:rsidRDefault="00F8316F" w:rsidP="007F5D2A">
      <w:pPr>
        <w:spacing w:before="0" w:after="0"/>
      </w:pPr>
      <w:r>
        <w:tab/>
        <w:t>3.</w:t>
      </w:r>
      <w:r>
        <w:tab/>
        <w:t>A public utility is required to render reasonable service, not perfect service.  66 Pa.C.S. § 1501.</w:t>
      </w:r>
    </w:p>
    <w:p w:rsidR="00C314B6" w:rsidRDefault="00C314B6" w:rsidP="007F5D2A">
      <w:pPr>
        <w:spacing w:before="0" w:after="0"/>
      </w:pPr>
    </w:p>
    <w:p w:rsidR="00F8316F" w:rsidRDefault="00F8316F" w:rsidP="008E20BD">
      <w:pPr>
        <w:spacing w:before="0" w:after="0"/>
      </w:pPr>
      <w:r>
        <w:lastRenderedPageBreak/>
        <w:tab/>
        <w:t>4.</w:t>
      </w:r>
      <w:r>
        <w:tab/>
        <w:t xml:space="preserve">PPL did not violate Section 1501 of the Public Utility Code.  66 Pa.C.S. </w:t>
      </w:r>
      <w:r w:rsidR="00C314B6">
        <w:br w:type="textWrapping" w:clear="all"/>
      </w:r>
      <w:r>
        <w:t>§ 1501.</w:t>
      </w:r>
    </w:p>
    <w:p w:rsidR="008E20BD" w:rsidRDefault="008E20BD" w:rsidP="008E20BD">
      <w:pPr>
        <w:spacing w:before="0" w:after="0"/>
      </w:pPr>
    </w:p>
    <w:p w:rsidR="00C31ACF" w:rsidRDefault="00C31ACF" w:rsidP="008E20BD">
      <w:pPr>
        <w:spacing w:before="0" w:after="0"/>
      </w:pPr>
      <w:bookmarkStart w:id="0" w:name="_GoBack"/>
      <w:bookmarkEnd w:id="0"/>
      <w:r>
        <w:tab/>
        <w:t>5.</w:t>
      </w:r>
      <w:r>
        <w:tab/>
        <w:t>The Complainant failed to sustain her burden of proof.</w:t>
      </w:r>
    </w:p>
    <w:p w:rsidR="00C314B6" w:rsidRDefault="00C314B6" w:rsidP="008E20BD">
      <w:pPr>
        <w:spacing w:before="0" w:after="0"/>
      </w:pPr>
    </w:p>
    <w:p w:rsidR="00F8316F" w:rsidRDefault="00F8316F" w:rsidP="007F5D2A">
      <w:pPr>
        <w:spacing w:before="0" w:after="0"/>
        <w:jc w:val="center"/>
        <w:rPr>
          <w:u w:val="single"/>
        </w:rPr>
      </w:pPr>
      <w:r w:rsidRPr="00F8316F">
        <w:rPr>
          <w:u w:val="single"/>
        </w:rPr>
        <w:t>ORDER</w:t>
      </w:r>
    </w:p>
    <w:p w:rsidR="00C314B6" w:rsidRDefault="00C314B6" w:rsidP="007F5D2A">
      <w:pPr>
        <w:spacing w:before="0" w:after="0"/>
        <w:jc w:val="center"/>
        <w:rPr>
          <w:u w:val="single"/>
        </w:rPr>
      </w:pPr>
    </w:p>
    <w:p w:rsidR="00C314B6" w:rsidRPr="00F8316F" w:rsidRDefault="00C314B6" w:rsidP="007F5D2A">
      <w:pPr>
        <w:spacing w:before="0" w:after="0"/>
        <w:jc w:val="center"/>
        <w:rPr>
          <w:u w:val="single"/>
        </w:rPr>
      </w:pPr>
    </w:p>
    <w:p w:rsidR="00F8316F" w:rsidRDefault="00C314B6" w:rsidP="007F5D2A">
      <w:pPr>
        <w:spacing w:before="0" w:after="0"/>
      </w:pPr>
      <w:r>
        <w:tab/>
      </w:r>
      <w:r w:rsidR="00F8316F">
        <w:t>THEREFORE,</w:t>
      </w:r>
    </w:p>
    <w:p w:rsidR="00C314B6" w:rsidRDefault="00C314B6" w:rsidP="007F5D2A">
      <w:pPr>
        <w:spacing w:before="0" w:after="0"/>
      </w:pPr>
    </w:p>
    <w:p w:rsidR="00F8316F" w:rsidRDefault="00C314B6" w:rsidP="007F5D2A">
      <w:pPr>
        <w:spacing w:before="0" w:after="0"/>
      </w:pPr>
      <w:r>
        <w:tab/>
      </w:r>
      <w:r w:rsidR="00F8316F">
        <w:t>IT IS ORDERED:</w:t>
      </w:r>
    </w:p>
    <w:p w:rsidR="00C314B6" w:rsidRDefault="00C314B6" w:rsidP="007F5D2A">
      <w:pPr>
        <w:spacing w:before="0" w:after="0"/>
      </w:pPr>
    </w:p>
    <w:p w:rsidR="00F8316F" w:rsidRDefault="00F8316F" w:rsidP="007F5D2A">
      <w:pPr>
        <w:spacing w:before="0" w:after="0"/>
      </w:pPr>
      <w:r>
        <w:tab/>
        <w:t>1.</w:t>
      </w:r>
      <w:r>
        <w:tab/>
        <w:t>That the formal complaint of Sharon Kremer at Docket No. F-2016-2523765 is hereby dismissed.</w:t>
      </w:r>
    </w:p>
    <w:p w:rsidR="00C314B6" w:rsidRDefault="00C314B6" w:rsidP="007F5D2A">
      <w:pPr>
        <w:spacing w:before="0" w:after="0"/>
      </w:pPr>
    </w:p>
    <w:p w:rsidR="00F8316F" w:rsidRDefault="00F8316F" w:rsidP="007F5D2A">
      <w:pPr>
        <w:spacing w:before="0" w:after="0"/>
      </w:pPr>
      <w:r>
        <w:tab/>
        <w:t>2.</w:t>
      </w:r>
      <w:r>
        <w:tab/>
        <w:t>That the Secretary shall mark the docket closed.</w:t>
      </w:r>
    </w:p>
    <w:p w:rsidR="001453AB" w:rsidRDefault="001453AB" w:rsidP="007F5D2A">
      <w:pPr>
        <w:spacing w:before="0" w:after="0"/>
      </w:pPr>
      <w:r>
        <w:tab/>
      </w:r>
    </w:p>
    <w:p w:rsidR="00D07C25" w:rsidRDefault="00D07C25" w:rsidP="007F5D2A">
      <w:pPr>
        <w:spacing w:before="0" w:after="0"/>
        <w:rPr>
          <w:u w:val="single"/>
        </w:rPr>
      </w:pPr>
    </w:p>
    <w:p w:rsidR="00C314B6" w:rsidRPr="00C314B6" w:rsidRDefault="00C314B6" w:rsidP="007F5D2A">
      <w:pPr>
        <w:tabs>
          <w:tab w:val="clear" w:pos="1440"/>
        </w:tabs>
        <w:spacing w:before="0" w:after="0" w:line="240" w:lineRule="auto"/>
      </w:pPr>
      <w:r w:rsidRPr="00C314B6">
        <w:rPr>
          <w:spacing w:val="-3"/>
          <w:szCs w:val="24"/>
        </w:rPr>
        <w:t xml:space="preserve">Date:  </w:t>
      </w:r>
      <w:r w:rsidR="007145DD">
        <w:rPr>
          <w:spacing w:val="-3"/>
          <w:szCs w:val="24"/>
          <w:u w:val="single"/>
        </w:rPr>
        <w:t>July 5</w:t>
      </w:r>
      <w:r w:rsidRPr="00C314B6">
        <w:rPr>
          <w:spacing w:val="-3"/>
          <w:szCs w:val="24"/>
          <w:u w:val="single"/>
        </w:rPr>
        <w:t>, 2016</w:t>
      </w:r>
      <w:r w:rsidRPr="00C314B6">
        <w:rPr>
          <w:spacing w:val="-3"/>
          <w:szCs w:val="24"/>
        </w:rPr>
        <w:tab/>
      </w:r>
      <w:r w:rsidRPr="00C314B6">
        <w:rPr>
          <w:spacing w:val="-3"/>
          <w:szCs w:val="24"/>
        </w:rPr>
        <w:tab/>
      </w:r>
      <w:r w:rsidRPr="00C314B6">
        <w:rPr>
          <w:spacing w:val="-3"/>
          <w:szCs w:val="24"/>
        </w:rPr>
        <w:tab/>
      </w:r>
      <w:r w:rsidRPr="00C314B6">
        <w:rPr>
          <w:spacing w:val="-3"/>
          <w:szCs w:val="24"/>
        </w:rPr>
        <w:tab/>
      </w:r>
      <w:r w:rsidRPr="00C314B6">
        <w:rPr>
          <w:spacing w:val="-3"/>
          <w:szCs w:val="24"/>
        </w:rPr>
        <w:tab/>
      </w:r>
      <w:r w:rsidRPr="00C314B6">
        <w:rPr>
          <w:u w:val="single"/>
        </w:rPr>
        <w:tab/>
      </w:r>
      <w:r w:rsidRPr="00C314B6">
        <w:rPr>
          <w:u w:val="single"/>
        </w:rPr>
        <w:tab/>
        <w:t>/s/</w:t>
      </w:r>
      <w:r w:rsidRPr="00C314B6">
        <w:rPr>
          <w:u w:val="single"/>
        </w:rPr>
        <w:tab/>
      </w:r>
      <w:r w:rsidRPr="00C314B6">
        <w:rPr>
          <w:u w:val="single"/>
        </w:rPr>
        <w:tab/>
      </w:r>
      <w:r w:rsidRPr="00C314B6">
        <w:rPr>
          <w:u w:val="single"/>
        </w:rPr>
        <w:tab/>
      </w:r>
      <w:r w:rsidRPr="00C314B6">
        <w:rPr>
          <w:u w:val="single"/>
        </w:rPr>
        <w:tab/>
      </w:r>
      <w:r w:rsidRPr="00C314B6">
        <w:tab/>
      </w:r>
      <w:r w:rsidRPr="00C314B6">
        <w:tab/>
      </w:r>
      <w:r w:rsidRPr="00C314B6">
        <w:tab/>
      </w:r>
      <w:r w:rsidRPr="00C314B6">
        <w:tab/>
      </w:r>
      <w:r w:rsidRPr="00C314B6">
        <w:tab/>
      </w:r>
      <w:r w:rsidRPr="00C314B6">
        <w:tab/>
      </w:r>
      <w:r w:rsidRPr="00C314B6">
        <w:tab/>
        <w:t>Mary D. Long</w:t>
      </w:r>
      <w:r w:rsidRPr="00C314B6">
        <w:tab/>
      </w:r>
      <w:r w:rsidRPr="00C314B6">
        <w:tab/>
      </w:r>
      <w:r w:rsidRPr="00C314B6">
        <w:tab/>
      </w:r>
      <w:r w:rsidRPr="00C314B6">
        <w:tab/>
      </w:r>
      <w:r w:rsidRPr="00C314B6">
        <w:tab/>
      </w:r>
      <w:r w:rsidRPr="00C314B6">
        <w:tab/>
      </w:r>
      <w:r w:rsidRPr="00C314B6">
        <w:tab/>
      </w:r>
      <w:r w:rsidRPr="00C314B6">
        <w:tab/>
      </w:r>
      <w:r w:rsidRPr="00C314B6">
        <w:tab/>
      </w:r>
      <w:r w:rsidRPr="00C314B6">
        <w:tab/>
      </w:r>
      <w:r w:rsidRPr="00C314B6">
        <w:tab/>
      </w:r>
      <w:r w:rsidRPr="00C314B6">
        <w:tab/>
        <w:t>Administrative Law Judge</w:t>
      </w:r>
    </w:p>
    <w:p w:rsidR="00C314B6" w:rsidRPr="009A123D" w:rsidRDefault="00C314B6" w:rsidP="007F5D2A">
      <w:pPr>
        <w:spacing w:before="0" w:after="0"/>
        <w:rPr>
          <w:u w:val="single"/>
        </w:rPr>
      </w:pPr>
    </w:p>
    <w:sectPr w:rsidR="00C314B6" w:rsidRPr="009A123D" w:rsidSect="0051464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D83" w:rsidRDefault="005E6D83" w:rsidP="00D07C25">
      <w:pPr>
        <w:spacing w:before="0" w:after="0" w:line="240" w:lineRule="auto"/>
      </w:pPr>
      <w:r>
        <w:separator/>
      </w:r>
    </w:p>
  </w:endnote>
  <w:endnote w:type="continuationSeparator" w:id="0">
    <w:p w:rsidR="005E6D83" w:rsidRDefault="005E6D83" w:rsidP="00D07C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54100"/>
      <w:docPartObj>
        <w:docPartGallery w:val="Page Numbers (Bottom of Page)"/>
        <w:docPartUnique/>
      </w:docPartObj>
    </w:sdtPr>
    <w:sdtEndPr>
      <w:rPr>
        <w:noProof/>
      </w:rPr>
    </w:sdtEndPr>
    <w:sdtContent>
      <w:p w:rsidR="0051464A" w:rsidRDefault="0051464A">
        <w:pPr>
          <w:pStyle w:val="Footer"/>
          <w:jc w:val="center"/>
        </w:pPr>
        <w:r w:rsidRPr="00C314B6">
          <w:rPr>
            <w:sz w:val="20"/>
          </w:rPr>
          <w:fldChar w:fldCharType="begin"/>
        </w:r>
        <w:r w:rsidRPr="00C314B6">
          <w:rPr>
            <w:sz w:val="20"/>
          </w:rPr>
          <w:instrText xml:space="preserve"> PAGE   \* MERGEFORMAT </w:instrText>
        </w:r>
        <w:r w:rsidRPr="00C314B6">
          <w:rPr>
            <w:sz w:val="20"/>
          </w:rPr>
          <w:fldChar w:fldCharType="separate"/>
        </w:r>
        <w:r w:rsidR="008E20BD">
          <w:rPr>
            <w:noProof/>
            <w:sz w:val="20"/>
          </w:rPr>
          <w:t>8</w:t>
        </w:r>
        <w:r w:rsidRPr="00C314B6">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D83" w:rsidRDefault="005E6D83" w:rsidP="00D07C25">
      <w:pPr>
        <w:spacing w:before="0" w:after="0" w:line="240" w:lineRule="auto"/>
      </w:pPr>
      <w:r>
        <w:separator/>
      </w:r>
    </w:p>
  </w:footnote>
  <w:footnote w:type="continuationSeparator" w:id="0">
    <w:p w:rsidR="005E6D83" w:rsidRDefault="005E6D83" w:rsidP="00D07C25">
      <w:pPr>
        <w:spacing w:before="0" w:after="0" w:line="240" w:lineRule="auto"/>
      </w:pPr>
      <w:r>
        <w:continuationSeparator/>
      </w:r>
    </w:p>
  </w:footnote>
  <w:footnote w:id="1">
    <w:p w:rsidR="00D07C25" w:rsidRDefault="00D07C25" w:rsidP="007F5D2A">
      <w:pPr>
        <w:pStyle w:val="FootnoteText"/>
        <w:spacing w:after="0"/>
      </w:pPr>
      <w:r w:rsidRPr="00582539">
        <w:rPr>
          <w:rStyle w:val="FootnoteReference"/>
        </w:rPr>
        <w:footnoteRef/>
      </w:r>
      <w:r w:rsidRPr="00582539">
        <w:t xml:space="preserve"> </w:t>
      </w:r>
      <w:r w:rsidRPr="00582539">
        <w:tab/>
        <w:t>66 Pa.C.S. § 701.</w:t>
      </w:r>
    </w:p>
    <w:p w:rsidR="00177B61" w:rsidRPr="00582539" w:rsidRDefault="00177B61" w:rsidP="007F5D2A">
      <w:pPr>
        <w:pStyle w:val="FootnoteText"/>
        <w:spacing w:after="0"/>
      </w:pPr>
    </w:p>
  </w:footnote>
  <w:footnote w:id="2">
    <w:p w:rsidR="00D07C25" w:rsidRDefault="00D07C25" w:rsidP="007F5D2A">
      <w:pPr>
        <w:pStyle w:val="FootnoteText"/>
        <w:spacing w:after="0"/>
      </w:pPr>
      <w:r w:rsidRPr="00582539">
        <w:rPr>
          <w:rStyle w:val="FootnoteReference"/>
        </w:rPr>
        <w:footnoteRef/>
      </w:r>
      <w:r w:rsidRPr="00582539">
        <w:t xml:space="preserve"> </w:t>
      </w:r>
      <w:r w:rsidRPr="00582539">
        <w:tab/>
        <w:t>66 Pa.C.S. § 332(a).</w:t>
      </w:r>
    </w:p>
    <w:p w:rsidR="00177B61" w:rsidRPr="00582539" w:rsidRDefault="00177B61" w:rsidP="007F5D2A">
      <w:pPr>
        <w:pStyle w:val="FootnoteText"/>
        <w:spacing w:after="0"/>
      </w:pPr>
    </w:p>
  </w:footnote>
  <w:footnote w:id="3">
    <w:p w:rsidR="00D07C25" w:rsidRDefault="00D07C25" w:rsidP="007F5D2A">
      <w:pPr>
        <w:pStyle w:val="FootnoteText"/>
        <w:spacing w:after="0"/>
      </w:pPr>
      <w:r w:rsidRPr="00582539">
        <w:rPr>
          <w:rStyle w:val="FootnoteReference"/>
        </w:rPr>
        <w:footnoteRef/>
      </w:r>
      <w:r w:rsidRPr="00582539">
        <w:t xml:space="preserve"> </w:t>
      </w:r>
      <w:r w:rsidRPr="00582539">
        <w:tab/>
      </w:r>
      <w:r w:rsidRPr="00AD3B47">
        <w:rPr>
          <w:i/>
        </w:rPr>
        <w:t>Se-Ling Hosiery, Inc. v. Margulies</w:t>
      </w:r>
      <w:r w:rsidRPr="00582539">
        <w:t>, 70 A.2d 854 (</w:t>
      </w:r>
      <w:r w:rsidR="00E26D13">
        <w:t xml:space="preserve">Pa. </w:t>
      </w:r>
      <w:r w:rsidRPr="00582539">
        <w:t xml:space="preserve">1950); </w:t>
      </w:r>
      <w:r w:rsidRPr="00AD3B47">
        <w:rPr>
          <w:i/>
        </w:rPr>
        <w:t>Feinstein v. Philadelphia Suburban Water Company</w:t>
      </w:r>
      <w:r w:rsidR="00E26D13">
        <w:t>, 50 Pa.</w:t>
      </w:r>
      <w:r w:rsidR="001D5280">
        <w:t xml:space="preserve"> </w:t>
      </w:r>
      <w:r w:rsidRPr="00582539">
        <w:t>PUC 300 (1976).</w:t>
      </w:r>
    </w:p>
    <w:p w:rsidR="00177B61" w:rsidRPr="00582539" w:rsidRDefault="00177B61" w:rsidP="007F5D2A">
      <w:pPr>
        <w:pStyle w:val="FootnoteText"/>
        <w:spacing w:after="0"/>
      </w:pPr>
    </w:p>
  </w:footnote>
  <w:footnote w:id="4">
    <w:p w:rsidR="00D07C25" w:rsidRDefault="00D07C25" w:rsidP="007F5D2A">
      <w:pPr>
        <w:pStyle w:val="FootnoteText"/>
        <w:spacing w:after="0"/>
      </w:pPr>
      <w:r>
        <w:rPr>
          <w:rStyle w:val="FootnoteReference"/>
        </w:rPr>
        <w:footnoteRef/>
      </w:r>
      <w:r>
        <w:t xml:space="preserve">  </w:t>
      </w:r>
      <w:r>
        <w:tab/>
      </w:r>
      <w:r w:rsidRPr="00BE0EE1">
        <w:t>66 Pa.C.S. §</w:t>
      </w:r>
      <w:r w:rsidR="001D5280">
        <w:t xml:space="preserve"> </w:t>
      </w:r>
      <w:r w:rsidRPr="00BE0EE1">
        <w:t>1501</w:t>
      </w:r>
      <w:r>
        <w:t>.</w:t>
      </w:r>
    </w:p>
    <w:p w:rsidR="00D07C25" w:rsidRDefault="00D07C25" w:rsidP="007F5D2A">
      <w:pPr>
        <w:pStyle w:val="FootnoteText"/>
        <w:spacing w:after="0"/>
      </w:pPr>
    </w:p>
  </w:footnote>
  <w:footnote w:id="5">
    <w:p w:rsidR="00D07C25" w:rsidRDefault="00D07C25" w:rsidP="007F5D2A">
      <w:pPr>
        <w:pStyle w:val="FootnoteText"/>
        <w:spacing w:after="0"/>
      </w:pPr>
      <w:r>
        <w:rPr>
          <w:rStyle w:val="FootnoteReference"/>
        </w:rPr>
        <w:footnoteRef/>
      </w:r>
      <w:r>
        <w:t xml:space="preserve">  </w:t>
      </w:r>
      <w:r>
        <w:tab/>
      </w:r>
      <w:r w:rsidRPr="00BE0EE1">
        <w:t>66 Pa.C.S. §</w:t>
      </w:r>
      <w:r w:rsidR="001D5280">
        <w:t xml:space="preserve"> </w:t>
      </w:r>
      <w:r w:rsidRPr="00BE0EE1">
        <w:t>1505.</w:t>
      </w:r>
    </w:p>
    <w:p w:rsidR="00177B61" w:rsidRDefault="00177B61" w:rsidP="007F5D2A">
      <w:pPr>
        <w:pStyle w:val="FootnoteText"/>
        <w:spacing w:after="0"/>
      </w:pPr>
    </w:p>
  </w:footnote>
  <w:footnote w:id="6">
    <w:p w:rsidR="00D07C25" w:rsidRDefault="00D07C25" w:rsidP="007F5D2A">
      <w:pPr>
        <w:pStyle w:val="FootnoteText"/>
        <w:spacing w:after="0"/>
      </w:pPr>
      <w:r w:rsidRPr="00A64B1F">
        <w:rPr>
          <w:rStyle w:val="FootnoteReference"/>
        </w:rPr>
        <w:footnoteRef/>
      </w:r>
      <w:r w:rsidRPr="00A64B1F">
        <w:t xml:space="preserve">  </w:t>
      </w:r>
      <w:r w:rsidRPr="00A64B1F">
        <w:tab/>
      </w:r>
      <w:r w:rsidRPr="00CA2A6D">
        <w:rPr>
          <w:i/>
        </w:rPr>
        <w:t>West Penn Power Co. v. Pa. Pub. Util. Comm’n</w:t>
      </w:r>
      <w:r w:rsidRPr="00A64B1F">
        <w:t>, 478 A.2d 947, 949 (Pa.Cmwlth. 1984).</w:t>
      </w:r>
    </w:p>
    <w:p w:rsidR="00177B61" w:rsidRPr="00A64B1F" w:rsidRDefault="00177B61" w:rsidP="007F5D2A">
      <w:pPr>
        <w:pStyle w:val="FootnoteText"/>
        <w:spacing w:after="0"/>
      </w:pPr>
    </w:p>
  </w:footnote>
  <w:footnote w:id="7">
    <w:p w:rsidR="00D07C25" w:rsidRPr="00A64B1F" w:rsidRDefault="00D07C25" w:rsidP="007F5D2A">
      <w:pPr>
        <w:pStyle w:val="FootnoteText"/>
        <w:spacing w:after="0"/>
      </w:pPr>
      <w:r w:rsidRPr="00A64B1F">
        <w:rPr>
          <w:rStyle w:val="FootnoteReference"/>
        </w:rPr>
        <w:footnoteRef/>
      </w:r>
      <w:r w:rsidRPr="00A64B1F">
        <w:t xml:space="preserve">  </w:t>
      </w:r>
      <w:r w:rsidRPr="00A64B1F">
        <w:tab/>
      </w:r>
      <w:r w:rsidRPr="00A64B1F">
        <w:rPr>
          <w:i/>
        </w:rPr>
        <w:t>Re Metropolitan Edison Company</w:t>
      </w:r>
      <w:r w:rsidRPr="00A64B1F">
        <w:t>, 80 Pa. PUC 663, 672 (1993).</w:t>
      </w:r>
    </w:p>
  </w:footnote>
  <w:footnote w:id="8">
    <w:p w:rsidR="004E2CCB" w:rsidRDefault="00D07C25" w:rsidP="00D07C25">
      <w:pPr>
        <w:pStyle w:val="FootnoteText"/>
      </w:pPr>
      <w:r w:rsidRPr="00A64B1F">
        <w:rPr>
          <w:rStyle w:val="FootnoteReference"/>
        </w:rPr>
        <w:footnoteRef/>
      </w:r>
      <w:r w:rsidRPr="00A64B1F">
        <w:t xml:space="preserve"> </w:t>
      </w:r>
      <w:r w:rsidRPr="00A64B1F">
        <w:tab/>
      </w:r>
      <w:r>
        <w:rPr>
          <w:i/>
        </w:rPr>
        <w:t xml:space="preserve">Thurby v. West Penn </w:t>
      </w:r>
      <w:r w:rsidRPr="00046C70">
        <w:t>Power</w:t>
      </w:r>
      <w:r>
        <w:t xml:space="preserve">, C-2011-2254048 (Order April 4, 2013); </w:t>
      </w:r>
      <w:r w:rsidRPr="00046C70">
        <w:rPr>
          <w:i/>
        </w:rPr>
        <w:t xml:space="preserve">Bertsch </w:t>
      </w:r>
      <w:r>
        <w:rPr>
          <w:i/>
        </w:rPr>
        <w:t>v. PPL Electric Utilities Corp.</w:t>
      </w:r>
      <w:r>
        <w:t xml:space="preserve">, </w:t>
      </w:r>
      <w:r w:rsidRPr="00F57454">
        <w:rPr>
          <w:spacing w:val="-3"/>
        </w:rPr>
        <w:t>C-2011-2251784</w:t>
      </w:r>
      <w:r>
        <w:rPr>
          <w:spacing w:val="-3"/>
        </w:rPr>
        <w:t xml:space="preserve"> (Final Order April 2, 2012); </w:t>
      </w:r>
      <w:r w:rsidRPr="00A64B1F">
        <w:rPr>
          <w:i/>
        </w:rPr>
        <w:t>Scherich v. Verizon Pennsylvania Inc.</w:t>
      </w:r>
      <w:r w:rsidRPr="00A64B1F">
        <w:t>, PUC Docket Nos.</w:t>
      </w:r>
    </w:p>
    <w:p w:rsidR="00D07C25" w:rsidRPr="00A64B1F" w:rsidRDefault="00D07C25" w:rsidP="00D07C25">
      <w:pPr>
        <w:pStyle w:val="FootnoteText"/>
      </w:pPr>
      <w:r w:rsidRPr="00A64B1F">
        <w:t>C-2008-2061244, C-2008</w:t>
      </w:r>
      <w:r>
        <w:t>-</w:t>
      </w:r>
      <w:r w:rsidRPr="00A64B1F">
        <w:t>2068818 (Final Order January 28, 2010).</w:t>
      </w:r>
    </w:p>
  </w:footnote>
  <w:footnote w:id="9">
    <w:p w:rsidR="00D07C25" w:rsidRPr="00A64B1F" w:rsidRDefault="00D07C25" w:rsidP="00D07C25">
      <w:pPr>
        <w:pStyle w:val="FootnoteText"/>
      </w:pPr>
      <w:r w:rsidRPr="00A64B1F">
        <w:rPr>
          <w:rStyle w:val="FootnoteReference"/>
        </w:rPr>
        <w:footnoteRef/>
      </w:r>
      <w:r w:rsidRPr="00A64B1F">
        <w:t xml:space="preserve">  </w:t>
      </w:r>
      <w:r w:rsidRPr="00A64B1F">
        <w:tab/>
      </w:r>
      <w:r w:rsidRPr="009C3E22">
        <w:rPr>
          <w:i/>
        </w:rPr>
        <w:t>Thurby</w:t>
      </w:r>
      <w:r>
        <w:t>.</w:t>
      </w:r>
    </w:p>
  </w:footnote>
  <w:footnote w:id="10">
    <w:p w:rsidR="00E26D13" w:rsidRDefault="00E26D13">
      <w:pPr>
        <w:pStyle w:val="FootnoteText"/>
      </w:pPr>
      <w:r>
        <w:rPr>
          <w:rStyle w:val="FootnoteReference"/>
        </w:rPr>
        <w:footnoteRef/>
      </w:r>
      <w:r>
        <w:t xml:space="preserve">  </w:t>
      </w:r>
      <w:r>
        <w:tab/>
        <w:t>52 Pa.Co</w:t>
      </w:r>
      <w:r w:rsidR="004E2CCB">
        <w:t>d</w:t>
      </w:r>
      <w:r>
        <w:t>e § 5.231.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500654"/>
    <w:lvl w:ilvl="0">
      <w:start w:val="1"/>
      <w:numFmt w:val="decimal"/>
      <w:lvlText w:val="%1."/>
      <w:lvlJc w:val="left"/>
      <w:pPr>
        <w:tabs>
          <w:tab w:val="num" w:pos="1800"/>
        </w:tabs>
        <w:ind w:left="1800" w:hanging="360"/>
      </w:pPr>
    </w:lvl>
  </w:abstractNum>
  <w:abstractNum w:abstractNumId="1">
    <w:nsid w:val="FFFFFF7D"/>
    <w:multiLevelType w:val="singleLevel"/>
    <w:tmpl w:val="E6C484C8"/>
    <w:lvl w:ilvl="0">
      <w:start w:val="1"/>
      <w:numFmt w:val="decimal"/>
      <w:lvlText w:val="%1."/>
      <w:lvlJc w:val="left"/>
      <w:pPr>
        <w:tabs>
          <w:tab w:val="num" w:pos="1440"/>
        </w:tabs>
        <w:ind w:left="1440" w:hanging="360"/>
      </w:pPr>
    </w:lvl>
  </w:abstractNum>
  <w:abstractNum w:abstractNumId="2">
    <w:nsid w:val="FFFFFF7E"/>
    <w:multiLevelType w:val="singleLevel"/>
    <w:tmpl w:val="3AE251F0"/>
    <w:lvl w:ilvl="0">
      <w:start w:val="1"/>
      <w:numFmt w:val="decimal"/>
      <w:lvlText w:val="%1."/>
      <w:lvlJc w:val="left"/>
      <w:pPr>
        <w:tabs>
          <w:tab w:val="num" w:pos="1080"/>
        </w:tabs>
        <w:ind w:left="1080" w:hanging="360"/>
      </w:pPr>
    </w:lvl>
  </w:abstractNum>
  <w:abstractNum w:abstractNumId="3">
    <w:nsid w:val="FFFFFF7F"/>
    <w:multiLevelType w:val="singleLevel"/>
    <w:tmpl w:val="D9BCBD78"/>
    <w:lvl w:ilvl="0">
      <w:start w:val="1"/>
      <w:numFmt w:val="decimal"/>
      <w:lvlText w:val="%1."/>
      <w:lvlJc w:val="left"/>
      <w:pPr>
        <w:tabs>
          <w:tab w:val="num" w:pos="720"/>
        </w:tabs>
        <w:ind w:left="720" w:hanging="360"/>
      </w:pPr>
    </w:lvl>
  </w:abstractNum>
  <w:abstractNum w:abstractNumId="4">
    <w:nsid w:val="FFFFFF80"/>
    <w:multiLevelType w:val="singleLevel"/>
    <w:tmpl w:val="ED00B8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A4824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5220E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6ED2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03C5748"/>
    <w:lvl w:ilvl="0">
      <w:start w:val="1"/>
      <w:numFmt w:val="decimal"/>
      <w:lvlText w:val="%1."/>
      <w:lvlJc w:val="left"/>
      <w:pPr>
        <w:tabs>
          <w:tab w:val="num" w:pos="360"/>
        </w:tabs>
        <w:ind w:left="360" w:hanging="360"/>
      </w:pPr>
    </w:lvl>
  </w:abstractNum>
  <w:abstractNum w:abstractNumId="9">
    <w:nsid w:val="FFFFFF89"/>
    <w:multiLevelType w:val="singleLevel"/>
    <w:tmpl w:val="B4582EC6"/>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7E33C13"/>
    <w:multiLevelType w:val="hybridMultilevel"/>
    <w:tmpl w:val="7902D6A6"/>
    <w:lvl w:ilvl="0" w:tplc="4404CC32">
      <w:start w:val="1"/>
      <w:numFmt w:val="decimal"/>
      <w:pStyle w:val="ListParagraph"/>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3"/>
  </w:num>
  <w:num w:numId="3">
    <w:abstractNumId w:val="28"/>
  </w:num>
  <w:num w:numId="4">
    <w:abstractNumId w:val="32"/>
  </w:num>
  <w:num w:numId="5">
    <w:abstractNumId w:val="17"/>
  </w:num>
  <w:num w:numId="6">
    <w:abstractNumId w:val="15"/>
  </w:num>
  <w:num w:numId="7">
    <w:abstractNumId w:val="14"/>
  </w:num>
  <w:num w:numId="8">
    <w:abstractNumId w:val="31"/>
  </w:num>
  <w:num w:numId="9">
    <w:abstractNumId w:val="12"/>
  </w:num>
  <w:num w:numId="10">
    <w:abstractNumId w:val="25"/>
  </w:num>
  <w:num w:numId="11">
    <w:abstractNumId w:val="27"/>
  </w:num>
  <w:num w:numId="12">
    <w:abstractNumId w:val="21"/>
  </w:num>
  <w:num w:numId="13">
    <w:abstractNumId w:val="26"/>
  </w:num>
  <w:num w:numId="14">
    <w:abstractNumId w:val="29"/>
  </w:num>
  <w:num w:numId="15">
    <w:abstractNumId w:val="10"/>
  </w:num>
  <w:num w:numId="16">
    <w:abstractNumId w:val="24"/>
  </w:num>
  <w:num w:numId="17">
    <w:abstractNumId w:val="24"/>
  </w:num>
  <w:num w:numId="18">
    <w:abstractNumId w:val="16"/>
  </w:num>
  <w:num w:numId="19">
    <w:abstractNumId w:val="22"/>
  </w:num>
  <w:num w:numId="20">
    <w:abstractNumId w:val="33"/>
  </w:num>
  <w:num w:numId="21">
    <w:abstractNumId w:val="19"/>
  </w:num>
  <w:num w:numId="22">
    <w:abstractNumId w:val="13"/>
  </w:num>
  <w:num w:numId="23">
    <w:abstractNumId w:val="20"/>
  </w:num>
  <w:num w:numId="24">
    <w:abstractNumId w:val="34"/>
  </w:num>
  <w:num w:numId="25">
    <w:abstractNumId w:val="11"/>
  </w:num>
  <w:num w:numId="26">
    <w:abstractNumId w:val="1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42"/>
    <w:rsid w:val="00004C37"/>
    <w:rsid w:val="000075A0"/>
    <w:rsid w:val="0007593D"/>
    <w:rsid w:val="00077F0D"/>
    <w:rsid w:val="000E3EDE"/>
    <w:rsid w:val="001453AB"/>
    <w:rsid w:val="00177B61"/>
    <w:rsid w:val="001860D3"/>
    <w:rsid w:val="001A21B6"/>
    <w:rsid w:val="001B1CBA"/>
    <w:rsid w:val="001D2AF7"/>
    <w:rsid w:val="001D5280"/>
    <w:rsid w:val="00213167"/>
    <w:rsid w:val="002453AA"/>
    <w:rsid w:val="002512F9"/>
    <w:rsid w:val="002605E2"/>
    <w:rsid w:val="00277C6B"/>
    <w:rsid w:val="002C1150"/>
    <w:rsid w:val="002E36A8"/>
    <w:rsid w:val="003145FA"/>
    <w:rsid w:val="00367A41"/>
    <w:rsid w:val="00393C92"/>
    <w:rsid w:val="00426EBB"/>
    <w:rsid w:val="004862D0"/>
    <w:rsid w:val="004A64CB"/>
    <w:rsid w:val="004D523C"/>
    <w:rsid w:val="004E2CCB"/>
    <w:rsid w:val="004E3FEC"/>
    <w:rsid w:val="0051464A"/>
    <w:rsid w:val="00544025"/>
    <w:rsid w:val="005A1AF3"/>
    <w:rsid w:val="005A1C17"/>
    <w:rsid w:val="005A2ABA"/>
    <w:rsid w:val="005D180A"/>
    <w:rsid w:val="005E6D83"/>
    <w:rsid w:val="005E7B69"/>
    <w:rsid w:val="0061775F"/>
    <w:rsid w:val="006268AF"/>
    <w:rsid w:val="00667D42"/>
    <w:rsid w:val="00684665"/>
    <w:rsid w:val="00696C0D"/>
    <w:rsid w:val="006C5CCF"/>
    <w:rsid w:val="006D6625"/>
    <w:rsid w:val="006F0329"/>
    <w:rsid w:val="00700807"/>
    <w:rsid w:val="00712E58"/>
    <w:rsid w:val="007145DD"/>
    <w:rsid w:val="00755593"/>
    <w:rsid w:val="00761C43"/>
    <w:rsid w:val="00792796"/>
    <w:rsid w:val="00793901"/>
    <w:rsid w:val="007D2A75"/>
    <w:rsid w:val="007E6779"/>
    <w:rsid w:val="007F5D2A"/>
    <w:rsid w:val="00810164"/>
    <w:rsid w:val="00820B4C"/>
    <w:rsid w:val="008529D2"/>
    <w:rsid w:val="008E20BD"/>
    <w:rsid w:val="00916184"/>
    <w:rsid w:val="00917DCA"/>
    <w:rsid w:val="00952C6C"/>
    <w:rsid w:val="009625F3"/>
    <w:rsid w:val="009A123D"/>
    <w:rsid w:val="009B29EA"/>
    <w:rsid w:val="00A34A1C"/>
    <w:rsid w:val="00A47096"/>
    <w:rsid w:val="00A60532"/>
    <w:rsid w:val="00A64539"/>
    <w:rsid w:val="00A85C6D"/>
    <w:rsid w:val="00A85F5E"/>
    <w:rsid w:val="00AA2EC5"/>
    <w:rsid w:val="00AA5B9C"/>
    <w:rsid w:val="00AB4C73"/>
    <w:rsid w:val="00AE181D"/>
    <w:rsid w:val="00AE6F47"/>
    <w:rsid w:val="00B23ABF"/>
    <w:rsid w:val="00B851E0"/>
    <w:rsid w:val="00B91E47"/>
    <w:rsid w:val="00BC6B21"/>
    <w:rsid w:val="00BC77FA"/>
    <w:rsid w:val="00BC7E5E"/>
    <w:rsid w:val="00C050FA"/>
    <w:rsid w:val="00C314B6"/>
    <w:rsid w:val="00C31ACF"/>
    <w:rsid w:val="00C848DC"/>
    <w:rsid w:val="00C87E57"/>
    <w:rsid w:val="00CC663D"/>
    <w:rsid w:val="00CF228F"/>
    <w:rsid w:val="00D07C25"/>
    <w:rsid w:val="00D414FC"/>
    <w:rsid w:val="00D6270F"/>
    <w:rsid w:val="00DD5C37"/>
    <w:rsid w:val="00DF78E5"/>
    <w:rsid w:val="00E26D13"/>
    <w:rsid w:val="00E4239A"/>
    <w:rsid w:val="00E83618"/>
    <w:rsid w:val="00EC1CBA"/>
    <w:rsid w:val="00EE7801"/>
    <w:rsid w:val="00F16554"/>
    <w:rsid w:val="00F27019"/>
    <w:rsid w:val="00F51A6A"/>
    <w:rsid w:val="00F544E1"/>
    <w:rsid w:val="00F8316F"/>
    <w:rsid w:val="00FA4D9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F5D2A"/>
    <w:pPr>
      <w:numPr>
        <w:numId w:val="26"/>
      </w:numPr>
      <w:spacing w:before="0" w:after="0"/>
      <w:ind w:left="0" w:firstLine="1440"/>
    </w:pPr>
  </w:style>
  <w:style w:type="paragraph" w:styleId="FootnoteText">
    <w:name w:val="footnote text"/>
    <w:aliases w:val="Car"/>
    <w:link w:val="FootnoteTextChar"/>
    <w:autoRedefine/>
    <w:uiPriority w:val="99"/>
    <w:unhideWhenUsed/>
    <w:qFormat/>
    <w:rsid w:val="00D07C25"/>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D07C25"/>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D07C25"/>
    <w:rPr>
      <w:vertAlign w:val="superscript"/>
    </w:rPr>
  </w:style>
  <w:style w:type="paragraph" w:styleId="Header">
    <w:name w:val="header"/>
    <w:basedOn w:val="Normal"/>
    <w:link w:val="HeaderChar"/>
    <w:uiPriority w:val="99"/>
    <w:unhideWhenUsed/>
    <w:rsid w:val="0051464A"/>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51464A"/>
    <w:rPr>
      <w:rFonts w:ascii="Times New Roman" w:hAnsi="Times New Roman" w:cs="Times New Roman"/>
      <w:sz w:val="24"/>
      <w:szCs w:val="20"/>
    </w:rPr>
  </w:style>
  <w:style w:type="paragraph" w:styleId="Footer">
    <w:name w:val="footer"/>
    <w:basedOn w:val="Normal"/>
    <w:link w:val="FooterChar"/>
    <w:uiPriority w:val="99"/>
    <w:unhideWhenUsed/>
    <w:rsid w:val="0051464A"/>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51464A"/>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1860D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F5D2A"/>
    <w:pPr>
      <w:numPr>
        <w:numId w:val="26"/>
      </w:numPr>
      <w:spacing w:before="0" w:after="0"/>
      <w:ind w:left="0" w:firstLine="1440"/>
    </w:pPr>
  </w:style>
  <w:style w:type="paragraph" w:styleId="FootnoteText">
    <w:name w:val="footnote text"/>
    <w:aliases w:val="Car"/>
    <w:link w:val="FootnoteTextChar"/>
    <w:autoRedefine/>
    <w:uiPriority w:val="99"/>
    <w:unhideWhenUsed/>
    <w:qFormat/>
    <w:rsid w:val="00D07C25"/>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D07C25"/>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D07C25"/>
    <w:rPr>
      <w:vertAlign w:val="superscript"/>
    </w:rPr>
  </w:style>
  <w:style w:type="paragraph" w:styleId="Header">
    <w:name w:val="header"/>
    <w:basedOn w:val="Normal"/>
    <w:link w:val="HeaderChar"/>
    <w:uiPriority w:val="99"/>
    <w:unhideWhenUsed/>
    <w:rsid w:val="0051464A"/>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51464A"/>
    <w:rPr>
      <w:rFonts w:ascii="Times New Roman" w:hAnsi="Times New Roman" w:cs="Times New Roman"/>
      <w:sz w:val="24"/>
      <w:szCs w:val="20"/>
    </w:rPr>
  </w:style>
  <w:style w:type="paragraph" w:styleId="Footer">
    <w:name w:val="footer"/>
    <w:basedOn w:val="Normal"/>
    <w:link w:val="FooterChar"/>
    <w:uiPriority w:val="99"/>
    <w:unhideWhenUsed/>
    <w:rsid w:val="0051464A"/>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51464A"/>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1860D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BB528-D8AD-4955-974E-A2DF0E6E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20</cp:revision>
  <cp:lastPrinted>2016-08-02T12:24:00Z</cp:lastPrinted>
  <dcterms:created xsi:type="dcterms:W3CDTF">2016-06-29T14:42:00Z</dcterms:created>
  <dcterms:modified xsi:type="dcterms:W3CDTF">2016-08-02T12:25:00Z</dcterms:modified>
</cp:coreProperties>
</file>