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6A396A" w:rsidRPr="007552EB" w:rsidRDefault="00A972E1" w:rsidP="006A396A">
      <w:pPr>
        <w:pStyle w:val="Style"/>
        <w:rPr>
          <w:bCs/>
          <w:color w:val="000000"/>
        </w:rPr>
      </w:pPr>
      <w:r>
        <w:rPr>
          <w:bCs/>
          <w:color w:val="000000"/>
        </w:rPr>
        <w:t>Kevin Lofton, Jr.</w:t>
      </w:r>
      <w:r w:rsidR="006A396A">
        <w:rPr>
          <w:bCs/>
          <w:color w:val="000000"/>
        </w:rPr>
        <w:tab/>
      </w:r>
      <w:r w:rsidR="006A396A" w:rsidRPr="007552EB">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A972E1">
        <w:rPr>
          <w:bCs/>
          <w:color w:val="000000"/>
        </w:rPr>
        <w:t>C-2016-2539283</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A972E1" w:rsidP="006A396A">
      <w:pPr>
        <w:pStyle w:val="Style"/>
        <w:rPr>
          <w:bCs/>
          <w:color w:val="000000"/>
        </w:rPr>
      </w:pPr>
      <w:r>
        <w:rPr>
          <w:bCs/>
          <w:color w:val="000000"/>
        </w:rPr>
        <w:t>Philadelphia Gas Works</w:t>
      </w:r>
      <w:r>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A972E1" w:rsidRPr="001C5B9D" w:rsidRDefault="00CD0813" w:rsidP="00A972E1">
      <w:pPr>
        <w:pStyle w:val="Style"/>
        <w:jc w:val="center"/>
        <w:rPr>
          <w:b/>
          <w:bCs/>
          <w:color w:val="000000"/>
          <w:u w:val="single"/>
        </w:rPr>
      </w:pPr>
      <w:r>
        <w:rPr>
          <w:b/>
          <w:bCs/>
          <w:color w:val="000000"/>
          <w:u w:val="single"/>
        </w:rPr>
        <w:t xml:space="preserve">DENYING </w:t>
      </w:r>
      <w:r w:rsidR="00A972E1">
        <w:rPr>
          <w:b/>
          <w:bCs/>
          <w:color w:val="000000"/>
          <w:u w:val="single"/>
        </w:rPr>
        <w:t>MOTION FOR SUMMARY JUDGMENT</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D523D0" w:rsidRDefault="006E7592" w:rsidP="00BC32B3">
      <w:pPr>
        <w:pStyle w:val="Style"/>
        <w:widowControl/>
        <w:spacing w:line="360" w:lineRule="auto"/>
        <w:rPr>
          <w:rFonts w:eastAsiaTheme="minorHAnsi"/>
        </w:rPr>
      </w:pPr>
      <w:r w:rsidRPr="007552EB">
        <w:rPr>
          <w:rFonts w:eastAsiaTheme="minorHAnsi"/>
        </w:rPr>
        <w:tab/>
      </w:r>
      <w:r w:rsidRPr="007552EB">
        <w:rPr>
          <w:rFonts w:eastAsiaTheme="minorHAnsi"/>
        </w:rPr>
        <w:tab/>
      </w:r>
      <w:r>
        <w:rPr>
          <w:rFonts w:eastAsiaTheme="minorHAnsi"/>
        </w:rPr>
        <w:t xml:space="preserve">On </w:t>
      </w:r>
      <w:r w:rsidR="00D523D0">
        <w:rPr>
          <w:rFonts w:eastAsiaTheme="minorHAnsi"/>
        </w:rPr>
        <w:t>April 1</w:t>
      </w:r>
      <w:r w:rsidR="00BA3B5E">
        <w:rPr>
          <w:rFonts w:eastAsiaTheme="minorHAnsi"/>
        </w:rPr>
        <w:t>1, 2016, Kevin T. Lofton, Jr. f</w:t>
      </w:r>
      <w:r w:rsidR="00D523D0">
        <w:rPr>
          <w:rFonts w:eastAsiaTheme="minorHAnsi"/>
        </w:rPr>
        <w:t>i</w:t>
      </w:r>
      <w:r w:rsidR="00BA3B5E">
        <w:rPr>
          <w:rFonts w:eastAsiaTheme="minorHAnsi"/>
        </w:rPr>
        <w:t>l</w:t>
      </w:r>
      <w:r w:rsidR="00D523D0">
        <w:rPr>
          <w:rFonts w:eastAsiaTheme="minorHAnsi"/>
        </w:rPr>
        <w:t>ed with the Pennsylvania Public Utility Commission (Commission) a formal complaint against Philadelphia Gas Works (PGW or the Company), Docket Number C-2016-2539283.  In his complaint, Mr. Lofton averred that PGW was threatening to shut off his gas service or has already shut off his gas service, he would like a payment agreement and there are incorrect charges on his bill.  Mr. Lofton requested a better payment agreement and that certain charges be removed from his bill, among other things.</w:t>
      </w:r>
    </w:p>
    <w:p w:rsidR="00D523D0" w:rsidRDefault="00D523D0" w:rsidP="00BC32B3">
      <w:pPr>
        <w:pStyle w:val="Style"/>
        <w:widowControl/>
        <w:spacing w:line="360" w:lineRule="auto"/>
        <w:ind w:firstLine="1440"/>
        <w:rPr>
          <w:rFonts w:eastAsiaTheme="minorHAnsi"/>
        </w:rPr>
      </w:pPr>
    </w:p>
    <w:p w:rsidR="00275F08" w:rsidRDefault="00D523D0" w:rsidP="00BC32B3">
      <w:pPr>
        <w:pStyle w:val="Style"/>
        <w:widowControl/>
        <w:spacing w:line="360" w:lineRule="auto"/>
        <w:ind w:firstLine="1440"/>
        <w:rPr>
          <w:rFonts w:eastAsiaTheme="minorHAnsi"/>
        </w:rPr>
      </w:pPr>
      <w:r>
        <w:rPr>
          <w:rFonts w:eastAsiaTheme="minorHAnsi"/>
        </w:rPr>
        <w:t xml:space="preserve">On May 2, 2016, PGW filed an answer and new matter in response to Mr. Lofton’s </w:t>
      </w:r>
      <w:r w:rsidR="00275F08">
        <w:rPr>
          <w:rFonts w:eastAsiaTheme="minorHAnsi"/>
        </w:rPr>
        <w:t>complaint.  In its answer, PGW admitted or denied the various averments Mr. Lofton made in his complaint.  In particular, PGW admitted that it issued a termination notice to Mr. Lofton and that Mr. Lofton seeks a payment agreement.  PGW denied that there are incorrect charges on Mr. Lofton’s bill and provided a history of the various complaints filed by Mr. Lofton and payment agreements he has received.  In its new matter, which was accompanied by a notice to plead, PGW reiterated the history of complaints filed by Mr. Lofton and the payment agreements he has received.  PGW then aver</w:t>
      </w:r>
      <w:r w:rsidR="00144FED">
        <w:rPr>
          <w:rFonts w:eastAsiaTheme="minorHAnsi"/>
        </w:rPr>
        <w:t>red</w:t>
      </w:r>
      <w:r w:rsidR="00275F08">
        <w:rPr>
          <w:rFonts w:eastAsiaTheme="minorHAnsi"/>
        </w:rPr>
        <w:t xml:space="preserve"> that Mr. Lofton’s complaint should be dismissed because he is “abusing the system by using its provisions to prevent termination of service over the course of years, all the while receiving gas service from PGW and accruing a large outstanding balance.”  PGW requested that Mr. Lofton’s complaint be dismissed and attached various documents in support of its position.</w:t>
      </w:r>
    </w:p>
    <w:p w:rsidR="00053F52" w:rsidRDefault="00053F52" w:rsidP="00BC32B3">
      <w:pPr>
        <w:pStyle w:val="Style"/>
        <w:widowControl/>
        <w:spacing w:line="360" w:lineRule="auto"/>
        <w:ind w:firstLine="1440"/>
        <w:rPr>
          <w:rFonts w:eastAsiaTheme="minorHAnsi"/>
        </w:rPr>
      </w:pPr>
    </w:p>
    <w:p w:rsidR="006424DA" w:rsidRDefault="00275F08" w:rsidP="00BC32B3">
      <w:pPr>
        <w:pStyle w:val="Style"/>
        <w:widowControl/>
        <w:spacing w:line="360" w:lineRule="auto"/>
        <w:ind w:firstLine="1440"/>
        <w:rPr>
          <w:rFonts w:eastAsiaTheme="minorHAnsi"/>
        </w:rPr>
      </w:pPr>
      <w:r>
        <w:rPr>
          <w:rFonts w:eastAsiaTheme="minorHAnsi"/>
        </w:rPr>
        <w:lastRenderedPageBreak/>
        <w:t xml:space="preserve">Also on May 2, 2016, PGW filed a motion for summary judgment.  </w:t>
      </w:r>
      <w:r w:rsidR="00B90964">
        <w:rPr>
          <w:rFonts w:eastAsiaTheme="minorHAnsi"/>
        </w:rPr>
        <w:t xml:space="preserve">In its motion, which was also accompanied by a notice to plead, </w:t>
      </w:r>
      <w:r w:rsidR="00DE63AF">
        <w:rPr>
          <w:rFonts w:eastAsiaTheme="minorHAnsi"/>
        </w:rPr>
        <w:t xml:space="preserve">PGW again reiterated the history of </w:t>
      </w:r>
      <w:r w:rsidR="00144FED">
        <w:rPr>
          <w:rFonts w:eastAsiaTheme="minorHAnsi"/>
        </w:rPr>
        <w:t xml:space="preserve">various </w:t>
      </w:r>
      <w:r w:rsidR="00DE63AF">
        <w:rPr>
          <w:rFonts w:eastAsiaTheme="minorHAnsi"/>
        </w:rPr>
        <w:t xml:space="preserve">complaints filed by Mr. Lofton and the payment agreements he has received.  In addition, PGW </w:t>
      </w:r>
      <w:r w:rsidR="00C73734">
        <w:rPr>
          <w:rFonts w:eastAsiaTheme="minorHAnsi"/>
        </w:rPr>
        <w:t xml:space="preserve">again </w:t>
      </w:r>
      <w:r w:rsidR="00DE63AF">
        <w:rPr>
          <w:rFonts w:eastAsiaTheme="minorHAnsi"/>
        </w:rPr>
        <w:t>averred that this history shows that Mr. Lofton has been abusing the system to prevent termination of service over the course of years</w:t>
      </w:r>
      <w:r w:rsidR="00C73734">
        <w:rPr>
          <w:rFonts w:eastAsiaTheme="minorHAnsi"/>
        </w:rPr>
        <w:t>, all the while receiving gas service from PGW and accruing a large outstanding balance.  PGW cited to case law in support of its position that Mr. Lofton’s complaint should be dismissed</w:t>
      </w:r>
      <w:r w:rsidR="006424DA">
        <w:rPr>
          <w:rFonts w:eastAsiaTheme="minorHAnsi"/>
        </w:rPr>
        <w:t xml:space="preserve"> and attached various documents in support of its position.</w:t>
      </w:r>
    </w:p>
    <w:p w:rsidR="006424DA" w:rsidRDefault="006424DA" w:rsidP="00BC32B3">
      <w:pPr>
        <w:pStyle w:val="Style"/>
        <w:widowControl/>
        <w:spacing w:line="360" w:lineRule="auto"/>
        <w:ind w:firstLine="1440"/>
        <w:rPr>
          <w:rFonts w:eastAsiaTheme="minorHAnsi"/>
        </w:rPr>
      </w:pPr>
    </w:p>
    <w:p w:rsidR="00A875D6" w:rsidRDefault="006424DA" w:rsidP="00BC32B3">
      <w:pPr>
        <w:pStyle w:val="Style"/>
        <w:widowControl/>
        <w:spacing w:line="360" w:lineRule="auto"/>
        <w:ind w:firstLine="1440"/>
        <w:rPr>
          <w:rFonts w:eastAsiaTheme="minorHAnsi"/>
        </w:rPr>
      </w:pPr>
      <w:r>
        <w:rPr>
          <w:rFonts w:eastAsiaTheme="minorHAnsi"/>
        </w:rPr>
        <w:t>On June 15, 2016, Mr. Lofton filed an answer to PGW’s motion requesting that the motion be denied.</w:t>
      </w:r>
      <w:r w:rsidR="00A875D6">
        <w:rPr>
          <w:rFonts w:eastAsiaTheme="minorHAnsi"/>
        </w:rPr>
        <w:t xml:space="preserve">  In his answer, Mr. Lofton argued that the complaints filed were not frivolous or unjust and that PGW’s motion fails to acknowledge his efforts to resolve the matter.  Mr. Lofton also explained the various discrepancies in his bill and his efforts to get more information from PGW about how his bill is calculated.  Mr. Lofton concluded that he would like a hearing to explain his position.</w:t>
      </w:r>
    </w:p>
    <w:p w:rsidR="00A875D6" w:rsidRDefault="00A875D6" w:rsidP="00BC32B3">
      <w:pPr>
        <w:pStyle w:val="Style"/>
        <w:widowControl/>
        <w:spacing w:line="360" w:lineRule="auto"/>
        <w:ind w:firstLine="1440"/>
        <w:rPr>
          <w:rFonts w:eastAsiaTheme="minorHAnsi"/>
        </w:rPr>
      </w:pPr>
    </w:p>
    <w:p w:rsidR="00A972E1" w:rsidRDefault="00A875D6" w:rsidP="00BC32B3">
      <w:pPr>
        <w:pStyle w:val="Style"/>
        <w:widowControl/>
        <w:spacing w:line="360" w:lineRule="auto"/>
        <w:ind w:firstLine="1440"/>
        <w:rPr>
          <w:rFonts w:eastAsiaTheme="minorHAnsi"/>
        </w:rPr>
      </w:pPr>
      <w:r>
        <w:rPr>
          <w:rFonts w:eastAsiaTheme="minorHAnsi"/>
        </w:rPr>
        <w:t>On July 20, 2016, a Telephonic Hearing Notice was issued scheduling an Initial Telephonic Hearing for Tuesday, August 30, 2016 at 10:00 a.m. and assigning me as the Presiding Officer.  A Prehearing Order dated July 25, 2016 was issued setting forth various procedural rules that would govern the hearing.</w:t>
      </w:r>
    </w:p>
    <w:p w:rsidR="00A972E1" w:rsidRDefault="00A972E1" w:rsidP="00BC32B3">
      <w:pPr>
        <w:pStyle w:val="Style"/>
        <w:widowControl/>
        <w:spacing w:line="360" w:lineRule="auto"/>
        <w:ind w:firstLine="1440"/>
        <w:rPr>
          <w:rFonts w:eastAsiaTheme="minorHAnsi"/>
        </w:rPr>
      </w:pPr>
    </w:p>
    <w:p w:rsidR="00A875D6" w:rsidRDefault="00A875D6" w:rsidP="00BC32B3">
      <w:pPr>
        <w:pStyle w:val="Style"/>
        <w:widowControl/>
        <w:spacing w:line="360" w:lineRule="auto"/>
        <w:ind w:firstLine="1440"/>
        <w:rPr>
          <w:rFonts w:eastAsiaTheme="minorHAnsi"/>
        </w:rPr>
      </w:pPr>
      <w:r>
        <w:rPr>
          <w:rFonts w:eastAsiaTheme="minorHAnsi"/>
        </w:rPr>
        <w:t xml:space="preserve">PGW’s motion for summary judgment is procedurally ready to be ruled upon.  For the reasons discussed below, PGW’s motion will be denied and Mr. Lofton’s complaint will be heard </w:t>
      </w:r>
      <w:r w:rsidR="006D5108">
        <w:rPr>
          <w:rFonts w:eastAsiaTheme="minorHAnsi"/>
        </w:rPr>
        <w:t>during the Initial Telephonic Hearing scheduled for Tuesday, August 30, 2016</w:t>
      </w:r>
      <w:r>
        <w:rPr>
          <w:rFonts w:eastAsiaTheme="minorHAnsi"/>
        </w:rPr>
        <w:t>.</w:t>
      </w:r>
    </w:p>
    <w:p w:rsidR="006E7592" w:rsidRPr="00A875D6" w:rsidRDefault="006E7592" w:rsidP="00BC32B3">
      <w:pPr>
        <w:pStyle w:val="Style"/>
        <w:widowControl/>
        <w:spacing w:line="360" w:lineRule="auto"/>
        <w:rPr>
          <w:rFonts w:eastAsiaTheme="minorHAnsi"/>
        </w:rPr>
      </w:pPr>
    </w:p>
    <w:p w:rsidR="00D1244F" w:rsidRPr="00D1244F" w:rsidRDefault="00D1244F" w:rsidP="00BC32B3">
      <w:pPr>
        <w:autoSpaceDE w:val="0"/>
        <w:autoSpaceDN w:val="0"/>
        <w:spacing w:after="0" w:line="360" w:lineRule="auto"/>
        <w:ind w:firstLine="1440"/>
        <w:rPr>
          <w:rFonts w:ascii="Times New Roman" w:eastAsia="Calibri" w:hAnsi="Times New Roman" w:cs="Times New Roman"/>
          <w:bCs/>
          <w:color w:val="000000"/>
          <w:sz w:val="24"/>
          <w:szCs w:val="24"/>
        </w:rPr>
      </w:pPr>
      <w:r w:rsidRPr="00D1244F">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w:t>
      </w:r>
      <w:r w:rsidR="00CA18C2">
        <w:rPr>
          <w:rFonts w:ascii="Times New Roman" w:eastAsia="Times New Roman" w:hAnsi="Times New Roman" w:cs="Times New Roman"/>
          <w:color w:val="000000"/>
          <w:sz w:val="24"/>
          <w:szCs w:val="24"/>
        </w:rPr>
        <w:t>m</w:t>
      </w:r>
      <w:r w:rsidRPr="00D1244F">
        <w:rPr>
          <w:rFonts w:ascii="Times New Roman" w:eastAsia="Times New Roman" w:hAnsi="Times New Roman" w:cs="Times New Roman"/>
          <w:color w:val="000000"/>
          <w:sz w:val="24"/>
          <w:szCs w:val="24"/>
        </w:rPr>
        <w:t xml:space="preserve">otions for </w:t>
      </w:r>
      <w:r w:rsidR="00CA18C2">
        <w:rPr>
          <w:rFonts w:ascii="Times New Roman" w:eastAsia="Times New Roman" w:hAnsi="Times New Roman" w:cs="Times New Roman"/>
          <w:color w:val="000000"/>
          <w:sz w:val="24"/>
          <w:szCs w:val="24"/>
        </w:rPr>
        <w:t>s</w:t>
      </w:r>
      <w:r w:rsidRPr="00D1244F">
        <w:rPr>
          <w:rFonts w:ascii="Times New Roman" w:eastAsia="Times New Roman" w:hAnsi="Times New Roman" w:cs="Times New Roman"/>
          <w:color w:val="000000"/>
          <w:sz w:val="24"/>
          <w:szCs w:val="24"/>
        </w:rPr>
        <w:t xml:space="preserve">ummary </w:t>
      </w:r>
      <w:r w:rsidR="00CA18C2">
        <w:rPr>
          <w:rFonts w:ascii="Times New Roman" w:eastAsia="Times New Roman" w:hAnsi="Times New Roman" w:cs="Times New Roman"/>
          <w:color w:val="000000"/>
          <w:sz w:val="24"/>
          <w:szCs w:val="24"/>
        </w:rPr>
        <w:t>j</w:t>
      </w:r>
      <w:r w:rsidRPr="00D1244F">
        <w:rPr>
          <w:rFonts w:ascii="Times New Roman" w:eastAsia="Times New Roman" w:hAnsi="Times New Roman" w:cs="Times New Roman"/>
          <w:color w:val="000000"/>
          <w:sz w:val="24"/>
          <w:szCs w:val="24"/>
        </w:rPr>
        <w:t>udgment.  In particular, Section 5.102 of t</w:t>
      </w:r>
      <w:r w:rsidRPr="00D1244F">
        <w:rPr>
          <w:rFonts w:ascii="Times New Roman" w:eastAsia="Calibri" w:hAnsi="Times New Roman" w:cs="Times New Roman"/>
          <w:bCs/>
          <w:color w:val="000000"/>
          <w:sz w:val="24"/>
          <w:szCs w:val="24"/>
        </w:rPr>
        <w:t>he Commission’s Rules provides in relevant part:</w:t>
      </w:r>
    </w:p>
    <w:p w:rsidR="00D1244F" w:rsidRPr="00D1244F" w:rsidRDefault="00D1244F" w:rsidP="00BC32B3">
      <w:pPr>
        <w:autoSpaceDE w:val="0"/>
        <w:autoSpaceDN w:val="0"/>
        <w:spacing w:after="0" w:line="360" w:lineRule="auto"/>
        <w:rPr>
          <w:rFonts w:ascii="Times New Roman" w:eastAsia="Calibri" w:hAnsi="Times New Roman" w:cs="Times New Roman"/>
          <w:b/>
          <w:bCs/>
          <w:color w:val="000000"/>
          <w:sz w:val="24"/>
          <w:szCs w:val="24"/>
        </w:rPr>
      </w:pPr>
    </w:p>
    <w:p w:rsidR="00BC32B3" w:rsidRDefault="00BC32B3" w:rsidP="00D1244F">
      <w:pPr>
        <w:autoSpaceDE w:val="0"/>
        <w:autoSpaceDN w:val="0"/>
        <w:spacing w:after="0" w:line="240" w:lineRule="auto"/>
        <w:ind w:left="1440" w:right="144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
          <w:bCs/>
          <w:color w:val="000000"/>
          <w:sz w:val="24"/>
          <w:szCs w:val="24"/>
        </w:rPr>
      </w:pPr>
      <w:r w:rsidRPr="00D1244F">
        <w:rPr>
          <w:rFonts w:ascii="Times New Roman" w:eastAsia="Calibri" w:hAnsi="Times New Roman" w:cs="Times New Roman"/>
          <w:b/>
          <w:bCs/>
          <w:color w:val="000000"/>
          <w:sz w:val="24"/>
          <w:szCs w:val="24"/>
        </w:rPr>
        <w:lastRenderedPageBreak/>
        <w:t>§ 5.102 Motions for summary judgment and judgment on the pleadings.</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
          <w:bCs/>
          <w:color w:val="000000"/>
          <w:sz w:val="24"/>
          <w:szCs w:val="24"/>
        </w:rPr>
      </w:pPr>
    </w:p>
    <w:p w:rsidR="00D1244F" w:rsidRPr="00D1244F" w:rsidRDefault="00D1244F" w:rsidP="00D1244F">
      <w:pPr>
        <w:numPr>
          <w:ilvl w:val="0"/>
          <w:numId w:val="9"/>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D1244F">
        <w:rPr>
          <w:rFonts w:ascii="Times New Roman" w:eastAsia="Calibri" w:hAnsi="Times New Roman" w:cs="Times New Roman"/>
          <w:bCs/>
          <w:i/>
          <w:color w:val="000000"/>
          <w:sz w:val="24"/>
          <w:szCs w:val="24"/>
        </w:rPr>
        <w:t>Generally</w:t>
      </w:r>
      <w:r w:rsidRPr="00D1244F">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p>
    <w:p w:rsidR="00D1244F" w:rsidRPr="00D1244F" w:rsidRDefault="00D1244F" w:rsidP="00D1244F">
      <w:pPr>
        <w:autoSpaceDE w:val="0"/>
        <w:autoSpaceDN w:val="0"/>
        <w:spacing w:after="0" w:line="240" w:lineRule="auto"/>
        <w:ind w:left="1440" w:right="1440"/>
        <w:jc w:val="center"/>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 *</w:t>
      </w:r>
    </w:p>
    <w:p w:rsidR="00D1244F" w:rsidRPr="00D1244F" w:rsidRDefault="00D1244F" w:rsidP="00D1244F">
      <w:pPr>
        <w:autoSpaceDE w:val="0"/>
        <w:autoSpaceDN w:val="0"/>
        <w:spacing w:after="0" w:line="240" w:lineRule="auto"/>
        <w:ind w:left="1440" w:right="1440"/>
        <w:jc w:val="center"/>
        <w:rPr>
          <w:rFonts w:ascii="Times New Roman" w:eastAsia="Calibri" w:hAnsi="Times New Roman" w:cs="Times New Roman"/>
          <w:bCs/>
          <w:color w:val="000000"/>
          <w:sz w:val="24"/>
          <w:szCs w:val="24"/>
        </w:rPr>
      </w:pP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xml:space="preserve">(d) </w:t>
      </w:r>
      <w:r w:rsidRPr="00D1244F">
        <w:rPr>
          <w:rFonts w:ascii="Times New Roman" w:eastAsia="Calibri" w:hAnsi="Times New Roman" w:cs="Times New Roman"/>
          <w:bCs/>
          <w:color w:val="000000"/>
          <w:sz w:val="24"/>
          <w:szCs w:val="24"/>
        </w:rPr>
        <w:tab/>
      </w:r>
      <w:r w:rsidRPr="00D1244F">
        <w:rPr>
          <w:rFonts w:ascii="Times New Roman" w:eastAsia="Calibri" w:hAnsi="Times New Roman" w:cs="Times New Roman"/>
          <w:bCs/>
          <w:i/>
          <w:color w:val="000000"/>
          <w:sz w:val="24"/>
          <w:szCs w:val="24"/>
        </w:rPr>
        <w:t>Decisions on Motions</w:t>
      </w:r>
      <w:r w:rsidRPr="00D1244F">
        <w:rPr>
          <w:rFonts w:ascii="Times New Roman" w:eastAsia="Calibri" w:hAnsi="Times New Roman" w:cs="Times New Roman"/>
          <w:bCs/>
          <w:color w:val="000000"/>
          <w:sz w:val="24"/>
          <w:szCs w:val="24"/>
        </w:rPr>
        <w:t>.</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p>
    <w:p w:rsidR="00D1244F" w:rsidRPr="00D1244F" w:rsidRDefault="00D1244F" w:rsidP="00D1244F">
      <w:pPr>
        <w:numPr>
          <w:ilvl w:val="0"/>
          <w:numId w:val="10"/>
        </w:numPr>
        <w:autoSpaceDE w:val="0"/>
        <w:autoSpaceDN w:val="0"/>
        <w:spacing w:after="0" w:line="240" w:lineRule="auto"/>
        <w:ind w:left="1440" w:right="1440" w:firstLine="0"/>
        <w:rPr>
          <w:rFonts w:ascii="Times New Roman" w:eastAsia="Calibri" w:hAnsi="Times New Roman" w:cs="Times New Roman"/>
          <w:bCs/>
          <w:color w:val="000000"/>
          <w:sz w:val="24"/>
          <w:szCs w:val="24"/>
        </w:rPr>
      </w:pPr>
      <w:r w:rsidRPr="00D1244F">
        <w:rPr>
          <w:rFonts w:ascii="Times New Roman" w:eastAsia="Calibri" w:hAnsi="Times New Roman" w:cs="Times New Roman"/>
          <w:bCs/>
          <w:i/>
          <w:color w:val="000000"/>
          <w:sz w:val="24"/>
          <w:szCs w:val="24"/>
        </w:rPr>
        <w:t>Standard for grant or denial on all counts</w:t>
      </w:r>
      <w:r w:rsidRPr="00D1244F">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p>
    <w:p w:rsidR="00D1244F" w:rsidRPr="00D1244F" w:rsidRDefault="00D1244F" w:rsidP="00D1244F">
      <w:pPr>
        <w:autoSpaceDE w:val="0"/>
        <w:autoSpaceDN w:val="0"/>
        <w:spacing w:after="0" w:line="240" w:lineRule="auto"/>
        <w:ind w:left="1440" w:right="1440"/>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xml:space="preserve">(2)  </w:t>
      </w:r>
      <w:r w:rsidRPr="00D1244F">
        <w:rPr>
          <w:rFonts w:ascii="Times New Roman" w:eastAsia="Calibri" w:hAnsi="Times New Roman" w:cs="Times New Roman"/>
          <w:bCs/>
          <w:color w:val="000000"/>
          <w:sz w:val="24"/>
          <w:szCs w:val="24"/>
        </w:rPr>
        <w:tab/>
      </w:r>
      <w:r w:rsidRPr="00D1244F">
        <w:rPr>
          <w:rFonts w:ascii="Times New Roman" w:eastAsia="Calibri" w:hAnsi="Times New Roman" w:cs="Times New Roman"/>
          <w:bCs/>
          <w:i/>
          <w:color w:val="000000"/>
          <w:sz w:val="24"/>
          <w:szCs w:val="24"/>
        </w:rPr>
        <w:t>Standard for grant or denial in part</w:t>
      </w:r>
      <w:r w:rsidRPr="00D1244F">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rsidR="00D1244F" w:rsidRPr="00D1244F" w:rsidRDefault="00D1244F" w:rsidP="00BC32B3">
      <w:pPr>
        <w:autoSpaceDE w:val="0"/>
        <w:autoSpaceDN w:val="0"/>
        <w:spacing w:after="0" w:line="360" w:lineRule="auto"/>
        <w:rPr>
          <w:rFonts w:ascii="Times New Roman" w:eastAsia="Calibri" w:hAnsi="Times New Roman" w:cs="Times New Roman"/>
          <w:bCs/>
          <w:color w:val="000000"/>
          <w:sz w:val="24"/>
          <w:szCs w:val="24"/>
        </w:rPr>
      </w:pPr>
    </w:p>
    <w:p w:rsidR="00D1244F" w:rsidRPr="00D1244F" w:rsidRDefault="00CA18C2" w:rsidP="00BC32B3">
      <w:pPr>
        <w:autoSpaceDE w:val="0"/>
        <w:autoSpaceDN w:val="0"/>
        <w:spacing w:after="0" w:line="36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52 </w:t>
      </w:r>
      <w:proofErr w:type="spellStart"/>
      <w:r>
        <w:rPr>
          <w:rFonts w:ascii="Times New Roman" w:eastAsia="Calibri" w:hAnsi="Times New Roman" w:cs="Times New Roman"/>
          <w:bCs/>
          <w:color w:val="000000"/>
          <w:sz w:val="24"/>
          <w:szCs w:val="24"/>
        </w:rPr>
        <w:t>Pa.</w:t>
      </w:r>
      <w:r w:rsidR="00D1244F" w:rsidRPr="00D1244F">
        <w:rPr>
          <w:rFonts w:ascii="Times New Roman" w:eastAsia="Calibri" w:hAnsi="Times New Roman" w:cs="Times New Roman"/>
          <w:bCs/>
          <w:color w:val="000000"/>
          <w:sz w:val="24"/>
          <w:szCs w:val="24"/>
        </w:rPr>
        <w:t>Code</w:t>
      </w:r>
      <w:proofErr w:type="spellEnd"/>
      <w:r w:rsidR="00D1244F" w:rsidRPr="00D1244F">
        <w:rPr>
          <w:rFonts w:ascii="Times New Roman" w:eastAsia="Calibri" w:hAnsi="Times New Roman" w:cs="Times New Roman"/>
          <w:bCs/>
          <w:color w:val="000000"/>
          <w:sz w:val="24"/>
          <w:szCs w:val="24"/>
        </w:rPr>
        <w:t xml:space="preserve"> § 5.102(a), (d</w:t>
      </w:r>
      <w:proofErr w:type="gramStart"/>
      <w:r w:rsidR="00D1244F" w:rsidRPr="00D1244F">
        <w:rPr>
          <w:rFonts w:ascii="Times New Roman" w:eastAsia="Calibri" w:hAnsi="Times New Roman" w:cs="Times New Roman"/>
          <w:bCs/>
          <w:color w:val="000000"/>
          <w:sz w:val="24"/>
          <w:szCs w:val="24"/>
        </w:rPr>
        <w:t>)(</w:t>
      </w:r>
      <w:proofErr w:type="gramEnd"/>
      <w:r w:rsidR="00D1244F" w:rsidRPr="00D1244F">
        <w:rPr>
          <w:rFonts w:ascii="Times New Roman" w:eastAsia="Calibri" w:hAnsi="Times New Roman" w:cs="Times New Roman"/>
          <w:bCs/>
          <w:color w:val="000000"/>
          <w:sz w:val="24"/>
          <w:szCs w:val="24"/>
        </w:rPr>
        <w:t xml:space="preserve">1) and (d)(2).  </w:t>
      </w:r>
      <w:r w:rsidR="00D1244F" w:rsidRPr="00D1244F">
        <w:rPr>
          <w:rFonts w:ascii="Times New Roman" w:eastAsia="Times New Roman" w:hAnsi="Times New Roman" w:cs="Times New Roman"/>
          <w:snapToGrid w:val="0"/>
          <w:sz w:val="24"/>
          <w:szCs w:val="24"/>
        </w:rPr>
        <w:t xml:space="preserve">When disposing of a </w:t>
      </w:r>
      <w:r>
        <w:rPr>
          <w:rFonts w:ascii="Times New Roman" w:eastAsia="Times New Roman" w:hAnsi="Times New Roman" w:cs="Times New Roman"/>
          <w:snapToGrid w:val="0"/>
          <w:sz w:val="24"/>
          <w:szCs w:val="24"/>
        </w:rPr>
        <w:t>m</w:t>
      </w:r>
      <w:r w:rsidR="00D1244F" w:rsidRPr="00D1244F">
        <w:rPr>
          <w:rFonts w:ascii="Times New Roman" w:eastAsia="Times New Roman" w:hAnsi="Times New Roman" w:cs="Times New Roman"/>
          <w:snapToGrid w:val="0"/>
          <w:sz w:val="24"/>
          <w:szCs w:val="24"/>
        </w:rPr>
        <w:t xml:space="preserve">otion for </w:t>
      </w:r>
      <w:r>
        <w:rPr>
          <w:rFonts w:ascii="Times New Roman" w:eastAsia="Times New Roman" w:hAnsi="Times New Roman" w:cs="Times New Roman"/>
          <w:snapToGrid w:val="0"/>
          <w:sz w:val="24"/>
          <w:szCs w:val="24"/>
        </w:rPr>
        <w:t>s</w:t>
      </w:r>
      <w:r w:rsidR="00D1244F" w:rsidRPr="00D1244F">
        <w:rPr>
          <w:rFonts w:ascii="Times New Roman" w:eastAsia="Times New Roman" w:hAnsi="Times New Roman" w:cs="Times New Roman"/>
          <w:snapToGrid w:val="0"/>
          <w:sz w:val="24"/>
          <w:szCs w:val="24"/>
        </w:rPr>
        <w:t xml:space="preserve">ummary </w:t>
      </w:r>
      <w:r>
        <w:rPr>
          <w:rFonts w:ascii="Times New Roman" w:eastAsia="Times New Roman" w:hAnsi="Times New Roman" w:cs="Times New Roman"/>
          <w:snapToGrid w:val="0"/>
          <w:sz w:val="24"/>
          <w:szCs w:val="24"/>
        </w:rPr>
        <w:t>j</w:t>
      </w:r>
      <w:r w:rsidR="00D1244F" w:rsidRPr="00D1244F">
        <w:rPr>
          <w:rFonts w:ascii="Times New Roman" w:eastAsia="Times New Roman" w:hAnsi="Times New Roman" w:cs="Times New Roman"/>
          <w:snapToGrid w:val="0"/>
          <w:sz w:val="24"/>
          <w:szCs w:val="24"/>
        </w:rPr>
        <w:t xml:space="preserve">udgment, the record must be examined in the light most favorable to the nonmoving party.  </w:t>
      </w:r>
      <w:r w:rsidR="00D1244F" w:rsidRPr="00D1244F">
        <w:rPr>
          <w:rFonts w:ascii="Times New Roman" w:eastAsia="Times New Roman" w:hAnsi="Times New Roman" w:cs="Times New Roman"/>
          <w:snapToGrid w:val="0"/>
          <w:sz w:val="24"/>
          <w:szCs w:val="24"/>
          <w:u w:val="single"/>
        </w:rPr>
        <w:t>First Mortgage Co. of Pennsylvania v. McCall</w:t>
      </w:r>
      <w:r w:rsidR="00D1244F" w:rsidRPr="00D1244F">
        <w:rPr>
          <w:rFonts w:ascii="Times New Roman" w:eastAsia="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00D1244F" w:rsidRPr="00D1244F">
        <w:rPr>
          <w:rFonts w:ascii="Times New Roman" w:eastAsia="Times New Roman" w:hAnsi="Times New Roman" w:cs="Times New Roman"/>
          <w:snapToGrid w:val="0"/>
          <w:sz w:val="24"/>
          <w:szCs w:val="24"/>
          <w:u w:val="single"/>
        </w:rPr>
        <w:t>Id</w:t>
      </w:r>
      <w:r w:rsidR="00D1244F" w:rsidRPr="001219A8">
        <w:rPr>
          <w:rFonts w:ascii="Times New Roman" w:eastAsia="Times New Roman" w:hAnsi="Times New Roman" w:cs="Times New Roman"/>
          <w:snapToGrid w:val="0"/>
          <w:sz w:val="24"/>
          <w:szCs w:val="24"/>
          <w:u w:val="single"/>
        </w:rPr>
        <w:t>.</w:t>
      </w:r>
      <w:r w:rsidR="00D1244F" w:rsidRPr="00D1244F">
        <w:rPr>
          <w:rFonts w:ascii="Times New Roman" w:eastAsia="Times New Roman" w:hAnsi="Times New Roman" w:cs="Times New Roman"/>
          <w:snapToGrid w:val="0"/>
          <w:sz w:val="24"/>
          <w:szCs w:val="24"/>
        </w:rPr>
        <w:t xml:space="preserve"> at 58-59.</w:t>
      </w:r>
    </w:p>
    <w:p w:rsidR="00311B27" w:rsidRPr="00A875D6" w:rsidRDefault="00311B27" w:rsidP="00BC32B3">
      <w:pPr>
        <w:pStyle w:val="ParaTab1"/>
        <w:spacing w:line="360" w:lineRule="auto"/>
        <w:ind w:firstLine="1354"/>
        <w:rPr>
          <w:rFonts w:ascii="Times New Roman" w:hAnsi="Times New Roman" w:cs="Times New Roman"/>
        </w:rPr>
      </w:pPr>
    </w:p>
    <w:p w:rsidR="00CD16AA" w:rsidRDefault="00311B27" w:rsidP="00BC32B3">
      <w:pPr>
        <w:pStyle w:val="ParaTab1"/>
        <w:spacing w:line="360" w:lineRule="auto"/>
        <w:ind w:firstLine="1354"/>
        <w:rPr>
          <w:rFonts w:ascii="Times New Roman" w:hAnsi="Times New Roman" w:cs="Times New Roman"/>
        </w:rPr>
      </w:pPr>
      <w:r w:rsidRPr="00A875D6">
        <w:rPr>
          <w:rFonts w:ascii="Times New Roman" w:hAnsi="Times New Roman" w:cs="Times New Roman"/>
        </w:rPr>
        <w:t>In this case</w:t>
      </w:r>
      <w:r w:rsidR="00A875D6">
        <w:rPr>
          <w:rFonts w:ascii="Times New Roman" w:hAnsi="Times New Roman" w:cs="Times New Roman"/>
        </w:rPr>
        <w:t xml:space="preserve">, </w:t>
      </w:r>
      <w:r w:rsidR="001D2C90">
        <w:rPr>
          <w:rFonts w:ascii="Times New Roman" w:hAnsi="Times New Roman" w:cs="Times New Roman"/>
        </w:rPr>
        <w:t xml:space="preserve">Mr. Lofton indicated that PGW has threatened to shut off his utility service or has already shut off his utility service and that he would like a payment agreement.  Mr. Lofton also averred that there are incorrect charges on his bill and that he would like a review of the low-income benefits he has been receiving.  In response, PGW </w:t>
      </w:r>
      <w:r w:rsidR="006D5108">
        <w:rPr>
          <w:rFonts w:ascii="Times New Roman" w:hAnsi="Times New Roman" w:cs="Times New Roman"/>
        </w:rPr>
        <w:t>detailed</w:t>
      </w:r>
      <w:r w:rsidR="001D2C90">
        <w:rPr>
          <w:rFonts w:ascii="Times New Roman" w:hAnsi="Times New Roman" w:cs="Times New Roman"/>
        </w:rPr>
        <w:t xml:space="preserve"> four informal complaints and two formal complaints Mr. Lofton has previously filed with the Commission since August, 2013.  In addition, PGW </w:t>
      </w:r>
      <w:r w:rsidR="006D5108">
        <w:rPr>
          <w:rFonts w:ascii="Times New Roman" w:hAnsi="Times New Roman" w:cs="Times New Roman"/>
        </w:rPr>
        <w:t>detailed</w:t>
      </w:r>
      <w:r w:rsidR="001D2C90">
        <w:rPr>
          <w:rFonts w:ascii="Times New Roman" w:hAnsi="Times New Roman" w:cs="Times New Roman"/>
        </w:rPr>
        <w:t xml:space="preserve"> four termination notices PGW has </w:t>
      </w:r>
      <w:r w:rsidR="001D2C90">
        <w:rPr>
          <w:rFonts w:ascii="Times New Roman" w:hAnsi="Times New Roman" w:cs="Times New Roman"/>
        </w:rPr>
        <w:lastRenderedPageBreak/>
        <w:t>provided to Mr. Lofton.  PGW argued that Mr. Lofton’s complaint should be dismissed because this history shows that he has been abusing the system to avoid termination.</w:t>
      </w:r>
    </w:p>
    <w:p w:rsidR="001D2C90" w:rsidRDefault="001D2C90" w:rsidP="00BC32B3">
      <w:pPr>
        <w:pStyle w:val="ParaTab1"/>
        <w:spacing w:line="360" w:lineRule="auto"/>
        <w:ind w:firstLine="1354"/>
        <w:rPr>
          <w:rFonts w:ascii="Times New Roman" w:hAnsi="Times New Roman" w:cs="Times New Roman"/>
        </w:rPr>
      </w:pPr>
    </w:p>
    <w:p w:rsidR="009A4ECB" w:rsidRDefault="009A4ECB" w:rsidP="00BC32B3">
      <w:pPr>
        <w:pStyle w:val="ParaTab1"/>
        <w:spacing w:line="360" w:lineRule="auto"/>
        <w:ind w:firstLine="1354"/>
        <w:rPr>
          <w:rFonts w:ascii="Times New Roman" w:hAnsi="Times New Roman" w:cs="Times New Roman"/>
        </w:rPr>
      </w:pPr>
      <w:r>
        <w:rPr>
          <w:rFonts w:ascii="Times New Roman" w:hAnsi="Times New Roman" w:cs="Times New Roman"/>
        </w:rPr>
        <w:t xml:space="preserve">PGW’s motion for summary judgment will be denied.  When </w:t>
      </w:r>
      <w:r w:rsidR="00D1244F">
        <w:rPr>
          <w:rFonts w:ascii="Times New Roman" w:hAnsi="Times New Roman" w:cs="Times New Roman"/>
        </w:rPr>
        <w:t xml:space="preserve">examining </w:t>
      </w:r>
      <w:r>
        <w:rPr>
          <w:rFonts w:ascii="Times New Roman" w:hAnsi="Times New Roman" w:cs="Times New Roman"/>
        </w:rPr>
        <w:t>the record in the light most favorable to Mr. Lofton</w:t>
      </w:r>
      <w:r w:rsidR="00BA3B5E">
        <w:rPr>
          <w:rFonts w:ascii="Times New Roman" w:hAnsi="Times New Roman" w:cs="Times New Roman"/>
        </w:rPr>
        <w:t>, as is required when addressing PGW’s motion</w:t>
      </w:r>
      <w:r>
        <w:rPr>
          <w:rFonts w:ascii="Times New Roman" w:hAnsi="Times New Roman" w:cs="Times New Roman"/>
        </w:rPr>
        <w:t xml:space="preserve">, it is not clear that there are no genuine issues of material fact or that PGW is entitled to judgment as a matter of law such that a trial would be a fruitless exercise. </w:t>
      </w:r>
    </w:p>
    <w:p w:rsidR="00D1244F" w:rsidRPr="006B2A5E" w:rsidRDefault="00D1244F" w:rsidP="00BC32B3">
      <w:pPr>
        <w:pStyle w:val="ParaTab1"/>
        <w:spacing w:line="360" w:lineRule="auto"/>
        <w:ind w:firstLine="1354"/>
        <w:rPr>
          <w:rFonts w:ascii="Times New Roman" w:eastAsiaTheme="minorHAnsi" w:hAnsi="Times New Roman" w:cs="Times New Roman"/>
        </w:rPr>
      </w:pPr>
    </w:p>
    <w:p w:rsidR="00894C4B" w:rsidRPr="006D5108" w:rsidRDefault="00CA18C2" w:rsidP="00BC32B3">
      <w:pPr>
        <w:spacing w:after="0" w:line="360" w:lineRule="auto"/>
        <w:ind w:firstLine="1440"/>
        <w:rPr>
          <w:rFonts w:ascii="Times New Roman" w:eastAsiaTheme="minorHAnsi" w:hAnsi="Times New Roman" w:cs="Times New Roman"/>
          <w:sz w:val="24"/>
          <w:szCs w:val="24"/>
          <w:u w:val="single"/>
        </w:rPr>
      </w:pPr>
      <w:r>
        <w:rPr>
          <w:rFonts w:ascii="Times New Roman" w:eastAsiaTheme="minorHAnsi" w:hAnsi="Times New Roman" w:cs="Times New Roman"/>
          <w:sz w:val="24"/>
          <w:szCs w:val="24"/>
        </w:rPr>
        <w:t>With regard to PGW’s argument that Mr. Lofton is abusing the system, a</w:t>
      </w:r>
      <w:r w:rsidR="00D1244F" w:rsidRPr="006B2A5E">
        <w:rPr>
          <w:rFonts w:ascii="Times New Roman" w:eastAsiaTheme="minorHAnsi" w:hAnsi="Times New Roman" w:cs="Times New Roman"/>
          <w:sz w:val="24"/>
          <w:szCs w:val="24"/>
        </w:rPr>
        <w:t xml:space="preserve"> review of the Commission’s case law regarding abuse of process demonstrates that Mr. Lofton’s actions do not warrant dismissal of his complaint.  </w:t>
      </w:r>
      <w:r w:rsidR="000B5B3F" w:rsidRPr="006B2A5E">
        <w:rPr>
          <w:rFonts w:ascii="Times New Roman" w:eastAsiaTheme="minorHAnsi" w:hAnsi="Times New Roman" w:cs="Times New Roman"/>
          <w:sz w:val="24"/>
          <w:szCs w:val="24"/>
        </w:rPr>
        <w:t xml:space="preserve">In </w:t>
      </w:r>
      <w:r w:rsidR="000B5B3F" w:rsidRPr="006B2A5E">
        <w:rPr>
          <w:rFonts w:ascii="Times New Roman" w:eastAsiaTheme="minorHAnsi" w:hAnsi="Times New Roman" w:cs="Times New Roman"/>
          <w:sz w:val="24"/>
          <w:szCs w:val="24"/>
          <w:u w:val="single"/>
        </w:rPr>
        <w:t>Grossman v. Bell Telephone Company of Pennsylvania</w:t>
      </w:r>
      <w:r w:rsidR="000B5B3F" w:rsidRPr="006B2A5E">
        <w:rPr>
          <w:rFonts w:ascii="Times New Roman" w:eastAsiaTheme="minorHAnsi" w:hAnsi="Times New Roman" w:cs="Times New Roman"/>
          <w:sz w:val="24"/>
          <w:szCs w:val="24"/>
        </w:rPr>
        <w:t xml:space="preserve">, 67 Pa. PUC 714, 717 (1988), the Commission found an abuse of process where the complainant frequently requested continuances of hearings without good cause and then not appearing, and by not honoring a settlement with the respondent.  </w:t>
      </w:r>
      <w:proofErr w:type="gramStart"/>
      <w:r w:rsidR="000B5B3F" w:rsidRPr="006B2A5E">
        <w:rPr>
          <w:rFonts w:ascii="Times New Roman" w:eastAsiaTheme="minorHAnsi" w:hAnsi="Times New Roman" w:cs="Times New Roman"/>
          <w:sz w:val="24"/>
          <w:szCs w:val="24"/>
        </w:rPr>
        <w:t xml:space="preserve">In </w:t>
      </w:r>
      <w:r w:rsidR="000B5B3F" w:rsidRPr="006B2A5E">
        <w:rPr>
          <w:rFonts w:ascii="Times New Roman" w:eastAsiaTheme="minorHAnsi" w:hAnsi="Times New Roman" w:cs="Times New Roman"/>
          <w:sz w:val="24"/>
          <w:szCs w:val="24"/>
          <w:u w:val="single"/>
        </w:rPr>
        <w:t>Manu v.</w:t>
      </w:r>
      <w:proofErr w:type="gramEnd"/>
      <w:r w:rsidR="000B5B3F" w:rsidRPr="006B2A5E">
        <w:rPr>
          <w:rFonts w:ascii="Times New Roman" w:eastAsiaTheme="minorHAnsi" w:hAnsi="Times New Roman" w:cs="Times New Roman"/>
          <w:sz w:val="24"/>
          <w:szCs w:val="24"/>
          <w:u w:val="single"/>
        </w:rPr>
        <w:t xml:space="preserve"> The Bell Telephone Company</w:t>
      </w:r>
      <w:r w:rsidR="000B5B3F" w:rsidRPr="006B2A5E">
        <w:rPr>
          <w:rFonts w:ascii="Times New Roman" w:eastAsiaTheme="minorHAnsi" w:hAnsi="Times New Roman" w:cs="Times New Roman"/>
          <w:sz w:val="24"/>
          <w:szCs w:val="24"/>
        </w:rPr>
        <w:t>, Docket No. F-09029141 (Final Order entered May 9, 1994</w:t>
      </w:r>
      <w:r>
        <w:rPr>
          <w:rFonts w:ascii="Times New Roman" w:eastAsiaTheme="minorHAnsi" w:hAnsi="Times New Roman" w:cs="Times New Roman"/>
          <w:sz w:val="24"/>
          <w:szCs w:val="24"/>
        </w:rPr>
        <w:t>) (</w:t>
      </w:r>
      <w:r>
        <w:rPr>
          <w:rFonts w:ascii="Times New Roman" w:eastAsiaTheme="minorHAnsi" w:hAnsi="Times New Roman" w:cs="Times New Roman"/>
          <w:sz w:val="24"/>
          <w:szCs w:val="24"/>
          <w:u w:val="single"/>
        </w:rPr>
        <w:t>Manu</w:t>
      </w:r>
      <w:r w:rsidR="000B5B3F" w:rsidRPr="006B2A5E">
        <w:rPr>
          <w:rFonts w:ascii="Times New Roman" w:eastAsiaTheme="minorHAnsi" w:hAnsi="Times New Roman" w:cs="Times New Roman"/>
          <w:sz w:val="24"/>
          <w:szCs w:val="24"/>
        </w:rPr>
        <w:t xml:space="preserve">), the Commission found an abuse of process where the complainant filed several formal and informal complaints regarding utility service and the ALJ determined that a “scheme” of an “apparently ongoing” nature was operating from the complainant’s address for the purpose of obtaining utility services without payment.  A pattern existed wherein the complaint was filed, hearing notices were mailed and returned marked as unclaimed and requests for continuances were made.  </w:t>
      </w:r>
      <w:r w:rsidR="006D5108">
        <w:rPr>
          <w:rFonts w:ascii="Times New Roman" w:eastAsiaTheme="minorHAnsi" w:hAnsi="Times New Roman" w:cs="Times New Roman"/>
          <w:sz w:val="24"/>
          <w:szCs w:val="24"/>
          <w:u w:val="single"/>
        </w:rPr>
        <w:t>Id.</w:t>
      </w:r>
    </w:p>
    <w:p w:rsidR="00894C4B" w:rsidRDefault="00894C4B" w:rsidP="00BC32B3">
      <w:pPr>
        <w:spacing w:after="0" w:line="360" w:lineRule="auto"/>
        <w:ind w:firstLine="1440"/>
        <w:rPr>
          <w:rFonts w:ascii="Times New Roman" w:eastAsiaTheme="minorHAnsi" w:hAnsi="Times New Roman" w:cs="Times New Roman"/>
          <w:sz w:val="24"/>
          <w:szCs w:val="24"/>
        </w:rPr>
      </w:pPr>
    </w:p>
    <w:p w:rsidR="000B5B3F" w:rsidRPr="006B2A5E" w:rsidRDefault="000B5B3F" w:rsidP="00BC32B3">
      <w:pPr>
        <w:spacing w:after="0" w:line="360" w:lineRule="auto"/>
        <w:ind w:firstLine="1440"/>
        <w:rPr>
          <w:rFonts w:ascii="Times New Roman" w:eastAsiaTheme="minorHAnsi" w:hAnsi="Times New Roman" w:cs="Times New Roman"/>
          <w:sz w:val="24"/>
          <w:szCs w:val="24"/>
        </w:rPr>
      </w:pPr>
      <w:proofErr w:type="gramStart"/>
      <w:r w:rsidRPr="006B2A5E">
        <w:rPr>
          <w:rFonts w:ascii="Times New Roman" w:eastAsiaTheme="minorHAnsi" w:hAnsi="Times New Roman" w:cs="Times New Roman"/>
          <w:sz w:val="24"/>
          <w:szCs w:val="24"/>
        </w:rPr>
        <w:t>In</w:t>
      </w:r>
      <w:r w:rsidR="001219A8">
        <w:rPr>
          <w:rFonts w:ascii="Times New Roman" w:eastAsiaTheme="minorHAnsi" w:hAnsi="Times New Roman" w:cs="Times New Roman"/>
          <w:sz w:val="24"/>
          <w:szCs w:val="24"/>
        </w:rPr>
        <w:t xml:space="preserve"> addition, in</w:t>
      </w:r>
      <w:r w:rsidRPr="006B2A5E">
        <w:rPr>
          <w:rFonts w:ascii="Times New Roman" w:eastAsiaTheme="minorHAnsi" w:hAnsi="Times New Roman" w:cs="Times New Roman"/>
          <w:sz w:val="24"/>
          <w:szCs w:val="24"/>
        </w:rPr>
        <w:t xml:space="preserve"> </w:t>
      </w:r>
      <w:proofErr w:type="spellStart"/>
      <w:r w:rsidRPr="006B2A5E">
        <w:rPr>
          <w:rFonts w:ascii="Times New Roman" w:eastAsiaTheme="minorHAnsi" w:hAnsi="Times New Roman" w:cs="Times New Roman"/>
          <w:sz w:val="24"/>
          <w:szCs w:val="24"/>
          <w:u w:val="single"/>
        </w:rPr>
        <w:t>Seidenstricker</w:t>
      </w:r>
      <w:proofErr w:type="spellEnd"/>
      <w:r w:rsidRPr="006B2A5E">
        <w:rPr>
          <w:rFonts w:ascii="Times New Roman" w:eastAsiaTheme="minorHAnsi" w:hAnsi="Times New Roman" w:cs="Times New Roman"/>
          <w:sz w:val="24"/>
          <w:szCs w:val="24"/>
          <w:u w:val="single"/>
        </w:rPr>
        <w:t xml:space="preserve"> v. Metropolitan Edison Company</w:t>
      </w:r>
      <w:r w:rsidRPr="006B2A5E">
        <w:rPr>
          <w:rFonts w:ascii="Times New Roman" w:eastAsiaTheme="minorHAnsi" w:hAnsi="Times New Roman" w:cs="Times New Roman"/>
          <w:sz w:val="24"/>
          <w:szCs w:val="24"/>
        </w:rPr>
        <w:t>, Docket No.</w:t>
      </w:r>
      <w:proofErr w:type="gramEnd"/>
      <w:r w:rsidRPr="006B2A5E">
        <w:rPr>
          <w:rFonts w:ascii="Times New Roman" w:eastAsiaTheme="minorHAnsi" w:hAnsi="Times New Roman" w:cs="Times New Roman"/>
          <w:sz w:val="24"/>
          <w:szCs w:val="24"/>
        </w:rPr>
        <w:t xml:space="preserve"> F-2008-2019388, Opinion and Order (entered July 28, 2009</w:t>
      </w:r>
      <w:r w:rsidR="001219A8">
        <w:rPr>
          <w:rFonts w:ascii="Times New Roman" w:eastAsiaTheme="minorHAnsi" w:hAnsi="Times New Roman" w:cs="Times New Roman"/>
          <w:sz w:val="24"/>
          <w:szCs w:val="24"/>
        </w:rPr>
        <w:t>) (</w:t>
      </w:r>
      <w:proofErr w:type="spellStart"/>
      <w:r w:rsidR="001219A8" w:rsidRPr="006B2A5E">
        <w:rPr>
          <w:rFonts w:ascii="Times New Roman" w:eastAsiaTheme="minorHAnsi" w:hAnsi="Times New Roman" w:cs="Times New Roman"/>
          <w:sz w:val="24"/>
          <w:szCs w:val="24"/>
          <w:u w:val="single"/>
        </w:rPr>
        <w:t>Seidenstricker</w:t>
      </w:r>
      <w:proofErr w:type="spellEnd"/>
      <w:r w:rsidRPr="006B2A5E">
        <w:rPr>
          <w:rFonts w:ascii="Times New Roman" w:eastAsiaTheme="minorHAnsi" w:hAnsi="Times New Roman" w:cs="Times New Roman"/>
          <w:sz w:val="24"/>
          <w:szCs w:val="24"/>
        </w:rPr>
        <w:t>), the Commission found an abuse of process where the complainant defaulted on eight</w:t>
      </w:r>
      <w:r w:rsidR="00CA18C2">
        <w:rPr>
          <w:rFonts w:ascii="Times New Roman" w:eastAsiaTheme="minorHAnsi" w:hAnsi="Times New Roman" w:cs="Times New Roman"/>
          <w:sz w:val="24"/>
          <w:szCs w:val="24"/>
        </w:rPr>
        <w:t xml:space="preserve"> </w:t>
      </w:r>
      <w:r w:rsidRPr="006B2A5E">
        <w:rPr>
          <w:rFonts w:ascii="Times New Roman" w:eastAsiaTheme="minorHAnsi" w:hAnsi="Times New Roman" w:cs="Times New Roman"/>
          <w:sz w:val="24"/>
          <w:szCs w:val="24"/>
        </w:rPr>
        <w:t>payment plans, avoided termination by filing for bankruptcy and attempting to transfer her account to her mother and sister and invoking the provisions in the Public Utility Code regarding discontinuance of service to leased premises, 66 Pa. C</w:t>
      </w:r>
      <w:r w:rsidR="00CA18C2">
        <w:rPr>
          <w:rFonts w:ascii="Times New Roman" w:eastAsiaTheme="minorHAnsi" w:hAnsi="Times New Roman" w:cs="Times New Roman"/>
          <w:sz w:val="24"/>
          <w:szCs w:val="24"/>
        </w:rPr>
        <w:t xml:space="preserve">.S. §§1521-1533, on </w:t>
      </w:r>
      <w:r w:rsidR="00BA3B5E">
        <w:rPr>
          <w:rFonts w:ascii="Times New Roman" w:eastAsiaTheme="minorHAnsi" w:hAnsi="Times New Roman" w:cs="Times New Roman"/>
          <w:sz w:val="24"/>
          <w:szCs w:val="24"/>
        </w:rPr>
        <w:t>18</w:t>
      </w:r>
      <w:r w:rsidRPr="006B2A5E">
        <w:rPr>
          <w:rFonts w:ascii="Times New Roman" w:eastAsiaTheme="minorHAnsi" w:hAnsi="Times New Roman" w:cs="Times New Roman"/>
          <w:sz w:val="24"/>
          <w:szCs w:val="24"/>
        </w:rPr>
        <w:t xml:space="preserve"> occasions.</w:t>
      </w:r>
      <w:r w:rsidR="003A087C" w:rsidRPr="006B2A5E">
        <w:rPr>
          <w:rFonts w:ascii="Times New Roman" w:eastAsiaTheme="minorHAnsi" w:hAnsi="Times New Roman" w:cs="Times New Roman"/>
          <w:sz w:val="24"/>
          <w:szCs w:val="24"/>
        </w:rPr>
        <w:t xml:space="preserve">  </w:t>
      </w:r>
      <w:r w:rsidR="003A087C" w:rsidRPr="006B2A5E">
        <w:rPr>
          <w:rFonts w:ascii="Times New Roman" w:eastAsiaTheme="minorHAnsi" w:hAnsi="Times New Roman" w:cs="Times New Roman"/>
          <w:i/>
          <w:sz w:val="24"/>
          <w:szCs w:val="24"/>
        </w:rPr>
        <w:t>See also</w:t>
      </w:r>
      <w:r w:rsidR="003A087C" w:rsidRPr="006B2A5E">
        <w:rPr>
          <w:rFonts w:ascii="Times New Roman" w:eastAsiaTheme="minorHAnsi" w:hAnsi="Times New Roman" w:cs="Times New Roman"/>
          <w:sz w:val="24"/>
          <w:szCs w:val="24"/>
        </w:rPr>
        <w:t xml:space="preserve">, </w:t>
      </w:r>
      <w:proofErr w:type="spellStart"/>
      <w:r w:rsidR="006B2A5E" w:rsidRPr="006B2A5E">
        <w:rPr>
          <w:rFonts w:ascii="Times New Roman" w:hAnsi="Times New Roman" w:cs="Times New Roman"/>
          <w:sz w:val="24"/>
          <w:szCs w:val="24"/>
          <w:u w:val="single"/>
        </w:rPr>
        <w:t>DiFilippo</w:t>
      </w:r>
      <w:proofErr w:type="spellEnd"/>
      <w:r w:rsidR="006B2A5E" w:rsidRPr="006B2A5E">
        <w:rPr>
          <w:rFonts w:ascii="Times New Roman" w:hAnsi="Times New Roman" w:cs="Times New Roman"/>
          <w:sz w:val="24"/>
          <w:szCs w:val="24"/>
          <w:u w:val="single"/>
        </w:rPr>
        <w:t xml:space="preserve"> v. PECO Energy Company</w:t>
      </w:r>
      <w:r w:rsidR="006B2A5E" w:rsidRPr="006B2A5E">
        <w:rPr>
          <w:rFonts w:ascii="Times New Roman" w:hAnsi="Times New Roman" w:cs="Times New Roman"/>
          <w:sz w:val="24"/>
          <w:szCs w:val="24"/>
        </w:rPr>
        <w:t>, Docket No. C-20027116 (</w:t>
      </w:r>
      <w:r w:rsidR="00AD7534">
        <w:rPr>
          <w:rFonts w:ascii="Times New Roman" w:hAnsi="Times New Roman" w:cs="Times New Roman"/>
          <w:sz w:val="24"/>
          <w:szCs w:val="24"/>
        </w:rPr>
        <w:t xml:space="preserve">Initial Decision dated August 8, 2002) (Final Order dated </w:t>
      </w:r>
      <w:r w:rsidR="006B2A5E" w:rsidRPr="006B2A5E">
        <w:rPr>
          <w:rFonts w:ascii="Times New Roman" w:hAnsi="Times New Roman" w:cs="Times New Roman"/>
          <w:sz w:val="24"/>
          <w:szCs w:val="24"/>
        </w:rPr>
        <w:t xml:space="preserve">October 3, 2002) (complainant had abused the Commission’s complaint process by filing three previous complaints which were all dismissed with prejudice and by filing a fourth </w:t>
      </w:r>
      <w:r w:rsidR="006B2A5E" w:rsidRPr="006B2A5E">
        <w:rPr>
          <w:rFonts w:ascii="Times New Roman" w:hAnsi="Times New Roman" w:cs="Times New Roman"/>
          <w:sz w:val="24"/>
          <w:szCs w:val="24"/>
        </w:rPr>
        <w:lastRenderedPageBreak/>
        <w:t xml:space="preserve">complaint which contained impertinent or scandalous matters); and </w:t>
      </w:r>
      <w:r w:rsidR="006B2A5E" w:rsidRPr="006B2A5E">
        <w:rPr>
          <w:rFonts w:ascii="Times New Roman" w:hAnsi="Times New Roman" w:cs="Times New Roman"/>
          <w:sz w:val="24"/>
          <w:szCs w:val="24"/>
          <w:u w:val="single"/>
        </w:rPr>
        <w:t>Thomas v. The Peoples Natural Gas Company</w:t>
      </w:r>
      <w:r w:rsidR="006B2A5E" w:rsidRPr="006B2A5E">
        <w:rPr>
          <w:rFonts w:ascii="Times New Roman" w:hAnsi="Times New Roman" w:cs="Times New Roman"/>
          <w:sz w:val="24"/>
          <w:szCs w:val="24"/>
        </w:rPr>
        <w:t xml:space="preserve">, Docket No. </w:t>
      </w:r>
      <w:r w:rsidR="00AD7534">
        <w:rPr>
          <w:rFonts w:ascii="Times New Roman" w:hAnsi="Times New Roman" w:cs="Times New Roman"/>
          <w:sz w:val="24"/>
          <w:szCs w:val="24"/>
        </w:rPr>
        <w:t>C-</w:t>
      </w:r>
      <w:r w:rsidR="006B2A5E" w:rsidRPr="006B2A5E">
        <w:rPr>
          <w:rFonts w:ascii="Times New Roman" w:hAnsi="Times New Roman" w:cs="Times New Roman"/>
          <w:sz w:val="24"/>
          <w:szCs w:val="24"/>
        </w:rPr>
        <w:t>2009-2102194 (</w:t>
      </w:r>
      <w:r w:rsidR="00AD7534">
        <w:rPr>
          <w:rFonts w:ascii="Times New Roman" w:hAnsi="Times New Roman" w:cs="Times New Roman"/>
          <w:sz w:val="24"/>
          <w:szCs w:val="24"/>
        </w:rPr>
        <w:t>Opinion and Order dated</w:t>
      </w:r>
      <w:r w:rsidR="006B2A5E" w:rsidRPr="006B2A5E">
        <w:rPr>
          <w:rFonts w:ascii="Times New Roman" w:hAnsi="Times New Roman" w:cs="Times New Roman"/>
          <w:sz w:val="24"/>
          <w:szCs w:val="24"/>
        </w:rPr>
        <w:t xml:space="preserve"> June 17, 2010) (complainant </w:t>
      </w:r>
      <w:r w:rsidR="006D5108">
        <w:rPr>
          <w:rFonts w:ascii="Times New Roman" w:hAnsi="Times New Roman" w:cs="Times New Roman"/>
          <w:sz w:val="24"/>
          <w:szCs w:val="24"/>
        </w:rPr>
        <w:t xml:space="preserve">with poor payment history </w:t>
      </w:r>
      <w:r w:rsidR="006B2A5E" w:rsidRPr="006B2A5E">
        <w:rPr>
          <w:rFonts w:ascii="Times New Roman" w:hAnsi="Times New Roman" w:cs="Times New Roman"/>
          <w:sz w:val="24"/>
          <w:szCs w:val="24"/>
        </w:rPr>
        <w:t>had abused the system by filing three informal complaints which were all dismissed because he had defaulted on a Commission-issued payment arrangement and a formal complaint which was also dismissed for the same reason).</w:t>
      </w:r>
    </w:p>
    <w:p w:rsidR="000B5B3F" w:rsidRDefault="000B5B3F" w:rsidP="00BC32B3">
      <w:pPr>
        <w:pStyle w:val="ParaTab1"/>
        <w:spacing w:line="360" w:lineRule="auto"/>
        <w:ind w:firstLine="1354"/>
        <w:rPr>
          <w:rFonts w:eastAsiaTheme="minorHAnsi"/>
        </w:rPr>
      </w:pPr>
    </w:p>
    <w:p w:rsidR="00CA18C2" w:rsidRDefault="00266840" w:rsidP="00BC32B3">
      <w:pPr>
        <w:pStyle w:val="ParaTab1"/>
        <w:spacing w:line="360" w:lineRule="auto"/>
        <w:ind w:firstLine="1354"/>
        <w:rPr>
          <w:rFonts w:eastAsiaTheme="minorHAnsi"/>
        </w:rPr>
      </w:pPr>
      <w:r>
        <w:rPr>
          <w:rFonts w:eastAsiaTheme="minorHAnsi"/>
        </w:rPr>
        <w:t xml:space="preserve">PGW’s motion will be denied because </w:t>
      </w:r>
      <w:r w:rsidR="00CA18C2">
        <w:rPr>
          <w:rFonts w:eastAsiaTheme="minorHAnsi"/>
        </w:rPr>
        <w:t>when examining the record in the light most favorable to Mr. Lofton, as is required when disposing of PGW’s motion, it is not clear that PGW is entitled to judgment as a matter of law.  T</w:t>
      </w:r>
      <w:r w:rsidR="000B5B3F">
        <w:rPr>
          <w:rFonts w:eastAsiaTheme="minorHAnsi"/>
        </w:rPr>
        <w:t>he instant case is different from Commission precedent that has barred complainants from filing future complaints.</w:t>
      </w:r>
      <w:r w:rsidR="00894C4B">
        <w:rPr>
          <w:rFonts w:eastAsiaTheme="minorHAnsi"/>
        </w:rPr>
        <w:t xml:space="preserve">  </w:t>
      </w:r>
    </w:p>
    <w:p w:rsidR="00CA18C2" w:rsidRDefault="00CA18C2" w:rsidP="00BC32B3">
      <w:pPr>
        <w:pStyle w:val="ParaTab1"/>
        <w:spacing w:line="360" w:lineRule="auto"/>
        <w:ind w:firstLine="1354"/>
        <w:rPr>
          <w:rFonts w:eastAsiaTheme="minorHAnsi"/>
        </w:rPr>
      </w:pPr>
    </w:p>
    <w:p w:rsidR="00AB7320" w:rsidRDefault="00266840" w:rsidP="00BC32B3">
      <w:pPr>
        <w:pStyle w:val="ParaTab1"/>
        <w:spacing w:line="360" w:lineRule="auto"/>
        <w:ind w:firstLine="1354"/>
        <w:rPr>
          <w:rFonts w:eastAsiaTheme="minorHAnsi"/>
        </w:rPr>
      </w:pPr>
      <w:r>
        <w:rPr>
          <w:rFonts w:eastAsiaTheme="minorHAnsi"/>
        </w:rPr>
        <w:t xml:space="preserve">In this case, according to PGW’s motion, Mr. Lofton has filed four informal complaints with the Commission’s Bureau of Consumer Services (BCS) and two formal complaints during the past three years.  The Company has sent Mr. Lofton several shut off notices.  As of March, 2016, the balance on the account reached $9,266.35.  This information was also raised by PGW in its new matter to which Mr. Lofton did not deny.  As a result, this information can be accepted as true.  </w:t>
      </w:r>
      <w:proofErr w:type="gramStart"/>
      <w:r>
        <w:rPr>
          <w:rFonts w:eastAsiaTheme="minorHAnsi"/>
        </w:rPr>
        <w:t xml:space="preserve">52 </w:t>
      </w:r>
      <w:proofErr w:type="spellStart"/>
      <w:r>
        <w:rPr>
          <w:rFonts w:eastAsiaTheme="minorHAnsi"/>
        </w:rPr>
        <w:t>Pa.Code</w:t>
      </w:r>
      <w:proofErr w:type="spellEnd"/>
      <w:r>
        <w:rPr>
          <w:rFonts w:eastAsiaTheme="minorHAnsi"/>
        </w:rPr>
        <w:t xml:space="preserve"> § </w:t>
      </w:r>
      <w:r w:rsidR="00757232">
        <w:rPr>
          <w:rFonts w:eastAsiaTheme="minorHAnsi"/>
        </w:rPr>
        <w:t>5.63(b).</w:t>
      </w:r>
      <w:proofErr w:type="gramEnd"/>
      <w:r w:rsidR="00757232">
        <w:rPr>
          <w:rFonts w:eastAsiaTheme="minorHAnsi"/>
        </w:rPr>
        <w:t xml:space="preserve">  This </w:t>
      </w:r>
      <w:r w:rsidR="00BA3B5E">
        <w:rPr>
          <w:rFonts w:eastAsiaTheme="minorHAnsi"/>
        </w:rPr>
        <w:t>history</w:t>
      </w:r>
      <w:r w:rsidR="00757232">
        <w:rPr>
          <w:rFonts w:eastAsiaTheme="minorHAnsi"/>
        </w:rPr>
        <w:t xml:space="preserve"> is significant.  </w:t>
      </w:r>
      <w:r w:rsidR="00AB7320">
        <w:rPr>
          <w:rFonts w:eastAsiaTheme="minorHAnsi"/>
        </w:rPr>
        <w:t>Yet, i</w:t>
      </w:r>
      <w:r w:rsidR="00CF3057">
        <w:rPr>
          <w:rFonts w:eastAsiaTheme="minorHAnsi"/>
        </w:rPr>
        <w:t xml:space="preserve">n </w:t>
      </w:r>
      <w:proofErr w:type="spellStart"/>
      <w:r w:rsidR="00CF3057" w:rsidRPr="00AB7320">
        <w:rPr>
          <w:rFonts w:eastAsiaTheme="minorHAnsi"/>
          <w:u w:val="single"/>
        </w:rPr>
        <w:t>Seidenstricker</w:t>
      </w:r>
      <w:proofErr w:type="spellEnd"/>
      <w:r w:rsidR="00AB7320">
        <w:rPr>
          <w:rFonts w:eastAsiaTheme="minorHAnsi"/>
        </w:rPr>
        <w:t>,</w:t>
      </w:r>
      <w:r w:rsidR="00CF3057">
        <w:rPr>
          <w:rFonts w:eastAsiaTheme="minorHAnsi"/>
        </w:rPr>
        <w:t xml:space="preserve"> </w:t>
      </w:r>
      <w:r w:rsidR="00AB7320">
        <w:rPr>
          <w:rFonts w:eastAsiaTheme="minorHAnsi"/>
          <w:i/>
        </w:rPr>
        <w:t>supra</w:t>
      </w:r>
      <w:r w:rsidR="00AB7320">
        <w:rPr>
          <w:rFonts w:eastAsiaTheme="minorHAnsi"/>
        </w:rPr>
        <w:t xml:space="preserve">, </w:t>
      </w:r>
      <w:r w:rsidR="00CF3057">
        <w:rPr>
          <w:rFonts w:eastAsiaTheme="minorHAnsi"/>
        </w:rPr>
        <w:t>for example, the complain</w:t>
      </w:r>
      <w:r w:rsidR="00AB7320">
        <w:rPr>
          <w:rFonts w:eastAsiaTheme="minorHAnsi"/>
        </w:rPr>
        <w:t>ant defaulted on eight payment plans</w:t>
      </w:r>
      <w:r w:rsidR="00CA18C2">
        <w:rPr>
          <w:rFonts w:eastAsiaTheme="minorHAnsi"/>
        </w:rPr>
        <w:t xml:space="preserve"> and</w:t>
      </w:r>
      <w:r w:rsidR="00AB7320">
        <w:rPr>
          <w:rFonts w:eastAsiaTheme="minorHAnsi"/>
        </w:rPr>
        <w:t xml:space="preserve"> avoided termination by filing for bankruptcy and attempting to transfer her account to her relatives.  </w:t>
      </w:r>
      <w:r w:rsidR="00AB7320">
        <w:rPr>
          <w:rFonts w:eastAsiaTheme="minorHAnsi"/>
          <w:u w:val="single"/>
        </w:rPr>
        <w:t>Id.</w:t>
      </w:r>
      <w:r w:rsidR="00AB7320">
        <w:rPr>
          <w:rFonts w:eastAsiaTheme="minorHAnsi"/>
        </w:rPr>
        <w:t xml:space="preserve">  During that time, the complainant accumulated a balance of $26,000.  </w:t>
      </w:r>
      <w:r w:rsidR="00AB7320">
        <w:rPr>
          <w:rFonts w:eastAsiaTheme="minorHAnsi"/>
          <w:u w:val="single"/>
        </w:rPr>
        <w:t>Id.</w:t>
      </w:r>
      <w:r w:rsidR="00AB7320">
        <w:rPr>
          <w:rFonts w:eastAsiaTheme="minorHAnsi"/>
        </w:rPr>
        <w:t xml:space="preserve">  Similarly, in </w:t>
      </w:r>
      <w:proofErr w:type="spellStart"/>
      <w:r w:rsidR="00AB7320">
        <w:rPr>
          <w:rFonts w:eastAsiaTheme="minorHAnsi"/>
          <w:u w:val="single"/>
        </w:rPr>
        <w:t>Argento’s</w:t>
      </w:r>
      <w:proofErr w:type="spellEnd"/>
      <w:r w:rsidR="00AB7320">
        <w:rPr>
          <w:rFonts w:eastAsiaTheme="minorHAnsi"/>
          <w:u w:val="single"/>
        </w:rPr>
        <w:t xml:space="preserve"> Pizza Attn: Bruce Bottomley v. </w:t>
      </w:r>
      <w:r w:rsidR="001219A8">
        <w:rPr>
          <w:rFonts w:eastAsiaTheme="minorHAnsi"/>
          <w:u w:val="single"/>
        </w:rPr>
        <w:t>Philadelphia Gas Works</w:t>
      </w:r>
      <w:r w:rsidR="00AB7320">
        <w:rPr>
          <w:rFonts w:eastAsiaTheme="minorHAnsi"/>
        </w:rPr>
        <w:t xml:space="preserve">, C-2009-2138055 (Order entered October 1, 2010), the complainant failed to appear for a hearing, had filed four formal complaints in the prior two year period and had accrued a balance of nearly $18,000.  </w:t>
      </w:r>
      <w:r w:rsidR="000B5B3F">
        <w:rPr>
          <w:rFonts w:eastAsiaTheme="minorHAnsi"/>
        </w:rPr>
        <w:t>Mr. Lofton’s action</w:t>
      </w:r>
      <w:r w:rsidR="00AB7320">
        <w:rPr>
          <w:rFonts w:eastAsiaTheme="minorHAnsi"/>
        </w:rPr>
        <w:t>s in this case</w:t>
      </w:r>
      <w:r w:rsidR="000B5B3F">
        <w:rPr>
          <w:rFonts w:eastAsiaTheme="minorHAnsi"/>
        </w:rPr>
        <w:t xml:space="preserve"> </w:t>
      </w:r>
      <w:r w:rsidR="00AB7320">
        <w:rPr>
          <w:rFonts w:eastAsiaTheme="minorHAnsi"/>
        </w:rPr>
        <w:t>approach</w:t>
      </w:r>
      <w:r w:rsidR="000B5B3F">
        <w:rPr>
          <w:rFonts w:eastAsiaTheme="minorHAnsi"/>
        </w:rPr>
        <w:t xml:space="preserve"> what has </w:t>
      </w:r>
      <w:r w:rsidR="00AB7320">
        <w:rPr>
          <w:rFonts w:eastAsiaTheme="minorHAnsi"/>
        </w:rPr>
        <w:t xml:space="preserve">occurred in these other cases but do not reach those levels.  </w:t>
      </w:r>
      <w:r w:rsidR="00CA18C2">
        <w:rPr>
          <w:rFonts w:eastAsiaTheme="minorHAnsi"/>
        </w:rPr>
        <w:t xml:space="preserve">When considering in the light most favorable to Mr. Lofton his argument that the company fails to acknowledge his efforts to resolve the matter, for example, there is no “scheme” of an “apparently ongoing nature” of abuse of process present in this case.  </w:t>
      </w:r>
      <w:proofErr w:type="gramStart"/>
      <w:r w:rsidR="00CA18C2">
        <w:rPr>
          <w:rFonts w:eastAsiaTheme="minorHAnsi"/>
          <w:u w:val="single"/>
        </w:rPr>
        <w:t>Manu</w:t>
      </w:r>
      <w:r w:rsidR="00CA18C2">
        <w:rPr>
          <w:rFonts w:eastAsiaTheme="minorHAnsi"/>
        </w:rPr>
        <w:t xml:space="preserve">, </w:t>
      </w:r>
      <w:r w:rsidR="00CA18C2">
        <w:rPr>
          <w:rFonts w:eastAsiaTheme="minorHAnsi"/>
          <w:i/>
        </w:rPr>
        <w:t>supra</w:t>
      </w:r>
      <w:r w:rsidR="00CA18C2">
        <w:rPr>
          <w:rFonts w:eastAsiaTheme="minorHAnsi"/>
        </w:rPr>
        <w:t>.</w:t>
      </w:r>
      <w:proofErr w:type="gramEnd"/>
      <w:r w:rsidR="00CA18C2">
        <w:rPr>
          <w:rFonts w:eastAsiaTheme="minorHAnsi"/>
        </w:rPr>
        <w:t xml:space="preserve">  </w:t>
      </w:r>
      <w:r w:rsidR="00AB7320">
        <w:rPr>
          <w:rFonts w:eastAsiaTheme="minorHAnsi"/>
        </w:rPr>
        <w:t>As a result, PGW’s motion will be denied.</w:t>
      </w:r>
    </w:p>
    <w:p w:rsidR="00AB7320" w:rsidRDefault="00AB7320" w:rsidP="00BC32B3">
      <w:pPr>
        <w:pStyle w:val="ParaTab1"/>
        <w:spacing w:line="360" w:lineRule="auto"/>
        <w:ind w:firstLine="1354"/>
        <w:rPr>
          <w:rFonts w:eastAsiaTheme="minorHAnsi"/>
        </w:rPr>
      </w:pPr>
    </w:p>
    <w:p w:rsidR="00AB7320" w:rsidRDefault="00AB7320" w:rsidP="00BC32B3">
      <w:pPr>
        <w:pStyle w:val="ParaTab1"/>
        <w:spacing w:line="360" w:lineRule="auto"/>
        <w:ind w:firstLine="1354"/>
        <w:rPr>
          <w:rFonts w:ascii="Times New Roman" w:hAnsi="Times New Roman" w:cs="Times New Roman"/>
          <w:snapToGrid w:val="0"/>
        </w:rPr>
      </w:pPr>
      <w:r>
        <w:rPr>
          <w:rFonts w:eastAsiaTheme="minorHAnsi"/>
        </w:rPr>
        <w:t xml:space="preserve">Furthermore, </w:t>
      </w:r>
      <w:r w:rsidR="00CA18C2">
        <w:rPr>
          <w:rFonts w:eastAsiaTheme="minorHAnsi"/>
        </w:rPr>
        <w:t xml:space="preserve">PGW’s motion will be denied because </w:t>
      </w:r>
      <w:r>
        <w:rPr>
          <w:rFonts w:eastAsiaTheme="minorHAnsi"/>
        </w:rPr>
        <w:t xml:space="preserve">a review of the relevant case law reveals that the abuse of process determination had been established after notice and an </w:t>
      </w:r>
      <w:r>
        <w:rPr>
          <w:rFonts w:eastAsiaTheme="minorHAnsi"/>
        </w:rPr>
        <w:lastRenderedPageBreak/>
        <w:t xml:space="preserve">opportunity to be heard was afforded.  In this case, PGW has filed a motion for summary judgment seeking to dismiss Mr. Lofton’s complaint </w:t>
      </w:r>
      <w:r w:rsidR="001219A8">
        <w:rPr>
          <w:rFonts w:eastAsiaTheme="minorHAnsi"/>
        </w:rPr>
        <w:t xml:space="preserve">on a preliminary basis </w:t>
      </w:r>
      <w:r w:rsidR="00CA18C2">
        <w:rPr>
          <w:rFonts w:eastAsiaTheme="minorHAnsi"/>
        </w:rPr>
        <w:t>prior to a hearing</w:t>
      </w:r>
      <w:r>
        <w:rPr>
          <w:rFonts w:eastAsiaTheme="minorHAnsi"/>
        </w:rPr>
        <w:t xml:space="preserve">.  </w:t>
      </w:r>
      <w:r w:rsidR="00CA18C2">
        <w:rPr>
          <w:rFonts w:eastAsiaTheme="minorHAnsi"/>
        </w:rPr>
        <w:t xml:space="preserve">This is particularly significant because </w:t>
      </w:r>
      <w:r>
        <w:rPr>
          <w:rFonts w:eastAsiaTheme="minorHAnsi"/>
        </w:rPr>
        <w:t>Mr. Lofton stated in his answer to PGW’s motion that PGW’s motion fails to acknowledge his efforts to resolve the matter.  Mr. Lofton also explained the various discrepancies in his bill and his efforts to get more information from PGW about how his bill is calculated.  Mr. Lofton concluded that he would like a hearing to explain his position.  As noted above, w</w:t>
      </w:r>
      <w:r w:rsidRPr="00D1244F">
        <w:rPr>
          <w:rFonts w:ascii="Times New Roman" w:hAnsi="Times New Roman" w:cs="Times New Roman"/>
          <w:snapToGrid w:val="0"/>
        </w:rPr>
        <w:t>hen disposing of a Motion for Summary Judgment, the record must be examined in the light most favorable to the nonmoving party.</w:t>
      </w:r>
      <w:r>
        <w:rPr>
          <w:rFonts w:ascii="Times New Roman" w:hAnsi="Times New Roman" w:cs="Times New Roman"/>
          <w:snapToGrid w:val="0"/>
        </w:rPr>
        <w:t xml:space="preserve">  Mr. Lofton’s contention that there are discrepancies in his bill and</w:t>
      </w:r>
      <w:r w:rsidR="003C4930">
        <w:rPr>
          <w:rFonts w:ascii="Times New Roman" w:hAnsi="Times New Roman" w:cs="Times New Roman"/>
          <w:snapToGrid w:val="0"/>
        </w:rPr>
        <w:t xml:space="preserve"> that</w:t>
      </w:r>
      <w:r>
        <w:rPr>
          <w:rFonts w:ascii="Times New Roman" w:hAnsi="Times New Roman" w:cs="Times New Roman"/>
          <w:snapToGrid w:val="0"/>
        </w:rPr>
        <w:t xml:space="preserve"> he has been attempting to get more information from PGW, for example, support denying PGW’s motion.</w:t>
      </w:r>
      <w:r w:rsidR="003C4930">
        <w:rPr>
          <w:rFonts w:ascii="Times New Roman" w:hAnsi="Times New Roman" w:cs="Times New Roman"/>
          <w:snapToGrid w:val="0"/>
        </w:rPr>
        <w:t xml:space="preserve">  </w:t>
      </w:r>
      <w:r w:rsidR="00BA3B5E">
        <w:rPr>
          <w:rFonts w:ascii="Times New Roman" w:hAnsi="Times New Roman" w:cs="Times New Roman"/>
          <w:snapToGrid w:val="0"/>
        </w:rPr>
        <w:t xml:space="preserve">At </w:t>
      </w:r>
      <w:r w:rsidR="003C4930">
        <w:rPr>
          <w:rFonts w:ascii="Times New Roman" w:hAnsi="Times New Roman" w:cs="Times New Roman"/>
          <w:snapToGrid w:val="0"/>
        </w:rPr>
        <w:t>a hearing, however, where Mr. Lofton will have to demonstrate that the Company violated the Public Utility Code, a Commission order or regulation or a Commission-approved tariff by a preponderance of the evidence, an abuse of process determination may be more appropriate at that time.</w:t>
      </w:r>
    </w:p>
    <w:p w:rsidR="00CA18C2" w:rsidRDefault="00CA18C2" w:rsidP="00BC32B3">
      <w:pPr>
        <w:pStyle w:val="ParaTab1"/>
        <w:spacing w:line="360" w:lineRule="auto"/>
        <w:ind w:firstLine="1354"/>
        <w:rPr>
          <w:rFonts w:ascii="Times New Roman" w:hAnsi="Times New Roman" w:cs="Times New Roman"/>
          <w:snapToGrid w:val="0"/>
        </w:rPr>
      </w:pPr>
    </w:p>
    <w:p w:rsidR="00041A91" w:rsidRPr="00041A91" w:rsidRDefault="00CA18C2" w:rsidP="00BC32B3">
      <w:pPr>
        <w:pStyle w:val="Style"/>
        <w:widowControl/>
        <w:spacing w:line="360" w:lineRule="auto"/>
        <w:ind w:firstLine="1440"/>
        <w:rPr>
          <w:color w:val="000000"/>
        </w:rPr>
      </w:pPr>
      <w:proofErr w:type="gramStart"/>
      <w:r>
        <w:rPr>
          <w:snapToGrid w:val="0"/>
        </w:rPr>
        <w:t xml:space="preserve">In addition, </w:t>
      </w:r>
      <w:r w:rsidR="00041A91" w:rsidRPr="00041A91">
        <w:rPr>
          <w:snapToGrid w:val="0"/>
        </w:rPr>
        <w:t>i</w:t>
      </w:r>
      <w:r w:rsidR="00041A91" w:rsidRPr="00041A91">
        <w:rPr>
          <w:color w:val="000000"/>
        </w:rPr>
        <w:t xml:space="preserve">n </w:t>
      </w:r>
      <w:r w:rsidR="00041A91" w:rsidRPr="00041A91">
        <w:rPr>
          <w:color w:val="000000"/>
          <w:u w:val="single"/>
        </w:rPr>
        <w:t xml:space="preserve">Richard </w:t>
      </w:r>
      <w:proofErr w:type="spellStart"/>
      <w:r w:rsidR="00041A91" w:rsidRPr="00041A91">
        <w:rPr>
          <w:color w:val="000000"/>
          <w:u w:val="single"/>
        </w:rPr>
        <w:t>Carlock</w:t>
      </w:r>
      <w:proofErr w:type="spellEnd"/>
      <w:r w:rsidR="00041A91" w:rsidRPr="00041A91">
        <w:rPr>
          <w:color w:val="000000"/>
          <w:u w:val="single"/>
        </w:rPr>
        <w:t xml:space="preserve"> v.</w:t>
      </w:r>
      <w:proofErr w:type="gramEnd"/>
      <w:r w:rsidR="00041A91" w:rsidRPr="00041A91">
        <w:rPr>
          <w:color w:val="000000"/>
          <w:u w:val="single"/>
        </w:rPr>
        <w:t xml:space="preserve"> The United Telephone Company of Pennsylvania</w:t>
      </w:r>
      <w:r w:rsidR="00041A91" w:rsidRPr="00041A91">
        <w:rPr>
          <w:color w:val="000000"/>
        </w:rPr>
        <w:t>, Docket No. F-00163617 (Order entered July 14, 1993) (</w:t>
      </w:r>
      <w:proofErr w:type="spellStart"/>
      <w:r w:rsidR="00041A91" w:rsidRPr="00041A91">
        <w:rPr>
          <w:color w:val="000000"/>
          <w:u w:val="single"/>
        </w:rPr>
        <w:t>Carlock</w:t>
      </w:r>
      <w:proofErr w:type="spellEnd"/>
      <w:r w:rsidR="00041A91" w:rsidRPr="00041A91">
        <w:rPr>
          <w:color w:val="000000"/>
        </w:rPr>
        <w:t xml:space="preserve">), the Commission determined that unrepresented complainants should have an opportunity to be heard orally, and not have their case dismissed on the basis of a preliminary pleading.  </w:t>
      </w:r>
      <w:r w:rsidR="00041A91" w:rsidRPr="00041A91">
        <w:rPr>
          <w:color w:val="000000"/>
          <w:u w:val="single"/>
        </w:rPr>
        <w:t>Id.</w:t>
      </w:r>
      <w:r w:rsidR="00041A91" w:rsidRPr="00041A91">
        <w:rPr>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041A91" w:rsidRPr="00041A91">
        <w:rPr>
          <w:i/>
          <w:color w:val="000000"/>
        </w:rPr>
        <w:t>citing</w:t>
      </w:r>
      <w:r w:rsidR="00041A91" w:rsidRPr="00041A91">
        <w:rPr>
          <w:color w:val="000000"/>
        </w:rPr>
        <w:t xml:space="preserve">, </w:t>
      </w:r>
      <w:r w:rsidR="00041A91" w:rsidRPr="00041A91">
        <w:rPr>
          <w:color w:val="000000"/>
          <w:u w:val="single"/>
        </w:rPr>
        <w:t>Halpern v. The Bell Telephone Company of Pennsylvania</w:t>
      </w:r>
      <w:r w:rsidR="00041A91" w:rsidRPr="00041A91">
        <w:rPr>
          <w:color w:val="000000"/>
        </w:rPr>
        <w:t xml:space="preserve">, Docket No. </w:t>
      </w:r>
      <w:proofErr w:type="gramStart"/>
      <w:r w:rsidR="00041A91" w:rsidRPr="00041A91">
        <w:rPr>
          <w:color w:val="000000"/>
        </w:rPr>
        <w:t xml:space="preserve">C-00923950 (Order entered October 1992) and </w:t>
      </w:r>
      <w:r w:rsidR="00041A91" w:rsidRPr="00041A91">
        <w:rPr>
          <w:color w:val="000000"/>
          <w:u w:val="single"/>
        </w:rPr>
        <w:t xml:space="preserve">William </w:t>
      </w:r>
      <w:proofErr w:type="spellStart"/>
      <w:r w:rsidR="00041A91" w:rsidRPr="00041A91">
        <w:rPr>
          <w:color w:val="000000"/>
          <w:u w:val="single"/>
        </w:rPr>
        <w:t>Schleisher</w:t>
      </w:r>
      <w:proofErr w:type="spellEnd"/>
      <w:r w:rsidR="00041A91" w:rsidRPr="00041A91">
        <w:rPr>
          <w:color w:val="000000"/>
          <w:u w:val="single"/>
        </w:rPr>
        <w:t xml:space="preserve"> v.</w:t>
      </w:r>
      <w:proofErr w:type="gramEnd"/>
      <w:r w:rsidR="00041A91" w:rsidRPr="00041A91">
        <w:rPr>
          <w:color w:val="000000"/>
          <w:u w:val="single"/>
        </w:rPr>
        <w:t xml:space="preserve"> The Bell Telephone Company of Pennsylvania</w:t>
      </w:r>
      <w:r w:rsidR="00041A91" w:rsidRPr="00041A91">
        <w:rPr>
          <w:color w:val="000000"/>
        </w:rPr>
        <w:t xml:space="preserve">, Docket No. F-00161252 (Order entered December 17, 1992); </w:t>
      </w:r>
      <w:r w:rsidR="00041A91" w:rsidRPr="00041A91">
        <w:rPr>
          <w:i/>
          <w:color w:val="000000"/>
        </w:rPr>
        <w:t>see also</w:t>
      </w:r>
      <w:r w:rsidR="00041A91" w:rsidRPr="00041A91">
        <w:rPr>
          <w:color w:val="000000"/>
        </w:rPr>
        <w:t xml:space="preserve">, </w:t>
      </w:r>
      <w:r w:rsidR="00041A91" w:rsidRPr="00041A91">
        <w:rPr>
          <w:color w:val="000000"/>
          <w:u w:val="single"/>
        </w:rPr>
        <w:t>John M. Gera v. PPL Electric Utilities Corporation</w:t>
      </w:r>
      <w:r w:rsidR="00041A91" w:rsidRPr="00041A91">
        <w:rPr>
          <w:color w:val="000000"/>
        </w:rPr>
        <w:t>, Docket No. C-20054657 (Opinion and Order entered November 2, 2005).</w:t>
      </w:r>
      <w:r w:rsidR="00041A91" w:rsidRPr="00041A91">
        <w:rPr>
          <w:color w:val="000000"/>
          <w:vertAlign w:val="superscript"/>
        </w:rPr>
        <w:footnoteReference w:id="1"/>
      </w:r>
      <w:r w:rsidR="00041A91" w:rsidRPr="00041A91">
        <w:rPr>
          <w:color w:val="000000"/>
        </w:rPr>
        <w:t xml:space="preserve">   As a result, in this case, it may be the case that </w:t>
      </w:r>
      <w:r w:rsidR="00041A91">
        <w:rPr>
          <w:color w:val="000000"/>
        </w:rPr>
        <w:t xml:space="preserve">Mr. Lofton </w:t>
      </w:r>
      <w:r w:rsidR="00041A91" w:rsidRPr="00041A91">
        <w:rPr>
          <w:color w:val="000000"/>
        </w:rPr>
        <w:t xml:space="preserve">could demonstrate orally that </w:t>
      </w:r>
      <w:r w:rsidR="00041A91">
        <w:rPr>
          <w:color w:val="000000"/>
        </w:rPr>
        <w:t xml:space="preserve">PGW </w:t>
      </w:r>
      <w:r w:rsidR="00041A91" w:rsidRPr="00041A91">
        <w:rPr>
          <w:color w:val="000000"/>
        </w:rPr>
        <w:t>violated the Public Utility Code, a Commission order or regulation or a Commission-approved Company tariff.</w:t>
      </w:r>
    </w:p>
    <w:p w:rsidR="00AB7320" w:rsidRDefault="00AB7320" w:rsidP="00BC32B3">
      <w:pPr>
        <w:pStyle w:val="ParaTab1"/>
        <w:spacing w:line="360" w:lineRule="auto"/>
        <w:ind w:firstLine="1354"/>
        <w:rPr>
          <w:rFonts w:ascii="Times New Roman" w:hAnsi="Times New Roman" w:cs="Times New Roman"/>
          <w:snapToGrid w:val="0"/>
        </w:rPr>
      </w:pPr>
    </w:p>
    <w:p w:rsidR="003F38EE" w:rsidRDefault="000B5B3F" w:rsidP="00BC32B3">
      <w:pPr>
        <w:pStyle w:val="ParaTab1"/>
        <w:spacing w:line="360" w:lineRule="auto"/>
        <w:ind w:firstLine="1354"/>
        <w:rPr>
          <w:rFonts w:eastAsiaTheme="minorHAnsi"/>
        </w:rPr>
      </w:pPr>
      <w:r>
        <w:rPr>
          <w:rFonts w:eastAsiaTheme="minorHAnsi"/>
        </w:rPr>
        <w:t xml:space="preserve">As a result, PGW’s motion for summary judgment will be denied and Mr. Lofton’s complaint will be allowed to proceed to a hearing.  </w:t>
      </w:r>
      <w:r w:rsidR="00BB5CE8">
        <w:rPr>
          <w:rFonts w:eastAsiaTheme="minorHAnsi"/>
        </w:rPr>
        <w:t xml:space="preserve">Mr. Lofton is advised that a hearing will require him to meet his burden of proof by a preponderance of the evidence and that all decisions of the Commission must be supported by substantial evidence.  This is a different standard than </w:t>
      </w:r>
      <w:r w:rsidR="00BA3B5E">
        <w:rPr>
          <w:rFonts w:eastAsiaTheme="minorHAnsi"/>
        </w:rPr>
        <w:t xml:space="preserve">the standard used to address the motion for summary judgment.  </w:t>
      </w:r>
      <w:r>
        <w:rPr>
          <w:rFonts w:eastAsiaTheme="minorHAnsi"/>
        </w:rPr>
        <w:t xml:space="preserve">Mr. Lofton is </w:t>
      </w:r>
      <w:r w:rsidR="00BB5CE8">
        <w:rPr>
          <w:rFonts w:eastAsiaTheme="minorHAnsi"/>
        </w:rPr>
        <w:t xml:space="preserve">further advised </w:t>
      </w:r>
      <w:r>
        <w:rPr>
          <w:rFonts w:eastAsiaTheme="minorHAnsi"/>
        </w:rPr>
        <w:t>that</w:t>
      </w:r>
      <w:r w:rsidR="00A21EAB">
        <w:rPr>
          <w:rFonts w:eastAsiaTheme="minorHAnsi"/>
        </w:rPr>
        <w:t xml:space="preserve"> the Commission has prohibited complainants from filing future complaints until, for example, current balances are paid in full</w:t>
      </w:r>
      <w:r w:rsidR="003C4930">
        <w:rPr>
          <w:rFonts w:eastAsiaTheme="minorHAnsi"/>
        </w:rPr>
        <w:t xml:space="preserve"> when it has been determined that a complainant has abused the process</w:t>
      </w:r>
      <w:r w:rsidR="00A21EAB">
        <w:rPr>
          <w:rFonts w:eastAsiaTheme="minorHAnsi"/>
        </w:rPr>
        <w:t xml:space="preserve">.  </w:t>
      </w:r>
      <w:proofErr w:type="spellStart"/>
      <w:proofErr w:type="gramStart"/>
      <w:r w:rsidR="00A21EAB">
        <w:rPr>
          <w:rFonts w:eastAsiaTheme="minorHAnsi"/>
          <w:u w:val="single"/>
        </w:rPr>
        <w:t>Seidenstricker</w:t>
      </w:r>
      <w:proofErr w:type="spellEnd"/>
      <w:r w:rsidR="00A21EAB">
        <w:rPr>
          <w:rFonts w:eastAsiaTheme="minorHAnsi"/>
        </w:rPr>
        <w:t xml:space="preserve">, </w:t>
      </w:r>
      <w:r w:rsidR="00A21EAB">
        <w:rPr>
          <w:rFonts w:eastAsiaTheme="minorHAnsi"/>
          <w:i/>
        </w:rPr>
        <w:t>supra</w:t>
      </w:r>
      <w:r w:rsidR="00CA2D9A">
        <w:rPr>
          <w:rFonts w:eastAsiaTheme="minorHAnsi"/>
        </w:rPr>
        <w:t>, at 12</w:t>
      </w:r>
      <w:r w:rsidR="00A21EAB">
        <w:rPr>
          <w:rFonts w:eastAsiaTheme="minorHAnsi"/>
        </w:rPr>
        <w:t>.</w:t>
      </w:r>
      <w:proofErr w:type="gramEnd"/>
      <w:r w:rsidR="00A21EAB">
        <w:rPr>
          <w:rFonts w:eastAsiaTheme="minorHAnsi"/>
        </w:rPr>
        <w:t xml:space="preserve">  </w:t>
      </w:r>
      <w:r w:rsidR="00BB5CE8">
        <w:rPr>
          <w:rFonts w:eastAsiaTheme="minorHAnsi"/>
        </w:rPr>
        <w:t xml:space="preserve">If </w:t>
      </w:r>
      <w:r w:rsidR="00A21EAB">
        <w:rPr>
          <w:rFonts w:eastAsiaTheme="minorHAnsi"/>
        </w:rPr>
        <w:t xml:space="preserve">the number of informal and formal complaints, termination notices and overall balance </w:t>
      </w:r>
      <w:r w:rsidR="00BA3B5E">
        <w:rPr>
          <w:rFonts w:eastAsiaTheme="minorHAnsi"/>
        </w:rPr>
        <w:t xml:space="preserve">on this account </w:t>
      </w:r>
      <w:r w:rsidR="00A21EAB">
        <w:rPr>
          <w:rFonts w:eastAsiaTheme="minorHAnsi"/>
        </w:rPr>
        <w:t xml:space="preserve">continues to escalate, Mr. Lofton is put on notice that he may be prohibited from </w:t>
      </w:r>
      <w:r w:rsidR="00CA2D9A">
        <w:rPr>
          <w:rFonts w:eastAsiaTheme="minorHAnsi"/>
        </w:rPr>
        <w:t xml:space="preserve">filing further informal or formal complaints with the Commission regarding arrearages on his account until all such arrearages are paid in full.  </w:t>
      </w:r>
      <w:proofErr w:type="gramStart"/>
      <w:r w:rsidR="00CA2D9A">
        <w:rPr>
          <w:rFonts w:eastAsiaTheme="minorHAnsi"/>
          <w:u w:val="single"/>
        </w:rPr>
        <w:t>Id.</w:t>
      </w:r>
      <w:r w:rsidR="00CA2D9A">
        <w:rPr>
          <w:rFonts w:eastAsiaTheme="minorHAnsi"/>
        </w:rPr>
        <w:t xml:space="preserve"> (noting the interest to protect other ratepayers of the company who ultimately may bear the burden of the growing arrearage).</w:t>
      </w:r>
      <w:proofErr w:type="gramEnd"/>
      <w:r w:rsidR="00CA2D9A">
        <w:rPr>
          <w:rFonts w:eastAsiaTheme="minorHAnsi"/>
        </w:rPr>
        <w:t xml:space="preserve">  </w:t>
      </w:r>
    </w:p>
    <w:p w:rsidR="003F38EE" w:rsidRDefault="003F38EE" w:rsidP="00BC32B3">
      <w:pPr>
        <w:pStyle w:val="ParaTab1"/>
        <w:spacing w:line="360" w:lineRule="auto"/>
        <w:ind w:firstLine="1354"/>
        <w:rPr>
          <w:rFonts w:eastAsiaTheme="minorHAnsi"/>
        </w:rPr>
      </w:pPr>
    </w:p>
    <w:p w:rsidR="00883986" w:rsidRDefault="00883986" w:rsidP="00BC32B3">
      <w:pPr>
        <w:pStyle w:val="ParaTab1"/>
        <w:spacing w:line="360" w:lineRule="auto"/>
        <w:ind w:firstLine="1354"/>
        <w:rPr>
          <w:rFonts w:eastAsiaTheme="minorHAnsi"/>
        </w:rPr>
      </w:pPr>
      <w:r>
        <w:rPr>
          <w:rFonts w:eastAsiaTheme="minorHAnsi"/>
        </w:rPr>
        <w:t xml:space="preserve">In conclusion, when viewing the record in this case in the light most favorable to Mr. Lofton, as is required when addressing PGW’s motion for summary judgment, it is not clear that there are no genuine issues as to a material fact or that PGW is entitled to judgment as a matter of law.  </w:t>
      </w:r>
      <w:r w:rsidR="00BA3B5E">
        <w:rPr>
          <w:rFonts w:eastAsiaTheme="minorHAnsi"/>
        </w:rPr>
        <w:t xml:space="preserve">Mr. Lofton has averred issues in his complaint that should be heard during a hearing.  </w:t>
      </w:r>
      <w:r>
        <w:rPr>
          <w:rFonts w:eastAsiaTheme="minorHAnsi"/>
        </w:rPr>
        <w:t>As a result, PGW’s motion will be denied.</w:t>
      </w:r>
    </w:p>
    <w:p w:rsidR="003C0000" w:rsidRPr="00883986" w:rsidRDefault="003C0000" w:rsidP="00BC32B3">
      <w:pPr>
        <w:pStyle w:val="Style"/>
        <w:widowControl/>
        <w:spacing w:line="360" w:lineRule="auto"/>
        <w:ind w:firstLine="1440"/>
        <w:rPr>
          <w:color w:val="000000"/>
        </w:rPr>
      </w:pPr>
    </w:p>
    <w:p w:rsidR="00A51A8A" w:rsidRPr="00883986" w:rsidRDefault="00A0071E" w:rsidP="001D67E6">
      <w:pPr>
        <w:spacing w:after="0" w:line="360" w:lineRule="auto"/>
        <w:jc w:val="center"/>
        <w:rPr>
          <w:rFonts w:ascii="Times New Roman" w:hAnsi="Times New Roman" w:cs="Times New Roman"/>
          <w:sz w:val="24"/>
          <w:szCs w:val="24"/>
        </w:rPr>
      </w:pPr>
      <w:r w:rsidRPr="00883986">
        <w:rPr>
          <w:rFonts w:ascii="Times New Roman" w:hAnsi="Times New Roman" w:cs="Times New Roman"/>
          <w:sz w:val="24"/>
          <w:szCs w:val="24"/>
          <w:u w:val="single"/>
        </w:rPr>
        <w:t>O</w:t>
      </w:r>
      <w:r w:rsidR="00A51A8A" w:rsidRPr="00883986">
        <w:rPr>
          <w:rFonts w:ascii="Times New Roman" w:hAnsi="Times New Roman" w:cs="Times New Roman"/>
          <w:sz w:val="24"/>
          <w:szCs w:val="24"/>
          <w:u w:val="single"/>
        </w:rPr>
        <w:t>RDER</w:t>
      </w:r>
    </w:p>
    <w:p w:rsidR="001D67E6" w:rsidRDefault="001D67E6" w:rsidP="001D67E6">
      <w:pPr>
        <w:spacing w:after="0" w:line="360" w:lineRule="auto"/>
        <w:ind w:firstLine="720"/>
        <w:rPr>
          <w:rFonts w:ascii="Times New Roman" w:hAnsi="Times New Roman" w:cs="Times New Roman"/>
          <w:sz w:val="24"/>
          <w:szCs w:val="24"/>
        </w:rPr>
      </w:pPr>
    </w:p>
    <w:p w:rsidR="00BC32B3" w:rsidRDefault="00BC32B3" w:rsidP="001D67E6">
      <w:pPr>
        <w:spacing w:after="0" w:line="360" w:lineRule="auto"/>
        <w:ind w:firstLine="720"/>
        <w:rPr>
          <w:rFonts w:ascii="Times New Roman" w:hAnsi="Times New Roman" w:cs="Times New Roman"/>
          <w:sz w:val="24"/>
          <w:szCs w:val="24"/>
        </w:rPr>
      </w:pPr>
    </w:p>
    <w:p w:rsidR="00A51A8A" w:rsidRDefault="00A51A8A" w:rsidP="001D67E6">
      <w:pPr>
        <w:spacing w:after="0" w:line="360" w:lineRule="auto"/>
        <w:ind w:firstLine="720"/>
        <w:rPr>
          <w:rFonts w:ascii="Times New Roman" w:hAnsi="Times New Roman" w:cs="Times New Roman"/>
          <w:sz w:val="24"/>
          <w:szCs w:val="24"/>
        </w:rPr>
      </w:pPr>
      <w:r w:rsidRPr="00883986">
        <w:rPr>
          <w:rFonts w:ascii="Times New Roman" w:hAnsi="Times New Roman" w:cs="Times New Roman"/>
          <w:sz w:val="24"/>
          <w:szCs w:val="24"/>
        </w:rPr>
        <w:t>THEREFORE,</w:t>
      </w:r>
    </w:p>
    <w:p w:rsidR="001D67E6" w:rsidRPr="00883986" w:rsidRDefault="001D67E6" w:rsidP="001D67E6">
      <w:pPr>
        <w:spacing w:after="0" w:line="360" w:lineRule="auto"/>
        <w:ind w:firstLine="720"/>
        <w:rPr>
          <w:rFonts w:ascii="Times New Roman" w:hAnsi="Times New Roman" w:cs="Times New Roman"/>
          <w:sz w:val="24"/>
          <w:szCs w:val="24"/>
        </w:rPr>
      </w:pPr>
    </w:p>
    <w:p w:rsidR="00A51A8A" w:rsidRPr="00883986" w:rsidRDefault="00A51A8A" w:rsidP="001D67E6">
      <w:pPr>
        <w:spacing w:after="0" w:line="360" w:lineRule="auto"/>
        <w:ind w:firstLine="720"/>
        <w:rPr>
          <w:rFonts w:ascii="Times New Roman" w:hAnsi="Times New Roman" w:cs="Times New Roman"/>
          <w:sz w:val="24"/>
          <w:szCs w:val="24"/>
        </w:rPr>
      </w:pPr>
      <w:r w:rsidRPr="00883986">
        <w:rPr>
          <w:rFonts w:ascii="Times New Roman" w:hAnsi="Times New Roman" w:cs="Times New Roman"/>
          <w:sz w:val="24"/>
          <w:szCs w:val="24"/>
        </w:rPr>
        <w:t>IT IS ORDERED:</w:t>
      </w:r>
    </w:p>
    <w:p w:rsidR="00EB1CE7" w:rsidRPr="00883986" w:rsidRDefault="00EB1CE7" w:rsidP="00BC32B3">
      <w:pPr>
        <w:pStyle w:val="Style"/>
        <w:widowControl/>
        <w:spacing w:line="360" w:lineRule="auto"/>
        <w:ind w:firstLine="1440"/>
        <w:rPr>
          <w:color w:val="000000"/>
        </w:rPr>
      </w:pPr>
    </w:p>
    <w:p w:rsidR="00883986" w:rsidRDefault="008E0C32" w:rsidP="00BC32B3">
      <w:pPr>
        <w:pStyle w:val="Style"/>
        <w:widowControl/>
        <w:numPr>
          <w:ilvl w:val="0"/>
          <w:numId w:val="11"/>
        </w:numPr>
        <w:spacing w:line="360" w:lineRule="auto"/>
        <w:ind w:left="0" w:firstLine="1440"/>
        <w:rPr>
          <w:color w:val="000000"/>
        </w:rPr>
      </w:pPr>
      <w:r w:rsidRPr="00883986">
        <w:rPr>
          <w:color w:val="000000"/>
        </w:rPr>
        <w:t xml:space="preserve">That the </w:t>
      </w:r>
      <w:r w:rsidR="001111DE" w:rsidRPr="00883986">
        <w:rPr>
          <w:color w:val="000000"/>
        </w:rPr>
        <w:t xml:space="preserve">Motion for Summary Judgment </w:t>
      </w:r>
      <w:r w:rsidR="00121ECD" w:rsidRPr="00883986">
        <w:rPr>
          <w:color w:val="000000"/>
        </w:rPr>
        <w:t xml:space="preserve">filed by </w:t>
      </w:r>
      <w:r w:rsidR="00883986">
        <w:rPr>
          <w:color w:val="000000"/>
        </w:rPr>
        <w:t xml:space="preserve">Philadelphia Gas Works in the above-captioned proceeding at Docket Number C-2016-2539283 on May 2, 2016, is hereby denied.  </w:t>
      </w:r>
    </w:p>
    <w:p w:rsidR="00883986" w:rsidRDefault="00883986" w:rsidP="00BC32B3">
      <w:pPr>
        <w:pStyle w:val="Style"/>
        <w:widowControl/>
        <w:spacing w:line="360" w:lineRule="auto"/>
        <w:rPr>
          <w:color w:val="000000"/>
        </w:rPr>
      </w:pPr>
    </w:p>
    <w:p w:rsidR="00883986" w:rsidRDefault="00883986" w:rsidP="00BC32B3">
      <w:pPr>
        <w:pStyle w:val="Style"/>
        <w:widowControl/>
        <w:numPr>
          <w:ilvl w:val="0"/>
          <w:numId w:val="11"/>
        </w:numPr>
        <w:spacing w:line="360" w:lineRule="auto"/>
        <w:ind w:left="0" w:firstLine="1440"/>
        <w:rPr>
          <w:color w:val="000000"/>
        </w:rPr>
      </w:pPr>
      <w:r>
        <w:rPr>
          <w:color w:val="000000"/>
        </w:rPr>
        <w:t xml:space="preserve">That the complaint filed by Kevin Lofton, Jr., on April 11, 2016 against Philadelphia Gas Works at Docket Number C-2016-2539283 shall proceed to a hearing on Tuesday, August 30, 2016 at 10:00 a.m. </w:t>
      </w:r>
    </w:p>
    <w:p w:rsidR="00883986" w:rsidRDefault="00883986" w:rsidP="00BC32B3">
      <w:pPr>
        <w:pStyle w:val="Style"/>
        <w:widowControl/>
        <w:spacing w:line="360" w:lineRule="auto"/>
        <w:rPr>
          <w:color w:val="000000"/>
        </w:rPr>
      </w:pPr>
    </w:p>
    <w:p w:rsidR="00883986" w:rsidRDefault="00883986" w:rsidP="00BC32B3">
      <w:pPr>
        <w:pStyle w:val="Style"/>
        <w:widowControl/>
        <w:numPr>
          <w:ilvl w:val="0"/>
          <w:numId w:val="11"/>
        </w:numPr>
        <w:spacing w:line="360" w:lineRule="auto"/>
        <w:ind w:left="0" w:firstLine="1440"/>
        <w:rPr>
          <w:color w:val="000000"/>
        </w:rPr>
      </w:pPr>
      <w:r>
        <w:rPr>
          <w:color w:val="000000"/>
        </w:rPr>
        <w:t xml:space="preserve">That Kevin Lofton is </w:t>
      </w:r>
      <w:r w:rsidR="005C57CB">
        <w:rPr>
          <w:rFonts w:eastAsiaTheme="minorHAnsi"/>
        </w:rPr>
        <w:t xml:space="preserve">put on notice that he may be prohibited from filing further informal or formal complaints with the Commission </w:t>
      </w:r>
      <w:r w:rsidR="00BB5CE8">
        <w:rPr>
          <w:rFonts w:eastAsiaTheme="minorHAnsi"/>
        </w:rPr>
        <w:t xml:space="preserve">against Philadelphia Gas Works </w:t>
      </w:r>
      <w:r w:rsidR="005C57CB">
        <w:rPr>
          <w:rFonts w:eastAsiaTheme="minorHAnsi"/>
        </w:rPr>
        <w:t xml:space="preserve">regarding arrearages on his account until all such arrearages are paid in full if it is found that he has abused the processes of the Public Utility Commission.  </w:t>
      </w:r>
    </w:p>
    <w:p w:rsidR="00A35883" w:rsidRPr="00883986" w:rsidRDefault="00A35883" w:rsidP="00BC32B3">
      <w:pPr>
        <w:pStyle w:val="Style"/>
        <w:widowControl/>
        <w:tabs>
          <w:tab w:val="left" w:pos="1570"/>
          <w:tab w:val="left" w:pos="2290"/>
        </w:tabs>
        <w:spacing w:line="360" w:lineRule="auto"/>
        <w:ind w:firstLine="1440"/>
        <w:rPr>
          <w:color w:val="000000"/>
        </w:rPr>
      </w:pPr>
    </w:p>
    <w:p w:rsidR="00EB1CE7" w:rsidRPr="00883986" w:rsidRDefault="00EB1CE7" w:rsidP="00BC32B3">
      <w:pPr>
        <w:pStyle w:val="Style"/>
        <w:widowControl/>
        <w:tabs>
          <w:tab w:val="left" w:pos="1570"/>
          <w:tab w:val="left" w:pos="2290"/>
        </w:tabs>
        <w:spacing w:line="360" w:lineRule="auto"/>
        <w:ind w:firstLine="1440"/>
        <w:rPr>
          <w:color w:val="000000"/>
        </w:rPr>
      </w:pPr>
    </w:p>
    <w:p w:rsidR="00121ECD" w:rsidRPr="00BC32B3" w:rsidRDefault="00121ECD" w:rsidP="00373EC0">
      <w:pPr>
        <w:pStyle w:val="Style"/>
        <w:tabs>
          <w:tab w:val="left" w:pos="1570"/>
          <w:tab w:val="left" w:pos="2290"/>
        </w:tabs>
        <w:rPr>
          <w:color w:val="000000"/>
          <w:u w:val="single"/>
        </w:rPr>
      </w:pPr>
      <w:r w:rsidRPr="00DC59A1">
        <w:rPr>
          <w:color w:val="000000"/>
        </w:rPr>
        <w:t xml:space="preserve">Date: </w:t>
      </w:r>
      <w:r w:rsidR="001219A8">
        <w:rPr>
          <w:color w:val="000000"/>
          <w:u w:val="single"/>
        </w:rPr>
        <w:t>August 3</w:t>
      </w:r>
      <w:r w:rsidR="00883986">
        <w:rPr>
          <w:color w:val="000000"/>
          <w:u w:val="single"/>
        </w:rPr>
        <w:t>, 2016</w:t>
      </w:r>
      <w:r w:rsidR="006C5B26">
        <w:rPr>
          <w:color w:val="000000"/>
        </w:rPr>
        <w:tab/>
      </w:r>
      <w:r w:rsidR="00DB1465">
        <w:rPr>
          <w:color w:val="000000"/>
        </w:rPr>
        <w:tab/>
      </w:r>
      <w:r w:rsidR="00883986">
        <w:rPr>
          <w:color w:val="000000"/>
        </w:rPr>
        <w:tab/>
      </w:r>
      <w:r w:rsidR="00A02A30">
        <w:rPr>
          <w:color w:val="000000"/>
        </w:rPr>
        <w:tab/>
      </w:r>
      <w:r w:rsidR="00BC32B3">
        <w:rPr>
          <w:color w:val="000000"/>
        </w:rPr>
        <w:tab/>
      </w:r>
      <w:r w:rsidR="00BC32B3">
        <w:rPr>
          <w:color w:val="000000"/>
          <w:u w:val="single"/>
        </w:rPr>
        <w:tab/>
      </w:r>
      <w:r w:rsidR="00BC32B3">
        <w:rPr>
          <w:color w:val="000000"/>
          <w:u w:val="single"/>
        </w:rPr>
        <w:tab/>
      </w:r>
      <w:r w:rsidR="00BC32B3">
        <w:rPr>
          <w:color w:val="000000"/>
          <w:u w:val="single"/>
        </w:rPr>
        <w:tab/>
      </w:r>
      <w:r w:rsidR="00BC32B3">
        <w:rPr>
          <w:color w:val="000000"/>
          <w:u w:val="single"/>
        </w:rPr>
        <w:tab/>
      </w:r>
      <w:r w:rsidR="00BC32B3">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r>
      <w:r w:rsidR="00BC32B3">
        <w:rPr>
          <w:color w:val="000000"/>
        </w:rPr>
        <w:tab/>
      </w:r>
      <w:r w:rsidRPr="00DC59A1">
        <w:rPr>
          <w:color w:val="000000"/>
        </w:rPr>
        <w:t>Joel H. Cheskis</w:t>
      </w:r>
    </w:p>
    <w:p w:rsidR="00BC32B3" w:rsidRDefault="00121ECD" w:rsidP="00AB0E70">
      <w:pPr>
        <w:pStyle w:val="Style"/>
        <w:tabs>
          <w:tab w:val="left" w:pos="1570"/>
          <w:tab w:val="left" w:pos="2290"/>
        </w:tabs>
        <w:rPr>
          <w:color w:val="000000"/>
        </w:rPr>
        <w:sectPr w:rsidR="00BC32B3"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r>
      <w:r w:rsidR="00BC32B3">
        <w:rPr>
          <w:color w:val="000000"/>
        </w:rPr>
        <w:tab/>
      </w:r>
      <w:r w:rsidRPr="00DC59A1">
        <w:rPr>
          <w:color w:val="000000"/>
        </w:rPr>
        <w:t>Administrative Law Judge</w:t>
      </w:r>
    </w:p>
    <w:p w:rsidR="00BC32B3" w:rsidRDefault="00BC32B3" w:rsidP="00BC32B3">
      <w:pPr>
        <w:spacing w:after="0" w:line="240" w:lineRule="auto"/>
        <w:contextualSpacing/>
        <w:rPr>
          <w:rFonts w:ascii="Microsoft Sans Serif"/>
          <w:b/>
          <w:i/>
          <w:sz w:val="24"/>
          <w:u w:val="single"/>
        </w:rPr>
      </w:pPr>
      <w:r>
        <w:rPr>
          <w:rFonts w:ascii="Microsoft Sans Serif"/>
          <w:b/>
          <w:sz w:val="24"/>
          <w:u w:val="single"/>
        </w:rPr>
        <w:lastRenderedPageBreak/>
        <w:t>C-2016-2539283 - KEVIN T LOFTON JR v. PHILADELPHIA GAS WORKS</w:t>
      </w:r>
      <w:r>
        <w:rPr>
          <w:rFonts w:ascii="Microsoft Sans Serif"/>
          <w:b/>
          <w:sz w:val="24"/>
          <w:u w:val="single"/>
        </w:rPr>
        <w:cr/>
      </w:r>
      <w:r>
        <w:rPr>
          <w:rFonts w:ascii="Microsoft Sans Serif"/>
          <w:b/>
          <w:sz w:val="24"/>
          <w:u w:val="single"/>
        </w:rPr>
        <w:cr/>
      </w:r>
      <w:r>
        <w:rPr>
          <w:rFonts w:ascii="Microsoft Sans Serif"/>
          <w:sz w:val="24"/>
        </w:rPr>
        <w:t>KEVIN T LOFTON JR</w:t>
      </w:r>
      <w:r>
        <w:rPr>
          <w:rFonts w:ascii="Microsoft Sans Serif"/>
          <w:sz w:val="24"/>
        </w:rPr>
        <w:cr/>
        <w:t>1961 ASHLEY STREET</w:t>
      </w:r>
      <w:r>
        <w:rPr>
          <w:rFonts w:ascii="Microsoft Sans Serif"/>
          <w:sz w:val="24"/>
        </w:rPr>
        <w:cr/>
        <w:t>PHILADELPHIA PA  19138</w:t>
      </w:r>
      <w:r>
        <w:rPr>
          <w:rFonts w:ascii="Microsoft Sans Serif"/>
          <w:sz w:val="24"/>
        </w:rPr>
        <w:cr/>
        <w:t>267.297.5790</w:t>
      </w:r>
      <w:r>
        <w:rPr>
          <w:rFonts w:ascii="Microsoft Sans Serif"/>
          <w:sz w:val="24"/>
        </w:rPr>
        <w:cr/>
      </w:r>
      <w:r>
        <w:rPr>
          <w:rFonts w:ascii="Microsoft Sans Serif"/>
          <w:b/>
          <w:i/>
          <w:sz w:val="24"/>
          <w:u w:val="single"/>
        </w:rPr>
        <w:t>-ACCEPTS E-SERVICE-</w:t>
      </w:r>
    </w:p>
    <w:p w:rsidR="00BC32B3" w:rsidRPr="00250542" w:rsidRDefault="00BC32B3" w:rsidP="00BC32B3">
      <w:pPr>
        <w:spacing w:after="0" w:line="240" w:lineRule="auto"/>
        <w:contextualSpacing/>
        <w:rPr>
          <w:b/>
          <w:i/>
          <w:u w:val="single"/>
        </w:rPr>
      </w:pP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BC32B3" w:rsidRDefault="00BC32B3" w:rsidP="00BC32B3">
      <w:pPr>
        <w:spacing w:after="0" w:line="240" w:lineRule="auto"/>
        <w:contextualSpacing/>
      </w:pPr>
    </w:p>
    <w:p w:rsidR="009A32A9" w:rsidRPr="001111DE" w:rsidRDefault="009A32A9" w:rsidP="00AB0E70">
      <w:pPr>
        <w:pStyle w:val="Style"/>
        <w:tabs>
          <w:tab w:val="left" w:pos="1570"/>
          <w:tab w:val="left" w:pos="2290"/>
        </w:tabs>
        <w:rPr>
          <w:color w:val="000000"/>
        </w:rPr>
      </w:pPr>
      <w:bookmarkStart w:id="0" w:name="_GoBack"/>
      <w:bookmarkEnd w:id="0"/>
    </w:p>
    <w:sectPr w:rsidR="009A32A9" w:rsidRPr="001111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69" w:rsidRDefault="00D20969" w:rsidP="009241C7">
      <w:pPr>
        <w:spacing w:after="0" w:line="240" w:lineRule="auto"/>
      </w:pPr>
      <w:r>
        <w:separator/>
      </w:r>
    </w:p>
  </w:endnote>
  <w:endnote w:type="continuationSeparator" w:id="0">
    <w:p w:rsidR="00D20969" w:rsidRDefault="00D20969"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rsidRPr="00BC32B3">
          <w:rPr>
            <w:rFonts w:ascii="Times New Roman" w:hAnsi="Times New Roman" w:cs="Times New Roman"/>
            <w:sz w:val="20"/>
            <w:szCs w:val="20"/>
          </w:rPr>
          <w:fldChar w:fldCharType="begin"/>
        </w:r>
        <w:r w:rsidRPr="00BC32B3">
          <w:rPr>
            <w:rFonts w:ascii="Times New Roman" w:hAnsi="Times New Roman" w:cs="Times New Roman"/>
            <w:sz w:val="20"/>
            <w:szCs w:val="20"/>
          </w:rPr>
          <w:instrText xml:space="preserve"> PAGE   \* MERGEFORMAT </w:instrText>
        </w:r>
        <w:r w:rsidRPr="00BC32B3">
          <w:rPr>
            <w:rFonts w:ascii="Times New Roman" w:hAnsi="Times New Roman" w:cs="Times New Roman"/>
            <w:sz w:val="20"/>
            <w:szCs w:val="20"/>
          </w:rPr>
          <w:fldChar w:fldCharType="separate"/>
        </w:r>
        <w:r w:rsidR="00BC32B3">
          <w:rPr>
            <w:rFonts w:ascii="Times New Roman" w:hAnsi="Times New Roman" w:cs="Times New Roman"/>
            <w:noProof/>
            <w:sz w:val="20"/>
            <w:szCs w:val="20"/>
          </w:rPr>
          <w:t>2</w:t>
        </w:r>
        <w:r w:rsidRPr="00BC32B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2B3" w:rsidRDefault="00BC32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69" w:rsidRDefault="00D20969" w:rsidP="009241C7">
      <w:pPr>
        <w:spacing w:after="0" w:line="240" w:lineRule="auto"/>
      </w:pPr>
      <w:r>
        <w:separator/>
      </w:r>
    </w:p>
  </w:footnote>
  <w:footnote w:type="continuationSeparator" w:id="0">
    <w:p w:rsidR="00D20969" w:rsidRDefault="00D20969" w:rsidP="009241C7">
      <w:pPr>
        <w:spacing w:after="0" w:line="240" w:lineRule="auto"/>
      </w:pPr>
      <w:r>
        <w:continuationSeparator/>
      </w:r>
    </w:p>
  </w:footnote>
  <w:footnote w:id="1">
    <w:p w:rsidR="00041A91" w:rsidRPr="005B33EB" w:rsidRDefault="00041A91" w:rsidP="00041A91">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w:t>
      </w:r>
      <w:proofErr w:type="gramStart"/>
      <w:r w:rsidRPr="005B33EB">
        <w:rPr>
          <w:color w:val="000000"/>
          <w:sz w:val="20"/>
          <w:szCs w:val="20"/>
        </w:rPr>
        <w:t>C-00957557</w:t>
      </w:r>
      <w:r>
        <w:rPr>
          <w:color w:val="000000"/>
          <w:sz w:val="20"/>
          <w:szCs w:val="20"/>
        </w:rPr>
        <w:t xml:space="preserve"> (</w:t>
      </w:r>
      <w:r w:rsidRPr="005B33EB">
        <w:rPr>
          <w:color w:val="000000"/>
          <w:sz w:val="20"/>
          <w:szCs w:val="20"/>
        </w:rPr>
        <w:t>Opinion and Order entered June 12, 1996).</w:t>
      </w:r>
      <w:proofErr w:type="gramEnd"/>
      <w:r w:rsidRPr="005B33EB">
        <w:rPr>
          <w:color w:val="000000"/>
          <w:sz w:val="20"/>
          <w:szCs w:val="20"/>
        </w:rPr>
        <w:t xml:space="preserve"> </w:t>
      </w:r>
    </w:p>
    <w:p w:rsidR="00041A91" w:rsidRDefault="00041A91" w:rsidP="00041A9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3"/>
  </w:num>
  <w:num w:numId="3">
    <w:abstractNumId w:val="2"/>
  </w:num>
  <w:num w:numId="4">
    <w:abstractNumId w:val="10"/>
  </w:num>
  <w:num w:numId="5">
    <w:abstractNumId w:val="8"/>
  </w:num>
  <w:num w:numId="6">
    <w:abstractNumId w:val="0"/>
  </w:num>
  <w:num w:numId="7">
    <w:abstractNumId w:val="4"/>
  </w:num>
  <w:num w:numId="8">
    <w:abstractNumId w:val="9"/>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E9F"/>
    <w:rsid w:val="00031A08"/>
    <w:rsid w:val="00036AD2"/>
    <w:rsid w:val="00041A91"/>
    <w:rsid w:val="00053F52"/>
    <w:rsid w:val="00067EAE"/>
    <w:rsid w:val="00070E64"/>
    <w:rsid w:val="00080A87"/>
    <w:rsid w:val="00081BD4"/>
    <w:rsid w:val="000914F5"/>
    <w:rsid w:val="00092595"/>
    <w:rsid w:val="000925C3"/>
    <w:rsid w:val="0009465A"/>
    <w:rsid w:val="00097754"/>
    <w:rsid w:val="000A0FCE"/>
    <w:rsid w:val="000A7468"/>
    <w:rsid w:val="000A7EDD"/>
    <w:rsid w:val="000B2F56"/>
    <w:rsid w:val="000B330B"/>
    <w:rsid w:val="000B5B3F"/>
    <w:rsid w:val="000B7A70"/>
    <w:rsid w:val="000C07AF"/>
    <w:rsid w:val="000C4D7B"/>
    <w:rsid w:val="000C51F4"/>
    <w:rsid w:val="000C6E20"/>
    <w:rsid w:val="000C7852"/>
    <w:rsid w:val="000D3A59"/>
    <w:rsid w:val="000F11D3"/>
    <w:rsid w:val="000F1AF4"/>
    <w:rsid w:val="000F2B0E"/>
    <w:rsid w:val="000F52EE"/>
    <w:rsid w:val="000F5849"/>
    <w:rsid w:val="001111DE"/>
    <w:rsid w:val="001219A8"/>
    <w:rsid w:val="00121ECD"/>
    <w:rsid w:val="00124CED"/>
    <w:rsid w:val="0013533F"/>
    <w:rsid w:val="001418FB"/>
    <w:rsid w:val="00143553"/>
    <w:rsid w:val="00144527"/>
    <w:rsid w:val="00144FED"/>
    <w:rsid w:val="00145468"/>
    <w:rsid w:val="00151D18"/>
    <w:rsid w:val="00155ABB"/>
    <w:rsid w:val="00157035"/>
    <w:rsid w:val="00171EF9"/>
    <w:rsid w:val="00177B9F"/>
    <w:rsid w:val="001821C2"/>
    <w:rsid w:val="001825A6"/>
    <w:rsid w:val="001837B7"/>
    <w:rsid w:val="00185AE0"/>
    <w:rsid w:val="001977DD"/>
    <w:rsid w:val="00197FD4"/>
    <w:rsid w:val="001A3F4F"/>
    <w:rsid w:val="001B0D2F"/>
    <w:rsid w:val="001B44AA"/>
    <w:rsid w:val="001C5B81"/>
    <w:rsid w:val="001C5B9D"/>
    <w:rsid w:val="001D0B73"/>
    <w:rsid w:val="001D267B"/>
    <w:rsid w:val="001D2C90"/>
    <w:rsid w:val="001D67E6"/>
    <w:rsid w:val="00203E7B"/>
    <w:rsid w:val="00215036"/>
    <w:rsid w:val="00216A23"/>
    <w:rsid w:val="00220C6E"/>
    <w:rsid w:val="00226FDE"/>
    <w:rsid w:val="00241AA3"/>
    <w:rsid w:val="002425D6"/>
    <w:rsid w:val="00252879"/>
    <w:rsid w:val="0025585F"/>
    <w:rsid w:val="00257D92"/>
    <w:rsid w:val="00266840"/>
    <w:rsid w:val="002703BD"/>
    <w:rsid w:val="002732C9"/>
    <w:rsid w:val="00275F08"/>
    <w:rsid w:val="0028525E"/>
    <w:rsid w:val="002969C7"/>
    <w:rsid w:val="002A1D07"/>
    <w:rsid w:val="002A5419"/>
    <w:rsid w:val="002A5C06"/>
    <w:rsid w:val="002A7B0E"/>
    <w:rsid w:val="002A7B28"/>
    <w:rsid w:val="002B06A4"/>
    <w:rsid w:val="002B36A7"/>
    <w:rsid w:val="002B38ED"/>
    <w:rsid w:val="002B7CE8"/>
    <w:rsid w:val="002D534F"/>
    <w:rsid w:val="002E15E5"/>
    <w:rsid w:val="002E6C73"/>
    <w:rsid w:val="002E7579"/>
    <w:rsid w:val="002F75A1"/>
    <w:rsid w:val="0030112F"/>
    <w:rsid w:val="00311B27"/>
    <w:rsid w:val="00320B58"/>
    <w:rsid w:val="00321DB3"/>
    <w:rsid w:val="0032311D"/>
    <w:rsid w:val="00324E46"/>
    <w:rsid w:val="00332C07"/>
    <w:rsid w:val="003348F5"/>
    <w:rsid w:val="00335756"/>
    <w:rsid w:val="00341407"/>
    <w:rsid w:val="00342CB5"/>
    <w:rsid w:val="00345E96"/>
    <w:rsid w:val="003571E6"/>
    <w:rsid w:val="003577FC"/>
    <w:rsid w:val="003618CD"/>
    <w:rsid w:val="00361D92"/>
    <w:rsid w:val="003649CA"/>
    <w:rsid w:val="00373EC0"/>
    <w:rsid w:val="00374213"/>
    <w:rsid w:val="003760CE"/>
    <w:rsid w:val="00383321"/>
    <w:rsid w:val="003846A2"/>
    <w:rsid w:val="003865E7"/>
    <w:rsid w:val="00387203"/>
    <w:rsid w:val="003875B9"/>
    <w:rsid w:val="003878DA"/>
    <w:rsid w:val="00390550"/>
    <w:rsid w:val="00391958"/>
    <w:rsid w:val="003A087C"/>
    <w:rsid w:val="003A4339"/>
    <w:rsid w:val="003A5AE4"/>
    <w:rsid w:val="003A64B0"/>
    <w:rsid w:val="003C0000"/>
    <w:rsid w:val="003C07C4"/>
    <w:rsid w:val="003C34A5"/>
    <w:rsid w:val="003C3DBA"/>
    <w:rsid w:val="003C4930"/>
    <w:rsid w:val="003C4BF8"/>
    <w:rsid w:val="003C6E57"/>
    <w:rsid w:val="003D0F80"/>
    <w:rsid w:val="003E1C56"/>
    <w:rsid w:val="003F38EE"/>
    <w:rsid w:val="003F41CE"/>
    <w:rsid w:val="00411C20"/>
    <w:rsid w:val="00413898"/>
    <w:rsid w:val="00417A04"/>
    <w:rsid w:val="004338B6"/>
    <w:rsid w:val="00433D8F"/>
    <w:rsid w:val="00436B52"/>
    <w:rsid w:val="00440C40"/>
    <w:rsid w:val="00446D70"/>
    <w:rsid w:val="004472FC"/>
    <w:rsid w:val="00460CAB"/>
    <w:rsid w:val="00466028"/>
    <w:rsid w:val="00477535"/>
    <w:rsid w:val="0048086E"/>
    <w:rsid w:val="00483DF7"/>
    <w:rsid w:val="00491664"/>
    <w:rsid w:val="004A5CD2"/>
    <w:rsid w:val="004A74FD"/>
    <w:rsid w:val="004B0D2B"/>
    <w:rsid w:val="004B1589"/>
    <w:rsid w:val="004B45AA"/>
    <w:rsid w:val="004D4F08"/>
    <w:rsid w:val="004D5FCB"/>
    <w:rsid w:val="004D640C"/>
    <w:rsid w:val="004E5031"/>
    <w:rsid w:val="004F3B9B"/>
    <w:rsid w:val="004F535F"/>
    <w:rsid w:val="004F5E09"/>
    <w:rsid w:val="0050346B"/>
    <w:rsid w:val="00503846"/>
    <w:rsid w:val="005038C6"/>
    <w:rsid w:val="00504C7A"/>
    <w:rsid w:val="00510D85"/>
    <w:rsid w:val="00516306"/>
    <w:rsid w:val="005263AB"/>
    <w:rsid w:val="00527568"/>
    <w:rsid w:val="005302D9"/>
    <w:rsid w:val="00536E43"/>
    <w:rsid w:val="0055000D"/>
    <w:rsid w:val="00550613"/>
    <w:rsid w:val="005506B3"/>
    <w:rsid w:val="00550C6A"/>
    <w:rsid w:val="00552087"/>
    <w:rsid w:val="005641CB"/>
    <w:rsid w:val="005715D4"/>
    <w:rsid w:val="0058713D"/>
    <w:rsid w:val="00587FD3"/>
    <w:rsid w:val="005A445B"/>
    <w:rsid w:val="005B259A"/>
    <w:rsid w:val="005B33EB"/>
    <w:rsid w:val="005B3745"/>
    <w:rsid w:val="005B740A"/>
    <w:rsid w:val="005C22FA"/>
    <w:rsid w:val="005C398C"/>
    <w:rsid w:val="005C57CB"/>
    <w:rsid w:val="005D077E"/>
    <w:rsid w:val="005D1C1B"/>
    <w:rsid w:val="005D225F"/>
    <w:rsid w:val="005D4BE3"/>
    <w:rsid w:val="005E43CA"/>
    <w:rsid w:val="005F225E"/>
    <w:rsid w:val="005F265E"/>
    <w:rsid w:val="005F2F1A"/>
    <w:rsid w:val="005F7715"/>
    <w:rsid w:val="006022AC"/>
    <w:rsid w:val="00602D26"/>
    <w:rsid w:val="00610EA6"/>
    <w:rsid w:val="00611EBF"/>
    <w:rsid w:val="006130C0"/>
    <w:rsid w:val="00627265"/>
    <w:rsid w:val="006279C0"/>
    <w:rsid w:val="00637D1F"/>
    <w:rsid w:val="006424DA"/>
    <w:rsid w:val="00644A61"/>
    <w:rsid w:val="006540A4"/>
    <w:rsid w:val="00656517"/>
    <w:rsid w:val="006570D0"/>
    <w:rsid w:val="0066185C"/>
    <w:rsid w:val="0066377A"/>
    <w:rsid w:val="00666588"/>
    <w:rsid w:val="00672780"/>
    <w:rsid w:val="00676D5E"/>
    <w:rsid w:val="006872AC"/>
    <w:rsid w:val="006A396A"/>
    <w:rsid w:val="006A7D99"/>
    <w:rsid w:val="006B1873"/>
    <w:rsid w:val="006B2A5E"/>
    <w:rsid w:val="006B57E3"/>
    <w:rsid w:val="006C4B33"/>
    <w:rsid w:val="006C5B26"/>
    <w:rsid w:val="006C61B5"/>
    <w:rsid w:val="006D0141"/>
    <w:rsid w:val="006D1AE4"/>
    <w:rsid w:val="006D2789"/>
    <w:rsid w:val="006D5108"/>
    <w:rsid w:val="006E0DED"/>
    <w:rsid w:val="006E15D0"/>
    <w:rsid w:val="006E4790"/>
    <w:rsid w:val="006E5776"/>
    <w:rsid w:val="006E7592"/>
    <w:rsid w:val="006F33BE"/>
    <w:rsid w:val="006F78DF"/>
    <w:rsid w:val="00702030"/>
    <w:rsid w:val="00704BAA"/>
    <w:rsid w:val="00706238"/>
    <w:rsid w:val="00715BDB"/>
    <w:rsid w:val="00731411"/>
    <w:rsid w:val="00735033"/>
    <w:rsid w:val="00747F28"/>
    <w:rsid w:val="007519F2"/>
    <w:rsid w:val="007564AC"/>
    <w:rsid w:val="00757232"/>
    <w:rsid w:val="00757894"/>
    <w:rsid w:val="00760AE4"/>
    <w:rsid w:val="007655D7"/>
    <w:rsid w:val="0076798D"/>
    <w:rsid w:val="007734E2"/>
    <w:rsid w:val="007A6551"/>
    <w:rsid w:val="007B331B"/>
    <w:rsid w:val="007C023F"/>
    <w:rsid w:val="007D7473"/>
    <w:rsid w:val="007E6EAC"/>
    <w:rsid w:val="007F70FE"/>
    <w:rsid w:val="008204B2"/>
    <w:rsid w:val="00823051"/>
    <w:rsid w:val="008243A1"/>
    <w:rsid w:val="008429DC"/>
    <w:rsid w:val="008465BE"/>
    <w:rsid w:val="008618CF"/>
    <w:rsid w:val="00862E32"/>
    <w:rsid w:val="00871B44"/>
    <w:rsid w:val="008745D2"/>
    <w:rsid w:val="0087468B"/>
    <w:rsid w:val="00883986"/>
    <w:rsid w:val="00887E3A"/>
    <w:rsid w:val="00894054"/>
    <w:rsid w:val="00894C4B"/>
    <w:rsid w:val="008A65AF"/>
    <w:rsid w:val="008A6A5F"/>
    <w:rsid w:val="008B2720"/>
    <w:rsid w:val="008D65DF"/>
    <w:rsid w:val="008E0C32"/>
    <w:rsid w:val="008E2235"/>
    <w:rsid w:val="008E4B8E"/>
    <w:rsid w:val="008E5A17"/>
    <w:rsid w:val="008F0B1D"/>
    <w:rsid w:val="008F153D"/>
    <w:rsid w:val="008F58BF"/>
    <w:rsid w:val="00900D0C"/>
    <w:rsid w:val="009013AF"/>
    <w:rsid w:val="00902293"/>
    <w:rsid w:val="00913901"/>
    <w:rsid w:val="00914372"/>
    <w:rsid w:val="00914680"/>
    <w:rsid w:val="00914C09"/>
    <w:rsid w:val="009153F3"/>
    <w:rsid w:val="0092084E"/>
    <w:rsid w:val="00922130"/>
    <w:rsid w:val="00922D78"/>
    <w:rsid w:val="009241C7"/>
    <w:rsid w:val="009254CC"/>
    <w:rsid w:val="009326AF"/>
    <w:rsid w:val="00936EA7"/>
    <w:rsid w:val="009438B9"/>
    <w:rsid w:val="00946C61"/>
    <w:rsid w:val="00947B3D"/>
    <w:rsid w:val="00953D87"/>
    <w:rsid w:val="009544CA"/>
    <w:rsid w:val="00956926"/>
    <w:rsid w:val="0097179D"/>
    <w:rsid w:val="0097226B"/>
    <w:rsid w:val="00976E88"/>
    <w:rsid w:val="009A11DE"/>
    <w:rsid w:val="009A32A9"/>
    <w:rsid w:val="009A4ECB"/>
    <w:rsid w:val="009B4ECD"/>
    <w:rsid w:val="009C1951"/>
    <w:rsid w:val="009D337A"/>
    <w:rsid w:val="009D63A9"/>
    <w:rsid w:val="009E0FD4"/>
    <w:rsid w:val="009E1D04"/>
    <w:rsid w:val="009E2C00"/>
    <w:rsid w:val="009E3C78"/>
    <w:rsid w:val="009E5425"/>
    <w:rsid w:val="00A0071E"/>
    <w:rsid w:val="00A02A30"/>
    <w:rsid w:val="00A03EB3"/>
    <w:rsid w:val="00A103FC"/>
    <w:rsid w:val="00A13B6A"/>
    <w:rsid w:val="00A21EAB"/>
    <w:rsid w:val="00A23850"/>
    <w:rsid w:val="00A31751"/>
    <w:rsid w:val="00A32232"/>
    <w:rsid w:val="00A3225F"/>
    <w:rsid w:val="00A33925"/>
    <w:rsid w:val="00A34924"/>
    <w:rsid w:val="00A35883"/>
    <w:rsid w:val="00A40E86"/>
    <w:rsid w:val="00A41B4F"/>
    <w:rsid w:val="00A42FB6"/>
    <w:rsid w:val="00A43A3F"/>
    <w:rsid w:val="00A44703"/>
    <w:rsid w:val="00A51A8A"/>
    <w:rsid w:val="00A57E0D"/>
    <w:rsid w:val="00A62C31"/>
    <w:rsid w:val="00A6692A"/>
    <w:rsid w:val="00A72466"/>
    <w:rsid w:val="00A7686F"/>
    <w:rsid w:val="00A82914"/>
    <w:rsid w:val="00A86E06"/>
    <w:rsid w:val="00A875D6"/>
    <w:rsid w:val="00A90179"/>
    <w:rsid w:val="00A909CE"/>
    <w:rsid w:val="00A96136"/>
    <w:rsid w:val="00A972E1"/>
    <w:rsid w:val="00AA6F33"/>
    <w:rsid w:val="00AB0E70"/>
    <w:rsid w:val="00AB2EF7"/>
    <w:rsid w:val="00AB7320"/>
    <w:rsid w:val="00AC6282"/>
    <w:rsid w:val="00AD3BF7"/>
    <w:rsid w:val="00AD7534"/>
    <w:rsid w:val="00AE4CAA"/>
    <w:rsid w:val="00AF2EC8"/>
    <w:rsid w:val="00B00407"/>
    <w:rsid w:val="00B2002A"/>
    <w:rsid w:val="00B20648"/>
    <w:rsid w:val="00B214C6"/>
    <w:rsid w:val="00B24692"/>
    <w:rsid w:val="00B412AE"/>
    <w:rsid w:val="00B468E9"/>
    <w:rsid w:val="00B60940"/>
    <w:rsid w:val="00B73006"/>
    <w:rsid w:val="00B75C23"/>
    <w:rsid w:val="00B8054B"/>
    <w:rsid w:val="00B84180"/>
    <w:rsid w:val="00B8482E"/>
    <w:rsid w:val="00B852BA"/>
    <w:rsid w:val="00B878DF"/>
    <w:rsid w:val="00B90964"/>
    <w:rsid w:val="00B95C81"/>
    <w:rsid w:val="00BA3B5E"/>
    <w:rsid w:val="00BA4B6F"/>
    <w:rsid w:val="00BB1741"/>
    <w:rsid w:val="00BB286F"/>
    <w:rsid w:val="00BB5CE8"/>
    <w:rsid w:val="00BC32B3"/>
    <w:rsid w:val="00BD47DA"/>
    <w:rsid w:val="00BE108A"/>
    <w:rsid w:val="00BE693A"/>
    <w:rsid w:val="00BF222A"/>
    <w:rsid w:val="00BF47BB"/>
    <w:rsid w:val="00BF6172"/>
    <w:rsid w:val="00BF62FB"/>
    <w:rsid w:val="00C007E5"/>
    <w:rsid w:val="00C0615D"/>
    <w:rsid w:val="00C11FBB"/>
    <w:rsid w:val="00C127AF"/>
    <w:rsid w:val="00C16F92"/>
    <w:rsid w:val="00C336CB"/>
    <w:rsid w:val="00C45896"/>
    <w:rsid w:val="00C45BBD"/>
    <w:rsid w:val="00C461D3"/>
    <w:rsid w:val="00C510B1"/>
    <w:rsid w:val="00C62C9E"/>
    <w:rsid w:val="00C63F25"/>
    <w:rsid w:val="00C661D3"/>
    <w:rsid w:val="00C678F5"/>
    <w:rsid w:val="00C73734"/>
    <w:rsid w:val="00C82F2A"/>
    <w:rsid w:val="00C902DB"/>
    <w:rsid w:val="00C90B33"/>
    <w:rsid w:val="00C961DB"/>
    <w:rsid w:val="00CA02E6"/>
    <w:rsid w:val="00CA18C2"/>
    <w:rsid w:val="00CA2392"/>
    <w:rsid w:val="00CA2D9A"/>
    <w:rsid w:val="00CA3C02"/>
    <w:rsid w:val="00CB304C"/>
    <w:rsid w:val="00CB63F9"/>
    <w:rsid w:val="00CC5879"/>
    <w:rsid w:val="00CC7B50"/>
    <w:rsid w:val="00CD0813"/>
    <w:rsid w:val="00CD16AA"/>
    <w:rsid w:val="00CD5E73"/>
    <w:rsid w:val="00CE56B7"/>
    <w:rsid w:val="00CF17D8"/>
    <w:rsid w:val="00CF2962"/>
    <w:rsid w:val="00CF3057"/>
    <w:rsid w:val="00CF4D9E"/>
    <w:rsid w:val="00D0316A"/>
    <w:rsid w:val="00D112CB"/>
    <w:rsid w:val="00D11ED2"/>
    <w:rsid w:val="00D1244F"/>
    <w:rsid w:val="00D1448E"/>
    <w:rsid w:val="00D15554"/>
    <w:rsid w:val="00D1768A"/>
    <w:rsid w:val="00D20969"/>
    <w:rsid w:val="00D35E95"/>
    <w:rsid w:val="00D36D00"/>
    <w:rsid w:val="00D435BC"/>
    <w:rsid w:val="00D43B1B"/>
    <w:rsid w:val="00D44F70"/>
    <w:rsid w:val="00D464F1"/>
    <w:rsid w:val="00D523D0"/>
    <w:rsid w:val="00D532DF"/>
    <w:rsid w:val="00D653F1"/>
    <w:rsid w:val="00D9074C"/>
    <w:rsid w:val="00D90D1F"/>
    <w:rsid w:val="00D9520E"/>
    <w:rsid w:val="00DB1465"/>
    <w:rsid w:val="00DC3B6C"/>
    <w:rsid w:val="00DC59A1"/>
    <w:rsid w:val="00DD030A"/>
    <w:rsid w:val="00DD413F"/>
    <w:rsid w:val="00DD43F4"/>
    <w:rsid w:val="00DD7A34"/>
    <w:rsid w:val="00DE1729"/>
    <w:rsid w:val="00DE3BD1"/>
    <w:rsid w:val="00DE63AF"/>
    <w:rsid w:val="00E0070F"/>
    <w:rsid w:val="00E01A59"/>
    <w:rsid w:val="00E04E0C"/>
    <w:rsid w:val="00E22B07"/>
    <w:rsid w:val="00E24D25"/>
    <w:rsid w:val="00E3286A"/>
    <w:rsid w:val="00E409C5"/>
    <w:rsid w:val="00E40FEF"/>
    <w:rsid w:val="00E428C8"/>
    <w:rsid w:val="00E45D87"/>
    <w:rsid w:val="00E51623"/>
    <w:rsid w:val="00E51726"/>
    <w:rsid w:val="00E57717"/>
    <w:rsid w:val="00E639EA"/>
    <w:rsid w:val="00E65902"/>
    <w:rsid w:val="00E74076"/>
    <w:rsid w:val="00E8607E"/>
    <w:rsid w:val="00E912FC"/>
    <w:rsid w:val="00E93D5C"/>
    <w:rsid w:val="00EA054C"/>
    <w:rsid w:val="00EB1CAD"/>
    <w:rsid w:val="00EB1CE7"/>
    <w:rsid w:val="00EB6F7D"/>
    <w:rsid w:val="00EC0A52"/>
    <w:rsid w:val="00EC2A28"/>
    <w:rsid w:val="00ED20E0"/>
    <w:rsid w:val="00ED339B"/>
    <w:rsid w:val="00ED38B6"/>
    <w:rsid w:val="00EE5BDF"/>
    <w:rsid w:val="00F11A68"/>
    <w:rsid w:val="00F1326B"/>
    <w:rsid w:val="00F42D7D"/>
    <w:rsid w:val="00F50FA7"/>
    <w:rsid w:val="00F547C9"/>
    <w:rsid w:val="00F612C0"/>
    <w:rsid w:val="00F640B9"/>
    <w:rsid w:val="00F81ECC"/>
    <w:rsid w:val="00F87670"/>
    <w:rsid w:val="00F95140"/>
    <w:rsid w:val="00FA2199"/>
    <w:rsid w:val="00FA6CF5"/>
    <w:rsid w:val="00FB5C1B"/>
    <w:rsid w:val="00FB61E1"/>
    <w:rsid w:val="00FB6D35"/>
    <w:rsid w:val="00FC53F6"/>
    <w:rsid w:val="00FC5CD7"/>
    <w:rsid w:val="00FC7DB9"/>
    <w:rsid w:val="00FD0CF1"/>
    <w:rsid w:val="00FD13D9"/>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CA795-4512-4250-8DE1-96124D24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2016-08-03T15:53:00Z</cp:lastPrinted>
  <dcterms:created xsi:type="dcterms:W3CDTF">2016-08-04T14:27:00Z</dcterms:created>
  <dcterms:modified xsi:type="dcterms:W3CDTF">2016-08-04T14:27:00Z</dcterms:modified>
</cp:coreProperties>
</file>