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D6" w:rsidRDefault="008C62D6" w:rsidP="008C62D6">
      <w:pPr>
        <w:jc w:val="center"/>
        <w:rPr>
          <w:b/>
        </w:rPr>
      </w:pPr>
      <w:r>
        <w:rPr>
          <w:b/>
        </w:rPr>
        <w:t>BEFORE THE</w:t>
      </w:r>
    </w:p>
    <w:p w:rsidR="008C62D6" w:rsidRDefault="008C62D6" w:rsidP="008C62D6">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8C62D6" w:rsidRDefault="008C62D6" w:rsidP="008C62D6"/>
    <w:p w:rsidR="008C62D6" w:rsidRDefault="008C62D6" w:rsidP="008C62D6"/>
    <w:p w:rsidR="008C62D6" w:rsidRDefault="008C62D6" w:rsidP="008C62D6"/>
    <w:p w:rsidR="008C62D6" w:rsidRDefault="006C453F" w:rsidP="008C62D6">
      <w:r>
        <w:t>Michael Scotto</w:t>
      </w:r>
      <w:r w:rsidR="008C62D6">
        <w:t xml:space="preserve"> </w:t>
      </w:r>
      <w:r w:rsidR="008C62D6">
        <w:tab/>
      </w:r>
      <w:r w:rsidR="008C62D6">
        <w:tab/>
      </w:r>
      <w:r w:rsidR="008C62D6">
        <w:tab/>
      </w:r>
      <w:r w:rsidR="008C62D6">
        <w:tab/>
      </w:r>
      <w:r w:rsidR="008C62D6">
        <w:tab/>
        <w:t>:</w:t>
      </w:r>
      <w:r w:rsidR="008C62D6">
        <w:tab/>
      </w:r>
      <w:r w:rsidR="008C62D6">
        <w:tab/>
      </w:r>
    </w:p>
    <w:p w:rsidR="008C62D6" w:rsidRDefault="008C62D6" w:rsidP="008C62D6">
      <w:r>
        <w:tab/>
      </w:r>
      <w:r>
        <w:tab/>
      </w:r>
      <w:r>
        <w:tab/>
      </w:r>
      <w:r>
        <w:tab/>
      </w:r>
      <w:r>
        <w:tab/>
      </w:r>
      <w:r>
        <w:tab/>
      </w:r>
      <w:r>
        <w:tab/>
        <w:t>:</w:t>
      </w:r>
      <w:r>
        <w:tab/>
      </w:r>
      <w:r>
        <w:tab/>
      </w:r>
    </w:p>
    <w:p w:rsidR="008C62D6" w:rsidRDefault="00C33E86" w:rsidP="008C62D6">
      <w:r>
        <w:tab/>
      </w:r>
      <w:r w:rsidR="008C62D6">
        <w:t xml:space="preserve">v. </w:t>
      </w:r>
      <w:r w:rsidR="008C62D6">
        <w:tab/>
      </w:r>
      <w:r w:rsidR="008C62D6">
        <w:tab/>
      </w:r>
      <w:r w:rsidR="008C62D6">
        <w:tab/>
      </w:r>
      <w:r w:rsidR="008C62D6">
        <w:tab/>
      </w:r>
      <w:r w:rsidR="008C62D6">
        <w:tab/>
      </w:r>
      <w:r w:rsidR="008C62D6">
        <w:tab/>
        <w:t xml:space="preserve">: </w:t>
      </w:r>
      <w:r w:rsidR="008C62D6">
        <w:tab/>
      </w:r>
      <w:r w:rsidR="008C62D6">
        <w:tab/>
      </w:r>
      <w:r w:rsidR="006C453F">
        <w:t>C-2015-2514519</w:t>
      </w:r>
    </w:p>
    <w:p w:rsidR="008C62D6" w:rsidRDefault="008C62D6" w:rsidP="008C62D6">
      <w:r>
        <w:tab/>
      </w:r>
      <w:r>
        <w:tab/>
      </w:r>
      <w:r>
        <w:tab/>
      </w:r>
      <w:r>
        <w:tab/>
      </w:r>
      <w:r>
        <w:tab/>
      </w:r>
      <w:r>
        <w:tab/>
      </w:r>
      <w:r>
        <w:tab/>
        <w:t>:</w:t>
      </w:r>
    </w:p>
    <w:p w:rsidR="008C62D6" w:rsidRDefault="006C453F" w:rsidP="008C62D6">
      <w:r>
        <w:t>PPL Electric Utilities Corporation</w:t>
      </w:r>
      <w:r w:rsidR="008C62D6">
        <w:tab/>
      </w:r>
      <w:r w:rsidR="008C62D6">
        <w:tab/>
      </w:r>
      <w:r w:rsidR="008C62D6">
        <w:tab/>
        <w:t>:</w:t>
      </w:r>
    </w:p>
    <w:p w:rsidR="008C62D6" w:rsidRDefault="008C62D6" w:rsidP="008C62D6"/>
    <w:p w:rsidR="008C62D6" w:rsidRDefault="008C62D6" w:rsidP="008C62D6"/>
    <w:p w:rsidR="008C62D6" w:rsidRPr="00FB448C" w:rsidRDefault="008C62D6" w:rsidP="008C62D6"/>
    <w:p w:rsidR="008C62D6" w:rsidRPr="00FB448C" w:rsidRDefault="008C62D6" w:rsidP="008C62D6">
      <w:pPr>
        <w:pStyle w:val="Heading1"/>
        <w:rPr>
          <w:b/>
          <w:caps/>
          <w:sz w:val="24"/>
          <w:szCs w:val="24"/>
        </w:rPr>
      </w:pPr>
      <w:r w:rsidRPr="00FB448C">
        <w:rPr>
          <w:b/>
          <w:caps/>
          <w:sz w:val="24"/>
          <w:szCs w:val="24"/>
        </w:rPr>
        <w:t>Initial Decision</w:t>
      </w:r>
    </w:p>
    <w:p w:rsidR="008C62D6" w:rsidRPr="00FB448C" w:rsidRDefault="008C62D6" w:rsidP="008C62D6">
      <w:pPr>
        <w:jc w:val="center"/>
        <w:rPr>
          <w:u w:val="single"/>
        </w:rPr>
      </w:pPr>
    </w:p>
    <w:p w:rsidR="008C62D6" w:rsidRPr="00FB448C" w:rsidRDefault="008C62D6" w:rsidP="008C62D6">
      <w:pPr>
        <w:jc w:val="center"/>
        <w:rPr>
          <w:u w:val="single"/>
        </w:rPr>
      </w:pPr>
    </w:p>
    <w:p w:rsidR="008C62D6" w:rsidRPr="00FB448C" w:rsidRDefault="008C62D6" w:rsidP="008C62D6">
      <w:pPr>
        <w:jc w:val="center"/>
      </w:pPr>
      <w:r w:rsidRPr="00FB448C">
        <w:t>Before</w:t>
      </w:r>
    </w:p>
    <w:p w:rsidR="008C62D6" w:rsidRPr="00FB448C" w:rsidRDefault="008C62D6" w:rsidP="008C62D6">
      <w:pPr>
        <w:jc w:val="center"/>
      </w:pPr>
      <w:r w:rsidRPr="00FB448C">
        <w:t>Katrina L. Dunderdale</w:t>
      </w:r>
    </w:p>
    <w:p w:rsidR="008C62D6" w:rsidRPr="00FB448C" w:rsidRDefault="008C62D6" w:rsidP="008C62D6">
      <w:pPr>
        <w:jc w:val="center"/>
      </w:pPr>
      <w:r w:rsidRPr="00FB448C">
        <w:t>Administrative Law Judge</w:t>
      </w:r>
    </w:p>
    <w:p w:rsidR="008C62D6" w:rsidRDefault="008C62D6" w:rsidP="008C62D6">
      <w:pPr>
        <w:jc w:val="center"/>
      </w:pPr>
    </w:p>
    <w:p w:rsidR="008C62D6" w:rsidRDefault="008C62D6" w:rsidP="008C62D6">
      <w:pPr>
        <w:jc w:val="center"/>
      </w:pPr>
    </w:p>
    <w:p w:rsidR="008C62D6" w:rsidRPr="000B0551" w:rsidRDefault="008C62D6" w:rsidP="008C62D6">
      <w:pPr>
        <w:jc w:val="center"/>
        <w:rPr>
          <w:u w:val="single"/>
        </w:rPr>
      </w:pPr>
      <w:r w:rsidRPr="000B0551">
        <w:rPr>
          <w:u w:val="single"/>
        </w:rPr>
        <w:t>INTRODUCTION</w:t>
      </w:r>
    </w:p>
    <w:p w:rsidR="008C62D6" w:rsidRDefault="008C62D6" w:rsidP="008C62D6">
      <w:pPr>
        <w:spacing w:line="360" w:lineRule="auto"/>
      </w:pPr>
    </w:p>
    <w:p w:rsidR="00B6749F" w:rsidRDefault="008C62D6" w:rsidP="008C62D6">
      <w:pPr>
        <w:spacing w:line="360" w:lineRule="auto"/>
      </w:pPr>
      <w:r>
        <w:tab/>
      </w:r>
      <w:r>
        <w:tab/>
        <w:t xml:space="preserve">This decision </w:t>
      </w:r>
      <w:r w:rsidR="00FC06D3">
        <w:t>denies</w:t>
      </w:r>
      <w:r>
        <w:t xml:space="preserve"> </w:t>
      </w:r>
      <w:r w:rsidR="009857C2">
        <w:t>a formal</w:t>
      </w:r>
      <w:r>
        <w:t xml:space="preserve"> complaint </w:t>
      </w:r>
      <w:r w:rsidR="00F056FA">
        <w:t xml:space="preserve">for failure to sustain the burden of proof, which </w:t>
      </w:r>
      <w:r w:rsidRPr="002B490F">
        <w:t>alleg</w:t>
      </w:r>
      <w:r w:rsidR="00F056FA">
        <w:t>ed</w:t>
      </w:r>
      <w:r w:rsidRPr="002B490F">
        <w:t xml:space="preserve"> Respondent </w:t>
      </w:r>
      <w:r w:rsidR="006C453F">
        <w:t>PPL Electric Utilities Corporation</w:t>
      </w:r>
      <w:r w:rsidR="00E236CD">
        <w:t xml:space="preserve"> </w:t>
      </w:r>
      <w:r w:rsidRPr="002B490F">
        <w:t>unilaterally</w:t>
      </w:r>
      <w:r w:rsidR="00F4031D">
        <w:t xml:space="preserve"> terminated </w:t>
      </w:r>
      <w:r w:rsidR="008B48EE">
        <w:t>Complainant’s</w:t>
      </w:r>
      <w:r w:rsidR="00F4031D">
        <w:t xml:space="preserve"> enrollment in the </w:t>
      </w:r>
      <w:proofErr w:type="spellStart"/>
      <w:r w:rsidR="00F4031D">
        <w:t>OnTrack</w:t>
      </w:r>
      <w:proofErr w:type="spellEnd"/>
      <w:r w:rsidR="00F4031D">
        <w:t xml:space="preserve"> program and issued confusing notifications about the program.  </w:t>
      </w:r>
    </w:p>
    <w:p w:rsidR="00F4031D" w:rsidRDefault="00F4031D" w:rsidP="008C62D6">
      <w:pPr>
        <w:spacing w:line="360" w:lineRule="auto"/>
      </w:pPr>
    </w:p>
    <w:p w:rsidR="008C62D6" w:rsidRPr="00FB448C" w:rsidRDefault="008C62D6" w:rsidP="0098677F">
      <w:pPr>
        <w:pStyle w:val="Heading1"/>
        <w:spacing w:line="360" w:lineRule="auto"/>
        <w:rPr>
          <w:sz w:val="24"/>
          <w:szCs w:val="24"/>
          <w:u w:val="none"/>
        </w:rPr>
      </w:pPr>
      <w:r w:rsidRPr="00FB448C">
        <w:rPr>
          <w:sz w:val="24"/>
          <w:szCs w:val="24"/>
        </w:rPr>
        <w:t>HISTORY OF THE PROCEEDING</w:t>
      </w:r>
    </w:p>
    <w:p w:rsidR="006C453F" w:rsidRPr="00EA1625" w:rsidRDefault="006C453F" w:rsidP="006D212D">
      <w:pPr>
        <w:spacing w:line="360" w:lineRule="auto"/>
        <w:rPr>
          <w:u w:val="single"/>
        </w:rPr>
      </w:pPr>
    </w:p>
    <w:p w:rsidR="006C453F" w:rsidRDefault="006C453F" w:rsidP="006C453F">
      <w:pPr>
        <w:spacing w:line="360" w:lineRule="auto"/>
      </w:pPr>
      <w:r w:rsidRPr="00EA1625">
        <w:tab/>
      </w:r>
      <w:r w:rsidRPr="00EA1625">
        <w:tab/>
      </w:r>
      <w:r>
        <w:t>On November 25, 2015, Michael Scotto</w:t>
      </w:r>
      <w:r w:rsidRPr="00EA1625">
        <w:t xml:space="preserve"> </w:t>
      </w:r>
      <w:r>
        <w:t xml:space="preserve">(Mr. Scotto or Complainant) </w:t>
      </w:r>
      <w:r w:rsidRPr="00EA1625">
        <w:t xml:space="preserve">filed a formal complaint with the Pennsylvania Public </w:t>
      </w:r>
      <w:r>
        <w:t>Utility Commission (Commission</w:t>
      </w:r>
      <w:r w:rsidRPr="00EA1625">
        <w:t xml:space="preserve">) against </w:t>
      </w:r>
      <w:r>
        <w:t>PPL Electric Utilities Corporation</w:t>
      </w:r>
      <w:r w:rsidRPr="00EA1625">
        <w:t xml:space="preserve"> (</w:t>
      </w:r>
      <w:r>
        <w:t xml:space="preserve">PPL </w:t>
      </w:r>
      <w:r w:rsidRPr="00EA1625">
        <w:t xml:space="preserve">or </w:t>
      </w:r>
      <w:r>
        <w:t>Respondent</w:t>
      </w:r>
      <w:r w:rsidRPr="00EA1625">
        <w:t xml:space="preserve">) alleging </w:t>
      </w:r>
      <w:r>
        <w:t>PPL violated a budget billing agreement, added $1,319.38 to his account balance without explanation, threatened to terminate service and failed to abide by a previous Customer Assistance Program (CAP) agreement</w:t>
      </w:r>
      <w:r w:rsidR="00F4031D">
        <w:t xml:space="preserve"> when it terminated his enrollment in the </w:t>
      </w:r>
      <w:proofErr w:type="spellStart"/>
      <w:r w:rsidR="00F4031D">
        <w:t>OnTrack</w:t>
      </w:r>
      <w:proofErr w:type="spellEnd"/>
      <w:r w:rsidR="00F4031D">
        <w:t xml:space="preserve"> program</w:t>
      </w:r>
      <w:r>
        <w:t>.</w:t>
      </w:r>
      <w:r w:rsidR="00F4031D">
        <w:rPr>
          <w:rStyle w:val="FootnoteReference"/>
        </w:rPr>
        <w:footnoteReference w:id="1"/>
      </w:r>
      <w:r>
        <w:t xml:space="preserve"> </w:t>
      </w:r>
      <w:r w:rsidRPr="00EA1625">
        <w:t xml:space="preserve"> </w:t>
      </w:r>
      <w:r>
        <w:t>PPL</w:t>
      </w:r>
      <w:r w:rsidRPr="00EA1625">
        <w:t xml:space="preserve"> filed an answer on </w:t>
      </w:r>
      <w:r>
        <w:t>December 14, 2015</w:t>
      </w:r>
      <w:r w:rsidRPr="00EA1625">
        <w:t xml:space="preserve">.  </w:t>
      </w:r>
      <w:r>
        <w:t xml:space="preserve">     </w:t>
      </w:r>
    </w:p>
    <w:p w:rsidR="006C453F" w:rsidRPr="00EA1625" w:rsidRDefault="006C453F" w:rsidP="006C453F">
      <w:pPr>
        <w:spacing w:line="360" w:lineRule="auto"/>
        <w:ind w:firstLine="1440"/>
      </w:pPr>
      <w:r>
        <w:lastRenderedPageBreak/>
        <w:t xml:space="preserve">By Call-In Telephonic Hearing Notice dated December 21, 2015, the Office of Administrative Law Judge notified the parties an initial call-in telephonic hearing in this case was scheduled for Wednesday, February 10, 2016 at 10:00 a.m.  </w:t>
      </w:r>
      <w:r>
        <w:rPr>
          <w:spacing w:val="-3"/>
        </w:rPr>
        <w:t xml:space="preserve">On December 30, 2015, the presiding officer issued a Prehearing Order </w:t>
      </w:r>
      <w:r>
        <w:t xml:space="preserve">setting forth various procedural matters, including how parties may request a continuance.    </w:t>
      </w:r>
    </w:p>
    <w:p w:rsidR="006C453F" w:rsidRDefault="006C453F" w:rsidP="006C453F">
      <w:pPr>
        <w:tabs>
          <w:tab w:val="left" w:pos="2160"/>
        </w:tabs>
        <w:spacing w:line="360" w:lineRule="auto"/>
        <w:ind w:firstLine="1440"/>
      </w:pPr>
    </w:p>
    <w:p w:rsidR="006C453F" w:rsidRDefault="006C453F" w:rsidP="006C453F">
      <w:pPr>
        <w:tabs>
          <w:tab w:val="left" w:pos="2160"/>
        </w:tabs>
        <w:spacing w:line="360" w:lineRule="auto"/>
        <w:ind w:firstLine="1440"/>
      </w:pPr>
      <w:r>
        <w:t xml:space="preserve">On February 4, 2016, Complainant contacted the office of the presiding officer, and requested a continuance because he suffered from a debilitating disease and needed additional time in which to recover before he could prosecute his claims effectively.  On February 4, 2016, Respondent’s counsel indicated to the presiding officer’s office that PPL had no objection to the continuance.  Accordingly, on February 5, 2016, the </w:t>
      </w:r>
      <w:r w:rsidR="00F4031D">
        <w:t>presiding officer issued the First Interim Order which granted the continuance request</w:t>
      </w:r>
      <w:r>
        <w:t>.</w:t>
      </w:r>
    </w:p>
    <w:p w:rsidR="006C453F" w:rsidRDefault="006C453F" w:rsidP="006C453F">
      <w:pPr>
        <w:tabs>
          <w:tab w:val="left" w:pos="2160"/>
        </w:tabs>
        <w:spacing w:line="360" w:lineRule="auto"/>
        <w:ind w:firstLine="1440"/>
      </w:pPr>
    </w:p>
    <w:p w:rsidR="006C453F" w:rsidRDefault="006C453F" w:rsidP="006C453F">
      <w:pPr>
        <w:spacing w:line="360" w:lineRule="auto"/>
        <w:ind w:firstLine="1440"/>
        <w:rPr>
          <w:spacing w:val="-3"/>
        </w:rPr>
      </w:pPr>
      <w:r w:rsidRPr="000E7B0A">
        <w:t xml:space="preserve">By Call-In Telephonic Hearing Notice dated </w:t>
      </w:r>
      <w:r>
        <w:t>February 9, 2016</w:t>
      </w:r>
      <w:r w:rsidRPr="000E7B0A">
        <w:t xml:space="preserve">, the Office of Administrative Law Judge notified the parties </w:t>
      </w:r>
      <w:r>
        <w:t>the</w:t>
      </w:r>
      <w:r w:rsidRPr="000E7B0A">
        <w:t xml:space="preserve"> initial call-in telephonic hearing was </w:t>
      </w:r>
      <w:r>
        <w:t>re</w:t>
      </w:r>
      <w:r w:rsidRPr="000E7B0A">
        <w:t xml:space="preserve">scheduled </w:t>
      </w:r>
      <w:r>
        <w:t>to Tuesday, March 22, 20</w:t>
      </w:r>
      <w:r w:rsidRPr="000E7B0A">
        <w:t xml:space="preserve">16 at 10:00 a.m.  </w:t>
      </w:r>
    </w:p>
    <w:p w:rsidR="006C453F" w:rsidRDefault="006C453F" w:rsidP="006C453F">
      <w:pPr>
        <w:spacing w:line="360" w:lineRule="auto"/>
        <w:ind w:firstLine="1440"/>
        <w:rPr>
          <w:spacing w:val="-3"/>
        </w:rPr>
      </w:pPr>
    </w:p>
    <w:p w:rsidR="006C453F" w:rsidRDefault="006C453F" w:rsidP="006C453F">
      <w:pPr>
        <w:spacing w:line="360" w:lineRule="auto"/>
        <w:ind w:firstLine="1440"/>
        <w:rPr>
          <w:spacing w:val="-3"/>
        </w:rPr>
      </w:pPr>
      <w:r>
        <w:rPr>
          <w:spacing w:val="-3"/>
        </w:rPr>
        <w:t xml:space="preserve">On February 11, 2016, the presiding officer received a Petition for Injunction filed by Complainant with the Secretary’s Bureau on February 8, 2016.  On February 16, 2016, PPL filed its Answer to the Petition for Injunction with the Secretary’s Bureau and provided an electronic copy with the presiding officer.  </w:t>
      </w:r>
      <w:r w:rsidRPr="000E7B0A">
        <w:rPr>
          <w:bCs/>
          <w:color w:val="000000"/>
        </w:rPr>
        <w:t>Complainant aver</w:t>
      </w:r>
      <w:r>
        <w:rPr>
          <w:bCs/>
          <w:color w:val="000000"/>
        </w:rPr>
        <w:t xml:space="preserve">red he received a 10-day termination notice from PPL dated February 2, 2016.  Complainant asserted the matter of the appropriate level of payment to make to PPL was the basis of his formal complaint, but PPL did not provide him with any prior warning or notice of the pending termination.  PPL admitted it sent a termination notice but insisted the termination notice clearly indicated termination would not happen </w:t>
      </w:r>
      <w:r w:rsidRPr="001F23D6">
        <w:rPr>
          <w:bCs/>
          <w:color w:val="000000"/>
          <w:u w:val="single"/>
        </w:rPr>
        <w:t>before</w:t>
      </w:r>
      <w:r>
        <w:rPr>
          <w:bCs/>
          <w:color w:val="000000"/>
        </w:rPr>
        <w:t xml:space="preserve"> April 2, 2016.  PPL pointed out Complainant could not avail himself of available assistance programs and governmental aid programs without a pending termination.  </w:t>
      </w:r>
      <w:r>
        <w:rPr>
          <w:spacing w:val="-3"/>
        </w:rPr>
        <w:t xml:space="preserve">On February 18, 2016, the presiding officer </w:t>
      </w:r>
      <w:r w:rsidR="00F4031D">
        <w:rPr>
          <w:spacing w:val="-3"/>
        </w:rPr>
        <w:t xml:space="preserve">issued the Second Interim Order, which </w:t>
      </w:r>
      <w:r>
        <w:rPr>
          <w:spacing w:val="-3"/>
        </w:rPr>
        <w:t xml:space="preserve">denied Complainant’s petition.  </w:t>
      </w:r>
    </w:p>
    <w:p w:rsidR="006C453F" w:rsidRDefault="006C453F" w:rsidP="006C453F">
      <w:pPr>
        <w:spacing w:line="360" w:lineRule="auto"/>
        <w:ind w:firstLine="1440"/>
        <w:rPr>
          <w:spacing w:val="-3"/>
        </w:rPr>
      </w:pPr>
    </w:p>
    <w:p w:rsidR="007378B5" w:rsidRDefault="007378B5" w:rsidP="006C453F">
      <w:pPr>
        <w:spacing w:line="360" w:lineRule="auto"/>
        <w:ind w:firstLine="1440"/>
        <w:rPr>
          <w:spacing w:val="-3"/>
        </w:rPr>
      </w:pPr>
    </w:p>
    <w:p w:rsidR="006C453F" w:rsidRDefault="006C453F" w:rsidP="006C453F">
      <w:pPr>
        <w:spacing w:line="360" w:lineRule="auto"/>
        <w:ind w:firstLine="1440"/>
      </w:pPr>
      <w:r>
        <w:rPr>
          <w:spacing w:val="-3"/>
        </w:rPr>
        <w:lastRenderedPageBreak/>
        <w:t>On March 22, 2016, t</w:t>
      </w:r>
      <w:r>
        <w:t xml:space="preserve">he presiding officer convened the initial hearing as scheduled.  Complainant appeared </w:t>
      </w:r>
      <w:r w:rsidRPr="00A96A71">
        <w:rPr>
          <w:i/>
        </w:rPr>
        <w:t>pro se</w:t>
      </w:r>
      <w:r>
        <w:t xml:space="preserve"> and Respondent was represented by Kimberly G. </w:t>
      </w:r>
      <w:proofErr w:type="spellStart"/>
      <w:r>
        <w:t>Krupka</w:t>
      </w:r>
      <w:proofErr w:type="spellEnd"/>
      <w:r>
        <w:t>, Esquire.  Prior to the start of the hearing, the parties discussed settlement and successfully resolved the dispute</w:t>
      </w:r>
      <w:r w:rsidRPr="00B73D10">
        <w:t>.</w:t>
      </w:r>
      <w:r>
        <w:t xml:space="preserve">  Respondent advised it would file a Certificate of Satisfaction to commemorate the settlement.  On March 22, 2016, Respondent filed a Certificate of Satisfaction.  </w:t>
      </w:r>
    </w:p>
    <w:p w:rsidR="006C453F" w:rsidRDefault="006C453F" w:rsidP="006C453F">
      <w:pPr>
        <w:spacing w:line="360" w:lineRule="auto"/>
        <w:ind w:firstLine="1440"/>
      </w:pPr>
    </w:p>
    <w:p w:rsidR="006C453F" w:rsidRDefault="006C453F" w:rsidP="006C453F">
      <w:pPr>
        <w:spacing w:line="360" w:lineRule="auto"/>
        <w:ind w:firstLine="1440"/>
      </w:pPr>
      <w:r>
        <w:t>On April 4, 2016, the presiding officer received Complainant’s Objection to Certificate of Satisfaction and Settlement, dated March 31, 2016.  Therefore, b</w:t>
      </w:r>
      <w:r w:rsidRPr="000E7B0A">
        <w:t xml:space="preserve">y Call-In Telephonic Hearing Notice dated </w:t>
      </w:r>
      <w:r>
        <w:t>April 12, 2016</w:t>
      </w:r>
      <w:r w:rsidRPr="000E7B0A">
        <w:t xml:space="preserve">, the Office of Administrative Law Judge notified the parties </w:t>
      </w:r>
      <w:r>
        <w:t>the</w:t>
      </w:r>
      <w:r w:rsidRPr="000E7B0A">
        <w:t xml:space="preserve"> </w:t>
      </w:r>
      <w:r>
        <w:t>further</w:t>
      </w:r>
      <w:r w:rsidRPr="000E7B0A">
        <w:t xml:space="preserve"> call-in telephonic hearing was </w:t>
      </w:r>
      <w:r>
        <w:t>re</w:t>
      </w:r>
      <w:r w:rsidRPr="000E7B0A">
        <w:t xml:space="preserve">scheduled </w:t>
      </w:r>
      <w:r>
        <w:t>to Wednesday, May 4, 20</w:t>
      </w:r>
      <w:r w:rsidRPr="000E7B0A">
        <w:t>16 at 10:00 a.m.</w:t>
      </w:r>
    </w:p>
    <w:p w:rsidR="006C453F" w:rsidRDefault="006C453F" w:rsidP="006C453F">
      <w:pPr>
        <w:spacing w:line="360" w:lineRule="auto"/>
        <w:ind w:firstLine="1440"/>
      </w:pPr>
    </w:p>
    <w:p w:rsidR="006C453F" w:rsidRDefault="006C453F" w:rsidP="006C453F">
      <w:pPr>
        <w:spacing w:line="360" w:lineRule="auto"/>
        <w:ind w:firstLine="1440"/>
      </w:pPr>
      <w:r>
        <w:t xml:space="preserve">On April 25, 2016, the presiding officer received a letter from Respondent’s counsel indicating she was “attached for a two-week trial term that commences April 25, 2016 before The Honorable Douglas G. </w:t>
      </w:r>
      <w:proofErr w:type="spellStart"/>
      <w:r>
        <w:t>Reichley</w:t>
      </w:r>
      <w:proofErr w:type="spellEnd"/>
      <w:r>
        <w:t xml:space="preserve"> in Lehigh County.  The trial is expected to last through May 4</w:t>
      </w:r>
      <w:r w:rsidRPr="00ED12FF">
        <w:rPr>
          <w:vertAlign w:val="superscript"/>
        </w:rPr>
        <w:t>th</w:t>
      </w:r>
      <w:r>
        <w:t>.”  Complainant called the office of the presiding officer on April 25, 2016 to indicate he had no objection to the continuance request.</w:t>
      </w:r>
      <w:r w:rsidR="00F4031D">
        <w:t xml:space="preserve">  </w:t>
      </w:r>
    </w:p>
    <w:p w:rsidR="00F4031D" w:rsidRDefault="00F4031D" w:rsidP="006C453F">
      <w:pPr>
        <w:spacing w:line="360" w:lineRule="auto"/>
        <w:ind w:firstLine="1440"/>
      </w:pPr>
    </w:p>
    <w:p w:rsidR="00F4031D" w:rsidRPr="000E7B0A" w:rsidRDefault="00F4031D" w:rsidP="006C453F">
      <w:pPr>
        <w:spacing w:line="360" w:lineRule="auto"/>
        <w:ind w:firstLine="1440"/>
      </w:pPr>
      <w:r>
        <w:t xml:space="preserve">Thereafter, on April 25, 2016, the presiding officer issued the Third Interim Order continuing the initial hearing.  On April 27, 2016, </w:t>
      </w:r>
      <w:r w:rsidRPr="000E7B0A">
        <w:t xml:space="preserve">the Office of Administrative Law Judge notified the parties </w:t>
      </w:r>
      <w:r>
        <w:t>the</w:t>
      </w:r>
      <w:r w:rsidRPr="000E7B0A">
        <w:t xml:space="preserve"> </w:t>
      </w:r>
      <w:r>
        <w:t>further</w:t>
      </w:r>
      <w:r w:rsidRPr="000E7B0A">
        <w:t xml:space="preserve"> call-in telephonic hearing was </w:t>
      </w:r>
      <w:r>
        <w:t>re</w:t>
      </w:r>
      <w:r w:rsidRPr="000E7B0A">
        <w:t xml:space="preserve">scheduled </w:t>
      </w:r>
      <w:r>
        <w:t>to Thursday, June 2, 20</w:t>
      </w:r>
      <w:r w:rsidRPr="000E7B0A">
        <w:t>16 at 10:00 a.m.</w:t>
      </w:r>
    </w:p>
    <w:p w:rsidR="006C453F" w:rsidRDefault="006C453F" w:rsidP="006C453F">
      <w:pPr>
        <w:spacing w:line="360" w:lineRule="auto"/>
        <w:ind w:firstLine="1440"/>
      </w:pPr>
    </w:p>
    <w:p w:rsidR="008C62D6" w:rsidRDefault="00900ABA" w:rsidP="008C62D6">
      <w:pPr>
        <w:spacing w:line="360" w:lineRule="auto"/>
      </w:pPr>
      <w:r>
        <w:tab/>
      </w:r>
      <w:r>
        <w:tab/>
        <w:t xml:space="preserve">On </w:t>
      </w:r>
      <w:r w:rsidR="006C453F">
        <w:t>June 2,</w:t>
      </w:r>
      <w:r>
        <w:t xml:space="preserve"> 2016, t</w:t>
      </w:r>
      <w:r w:rsidR="008C62D6" w:rsidRPr="0065319E">
        <w:t xml:space="preserve">he presiding officer convened the </w:t>
      </w:r>
      <w:r w:rsidR="006C453F">
        <w:t xml:space="preserve">further </w:t>
      </w:r>
      <w:r w:rsidR="008C62D6" w:rsidRPr="0065319E">
        <w:t xml:space="preserve">initial hearing as scheduled.  Complainant appeared </w:t>
      </w:r>
      <w:r w:rsidR="008C62D6" w:rsidRPr="00AB64FD">
        <w:rPr>
          <w:i/>
        </w:rPr>
        <w:t>pro se</w:t>
      </w:r>
      <w:r w:rsidR="008C62D6">
        <w:t xml:space="preserve"> and testified </w:t>
      </w:r>
      <w:r w:rsidR="009C2F2A">
        <w:t xml:space="preserve">on </w:t>
      </w:r>
      <w:r>
        <w:t>his</w:t>
      </w:r>
      <w:r w:rsidR="009C2F2A">
        <w:t xml:space="preserve"> own behalf</w:t>
      </w:r>
      <w:r>
        <w:t>.  H</w:t>
      </w:r>
      <w:r w:rsidR="008C62D6">
        <w:t xml:space="preserve">e offered no exhibits.  </w:t>
      </w:r>
      <w:r w:rsidR="00F4031D">
        <w:t>PPL</w:t>
      </w:r>
      <w:r w:rsidR="008C62D6">
        <w:t xml:space="preserve"> was represented by </w:t>
      </w:r>
      <w:r w:rsidR="006C453F">
        <w:t xml:space="preserve">Kimberly G. </w:t>
      </w:r>
      <w:proofErr w:type="spellStart"/>
      <w:r w:rsidR="006C453F">
        <w:t>Krupka</w:t>
      </w:r>
      <w:proofErr w:type="spellEnd"/>
      <w:r w:rsidR="008C62D6">
        <w:t xml:space="preserve">, Esquire.  </w:t>
      </w:r>
      <w:r w:rsidR="008C62D6" w:rsidRPr="00B73D10">
        <w:t xml:space="preserve">Attorney </w:t>
      </w:r>
      <w:proofErr w:type="spellStart"/>
      <w:r w:rsidR="006C453F">
        <w:t>Krupka</w:t>
      </w:r>
      <w:proofErr w:type="spellEnd"/>
      <w:r w:rsidR="008C62D6" w:rsidRPr="00B73D10">
        <w:t xml:space="preserve"> </w:t>
      </w:r>
      <w:r w:rsidR="00D51DE0">
        <w:t xml:space="preserve">presented the testimony of one witness and </w:t>
      </w:r>
      <w:r w:rsidR="009C2F2A">
        <w:t xml:space="preserve">offered </w:t>
      </w:r>
      <w:r w:rsidR="006C453F">
        <w:t>three</w:t>
      </w:r>
      <w:r w:rsidR="009C2F2A">
        <w:t xml:space="preserve"> exhibits</w:t>
      </w:r>
      <w:r w:rsidR="00F4031D">
        <w:t>, ident</w:t>
      </w:r>
      <w:r w:rsidR="00D51DE0">
        <w:t>ified as PPL Exhibit 1, 2 and 5</w:t>
      </w:r>
      <w:r w:rsidR="008C62D6">
        <w:t xml:space="preserve">.  </w:t>
      </w:r>
      <w:r w:rsidR="008C62D6" w:rsidRPr="00B73D10">
        <w:t xml:space="preserve">Complainant and </w:t>
      </w:r>
      <w:r w:rsidR="00D51DE0">
        <w:t>PPL</w:t>
      </w:r>
      <w:r w:rsidR="008C62D6" w:rsidRPr="00B73D10">
        <w:t xml:space="preserve"> issued final statements on the hearing record in lieu of filing briefs.</w:t>
      </w:r>
    </w:p>
    <w:p w:rsidR="008C62D6" w:rsidRDefault="008C62D6" w:rsidP="008C62D6">
      <w:pPr>
        <w:spacing w:line="360" w:lineRule="auto"/>
      </w:pPr>
    </w:p>
    <w:p w:rsidR="008C62D6" w:rsidRDefault="008C62D6" w:rsidP="008C62D6">
      <w:pPr>
        <w:spacing w:line="360" w:lineRule="auto"/>
        <w:ind w:firstLine="1440"/>
      </w:pPr>
      <w:r w:rsidRPr="00B73D10">
        <w:lastRenderedPageBreak/>
        <w:t>The transcript of the hearing</w:t>
      </w:r>
      <w:r>
        <w:t>,</w:t>
      </w:r>
      <w:r w:rsidRPr="00B73D10">
        <w:t xml:space="preserve"> contain</w:t>
      </w:r>
      <w:r>
        <w:t>ing</w:t>
      </w:r>
      <w:r w:rsidRPr="00B73D10">
        <w:t xml:space="preserve"> </w:t>
      </w:r>
      <w:r w:rsidR="00D51DE0">
        <w:t>82</w:t>
      </w:r>
      <w:r>
        <w:t xml:space="preserve"> </w:t>
      </w:r>
      <w:r w:rsidRPr="00B73D10">
        <w:t>pages</w:t>
      </w:r>
      <w:r>
        <w:t xml:space="preserve">, was received in the presiding officer’s office on </w:t>
      </w:r>
      <w:r w:rsidR="00D51DE0">
        <w:t>June 30</w:t>
      </w:r>
      <w:r w:rsidR="00900ABA">
        <w:t>, 2016</w:t>
      </w:r>
      <w:r>
        <w:t xml:space="preserve">.  On </w:t>
      </w:r>
      <w:r w:rsidR="00D51DE0">
        <w:t>July 6</w:t>
      </w:r>
      <w:r w:rsidR="00900ABA">
        <w:t>, 2016</w:t>
      </w:r>
      <w:r>
        <w:t>, the presiding officer issued the Interim Order Closing the Hearing Record.</w:t>
      </w:r>
    </w:p>
    <w:p w:rsidR="00641691" w:rsidRDefault="00641691" w:rsidP="0098677F">
      <w:pPr>
        <w:tabs>
          <w:tab w:val="left" w:pos="2160"/>
        </w:tabs>
        <w:spacing w:line="360" w:lineRule="auto"/>
        <w:jc w:val="center"/>
        <w:rPr>
          <w:u w:val="single"/>
        </w:rPr>
      </w:pPr>
    </w:p>
    <w:p w:rsidR="008C62D6" w:rsidRPr="00B73D10" w:rsidRDefault="008C62D6" w:rsidP="0098677F">
      <w:pPr>
        <w:tabs>
          <w:tab w:val="left" w:pos="2160"/>
        </w:tabs>
        <w:spacing w:line="360" w:lineRule="auto"/>
        <w:jc w:val="center"/>
        <w:rPr>
          <w:u w:val="single"/>
        </w:rPr>
      </w:pPr>
      <w:r w:rsidRPr="00B73D10">
        <w:rPr>
          <w:u w:val="single"/>
        </w:rPr>
        <w:t xml:space="preserve">FINDINGS OF </w:t>
      </w:r>
      <w:smartTag w:uri="urn:schemas-microsoft-com:office:smarttags" w:element="stockticker">
        <w:r w:rsidRPr="00B73D10">
          <w:rPr>
            <w:u w:val="single"/>
          </w:rPr>
          <w:t>FACT</w:t>
        </w:r>
      </w:smartTag>
    </w:p>
    <w:p w:rsidR="008C62D6" w:rsidRPr="00B73D10" w:rsidRDefault="008C62D6" w:rsidP="008C62D6">
      <w:pPr>
        <w:tabs>
          <w:tab w:val="left" w:pos="2160"/>
        </w:tabs>
        <w:spacing w:line="360" w:lineRule="auto"/>
        <w:rPr>
          <w:u w:val="single"/>
        </w:rPr>
      </w:pPr>
    </w:p>
    <w:p w:rsidR="008C62D6" w:rsidRDefault="008C62D6" w:rsidP="008C62D6">
      <w:pPr>
        <w:tabs>
          <w:tab w:val="left" w:pos="2160"/>
        </w:tabs>
        <w:spacing w:line="360" w:lineRule="auto"/>
        <w:ind w:firstLine="1440"/>
      </w:pPr>
      <w:r w:rsidRPr="00B73D10">
        <w:t>1.</w:t>
      </w:r>
      <w:r w:rsidRPr="00B73D10">
        <w:tab/>
      </w:r>
      <w:r w:rsidR="006C453F">
        <w:t>Michael Scotto</w:t>
      </w:r>
      <w:r w:rsidR="00E236CD">
        <w:t xml:space="preserve"> resides at </w:t>
      </w:r>
      <w:r w:rsidR="006C453F">
        <w:t>19 Carriage Drive, Wernersville, P</w:t>
      </w:r>
      <w:r w:rsidR="00E236CD">
        <w:t xml:space="preserve">ennsylvania (service address), which </w:t>
      </w:r>
      <w:r w:rsidR="006C453F">
        <w:t>residence</w:t>
      </w:r>
      <w:r w:rsidR="00E236CD">
        <w:t xml:space="preserve"> Complainant has owned since </w:t>
      </w:r>
      <w:r w:rsidR="006C453F">
        <w:t>2005</w:t>
      </w:r>
      <w:r w:rsidR="00E236CD">
        <w:t xml:space="preserve">.  </w:t>
      </w:r>
      <w:proofErr w:type="gramStart"/>
      <w:r w:rsidR="00E236CD">
        <w:t xml:space="preserve">(Tr. </w:t>
      </w:r>
      <w:r w:rsidR="00D51DE0">
        <w:t>9</w:t>
      </w:r>
      <w:r w:rsidR="00336D20">
        <w:t xml:space="preserve">; </w:t>
      </w:r>
      <w:r w:rsidR="006C453F">
        <w:t>PPL</w:t>
      </w:r>
      <w:r w:rsidR="00336D20">
        <w:t xml:space="preserve"> Exhibit 1</w:t>
      </w:r>
      <w:r w:rsidR="00E236CD">
        <w:t>).</w:t>
      </w:r>
      <w:proofErr w:type="gramEnd"/>
    </w:p>
    <w:p w:rsidR="008C62D6" w:rsidRDefault="008C62D6" w:rsidP="008C62D6">
      <w:pPr>
        <w:tabs>
          <w:tab w:val="left" w:pos="2160"/>
        </w:tabs>
        <w:spacing w:line="360" w:lineRule="auto"/>
        <w:ind w:firstLine="1440"/>
      </w:pPr>
    </w:p>
    <w:p w:rsidR="008C62D6" w:rsidRDefault="008C62D6" w:rsidP="008C62D6">
      <w:pPr>
        <w:tabs>
          <w:tab w:val="left" w:pos="2160"/>
        </w:tabs>
        <w:spacing w:line="360" w:lineRule="auto"/>
        <w:ind w:firstLine="1440"/>
      </w:pPr>
      <w:r>
        <w:t xml:space="preserve">2. </w:t>
      </w:r>
      <w:r>
        <w:tab/>
      </w:r>
      <w:r w:rsidR="006C453F">
        <w:t>PPL</w:t>
      </w:r>
      <w:r w:rsidR="00E236CD">
        <w:t xml:space="preserve"> is an electric distribution company which provides electric distribution service to Complainant at the service address.  </w:t>
      </w:r>
      <w:proofErr w:type="gramStart"/>
      <w:r w:rsidR="00E236CD">
        <w:t>(</w:t>
      </w:r>
      <w:r w:rsidR="006C453F">
        <w:t>PPL</w:t>
      </w:r>
      <w:r w:rsidR="00336D20">
        <w:t xml:space="preserve"> Exhibit 1</w:t>
      </w:r>
      <w:r w:rsidR="00E236CD">
        <w:t>).</w:t>
      </w:r>
      <w:proofErr w:type="gramEnd"/>
    </w:p>
    <w:p w:rsidR="00B6749F" w:rsidRPr="00B73D10" w:rsidRDefault="00B6749F" w:rsidP="008C62D6">
      <w:pPr>
        <w:tabs>
          <w:tab w:val="left" w:pos="2160"/>
        </w:tabs>
        <w:spacing w:line="360" w:lineRule="auto"/>
        <w:ind w:firstLine="1440"/>
      </w:pPr>
    </w:p>
    <w:p w:rsidR="008C62D6" w:rsidRDefault="00DD32C6" w:rsidP="008C62D6">
      <w:pPr>
        <w:tabs>
          <w:tab w:val="left" w:pos="2160"/>
        </w:tabs>
        <w:spacing w:line="360" w:lineRule="auto"/>
        <w:ind w:firstLine="1440"/>
      </w:pPr>
      <w:r>
        <w:t>3.</w:t>
      </w:r>
      <w:r>
        <w:tab/>
        <w:t xml:space="preserve">Mr. Scotto became an </w:t>
      </w:r>
      <w:proofErr w:type="spellStart"/>
      <w:r>
        <w:t>OnTrack</w:t>
      </w:r>
      <w:proofErr w:type="spellEnd"/>
      <w:r>
        <w:t xml:space="preserve"> customer in </w:t>
      </w:r>
      <w:r w:rsidR="00D51DE0">
        <w:t>August</w:t>
      </w:r>
      <w:r>
        <w:t xml:space="preserve"> 2014 as a non-hea</w:t>
      </w:r>
      <w:r w:rsidR="00D51DE0">
        <w:t xml:space="preserve">t residential customer.  </w:t>
      </w:r>
      <w:proofErr w:type="gramStart"/>
      <w:r w:rsidR="00D51DE0">
        <w:t>(Tr. 45-47; PPL Exhibits 1 and 2</w:t>
      </w:r>
      <w:r>
        <w:t>).</w:t>
      </w:r>
      <w:proofErr w:type="gramEnd"/>
    </w:p>
    <w:p w:rsidR="00E36C2A" w:rsidRDefault="00E36C2A" w:rsidP="008C62D6">
      <w:pPr>
        <w:tabs>
          <w:tab w:val="left" w:pos="2160"/>
        </w:tabs>
        <w:spacing w:line="360" w:lineRule="auto"/>
        <w:ind w:firstLine="1440"/>
      </w:pPr>
    </w:p>
    <w:p w:rsidR="008C62D6" w:rsidRDefault="00D51DE0" w:rsidP="008C62D6">
      <w:pPr>
        <w:tabs>
          <w:tab w:val="left" w:pos="2160"/>
        </w:tabs>
        <w:spacing w:line="360" w:lineRule="auto"/>
        <w:ind w:firstLine="1440"/>
      </w:pPr>
      <w:r>
        <w:t xml:space="preserve">4. </w:t>
      </w:r>
      <w:r>
        <w:tab/>
        <w:t>Complainant knew t</w:t>
      </w:r>
      <w:r w:rsidR="00DD32C6">
        <w:t xml:space="preserve">he benefit allotment for non-heat residential customers </w:t>
      </w:r>
      <w:r w:rsidR="00150458">
        <w:t xml:space="preserve">in the </w:t>
      </w:r>
      <w:proofErr w:type="spellStart"/>
      <w:r w:rsidR="00150458">
        <w:t>OnTrack</w:t>
      </w:r>
      <w:proofErr w:type="spellEnd"/>
      <w:r w:rsidR="00150458">
        <w:t xml:space="preserve"> program is $1,275</w:t>
      </w:r>
      <w:r w:rsidR="00DD32C6">
        <w:t xml:space="preserve"> over an 18-month period.  </w:t>
      </w:r>
      <w:proofErr w:type="gramStart"/>
      <w:r w:rsidR="00DD32C6">
        <w:t xml:space="preserve">(Tr. </w:t>
      </w:r>
      <w:r>
        <w:t>15, 16, 30</w:t>
      </w:r>
      <w:r w:rsidR="00DD32C6">
        <w:t>).</w:t>
      </w:r>
      <w:proofErr w:type="gramEnd"/>
    </w:p>
    <w:p w:rsidR="008C62D6" w:rsidRDefault="008C62D6" w:rsidP="008C62D6">
      <w:pPr>
        <w:tabs>
          <w:tab w:val="left" w:pos="2160"/>
        </w:tabs>
        <w:spacing w:line="360" w:lineRule="auto"/>
        <w:ind w:firstLine="1440"/>
      </w:pPr>
    </w:p>
    <w:p w:rsidR="008C62D6" w:rsidRDefault="008C62D6" w:rsidP="008C62D6">
      <w:pPr>
        <w:tabs>
          <w:tab w:val="left" w:pos="2160"/>
        </w:tabs>
        <w:spacing w:line="360" w:lineRule="auto"/>
        <w:ind w:firstLine="1440"/>
      </w:pPr>
      <w:r>
        <w:t xml:space="preserve">5. </w:t>
      </w:r>
      <w:r>
        <w:tab/>
      </w:r>
      <w:r w:rsidR="00DD32C6">
        <w:t xml:space="preserve">In March 2015, Mr. Scotto’s use </w:t>
      </w:r>
      <w:r w:rsidR="00E434D4">
        <w:t xml:space="preserve">of </w:t>
      </w:r>
      <w:proofErr w:type="spellStart"/>
      <w:r w:rsidR="00DD32C6">
        <w:t>OnTrack</w:t>
      </w:r>
      <w:proofErr w:type="spellEnd"/>
      <w:r w:rsidR="00DD32C6">
        <w:t xml:space="preserve"> benefits exceeded 50% of the total benefit allotment.</w:t>
      </w:r>
      <w:r w:rsidR="00D51DE0">
        <w:t xml:space="preserve">  </w:t>
      </w:r>
      <w:proofErr w:type="gramStart"/>
      <w:r w:rsidR="00D51DE0">
        <w:t>(PPL Exhibit 2).</w:t>
      </w:r>
      <w:proofErr w:type="gramEnd"/>
    </w:p>
    <w:p w:rsidR="008C62D6" w:rsidRDefault="008C62D6" w:rsidP="008C62D6">
      <w:pPr>
        <w:tabs>
          <w:tab w:val="left" w:pos="2160"/>
        </w:tabs>
        <w:spacing w:line="360" w:lineRule="auto"/>
        <w:ind w:firstLine="1440"/>
      </w:pPr>
    </w:p>
    <w:p w:rsidR="008C62D6" w:rsidRDefault="008C62D6" w:rsidP="008C62D6">
      <w:pPr>
        <w:tabs>
          <w:tab w:val="left" w:pos="2160"/>
        </w:tabs>
        <w:spacing w:line="360" w:lineRule="auto"/>
        <w:ind w:firstLine="1440"/>
      </w:pPr>
      <w:r>
        <w:t>6.</w:t>
      </w:r>
      <w:r>
        <w:tab/>
      </w:r>
      <w:r w:rsidR="00DD32C6">
        <w:t xml:space="preserve">On March 31, 2015, PPL issued a letter to Mr. Scotto which referenced in bold letters “Notification of Benefit Limits.”  The letter stated, in part, PPL pays the difference between the actual monthly bill and the </w:t>
      </w:r>
      <w:proofErr w:type="spellStart"/>
      <w:r w:rsidR="00DD32C6">
        <w:t>OnTrack</w:t>
      </w:r>
      <w:proofErr w:type="spellEnd"/>
      <w:r w:rsidR="00DD32C6">
        <w:t xml:space="preserve"> payment amount but there is an </w:t>
      </w:r>
      <w:proofErr w:type="spellStart"/>
      <w:r w:rsidR="00DD32C6">
        <w:t>OnTrack</w:t>
      </w:r>
      <w:proofErr w:type="spellEnd"/>
      <w:r w:rsidR="00DD32C6">
        <w:t xml:space="preserve"> payment limit of $1,275 on an account without electric heat, and PPL’s records showed Mr.</w:t>
      </w:r>
      <w:r w:rsidR="00753746">
        <w:t> </w:t>
      </w:r>
      <w:r w:rsidR="00DD32C6">
        <w:t xml:space="preserve">Scotto’s use of </w:t>
      </w:r>
      <w:proofErr w:type="spellStart"/>
      <w:r w:rsidR="00DD32C6">
        <w:t>OnTrack</w:t>
      </w:r>
      <w:proofErr w:type="spellEnd"/>
      <w:r w:rsidR="00DD32C6">
        <w:t xml:space="preserve"> payment was “close to 50 percent of that limit.”</w:t>
      </w:r>
      <w:r w:rsidR="00150458">
        <w:t xml:space="preserve">  </w:t>
      </w:r>
      <w:proofErr w:type="gramStart"/>
      <w:r w:rsidR="00150458">
        <w:t xml:space="preserve">(Tr. </w:t>
      </w:r>
      <w:r w:rsidR="00D51DE0">
        <w:t>49, 50, 63; PPL Exhibit 2</w:t>
      </w:r>
      <w:r w:rsidR="00150458">
        <w:t>).</w:t>
      </w:r>
      <w:proofErr w:type="gramEnd"/>
    </w:p>
    <w:p w:rsidR="00E06E50" w:rsidRDefault="00E06E50" w:rsidP="008C62D6">
      <w:pPr>
        <w:tabs>
          <w:tab w:val="left" w:pos="2160"/>
        </w:tabs>
        <w:spacing w:line="360" w:lineRule="auto"/>
        <w:ind w:firstLine="1440"/>
      </w:pPr>
    </w:p>
    <w:p w:rsidR="00E06E50" w:rsidRDefault="00E06E50" w:rsidP="00E06E50">
      <w:pPr>
        <w:tabs>
          <w:tab w:val="left" w:pos="2160"/>
        </w:tabs>
        <w:spacing w:line="360" w:lineRule="auto"/>
        <w:ind w:firstLine="1440"/>
      </w:pPr>
      <w:r>
        <w:t xml:space="preserve">7. </w:t>
      </w:r>
      <w:r>
        <w:tab/>
      </w:r>
      <w:r w:rsidR="00150458">
        <w:t>PPL issued identical letters</w:t>
      </w:r>
      <w:r w:rsidR="00E434D4">
        <w:t xml:space="preserve"> referencing the notification of benefit </w:t>
      </w:r>
      <w:proofErr w:type="gramStart"/>
      <w:r w:rsidR="00E434D4">
        <w:t xml:space="preserve">limits </w:t>
      </w:r>
      <w:r w:rsidR="00150458">
        <w:t xml:space="preserve"> on</w:t>
      </w:r>
      <w:proofErr w:type="gramEnd"/>
      <w:r w:rsidR="00150458">
        <w:t xml:space="preserve"> April 29</w:t>
      </w:r>
      <w:r w:rsidR="00D51DE0">
        <w:t xml:space="preserve">, 2015 and June 1, 2015.  </w:t>
      </w:r>
      <w:proofErr w:type="gramStart"/>
      <w:r w:rsidR="00D51DE0">
        <w:t>(Tr. 52, 64, 66; PPL Exhibit 2</w:t>
      </w:r>
      <w:r w:rsidR="00150458">
        <w:t>).</w:t>
      </w:r>
      <w:proofErr w:type="gramEnd"/>
    </w:p>
    <w:p w:rsidR="008C62D6" w:rsidRDefault="008C62D6" w:rsidP="008C62D6">
      <w:pPr>
        <w:tabs>
          <w:tab w:val="left" w:pos="2160"/>
        </w:tabs>
        <w:spacing w:line="360" w:lineRule="auto"/>
        <w:ind w:firstLine="1440"/>
      </w:pPr>
    </w:p>
    <w:p w:rsidR="008C62D6" w:rsidRDefault="00E06E50" w:rsidP="008C62D6">
      <w:pPr>
        <w:tabs>
          <w:tab w:val="left" w:pos="2160"/>
        </w:tabs>
        <w:spacing w:line="360" w:lineRule="auto"/>
        <w:ind w:firstLine="1440"/>
      </w:pPr>
      <w:r>
        <w:lastRenderedPageBreak/>
        <w:t>8</w:t>
      </w:r>
      <w:r w:rsidR="008C62D6">
        <w:t xml:space="preserve">.  </w:t>
      </w:r>
      <w:r w:rsidR="008C62D6">
        <w:tab/>
        <w:t xml:space="preserve"> </w:t>
      </w:r>
      <w:r w:rsidR="00150458">
        <w:t>PPL issued similar letters on June 30, 2015; July 29, 2015; and August</w:t>
      </w:r>
      <w:r w:rsidR="00753746">
        <w:t> </w:t>
      </w:r>
      <w:r w:rsidR="00150458">
        <w:t xml:space="preserve">31, 2015 which stated Mr. Scotto’s use of </w:t>
      </w:r>
      <w:proofErr w:type="spellStart"/>
      <w:r w:rsidR="00150458">
        <w:t>OnTrack</w:t>
      </w:r>
      <w:proofErr w:type="spellEnd"/>
      <w:r w:rsidR="00150458">
        <w:t xml:space="preserve"> payment was “close to 80</w:t>
      </w:r>
      <w:r w:rsidR="00D51DE0">
        <w:t xml:space="preserve"> percent of that limit.”  </w:t>
      </w:r>
      <w:proofErr w:type="gramStart"/>
      <w:r w:rsidR="00D51DE0">
        <w:t>(Tr. 52, 64; PPL Exhibit 2</w:t>
      </w:r>
      <w:r w:rsidR="00150458">
        <w:t>).</w:t>
      </w:r>
      <w:proofErr w:type="gramEnd"/>
    </w:p>
    <w:p w:rsidR="0009055C" w:rsidRDefault="0009055C" w:rsidP="008C62D6">
      <w:pPr>
        <w:tabs>
          <w:tab w:val="left" w:pos="2160"/>
        </w:tabs>
        <w:spacing w:line="360" w:lineRule="auto"/>
        <w:ind w:firstLine="1440"/>
      </w:pPr>
    </w:p>
    <w:p w:rsidR="008C62D6" w:rsidRDefault="00E06E50" w:rsidP="008C62D6">
      <w:pPr>
        <w:tabs>
          <w:tab w:val="left" w:pos="2160"/>
        </w:tabs>
        <w:spacing w:line="360" w:lineRule="auto"/>
        <w:ind w:firstLine="1440"/>
      </w:pPr>
      <w:r>
        <w:t>9</w:t>
      </w:r>
      <w:r w:rsidR="008C62D6">
        <w:t>.</w:t>
      </w:r>
      <w:r w:rsidR="008C62D6">
        <w:tab/>
      </w:r>
      <w:r w:rsidR="00150458">
        <w:t xml:space="preserve">In June 2015, Mr. Scotto’s use </w:t>
      </w:r>
      <w:r w:rsidR="00D51DE0">
        <w:t xml:space="preserve">of </w:t>
      </w:r>
      <w:proofErr w:type="spellStart"/>
      <w:r w:rsidR="00150458">
        <w:t>OnTrack</w:t>
      </w:r>
      <w:proofErr w:type="spellEnd"/>
      <w:r w:rsidR="00150458">
        <w:t xml:space="preserve"> benefits exceeded 80% of the total benefit allotment.</w:t>
      </w:r>
      <w:r w:rsidR="00D51DE0">
        <w:t xml:space="preserve">  </w:t>
      </w:r>
      <w:proofErr w:type="gramStart"/>
      <w:r w:rsidR="00D51DE0">
        <w:t>(Tr. 52; PPL Exhibit 2).</w:t>
      </w:r>
      <w:proofErr w:type="gramEnd"/>
    </w:p>
    <w:p w:rsidR="008C62D6" w:rsidRDefault="008C62D6" w:rsidP="008C62D6">
      <w:pPr>
        <w:tabs>
          <w:tab w:val="left" w:pos="2160"/>
        </w:tabs>
        <w:spacing w:line="360" w:lineRule="auto"/>
        <w:ind w:firstLine="1440"/>
      </w:pPr>
    </w:p>
    <w:p w:rsidR="008C62D6" w:rsidRDefault="00E06E50" w:rsidP="008C62D6">
      <w:pPr>
        <w:tabs>
          <w:tab w:val="left" w:pos="2160"/>
        </w:tabs>
        <w:spacing w:line="360" w:lineRule="auto"/>
        <w:ind w:firstLine="1440"/>
      </w:pPr>
      <w:r>
        <w:t>10</w:t>
      </w:r>
      <w:r w:rsidR="008C62D6">
        <w:t xml:space="preserve">. </w:t>
      </w:r>
      <w:r w:rsidR="008C62D6">
        <w:tab/>
      </w:r>
      <w:r w:rsidR="00150458">
        <w:t xml:space="preserve">On September 29, 2015, PPL sent a letter to Mr. Scotto which advised him that he had used up the </w:t>
      </w:r>
      <w:proofErr w:type="spellStart"/>
      <w:r w:rsidR="00150458">
        <w:t>OnTrack</w:t>
      </w:r>
      <w:proofErr w:type="spellEnd"/>
      <w:r w:rsidR="00150458">
        <w:t xml:space="preserve"> benefit allotment and would not be eligible until </w:t>
      </w:r>
      <w:r w:rsidR="00D51DE0">
        <w:t xml:space="preserve">February 2016, which is </w:t>
      </w:r>
      <w:r w:rsidR="00150458">
        <w:t xml:space="preserve">18 months after his </w:t>
      </w:r>
      <w:proofErr w:type="spellStart"/>
      <w:r w:rsidR="00150458">
        <w:t>OnTrack</w:t>
      </w:r>
      <w:proofErr w:type="spellEnd"/>
      <w:r w:rsidR="00150458">
        <w:t xml:space="preserve"> anniversary date</w:t>
      </w:r>
      <w:r w:rsidR="00D51DE0">
        <w:t xml:space="preserve"> (August 2014).  </w:t>
      </w:r>
      <w:proofErr w:type="gramStart"/>
      <w:r w:rsidR="00D51DE0">
        <w:t>(Tr. 53, 55, 57; PPL Exhibit 2</w:t>
      </w:r>
      <w:r w:rsidR="00150458">
        <w:t>).</w:t>
      </w:r>
      <w:proofErr w:type="gramEnd"/>
    </w:p>
    <w:p w:rsidR="001847E4" w:rsidRDefault="001847E4" w:rsidP="001847E4">
      <w:pPr>
        <w:tabs>
          <w:tab w:val="left" w:pos="2160"/>
        </w:tabs>
        <w:spacing w:line="360" w:lineRule="auto"/>
        <w:ind w:firstLine="1440"/>
      </w:pPr>
    </w:p>
    <w:p w:rsidR="001847E4" w:rsidRDefault="001847E4" w:rsidP="001847E4">
      <w:pPr>
        <w:tabs>
          <w:tab w:val="left" w:pos="2160"/>
        </w:tabs>
        <w:spacing w:line="360" w:lineRule="auto"/>
        <w:ind w:firstLine="1440"/>
      </w:pPr>
      <w:r>
        <w:t>11.</w:t>
      </w:r>
      <w:r>
        <w:tab/>
        <w:t xml:space="preserve">Mr. Scotto found the Notification </w:t>
      </w:r>
      <w:r w:rsidR="00D51DE0">
        <w:t xml:space="preserve">of Benefit </w:t>
      </w:r>
      <w:r>
        <w:t xml:space="preserve">letters </w:t>
      </w:r>
      <w:r w:rsidR="00D51DE0">
        <w:t xml:space="preserve">(Notification Letters) </w:t>
      </w:r>
      <w:r>
        <w:t xml:space="preserve">to be confusing and misleading because the letters indicated his usage of the </w:t>
      </w:r>
      <w:proofErr w:type="spellStart"/>
      <w:r>
        <w:t>OnTrack</w:t>
      </w:r>
      <w:proofErr w:type="spellEnd"/>
      <w:r>
        <w:t xml:space="preserve"> benefits were “close to” a percentage of the program’s limits.  (Tr. </w:t>
      </w:r>
      <w:r w:rsidR="00D51DE0">
        <w:t>10-20</w:t>
      </w:r>
      <w:r>
        <w:t>).</w:t>
      </w:r>
    </w:p>
    <w:p w:rsidR="008C62D6" w:rsidRDefault="008C62D6" w:rsidP="008C62D6">
      <w:pPr>
        <w:tabs>
          <w:tab w:val="left" w:pos="2160"/>
        </w:tabs>
        <w:spacing w:line="360" w:lineRule="auto"/>
        <w:ind w:firstLine="1440"/>
      </w:pPr>
    </w:p>
    <w:p w:rsidR="008C62D6" w:rsidRDefault="001847E4" w:rsidP="008C62D6">
      <w:pPr>
        <w:tabs>
          <w:tab w:val="left" w:pos="2160"/>
        </w:tabs>
        <w:spacing w:line="360" w:lineRule="auto"/>
        <w:ind w:firstLine="1440"/>
      </w:pPr>
      <w:r>
        <w:t>12</w:t>
      </w:r>
      <w:r w:rsidR="008C62D6">
        <w:t>.</w:t>
      </w:r>
      <w:r w:rsidR="008C62D6">
        <w:tab/>
      </w:r>
      <w:r>
        <w:t xml:space="preserve">Until October 20, 2015, </w:t>
      </w:r>
      <w:r w:rsidR="00150458">
        <w:t xml:space="preserve">Mr. Scotto did not contact PPL </w:t>
      </w:r>
      <w:r>
        <w:t xml:space="preserve">for clarification or explanation </w:t>
      </w:r>
      <w:r w:rsidR="00150458">
        <w:t xml:space="preserve">after receiving the </w:t>
      </w:r>
      <w:r>
        <w:t xml:space="preserve">six </w:t>
      </w:r>
      <w:r w:rsidR="00150458">
        <w:t>Notification letters</w:t>
      </w:r>
      <w:r>
        <w:t xml:space="preserve"> between March 2015 and August 2015</w:t>
      </w:r>
      <w:r w:rsidR="00150458">
        <w:t xml:space="preserve">.  </w:t>
      </w:r>
      <w:proofErr w:type="gramStart"/>
      <w:r w:rsidR="00150458">
        <w:t xml:space="preserve">(Tr. </w:t>
      </w:r>
      <w:r w:rsidR="00D51DE0">
        <w:t>14-20, 31, 54</w:t>
      </w:r>
      <w:r w:rsidR="00150458">
        <w:t>).</w:t>
      </w:r>
      <w:proofErr w:type="gramEnd"/>
    </w:p>
    <w:p w:rsidR="008C62D6" w:rsidRDefault="008C62D6" w:rsidP="008C62D6">
      <w:pPr>
        <w:tabs>
          <w:tab w:val="left" w:pos="2160"/>
        </w:tabs>
        <w:spacing w:line="360" w:lineRule="auto"/>
        <w:ind w:firstLine="1440"/>
      </w:pPr>
    </w:p>
    <w:p w:rsidR="0083184B" w:rsidRDefault="001847E4" w:rsidP="008C62D6">
      <w:pPr>
        <w:tabs>
          <w:tab w:val="left" w:pos="2160"/>
        </w:tabs>
        <w:spacing w:line="360" w:lineRule="auto"/>
        <w:ind w:firstLine="1440"/>
      </w:pPr>
      <w:r>
        <w:t>13</w:t>
      </w:r>
      <w:r w:rsidR="0083184B">
        <w:t xml:space="preserve">. </w:t>
      </w:r>
      <w:r w:rsidR="0083184B">
        <w:tab/>
      </w:r>
      <w:r w:rsidR="00150458">
        <w:t xml:space="preserve">The billing statements issued by PPL to Complainant each month, starting in September 2014, highlighted the actual kilowatt hours (kWh) consumed each month, the amount of the actual bill versus the </w:t>
      </w:r>
      <w:proofErr w:type="spellStart"/>
      <w:r w:rsidR="00150458">
        <w:t>OnTrack</w:t>
      </w:r>
      <w:proofErr w:type="spellEnd"/>
      <w:r w:rsidR="00150458">
        <w:t xml:space="preserve"> amount, and the </w:t>
      </w:r>
      <w:proofErr w:type="spellStart"/>
      <w:r w:rsidR="00150458">
        <w:t>OnTrack</w:t>
      </w:r>
      <w:proofErr w:type="spellEnd"/>
      <w:r w:rsidR="00150458">
        <w:t xml:space="preserve"> benefit allotment ($1,275) for non-electric heating </w:t>
      </w:r>
      <w:r w:rsidR="00D51DE0">
        <w:t xml:space="preserve">accounts over 18 months.  </w:t>
      </w:r>
      <w:proofErr w:type="gramStart"/>
      <w:r w:rsidR="00D51DE0">
        <w:t>(Tr. 10-17, 28-31, 46</w:t>
      </w:r>
      <w:r w:rsidR="00150458">
        <w:t>; PPL Exhibit 5).</w:t>
      </w:r>
      <w:proofErr w:type="gramEnd"/>
    </w:p>
    <w:p w:rsidR="00D51DE0" w:rsidRDefault="00D51DE0" w:rsidP="008C62D6">
      <w:pPr>
        <w:tabs>
          <w:tab w:val="left" w:pos="2160"/>
        </w:tabs>
        <w:spacing w:line="360" w:lineRule="auto"/>
        <w:ind w:firstLine="1440"/>
      </w:pPr>
    </w:p>
    <w:p w:rsidR="00D51DE0" w:rsidRDefault="00D51DE0" w:rsidP="008C62D6">
      <w:pPr>
        <w:tabs>
          <w:tab w:val="left" w:pos="2160"/>
        </w:tabs>
        <w:spacing w:line="360" w:lineRule="auto"/>
        <w:ind w:firstLine="1440"/>
      </w:pPr>
      <w:r>
        <w:t xml:space="preserve">14. </w:t>
      </w:r>
      <w:r>
        <w:tab/>
        <w:t xml:space="preserve">On March 2, 2016, Complainant received a $152 LIHEAP grant payment and, on March 9, 2016, he received a $500 LIHEAP Crisis payment.  </w:t>
      </w:r>
      <w:proofErr w:type="gramStart"/>
      <w:r>
        <w:t>(Tr. 71; PPL Exhibit 1).</w:t>
      </w:r>
      <w:proofErr w:type="gramEnd"/>
    </w:p>
    <w:p w:rsidR="00D51DE0" w:rsidRDefault="00D51DE0" w:rsidP="008C62D6">
      <w:pPr>
        <w:tabs>
          <w:tab w:val="left" w:pos="2160"/>
        </w:tabs>
        <w:spacing w:line="360" w:lineRule="auto"/>
        <w:ind w:firstLine="1440"/>
      </w:pPr>
    </w:p>
    <w:p w:rsidR="00753746" w:rsidRDefault="00D51DE0" w:rsidP="008C62D6">
      <w:pPr>
        <w:tabs>
          <w:tab w:val="left" w:pos="2160"/>
        </w:tabs>
        <w:spacing w:line="360" w:lineRule="auto"/>
        <w:ind w:firstLine="1440"/>
      </w:pPr>
      <w:r>
        <w:t xml:space="preserve">15. </w:t>
      </w:r>
      <w:r>
        <w:tab/>
        <w:t xml:space="preserve">On April 7, 2016, Complainant was re-enrolled in the </w:t>
      </w:r>
      <w:proofErr w:type="spellStart"/>
      <w:r>
        <w:t>OnTrack</w:t>
      </w:r>
      <w:proofErr w:type="spellEnd"/>
      <w:r>
        <w:t xml:space="preserve"> program</w:t>
      </w:r>
      <w:r w:rsidR="005F7B94">
        <w:t xml:space="preserve"> with benefits set to begin on May 24, 2016</w:t>
      </w:r>
      <w:r>
        <w:t xml:space="preserve">.  </w:t>
      </w:r>
      <w:proofErr w:type="gramStart"/>
      <w:r>
        <w:t>(Tr. 20, 55-57; PPL Exhibit 2).</w:t>
      </w:r>
      <w:proofErr w:type="gramEnd"/>
    </w:p>
    <w:p w:rsidR="005F7B94" w:rsidRDefault="005F7B94" w:rsidP="008C62D6">
      <w:pPr>
        <w:tabs>
          <w:tab w:val="left" w:pos="2160"/>
        </w:tabs>
        <w:spacing w:line="360" w:lineRule="auto"/>
        <w:ind w:firstLine="1440"/>
      </w:pPr>
      <w:r>
        <w:lastRenderedPageBreak/>
        <w:t xml:space="preserve">16. </w:t>
      </w:r>
      <w:r>
        <w:tab/>
        <w:t xml:space="preserve">Complainant refused to testify why no payments were made </w:t>
      </w:r>
      <w:proofErr w:type="gramStart"/>
      <w:r>
        <w:t>on  his</w:t>
      </w:r>
      <w:proofErr w:type="gramEnd"/>
      <w:r>
        <w:t xml:space="preserve"> service account from October 2015 to May 2016.  </w:t>
      </w:r>
      <w:proofErr w:type="gramStart"/>
      <w:r>
        <w:t>(Tr. 21, 22).</w:t>
      </w:r>
      <w:proofErr w:type="gramEnd"/>
      <w:r>
        <w:t xml:space="preserve"> </w:t>
      </w:r>
    </w:p>
    <w:p w:rsidR="005F7B94" w:rsidRDefault="005F7B94" w:rsidP="008C62D6">
      <w:pPr>
        <w:tabs>
          <w:tab w:val="left" w:pos="2160"/>
        </w:tabs>
        <w:spacing w:line="360" w:lineRule="auto"/>
        <w:ind w:firstLine="1440"/>
      </w:pPr>
    </w:p>
    <w:p w:rsidR="005F7B94" w:rsidRDefault="005F7B94" w:rsidP="008C62D6">
      <w:pPr>
        <w:tabs>
          <w:tab w:val="left" w:pos="2160"/>
        </w:tabs>
        <w:spacing w:line="360" w:lineRule="auto"/>
        <w:ind w:firstLine="1440"/>
      </w:pPr>
      <w:r>
        <w:t xml:space="preserve">17. </w:t>
      </w:r>
      <w:r>
        <w:tab/>
        <w:t xml:space="preserve">PPL sends the Notification letters after a customer has </w:t>
      </w:r>
      <w:r w:rsidRPr="005F7B94">
        <w:rPr>
          <w:u w:val="single"/>
        </w:rPr>
        <w:t>exceeded</w:t>
      </w:r>
      <w:r>
        <w:t xml:space="preserve"> 50% or 80% of the </w:t>
      </w:r>
      <w:proofErr w:type="spellStart"/>
      <w:r>
        <w:t>OnTrack</w:t>
      </w:r>
      <w:proofErr w:type="spellEnd"/>
      <w:r>
        <w:t xml:space="preserve"> benefit limit.  </w:t>
      </w:r>
      <w:proofErr w:type="gramStart"/>
      <w:r>
        <w:t>(Tr. 67).</w:t>
      </w:r>
      <w:proofErr w:type="gramEnd"/>
    </w:p>
    <w:p w:rsidR="0083184B" w:rsidRDefault="0083184B" w:rsidP="008C62D6">
      <w:pPr>
        <w:tabs>
          <w:tab w:val="left" w:pos="2160"/>
        </w:tabs>
        <w:spacing w:line="360" w:lineRule="auto"/>
        <w:ind w:firstLine="1440"/>
      </w:pPr>
    </w:p>
    <w:p w:rsidR="009C2F2A" w:rsidRDefault="009C2F2A" w:rsidP="009C2F2A">
      <w:pPr>
        <w:spacing w:line="360" w:lineRule="auto"/>
        <w:jc w:val="center"/>
        <w:rPr>
          <w:u w:val="single"/>
        </w:rPr>
      </w:pPr>
      <w:r>
        <w:rPr>
          <w:u w:val="single"/>
        </w:rPr>
        <w:t>DISCUSSION</w:t>
      </w:r>
    </w:p>
    <w:p w:rsidR="009C2F2A" w:rsidRDefault="009C2F2A" w:rsidP="009C2F2A">
      <w:pPr>
        <w:spacing w:line="360" w:lineRule="auto"/>
        <w:jc w:val="center"/>
        <w:rPr>
          <w:u w:val="single"/>
        </w:rPr>
      </w:pPr>
    </w:p>
    <w:p w:rsidR="009C2F2A" w:rsidRDefault="009C2F2A" w:rsidP="009C2F2A">
      <w:pPr>
        <w:spacing w:line="360" w:lineRule="auto"/>
        <w:rPr>
          <w:u w:val="single"/>
        </w:rPr>
      </w:pPr>
      <w:r>
        <w:rPr>
          <w:u w:val="single"/>
        </w:rPr>
        <w:t>Burden of Proof</w:t>
      </w:r>
    </w:p>
    <w:p w:rsidR="009C2F2A" w:rsidRDefault="009C2F2A" w:rsidP="009C2F2A">
      <w:pPr>
        <w:spacing w:line="360" w:lineRule="auto"/>
        <w:rPr>
          <w:u w:val="single"/>
        </w:rPr>
      </w:pPr>
    </w:p>
    <w:p w:rsidR="00747C82" w:rsidRPr="00BF2531" w:rsidRDefault="00747C82" w:rsidP="00747C82">
      <w:pPr>
        <w:suppressAutoHyphens/>
        <w:spacing w:line="360" w:lineRule="auto"/>
        <w:ind w:firstLine="1440"/>
        <w:rPr>
          <w:spacing w:val="-3"/>
          <w:u w:val="single"/>
        </w:rPr>
      </w:pPr>
      <w:r>
        <w:t>I</w:t>
      </w:r>
      <w:r w:rsidRPr="00BF2531">
        <w:t>n this proceeding</w:t>
      </w:r>
      <w:r>
        <w:t xml:space="preserve"> Complainant, as the party seeking affirmative relief from the Commission, </w:t>
      </w:r>
      <w:r w:rsidRPr="00BF2531">
        <w:t>bears the burden of proof pursuant to Section 332(a) of the Public Utility Code</w:t>
      </w:r>
      <w:r>
        <w:t xml:space="preserve"> (Code).</w:t>
      </w:r>
      <w:r>
        <w:rPr>
          <w:rStyle w:val="FootnoteReference"/>
        </w:rPr>
        <w:footnoteReference w:id="2"/>
      </w:r>
      <w:r>
        <w:t xml:space="preserve">  </w:t>
      </w:r>
      <w:r w:rsidRPr="00BF2531">
        <w:t xml:space="preserve">To satisfy this burden, Complainant must demonstrate Respondent was responsible for the problem alleged in </w:t>
      </w:r>
      <w:r>
        <w:t>the formal c</w:t>
      </w:r>
      <w:r w:rsidRPr="00BF2531">
        <w:t>omplaint through a violation of the Public Utility Code or a Regulation or Order of the Commission.  This</w:t>
      </w:r>
      <w:r>
        <w:t xml:space="preserve"> demonstration</w:t>
      </w:r>
      <w:r w:rsidRPr="00BF2531">
        <w:t xml:space="preserve"> must be </w:t>
      </w:r>
      <w:r>
        <w:t>established</w:t>
      </w:r>
      <w:r w:rsidRPr="00BF2531">
        <w:t xml:space="preserve"> by a preponderance of the evidenc</w:t>
      </w:r>
      <w:r>
        <w:t>e.</w:t>
      </w:r>
      <w:r>
        <w:rPr>
          <w:rStyle w:val="FootnoteReference"/>
        </w:rPr>
        <w:footnoteReference w:id="3"/>
      </w:r>
      <w:r>
        <w:t xml:space="preserve">  </w:t>
      </w:r>
      <w:r w:rsidRPr="00BF2531">
        <w:t>Preponderance of the evidence means that the party with the burden of proof has presented evidence that is more convincing than that presented by the other party.</w:t>
      </w:r>
      <w:r w:rsidR="0089770C">
        <w:rPr>
          <w:rStyle w:val="FootnoteReference"/>
        </w:rPr>
        <w:footnoteReference w:id="4"/>
      </w:r>
      <w:r w:rsidRPr="00BF2531">
        <w:t xml:space="preserve">  In addition, the Commission’s findings of fact must be supported by “substantial evidence,” which consists of evidence that a reasonable mind might accept as adequate to support a conclusion.  A mere “trace of evidence or a suspicion of the existence of a fact” is insufficient.</w:t>
      </w:r>
      <w:r w:rsidR="0089770C">
        <w:rPr>
          <w:rStyle w:val="FootnoteReference"/>
        </w:rPr>
        <w:footnoteReference w:id="5"/>
      </w:r>
      <w:r w:rsidRPr="00BF2531">
        <w:t xml:space="preserve">  </w:t>
      </w:r>
    </w:p>
    <w:p w:rsidR="00747C82" w:rsidRPr="00BF2531" w:rsidRDefault="00747C82" w:rsidP="00747C82">
      <w:pPr>
        <w:spacing w:line="360" w:lineRule="auto"/>
      </w:pPr>
      <w:r w:rsidRPr="00BF2531">
        <w:tab/>
      </w:r>
      <w:r w:rsidRPr="00BF2531">
        <w:tab/>
      </w:r>
    </w:p>
    <w:p w:rsidR="00747C82" w:rsidRPr="001847E4" w:rsidRDefault="00747C82" w:rsidP="00747C82">
      <w:pPr>
        <w:spacing w:line="360" w:lineRule="auto"/>
        <w:ind w:firstLine="1440"/>
      </w:pPr>
      <w:r w:rsidRPr="00BF2531">
        <w:t xml:space="preserve">Upon the presentation by the Complainant of evidence sufficient to initially satisfy the burden of proof, the burden of going forward with the evidence, to rebut the evidence of the Complainant, shifts to </w:t>
      </w:r>
      <w:r>
        <w:t>Respondent</w:t>
      </w:r>
      <w:r w:rsidRPr="00BF2531">
        <w:t xml:space="preserve">.  If the evidence presented by </w:t>
      </w:r>
      <w:r>
        <w:t>Respondent is</w:t>
      </w:r>
      <w:r w:rsidRPr="00BF2531">
        <w:t xml:space="preserve"> of </w:t>
      </w:r>
      <w:r w:rsidRPr="00BF2531">
        <w:lastRenderedPageBreak/>
        <w:t>co</w:t>
      </w:r>
      <w:r>
        <w:noBreakHyphen/>
      </w:r>
      <w:r w:rsidRPr="00BF2531">
        <w:t>equal weight, the Complainant has not satisfied h</w:t>
      </w:r>
      <w:r>
        <w:t>is</w:t>
      </w:r>
      <w:r w:rsidRPr="00BF2531">
        <w:t xml:space="preserve"> burden of proof.  The Complainant now has to provide some additional evidence to rebut that of </w:t>
      </w:r>
      <w:r>
        <w:t>Respondent</w:t>
      </w:r>
      <w:r w:rsidRPr="001847E4">
        <w:t>.</w:t>
      </w:r>
      <w:r w:rsidR="0089770C" w:rsidRPr="001847E4">
        <w:rPr>
          <w:rStyle w:val="FootnoteReference"/>
        </w:rPr>
        <w:footnoteReference w:id="6"/>
      </w:r>
      <w:r w:rsidRPr="001847E4">
        <w:t xml:space="preserve"> </w:t>
      </w:r>
      <w:r w:rsidRPr="001847E4">
        <w:rPr>
          <w:iCs/>
        </w:rPr>
        <w:t xml:space="preserve"> </w:t>
      </w:r>
      <w:r w:rsidRPr="001847E4">
        <w:t xml:space="preserve">While the burden of persuasion may </w:t>
      </w:r>
      <w:r w:rsidRPr="001847E4">
        <w:rPr>
          <w:rStyle w:val="term1"/>
          <w:b w:val="0"/>
        </w:rPr>
        <w:t>shift</w:t>
      </w:r>
      <w:r w:rsidRPr="001847E4">
        <w:t xml:space="preserve"> back and forth during a proceeding, the </w:t>
      </w:r>
      <w:r w:rsidRPr="001847E4">
        <w:rPr>
          <w:rStyle w:val="term1"/>
          <w:b w:val="0"/>
        </w:rPr>
        <w:t>burden of proof</w:t>
      </w:r>
      <w:r w:rsidRPr="001847E4">
        <w:t xml:space="preserve"> never </w:t>
      </w:r>
      <w:r w:rsidRPr="001847E4">
        <w:rPr>
          <w:rStyle w:val="term1"/>
          <w:b w:val="0"/>
        </w:rPr>
        <w:t>shifts.  The</w:t>
      </w:r>
      <w:r w:rsidRPr="001847E4">
        <w:rPr>
          <w:rStyle w:val="term1"/>
        </w:rPr>
        <w:t xml:space="preserve"> </w:t>
      </w:r>
      <w:r w:rsidRPr="001847E4">
        <w:rPr>
          <w:rStyle w:val="term1"/>
          <w:b w:val="0"/>
        </w:rPr>
        <w:t>burden of proof</w:t>
      </w:r>
      <w:r w:rsidRPr="001847E4">
        <w:t xml:space="preserve"> always remains on the party seeking affirmative relief from the Commission.</w:t>
      </w:r>
      <w:r w:rsidR="0089770C" w:rsidRPr="001847E4">
        <w:rPr>
          <w:rStyle w:val="FootnoteReference"/>
        </w:rPr>
        <w:footnoteReference w:id="7"/>
      </w:r>
      <w:r w:rsidRPr="001847E4">
        <w:t xml:space="preserve">  </w:t>
      </w:r>
    </w:p>
    <w:p w:rsidR="0024610D" w:rsidRPr="001847E4" w:rsidRDefault="0024610D" w:rsidP="009C2F2A">
      <w:pPr>
        <w:tabs>
          <w:tab w:val="left" w:pos="-1440"/>
          <w:tab w:val="left" w:pos="-720"/>
        </w:tabs>
        <w:suppressAutoHyphens/>
        <w:spacing w:line="360" w:lineRule="auto"/>
        <w:rPr>
          <w:spacing w:val="-3"/>
          <w:u w:val="single"/>
        </w:rPr>
      </w:pPr>
    </w:p>
    <w:p w:rsidR="009C2F2A" w:rsidRPr="008115AB" w:rsidRDefault="009C2F2A" w:rsidP="009C2F2A">
      <w:pPr>
        <w:pStyle w:val="ParaTab1"/>
        <w:spacing w:line="360" w:lineRule="auto"/>
        <w:ind w:firstLine="0"/>
        <w:rPr>
          <w:rFonts w:ascii="Times New Roman" w:hAnsi="Times New Roman" w:cs="Times New Roman"/>
          <w:u w:val="single"/>
        </w:rPr>
      </w:pPr>
      <w:r>
        <w:rPr>
          <w:rFonts w:ascii="Times New Roman" w:hAnsi="Times New Roman" w:cs="Times New Roman"/>
          <w:u w:val="single"/>
        </w:rPr>
        <w:t>Jurisdiction</w:t>
      </w:r>
    </w:p>
    <w:p w:rsidR="009C2F2A" w:rsidRDefault="009C2F2A" w:rsidP="009C2F2A">
      <w:pPr>
        <w:pStyle w:val="ParaTab1"/>
        <w:spacing w:line="360" w:lineRule="auto"/>
        <w:rPr>
          <w:rFonts w:ascii="Times New Roman" w:hAnsi="Times New Roman" w:cs="Times New Roman"/>
        </w:rPr>
      </w:pPr>
    </w:p>
    <w:p w:rsidR="009C2F2A" w:rsidRPr="00CC4458" w:rsidRDefault="009C2F2A" w:rsidP="009C2F2A">
      <w:pPr>
        <w:pStyle w:val="ParaTab1"/>
        <w:spacing w:line="360" w:lineRule="auto"/>
        <w:rPr>
          <w:rFonts w:ascii="Times New Roman" w:hAnsi="Times New Roman" w:cs="Times New Roman"/>
        </w:rPr>
      </w:pPr>
      <w:r w:rsidRPr="00CC4458">
        <w:rPr>
          <w:rFonts w:ascii="Times New Roman" w:hAnsi="Times New Roman" w:cs="Times New Roman"/>
        </w:rPr>
        <w:t>The Commission, as a creation of the General Assembly, has only the powers and authority granted to it by the General Assembly contained in the Public Utility Code.</w:t>
      </w:r>
      <w:r w:rsidR="006834FA">
        <w:rPr>
          <w:rStyle w:val="FootnoteReference"/>
          <w:rFonts w:ascii="Times New Roman" w:hAnsi="Times New Roman" w:cs="Times New Roman"/>
        </w:rPr>
        <w:footnoteReference w:id="8"/>
      </w:r>
      <w:r w:rsidRPr="00CC4458">
        <w:rPr>
          <w:rFonts w:ascii="Times New Roman" w:hAnsi="Times New Roman" w:cs="Times New Roman"/>
        </w:rPr>
        <w:t xml:space="preserve">  The Commission must act within, and cannot exceed, its jurisdiction.</w:t>
      </w:r>
      <w:r w:rsidR="006834FA">
        <w:rPr>
          <w:rStyle w:val="FootnoteReference"/>
          <w:rFonts w:ascii="Times New Roman" w:hAnsi="Times New Roman" w:cs="Times New Roman"/>
        </w:rPr>
        <w:footnoteReference w:id="9"/>
      </w:r>
      <w:r w:rsidRPr="00CC4458">
        <w:rPr>
          <w:rFonts w:ascii="Times New Roman" w:hAnsi="Times New Roman" w:cs="Times New Roman"/>
        </w:rPr>
        <w:t xml:space="preserve">  Jurisdiction may not be conferred by the parties </w:t>
      </w:r>
      <w:r w:rsidR="006834FA">
        <w:rPr>
          <w:rFonts w:ascii="Times New Roman" w:hAnsi="Times New Roman" w:cs="Times New Roman"/>
        </w:rPr>
        <w:t>where none exists.</w:t>
      </w:r>
      <w:r w:rsidR="006834FA">
        <w:rPr>
          <w:rStyle w:val="FootnoteReference"/>
          <w:rFonts w:ascii="Times New Roman" w:hAnsi="Times New Roman" w:cs="Times New Roman"/>
        </w:rPr>
        <w:footnoteReference w:id="10"/>
      </w:r>
      <w:r w:rsidRPr="00CC4458">
        <w:rPr>
          <w:rFonts w:ascii="Times New Roman" w:hAnsi="Times New Roman" w:cs="Times New Roman"/>
        </w:rPr>
        <w:t xml:space="preserve">  </w:t>
      </w:r>
    </w:p>
    <w:p w:rsidR="009C2F2A" w:rsidRDefault="009C2F2A" w:rsidP="00FA7E61">
      <w:pPr>
        <w:pStyle w:val="ParaTab1"/>
        <w:spacing w:line="360" w:lineRule="auto"/>
        <w:ind w:firstLine="0"/>
        <w:rPr>
          <w:rFonts w:ascii="Times New Roman" w:hAnsi="Times New Roman" w:cs="Times New Roman"/>
        </w:rPr>
      </w:pPr>
    </w:p>
    <w:p w:rsidR="00FA7E61" w:rsidRPr="00FA7E61" w:rsidRDefault="00FA7E61" w:rsidP="00FA7E61">
      <w:pPr>
        <w:pStyle w:val="ParaTab1"/>
        <w:spacing w:line="360" w:lineRule="auto"/>
        <w:ind w:firstLine="0"/>
        <w:rPr>
          <w:rFonts w:ascii="Times New Roman" w:hAnsi="Times New Roman" w:cs="Times New Roman"/>
          <w:u w:val="single"/>
        </w:rPr>
      </w:pPr>
      <w:r w:rsidRPr="00FA7E61">
        <w:rPr>
          <w:rFonts w:ascii="Times New Roman" w:hAnsi="Times New Roman" w:cs="Times New Roman"/>
          <w:u w:val="single"/>
        </w:rPr>
        <w:t>Customer Service</w:t>
      </w:r>
    </w:p>
    <w:p w:rsidR="00FA7E61" w:rsidRPr="00E746DB" w:rsidRDefault="00FA7E61" w:rsidP="00FA7E61">
      <w:pPr>
        <w:spacing w:line="360" w:lineRule="auto"/>
        <w:rPr>
          <w:u w:val="single"/>
        </w:rPr>
      </w:pPr>
    </w:p>
    <w:p w:rsidR="00FA7E61" w:rsidRPr="00E746DB" w:rsidRDefault="00FA7E61" w:rsidP="00FA7E61">
      <w:pPr>
        <w:spacing w:line="360" w:lineRule="auto"/>
      </w:pPr>
      <w:r w:rsidRPr="00E746DB">
        <w:tab/>
      </w:r>
      <w:r w:rsidRPr="00E746DB">
        <w:tab/>
        <w:t xml:space="preserve">A violation of the Code may occur when a utility company fails to provide reasonable service, such as failure to correctly bill a customer. </w:t>
      </w:r>
      <w:r>
        <w:t xml:space="preserve"> </w:t>
      </w:r>
      <w:proofErr w:type="gramStart"/>
      <w:r w:rsidRPr="00E746DB">
        <w:t>The reasonable service requirement found in S</w:t>
      </w:r>
      <w:r>
        <w:t xml:space="preserve">ection 1501 of the Code, 66 </w:t>
      </w:r>
      <w:proofErr w:type="spellStart"/>
      <w:r>
        <w:t>Pa.</w:t>
      </w:r>
      <w:r w:rsidRPr="00E746DB">
        <w:t>C.S.</w:t>
      </w:r>
      <w:r>
        <w:t>A</w:t>
      </w:r>
      <w:proofErr w:type="spellEnd"/>
      <w:r>
        <w:t>.</w:t>
      </w:r>
      <w:proofErr w:type="gramEnd"/>
      <w:r w:rsidRPr="00E746DB">
        <w:t xml:space="preserve"> §</w:t>
      </w:r>
      <w:r>
        <w:t xml:space="preserve"> </w:t>
      </w:r>
      <w:r w:rsidRPr="00E746DB">
        <w:t>1501, reads in pertinent part:</w:t>
      </w:r>
    </w:p>
    <w:p w:rsidR="00FA7E61" w:rsidRPr="00E746DB" w:rsidRDefault="00FA7E61" w:rsidP="00FA7E61">
      <w:pPr>
        <w:ind w:left="1440" w:right="1440"/>
      </w:pPr>
    </w:p>
    <w:p w:rsidR="00FA7E61" w:rsidRDefault="00FA7E61" w:rsidP="00FA7E61">
      <w:pPr>
        <w:ind w:left="1440" w:right="1440"/>
      </w:pPr>
      <w:r w:rsidRPr="00E746DB">
        <w:t xml:space="preserve">Every public utility shall furnish and maintain adequate, efficient, safe, and reasonable service and facilities, and </w:t>
      </w:r>
      <w:r w:rsidRPr="00E746DB">
        <w:rPr>
          <w:u w:val="single"/>
        </w:rPr>
        <w:t>shall make all such</w:t>
      </w:r>
      <w:r w:rsidRPr="00E746DB">
        <w:t xml:space="preserve"> repairs, </w:t>
      </w:r>
      <w:r w:rsidRPr="00E746DB">
        <w:rPr>
          <w:u w:val="single"/>
        </w:rPr>
        <w:t>changes, alterations</w:t>
      </w:r>
      <w:r w:rsidRPr="00E746DB">
        <w:t xml:space="preserve">, substitutions, extensions, </w:t>
      </w:r>
      <w:r w:rsidRPr="00E746DB">
        <w:rPr>
          <w:u w:val="single"/>
        </w:rPr>
        <w:t>and improvements in or to such service and facilities as shall be necessary or proper for the accommodation, convenience, and safety of its patrons</w:t>
      </w:r>
      <w:r w:rsidRPr="00E746DB">
        <w:t xml:space="preserve">, employees, and the public.  Such service also shall be reasonably continuous and without unreasonable interruptions or delay.  Such service and facilities shall be in </w:t>
      </w:r>
      <w:r w:rsidRPr="00E746DB">
        <w:lastRenderedPageBreak/>
        <w:t>conformity with the regulations and orders of the commission.  (Emphasis added).</w:t>
      </w:r>
    </w:p>
    <w:p w:rsidR="00E434D4" w:rsidRPr="00E746DB" w:rsidRDefault="00E434D4" w:rsidP="00E434D4">
      <w:pPr>
        <w:spacing w:line="360" w:lineRule="auto"/>
        <w:ind w:left="1440" w:right="1440"/>
      </w:pPr>
    </w:p>
    <w:p w:rsidR="00FA7E61" w:rsidRDefault="00FA7E61" w:rsidP="00FA7E61">
      <w:pPr>
        <w:spacing w:line="360" w:lineRule="auto"/>
      </w:pPr>
      <w:r w:rsidRPr="00E746DB">
        <w:tab/>
      </w:r>
      <w:r w:rsidRPr="00E746DB">
        <w:tab/>
        <w:t xml:space="preserve">Additionally, the Commission has exclusive jurisdiction to determine the reasonableness, adequacy and sufficiency of a public utility’s services and facilities.  </w:t>
      </w:r>
      <w:proofErr w:type="gramStart"/>
      <w:r w:rsidRPr="00FA7E61">
        <w:rPr>
          <w:u w:val="single"/>
        </w:rPr>
        <w:t>Elkin v. Bell of Pa.</w:t>
      </w:r>
      <w:r w:rsidRPr="00E746DB">
        <w:t>, 491 Pa. 123, 420 A.2d 371 (1980).</w:t>
      </w:r>
      <w:proofErr w:type="gramEnd"/>
      <w:r w:rsidRPr="00E746DB">
        <w:t xml:space="preserve">  The term “service” is “used in its broadest and most inclusive sense, </w:t>
      </w:r>
      <w:proofErr w:type="spellStart"/>
      <w:r w:rsidRPr="00E746DB">
        <w:t>includ</w:t>
      </w:r>
      <w:proofErr w:type="spellEnd"/>
      <w:r w:rsidRPr="00E746DB">
        <w:t>[</w:t>
      </w:r>
      <w:proofErr w:type="spellStart"/>
      <w:r w:rsidRPr="00E746DB">
        <w:t>ing</w:t>
      </w:r>
      <w:proofErr w:type="spellEnd"/>
      <w:r w:rsidRPr="00E746DB">
        <w:t xml:space="preserve">] any and all acts done, rendered, or performed, and any and all things furnished or supplied...by public utilities...in the performance of their duties under [the Public Utility Code]....”  66 Pa.C.S. §102.  Thus a utility company’s practice </w:t>
      </w:r>
      <w:r w:rsidR="00753746">
        <w:t>–</w:t>
      </w:r>
      <w:r>
        <w:t xml:space="preserve"> </w:t>
      </w:r>
      <w:r w:rsidRPr="00E746DB">
        <w:t xml:space="preserve">of </w:t>
      </w:r>
      <w:r>
        <w:t>notifying its</w:t>
      </w:r>
      <w:r w:rsidRPr="00E746DB">
        <w:t xml:space="preserve"> customers</w:t>
      </w:r>
      <w:r>
        <w:t xml:space="preserve"> when customers have used 50% </w:t>
      </w:r>
      <w:r w:rsidR="00FA080D">
        <w:t>or</w:t>
      </w:r>
      <w:r>
        <w:t xml:space="preserve"> 80% of the </w:t>
      </w:r>
      <w:proofErr w:type="spellStart"/>
      <w:r>
        <w:t>OnTrack</w:t>
      </w:r>
      <w:proofErr w:type="spellEnd"/>
      <w:r>
        <w:t xml:space="preserve"> benefit allotment </w:t>
      </w:r>
      <w:r w:rsidR="00753746">
        <w:t>–</w:t>
      </w:r>
      <w:r w:rsidRPr="00E746DB">
        <w:t xml:space="preserve"> must be reasonable, adequate and sufficient.</w:t>
      </w:r>
    </w:p>
    <w:p w:rsidR="00FA7E61" w:rsidRPr="00E746DB" w:rsidRDefault="00FA7E61" w:rsidP="00FA7E61">
      <w:pPr>
        <w:spacing w:line="360" w:lineRule="auto"/>
      </w:pPr>
      <w:r w:rsidRPr="00E746DB">
        <w:t xml:space="preserve"> </w:t>
      </w:r>
    </w:p>
    <w:p w:rsidR="009C2F2A" w:rsidRDefault="009C2F2A" w:rsidP="009C2F2A">
      <w:pPr>
        <w:pStyle w:val="ParaTab1"/>
        <w:spacing w:line="360" w:lineRule="auto"/>
        <w:ind w:firstLine="0"/>
        <w:rPr>
          <w:rFonts w:ascii="Times New Roman" w:hAnsi="Times New Roman" w:cs="Times New Roman"/>
          <w:u w:val="single"/>
        </w:rPr>
      </w:pPr>
      <w:r w:rsidRPr="003A52EE">
        <w:rPr>
          <w:rFonts w:ascii="Times New Roman" w:hAnsi="Times New Roman" w:cs="Times New Roman"/>
          <w:u w:val="single"/>
        </w:rPr>
        <w:t>Analysis</w:t>
      </w:r>
    </w:p>
    <w:p w:rsidR="009C2F2A" w:rsidRPr="003A52EE" w:rsidRDefault="009C2F2A" w:rsidP="009C2F2A">
      <w:pPr>
        <w:pStyle w:val="ParaTab1"/>
        <w:spacing w:line="360" w:lineRule="auto"/>
        <w:ind w:firstLine="0"/>
        <w:rPr>
          <w:rFonts w:ascii="Times New Roman" w:hAnsi="Times New Roman" w:cs="Times New Roman"/>
          <w:u w:val="single"/>
        </w:rPr>
      </w:pPr>
    </w:p>
    <w:p w:rsidR="009C2F2A" w:rsidRDefault="009C2F2A" w:rsidP="009C2F2A">
      <w:pPr>
        <w:pStyle w:val="ParaTab1"/>
        <w:spacing w:line="360" w:lineRule="auto"/>
        <w:rPr>
          <w:rFonts w:ascii="Times New Roman" w:hAnsi="Times New Roman" w:cs="Times New Roman"/>
        </w:rPr>
      </w:pPr>
      <w:r>
        <w:rPr>
          <w:rFonts w:ascii="Times New Roman" w:hAnsi="Times New Roman" w:cs="Times New Roman"/>
        </w:rPr>
        <w:t xml:space="preserve">In the instant matter, Complainant </w:t>
      </w:r>
      <w:r w:rsidR="006019B8">
        <w:t xml:space="preserve">alleged the Notification letters </w:t>
      </w:r>
      <w:r w:rsidR="005F7B94">
        <w:t xml:space="preserve">for the </w:t>
      </w:r>
      <w:proofErr w:type="spellStart"/>
      <w:r w:rsidR="005F7B94">
        <w:t>OnTrack</w:t>
      </w:r>
      <w:proofErr w:type="spellEnd"/>
      <w:r w:rsidR="005F7B94">
        <w:t xml:space="preserve"> program </w:t>
      </w:r>
      <w:r w:rsidR="006019B8">
        <w:t>were confusing and misleading, especially for a vulnerable person such as himself</w:t>
      </w:r>
      <w:r w:rsidR="005F7B94">
        <w:t>, because</w:t>
      </w:r>
      <w:r w:rsidR="006019B8">
        <w:t xml:space="preserve"> Complainant suffers from a debilitating illness.  </w:t>
      </w:r>
      <w:r w:rsidR="005F7B94">
        <w:t xml:space="preserve">Under the </w:t>
      </w:r>
      <w:proofErr w:type="spellStart"/>
      <w:r w:rsidR="005F7B94">
        <w:t>OnTrack</w:t>
      </w:r>
      <w:proofErr w:type="spellEnd"/>
      <w:r w:rsidR="005F7B94">
        <w:t xml:space="preserve"> program, the program pays the difference between the customer’s actual bill and the amount the program requires the customer to pay for those customers determined to be income eligible.  In addition, </w:t>
      </w:r>
      <w:proofErr w:type="spellStart"/>
      <w:r w:rsidR="005F7B94">
        <w:t>OnTrack</w:t>
      </w:r>
      <w:proofErr w:type="spellEnd"/>
      <w:r w:rsidR="005F7B94">
        <w:t xml:space="preserve"> provides an arrearage credit towards any overdue balance.  (See Tr. 45).  </w:t>
      </w:r>
      <w:r w:rsidR="006019B8">
        <w:t xml:space="preserve">Mr. Scotto claimed that PPL’s use of the phraseology “close to” a certain percentage led him to believe that he had not exceeded that percentage yet.  As a result, Complainant contends he was surprised and not treated fairly when PPL took him off </w:t>
      </w:r>
      <w:proofErr w:type="spellStart"/>
      <w:r w:rsidR="006019B8">
        <w:t>OnTrack</w:t>
      </w:r>
      <w:proofErr w:type="spellEnd"/>
      <w:r w:rsidR="006019B8">
        <w:t xml:space="preserve"> in September 2015.  Mr.</w:t>
      </w:r>
      <w:r w:rsidR="00753746">
        <w:t> </w:t>
      </w:r>
      <w:r w:rsidR="006019B8">
        <w:t xml:space="preserve">Scotto asks the Commission to order PPL to use more specific percentages (e.g., 40%, 50%, 60%, etc.) in its Notification letters, and replace the phrase “close to” with the phrase “have exceeded” when advising </w:t>
      </w:r>
      <w:proofErr w:type="spellStart"/>
      <w:r w:rsidR="006019B8">
        <w:t>OnTrack</w:t>
      </w:r>
      <w:proofErr w:type="spellEnd"/>
      <w:r w:rsidR="006019B8">
        <w:t xml:space="preserve"> customers the benefit allotment percentage was approaching 100% of available benefits.  </w:t>
      </w:r>
    </w:p>
    <w:p w:rsidR="009C2F2A" w:rsidRDefault="009C2F2A" w:rsidP="009C2F2A">
      <w:pPr>
        <w:pStyle w:val="ParaTab1"/>
        <w:spacing w:line="360" w:lineRule="auto"/>
        <w:rPr>
          <w:rFonts w:ascii="Times New Roman" w:hAnsi="Times New Roman" w:cs="Times New Roman"/>
        </w:rPr>
      </w:pPr>
    </w:p>
    <w:p w:rsidR="0075172D" w:rsidRDefault="00972652" w:rsidP="009C2F2A">
      <w:pPr>
        <w:pStyle w:val="ParaTab1"/>
        <w:spacing w:line="360" w:lineRule="auto"/>
        <w:rPr>
          <w:rFonts w:ascii="Times New Roman" w:hAnsi="Times New Roman" w:cs="Times New Roman"/>
        </w:rPr>
      </w:pPr>
      <w:r>
        <w:rPr>
          <w:rFonts w:ascii="Times New Roman" w:hAnsi="Times New Roman" w:cs="Times New Roman"/>
        </w:rPr>
        <w:t>PPL contended</w:t>
      </w:r>
      <w:r w:rsidR="006019B8">
        <w:rPr>
          <w:rFonts w:ascii="Times New Roman" w:hAnsi="Times New Roman" w:cs="Times New Roman"/>
        </w:rPr>
        <w:t xml:space="preserve"> the Notification letters are not mandatory, but PPL uses the letters to ensure </w:t>
      </w:r>
      <w:proofErr w:type="spellStart"/>
      <w:r w:rsidR="006019B8">
        <w:rPr>
          <w:rFonts w:ascii="Times New Roman" w:hAnsi="Times New Roman" w:cs="Times New Roman"/>
        </w:rPr>
        <w:t>OnTrack</w:t>
      </w:r>
      <w:proofErr w:type="spellEnd"/>
      <w:r w:rsidR="006019B8">
        <w:rPr>
          <w:rFonts w:ascii="Times New Roman" w:hAnsi="Times New Roman" w:cs="Times New Roman"/>
        </w:rPr>
        <w:t xml:space="preserve"> customers know when </w:t>
      </w:r>
      <w:proofErr w:type="spellStart"/>
      <w:r w:rsidR="006019B8">
        <w:rPr>
          <w:rFonts w:ascii="Times New Roman" w:hAnsi="Times New Roman" w:cs="Times New Roman"/>
        </w:rPr>
        <w:t>OnTracks</w:t>
      </w:r>
      <w:proofErr w:type="spellEnd"/>
      <w:r w:rsidR="006019B8">
        <w:rPr>
          <w:rFonts w:ascii="Times New Roman" w:hAnsi="Times New Roman" w:cs="Times New Roman"/>
        </w:rPr>
        <w:t xml:space="preserve"> benefits may be ending.  PPL points out that each month Mr. Scotto’s billing statement included statements highlighted on the first page of </w:t>
      </w:r>
    </w:p>
    <w:p w:rsidR="00972652" w:rsidRDefault="006019B8" w:rsidP="0075172D">
      <w:pPr>
        <w:pStyle w:val="ParaTab1"/>
        <w:spacing w:line="360" w:lineRule="auto"/>
        <w:ind w:firstLine="0"/>
        <w:rPr>
          <w:rFonts w:ascii="Times New Roman" w:hAnsi="Times New Roman" w:cs="Times New Roman"/>
        </w:rPr>
      </w:pPr>
      <w:bookmarkStart w:id="0" w:name="_GoBack"/>
      <w:bookmarkEnd w:id="0"/>
      <w:proofErr w:type="gramStart"/>
      <w:r>
        <w:rPr>
          <w:rFonts w:ascii="Times New Roman" w:hAnsi="Times New Roman" w:cs="Times New Roman"/>
        </w:rPr>
        <w:lastRenderedPageBreak/>
        <w:t>his</w:t>
      </w:r>
      <w:proofErr w:type="gramEnd"/>
      <w:r>
        <w:rPr>
          <w:rFonts w:ascii="Times New Roman" w:hAnsi="Times New Roman" w:cs="Times New Roman"/>
        </w:rPr>
        <w:t xml:space="preserve"> bill which explained the </w:t>
      </w:r>
      <w:proofErr w:type="spellStart"/>
      <w:r>
        <w:rPr>
          <w:rFonts w:ascii="Times New Roman" w:hAnsi="Times New Roman" w:cs="Times New Roman"/>
        </w:rPr>
        <w:t>OnTrack</w:t>
      </w:r>
      <w:proofErr w:type="spellEnd"/>
      <w:r>
        <w:rPr>
          <w:rFonts w:ascii="Times New Roman" w:hAnsi="Times New Roman" w:cs="Times New Roman"/>
        </w:rPr>
        <w:t xml:space="preserve"> program and the program limits.  PPL also notes Mr.</w:t>
      </w:r>
      <w:r w:rsidR="00A91D6A">
        <w:rPr>
          <w:rFonts w:ascii="Times New Roman" w:hAnsi="Times New Roman" w:cs="Times New Roman"/>
        </w:rPr>
        <w:t> </w:t>
      </w:r>
      <w:r>
        <w:rPr>
          <w:rFonts w:ascii="Times New Roman" w:hAnsi="Times New Roman" w:cs="Times New Roman"/>
        </w:rPr>
        <w:t>Scotto should have called to inquire or request PPL explain his billing statements or the Notification letters if he was confused or uncertain.</w:t>
      </w:r>
    </w:p>
    <w:p w:rsidR="00E434D4" w:rsidRDefault="00E434D4" w:rsidP="009C2F2A">
      <w:pPr>
        <w:pStyle w:val="ParaTab1"/>
        <w:spacing w:line="360" w:lineRule="auto"/>
        <w:rPr>
          <w:rFonts w:ascii="Times New Roman" w:hAnsi="Times New Roman" w:cs="Times New Roman"/>
        </w:rPr>
      </w:pPr>
    </w:p>
    <w:p w:rsidR="009C2F2A" w:rsidRDefault="009C2F2A" w:rsidP="009C2F2A">
      <w:pPr>
        <w:pStyle w:val="ParaTab1"/>
        <w:spacing w:line="360" w:lineRule="auto"/>
        <w:rPr>
          <w:rFonts w:ascii="Times New Roman" w:hAnsi="Times New Roman" w:cs="Times New Roman"/>
        </w:rPr>
      </w:pPr>
      <w:r>
        <w:rPr>
          <w:rFonts w:ascii="Times New Roman" w:hAnsi="Times New Roman" w:cs="Times New Roman"/>
        </w:rPr>
        <w:t xml:space="preserve">Complainant offered no evidence in support of </w:t>
      </w:r>
      <w:r w:rsidR="000875C7">
        <w:rPr>
          <w:rFonts w:ascii="Times New Roman" w:hAnsi="Times New Roman" w:cs="Times New Roman"/>
        </w:rPr>
        <w:t>his</w:t>
      </w:r>
      <w:r>
        <w:rPr>
          <w:rFonts w:ascii="Times New Roman" w:hAnsi="Times New Roman" w:cs="Times New Roman"/>
        </w:rPr>
        <w:t xml:space="preserve"> assertion </w:t>
      </w:r>
      <w:r w:rsidR="000E5FC6">
        <w:rPr>
          <w:rFonts w:ascii="Times New Roman" w:hAnsi="Times New Roman" w:cs="Times New Roman"/>
        </w:rPr>
        <w:t xml:space="preserve">that </w:t>
      </w:r>
      <w:r w:rsidR="00972652">
        <w:rPr>
          <w:rFonts w:ascii="Times New Roman" w:hAnsi="Times New Roman" w:cs="Times New Roman"/>
        </w:rPr>
        <w:t>PPL</w:t>
      </w:r>
      <w:r w:rsidR="000E5FC6">
        <w:rPr>
          <w:rFonts w:ascii="Times New Roman" w:hAnsi="Times New Roman" w:cs="Times New Roman"/>
        </w:rPr>
        <w:t xml:space="preserve"> is required to notify him as a customer that </w:t>
      </w:r>
      <w:r w:rsidR="006019B8">
        <w:rPr>
          <w:rFonts w:ascii="Times New Roman" w:hAnsi="Times New Roman" w:cs="Times New Roman"/>
        </w:rPr>
        <w:t xml:space="preserve">the </w:t>
      </w:r>
      <w:proofErr w:type="spellStart"/>
      <w:r w:rsidR="006019B8">
        <w:rPr>
          <w:rFonts w:ascii="Times New Roman" w:hAnsi="Times New Roman" w:cs="Times New Roman"/>
        </w:rPr>
        <w:t>OnTrack</w:t>
      </w:r>
      <w:proofErr w:type="spellEnd"/>
      <w:r w:rsidR="006019B8">
        <w:rPr>
          <w:rFonts w:ascii="Times New Roman" w:hAnsi="Times New Roman" w:cs="Times New Roman"/>
        </w:rPr>
        <w:t xml:space="preserve"> program limits were approaching</w:t>
      </w:r>
      <w:r w:rsidR="000E5FC6">
        <w:rPr>
          <w:rFonts w:ascii="Times New Roman" w:hAnsi="Times New Roman" w:cs="Times New Roman"/>
        </w:rPr>
        <w:t>.  T</w:t>
      </w:r>
      <w:r w:rsidR="000875C7">
        <w:rPr>
          <w:rFonts w:ascii="Times New Roman" w:hAnsi="Times New Roman" w:cs="Times New Roman"/>
        </w:rPr>
        <w:t xml:space="preserve">here is no evidence </w:t>
      </w:r>
      <w:r w:rsidR="00681AB1">
        <w:rPr>
          <w:rFonts w:ascii="Times New Roman" w:hAnsi="Times New Roman" w:cs="Times New Roman"/>
        </w:rPr>
        <w:t>PPL used confusing or misleading language</w:t>
      </w:r>
      <w:r>
        <w:rPr>
          <w:rFonts w:ascii="Times New Roman" w:hAnsi="Times New Roman" w:cs="Times New Roman"/>
        </w:rPr>
        <w:t>.</w:t>
      </w:r>
      <w:r w:rsidR="00681AB1">
        <w:rPr>
          <w:rFonts w:ascii="Times New Roman" w:hAnsi="Times New Roman" w:cs="Times New Roman"/>
        </w:rPr>
        <w:t xml:space="preserve">  Mr. Scotto has a valid point that the phraseology in the Notification letters could have been more exact if PPL indicated when a percentage limit was exceeded.  However, </w:t>
      </w:r>
      <w:r w:rsidR="005F7B94">
        <w:rPr>
          <w:rFonts w:ascii="Times New Roman" w:hAnsi="Times New Roman" w:cs="Times New Roman"/>
        </w:rPr>
        <w:t xml:space="preserve">that non-specific delineation </w:t>
      </w:r>
      <w:r w:rsidR="00681AB1">
        <w:rPr>
          <w:rFonts w:ascii="Times New Roman" w:hAnsi="Times New Roman" w:cs="Times New Roman"/>
        </w:rPr>
        <w:t xml:space="preserve">in terminology is insufficient </w:t>
      </w:r>
      <w:r w:rsidR="005F7B94">
        <w:rPr>
          <w:rFonts w:ascii="Times New Roman" w:hAnsi="Times New Roman" w:cs="Times New Roman"/>
        </w:rPr>
        <w:t xml:space="preserve">evidence </w:t>
      </w:r>
      <w:r w:rsidR="00681AB1">
        <w:rPr>
          <w:rFonts w:ascii="Times New Roman" w:hAnsi="Times New Roman" w:cs="Times New Roman"/>
        </w:rPr>
        <w:t xml:space="preserve">to find a violation of the Commission’s requirement for </w:t>
      </w:r>
      <w:r w:rsidR="005F7B94">
        <w:rPr>
          <w:rFonts w:ascii="Times New Roman" w:hAnsi="Times New Roman" w:cs="Times New Roman"/>
        </w:rPr>
        <w:t xml:space="preserve">reasonable and adequate </w:t>
      </w:r>
      <w:r w:rsidR="00681AB1">
        <w:rPr>
          <w:rFonts w:ascii="Times New Roman" w:hAnsi="Times New Roman" w:cs="Times New Roman"/>
        </w:rPr>
        <w:t>customer service, especially since each month’s billing statements make a clear statement:</w:t>
      </w:r>
      <w:r w:rsidR="00753746">
        <w:rPr>
          <w:rFonts w:ascii="Times New Roman" w:hAnsi="Times New Roman" w:cs="Times New Roman"/>
        </w:rPr>
        <w:t xml:space="preserve"> </w:t>
      </w:r>
      <w:r w:rsidR="00681AB1">
        <w:rPr>
          <w:rFonts w:ascii="Times New Roman" w:hAnsi="Times New Roman" w:cs="Times New Roman"/>
        </w:rPr>
        <w:t xml:space="preserve"> “You will be notified if you have reached 50% and 80% of this maximum.”  (See PPL Exhibit 5). </w:t>
      </w:r>
      <w:r>
        <w:rPr>
          <w:rFonts w:ascii="Times New Roman" w:hAnsi="Times New Roman" w:cs="Times New Roman"/>
        </w:rPr>
        <w:t xml:space="preserve">   </w:t>
      </w:r>
    </w:p>
    <w:p w:rsidR="00681AB1" w:rsidRDefault="00681AB1" w:rsidP="009C2F2A">
      <w:pPr>
        <w:pStyle w:val="ParaTab1"/>
        <w:spacing w:line="360" w:lineRule="auto"/>
        <w:rPr>
          <w:rFonts w:ascii="Times New Roman" w:hAnsi="Times New Roman" w:cs="Times New Roman"/>
        </w:rPr>
      </w:pPr>
    </w:p>
    <w:p w:rsidR="009C2F2A" w:rsidRPr="00791549" w:rsidRDefault="009C2F2A" w:rsidP="00791549">
      <w:pPr>
        <w:pStyle w:val="ParaTab1"/>
        <w:spacing w:line="360" w:lineRule="auto"/>
        <w:rPr>
          <w:rFonts w:ascii="Times New Roman" w:hAnsi="Times New Roman" w:cs="Times New Roman"/>
        </w:rPr>
      </w:pPr>
      <w:r w:rsidRPr="00CC4458">
        <w:rPr>
          <w:rFonts w:ascii="Times New Roman" w:hAnsi="Times New Roman" w:cs="Times New Roman"/>
        </w:rPr>
        <w:t xml:space="preserve">Based on the evidence presented, Complainant failed to demonstrate by a preponderance of the evidence that </w:t>
      </w:r>
      <w:r w:rsidR="00972652">
        <w:rPr>
          <w:rFonts w:ascii="Times New Roman" w:hAnsi="Times New Roman" w:cs="Times New Roman"/>
        </w:rPr>
        <w:t>PPL</w:t>
      </w:r>
      <w:r w:rsidR="00791549">
        <w:rPr>
          <w:rFonts w:ascii="Times New Roman" w:hAnsi="Times New Roman" w:cs="Times New Roman"/>
        </w:rPr>
        <w:t xml:space="preserve"> failed to provide reasonable and adequate customer service when it </w:t>
      </w:r>
      <w:r w:rsidR="00CE22B3">
        <w:rPr>
          <w:rFonts w:ascii="Times New Roman" w:hAnsi="Times New Roman" w:cs="Times New Roman"/>
        </w:rPr>
        <w:t xml:space="preserve">mailed Notification letters to Complainant which indicated that his electricity usage was “close to” 50% or 80% of his </w:t>
      </w:r>
      <w:proofErr w:type="spellStart"/>
      <w:r w:rsidR="00CE22B3">
        <w:rPr>
          <w:rFonts w:ascii="Times New Roman" w:hAnsi="Times New Roman" w:cs="Times New Roman"/>
        </w:rPr>
        <w:t>OnTrack</w:t>
      </w:r>
      <w:proofErr w:type="spellEnd"/>
      <w:r w:rsidR="00CE22B3">
        <w:rPr>
          <w:rFonts w:ascii="Times New Roman" w:hAnsi="Times New Roman" w:cs="Times New Roman"/>
        </w:rPr>
        <w:t xml:space="preserve"> benefit allotment</w:t>
      </w:r>
      <w:r w:rsidR="00791549">
        <w:rPr>
          <w:rFonts w:ascii="Times New Roman" w:hAnsi="Times New Roman" w:cs="Times New Roman"/>
        </w:rPr>
        <w:t xml:space="preserve">.  Accordingly, </w:t>
      </w:r>
      <w:r w:rsidR="00972652">
        <w:t>the formal complaint will be denied in the Ordering Paragraphs that follow.</w:t>
      </w:r>
      <w:r w:rsidRPr="00CC4458">
        <w:rPr>
          <w:spacing w:val="-3"/>
        </w:rPr>
        <w:t xml:space="preserve">  </w:t>
      </w:r>
    </w:p>
    <w:p w:rsidR="006F49F1" w:rsidRDefault="006F49F1" w:rsidP="009C2F2A">
      <w:pPr>
        <w:spacing w:line="360" w:lineRule="auto"/>
        <w:jc w:val="center"/>
        <w:rPr>
          <w:u w:val="single"/>
        </w:rPr>
      </w:pPr>
    </w:p>
    <w:p w:rsidR="009C2F2A" w:rsidRPr="003A52EE" w:rsidRDefault="009C2F2A" w:rsidP="009C2F2A">
      <w:pPr>
        <w:spacing w:line="360" w:lineRule="auto"/>
        <w:jc w:val="center"/>
        <w:rPr>
          <w:u w:val="single"/>
        </w:rPr>
      </w:pPr>
      <w:r w:rsidRPr="003A52EE">
        <w:rPr>
          <w:u w:val="single"/>
        </w:rPr>
        <w:t>CONCLUSIONS OF LAW</w:t>
      </w:r>
    </w:p>
    <w:p w:rsidR="009C2F2A" w:rsidRPr="00EE0848" w:rsidRDefault="009C2F2A" w:rsidP="009C2F2A">
      <w:pPr>
        <w:spacing w:line="360" w:lineRule="auto"/>
        <w:jc w:val="center"/>
        <w:rPr>
          <w:b/>
          <w:u w:val="single"/>
        </w:rPr>
      </w:pPr>
    </w:p>
    <w:p w:rsidR="009C2F2A" w:rsidRPr="00DF2CC3" w:rsidRDefault="009C2F2A" w:rsidP="009C2F2A">
      <w:pPr>
        <w:pStyle w:val="ListParagraph"/>
        <w:numPr>
          <w:ilvl w:val="0"/>
          <w:numId w:val="5"/>
        </w:numPr>
        <w:ind w:left="0" w:firstLine="1440"/>
        <w:rPr>
          <w:sz w:val="24"/>
          <w:szCs w:val="24"/>
        </w:rPr>
      </w:pPr>
      <w:r w:rsidRPr="00DF2CC3">
        <w:rPr>
          <w:sz w:val="24"/>
          <w:szCs w:val="24"/>
        </w:rPr>
        <w:t>The Commission has jurisdiction over the parties and subject matter of this Formal Complaint.</w:t>
      </w:r>
      <w:r w:rsidRPr="00DF2CC3">
        <w:rPr>
          <w:b/>
          <w:sz w:val="24"/>
          <w:szCs w:val="24"/>
        </w:rPr>
        <w:t xml:space="preserve">  </w:t>
      </w:r>
      <w:proofErr w:type="gramStart"/>
      <w:r w:rsidRPr="00DF2CC3">
        <w:rPr>
          <w:sz w:val="24"/>
          <w:szCs w:val="24"/>
        </w:rPr>
        <w:t>66 </w:t>
      </w:r>
      <w:proofErr w:type="spellStart"/>
      <w:r w:rsidRPr="00DF2CC3">
        <w:rPr>
          <w:sz w:val="24"/>
          <w:szCs w:val="24"/>
        </w:rPr>
        <w:t>Pa.C.S.</w:t>
      </w:r>
      <w:r w:rsidR="00DC72E7" w:rsidRPr="00DF2CC3">
        <w:rPr>
          <w:sz w:val="24"/>
          <w:szCs w:val="24"/>
        </w:rPr>
        <w:t>A</w:t>
      </w:r>
      <w:proofErr w:type="spellEnd"/>
      <w:r w:rsidR="00DC72E7" w:rsidRPr="00DF2CC3">
        <w:rPr>
          <w:sz w:val="24"/>
          <w:szCs w:val="24"/>
        </w:rPr>
        <w:t>.</w:t>
      </w:r>
      <w:proofErr w:type="gramEnd"/>
      <w:r w:rsidRPr="00DF2CC3">
        <w:rPr>
          <w:sz w:val="24"/>
          <w:szCs w:val="24"/>
        </w:rPr>
        <w:t xml:space="preserve"> § 701</w:t>
      </w:r>
      <w:r w:rsidR="007B3220">
        <w:rPr>
          <w:sz w:val="24"/>
          <w:szCs w:val="24"/>
        </w:rPr>
        <w:t xml:space="preserve"> and</w:t>
      </w:r>
      <w:r w:rsidR="00CE22B3">
        <w:rPr>
          <w:sz w:val="24"/>
          <w:szCs w:val="24"/>
        </w:rPr>
        <w:t xml:space="preserve"> </w:t>
      </w:r>
      <w:r w:rsidR="00CE22B3" w:rsidRPr="007B3220">
        <w:rPr>
          <w:spacing w:val="-3"/>
          <w:sz w:val="24"/>
          <w:szCs w:val="24"/>
        </w:rPr>
        <w:t>§</w:t>
      </w:r>
      <w:r w:rsidR="00E62D04" w:rsidRPr="007B3220">
        <w:rPr>
          <w:spacing w:val="-3"/>
          <w:sz w:val="24"/>
          <w:szCs w:val="24"/>
        </w:rPr>
        <w:t> </w:t>
      </w:r>
      <w:r w:rsidR="00CE22B3" w:rsidRPr="007B3220">
        <w:rPr>
          <w:spacing w:val="-3"/>
          <w:sz w:val="24"/>
          <w:szCs w:val="24"/>
        </w:rPr>
        <w:t>1501</w:t>
      </w:r>
      <w:r w:rsidRPr="007B3220">
        <w:rPr>
          <w:sz w:val="24"/>
          <w:szCs w:val="24"/>
        </w:rPr>
        <w:t>.</w:t>
      </w:r>
    </w:p>
    <w:p w:rsidR="009C2F2A" w:rsidRPr="00DF2CC3" w:rsidRDefault="009C2F2A" w:rsidP="009C2F2A">
      <w:pPr>
        <w:pStyle w:val="ListParagraph"/>
        <w:ind w:left="1440"/>
        <w:rPr>
          <w:b/>
          <w:sz w:val="24"/>
          <w:szCs w:val="24"/>
        </w:rPr>
      </w:pPr>
      <w:r w:rsidRPr="00DF2CC3">
        <w:rPr>
          <w:b/>
          <w:sz w:val="24"/>
          <w:szCs w:val="24"/>
        </w:rPr>
        <w:t xml:space="preserve"> </w:t>
      </w:r>
    </w:p>
    <w:p w:rsidR="009C2F2A" w:rsidRPr="00DF2CC3" w:rsidRDefault="00DF2CC3" w:rsidP="009C2F2A">
      <w:pPr>
        <w:pStyle w:val="ListParagraph"/>
        <w:numPr>
          <w:ilvl w:val="0"/>
          <w:numId w:val="5"/>
        </w:numPr>
        <w:tabs>
          <w:tab w:val="left" w:pos="-1440"/>
          <w:tab w:val="left" w:pos="-720"/>
          <w:tab w:val="left" w:pos="1350"/>
        </w:tabs>
        <w:suppressAutoHyphens/>
        <w:ind w:left="0" w:firstLine="1440"/>
        <w:rPr>
          <w:sz w:val="24"/>
          <w:szCs w:val="24"/>
        </w:rPr>
      </w:pPr>
      <w:r w:rsidRPr="00DF2CC3">
        <w:rPr>
          <w:sz w:val="24"/>
          <w:szCs w:val="24"/>
        </w:rPr>
        <w:t xml:space="preserve">The burden of proof in this proceeding is on Complainant.  66 </w:t>
      </w:r>
      <w:proofErr w:type="spellStart"/>
      <w:r w:rsidRPr="00DF2CC3">
        <w:rPr>
          <w:sz w:val="24"/>
          <w:szCs w:val="24"/>
        </w:rPr>
        <w:t>Pa.C.S.A</w:t>
      </w:r>
      <w:proofErr w:type="spellEnd"/>
      <w:r w:rsidRPr="00DF2CC3">
        <w:rPr>
          <w:sz w:val="24"/>
          <w:szCs w:val="24"/>
        </w:rPr>
        <w:t xml:space="preserve"> § 332(a).</w:t>
      </w:r>
    </w:p>
    <w:p w:rsidR="00CB3C2B" w:rsidRPr="00DF2CC3" w:rsidRDefault="00CB3C2B" w:rsidP="00CB3C2B">
      <w:pPr>
        <w:tabs>
          <w:tab w:val="left" w:pos="-1440"/>
          <w:tab w:val="left" w:pos="-720"/>
          <w:tab w:val="left" w:pos="1350"/>
        </w:tabs>
        <w:suppressAutoHyphens/>
      </w:pPr>
    </w:p>
    <w:p w:rsidR="009C2F2A" w:rsidRPr="00DF2CC3" w:rsidRDefault="009C2F2A" w:rsidP="009C2F2A">
      <w:pPr>
        <w:spacing w:line="360" w:lineRule="auto"/>
        <w:ind w:firstLine="720"/>
      </w:pPr>
      <w:r w:rsidRPr="00DF2CC3">
        <w:tab/>
        <w:t>3.</w:t>
      </w:r>
      <w:r w:rsidRPr="00DF2CC3">
        <w:tab/>
      </w:r>
      <w:r w:rsidR="00DF2CC3" w:rsidRPr="00DF2CC3">
        <w:t>Complainant did not meet h</w:t>
      </w:r>
      <w:r w:rsidR="0009055C">
        <w:t>is</w:t>
      </w:r>
      <w:r w:rsidR="00DF2CC3" w:rsidRPr="00DF2CC3">
        <w:t xml:space="preserve"> burden of proof to show </w:t>
      </w:r>
      <w:r w:rsidR="00972652">
        <w:t xml:space="preserve">PPL failed to provide reasonable and adequate customer service when </w:t>
      </w:r>
      <w:r w:rsidR="00CE22B3">
        <w:t xml:space="preserve">it mailed Notification letters to Complainant which indicated that his electricity usage was “close to” 50% or 80% of his </w:t>
      </w:r>
      <w:proofErr w:type="spellStart"/>
      <w:r w:rsidR="00CE22B3">
        <w:lastRenderedPageBreak/>
        <w:t>OnTrack</w:t>
      </w:r>
      <w:proofErr w:type="spellEnd"/>
      <w:r w:rsidR="00CE22B3">
        <w:t xml:space="preserve"> benefit allotment</w:t>
      </w:r>
      <w:r w:rsidR="00DF2CC3" w:rsidRPr="00DF2CC3">
        <w:rPr>
          <w:spacing w:val="-3"/>
        </w:rPr>
        <w:t xml:space="preserve">.  </w:t>
      </w:r>
      <w:proofErr w:type="gramStart"/>
      <w:r w:rsidR="00DF2CC3" w:rsidRPr="00DF2CC3">
        <w:rPr>
          <w:spacing w:val="-3"/>
        </w:rPr>
        <w:t xml:space="preserve">66 </w:t>
      </w:r>
      <w:proofErr w:type="spellStart"/>
      <w:r w:rsidR="00DF2CC3" w:rsidRPr="00DF2CC3">
        <w:rPr>
          <w:spacing w:val="-3"/>
        </w:rPr>
        <w:t>Pa.C.S.A</w:t>
      </w:r>
      <w:proofErr w:type="spellEnd"/>
      <w:r w:rsidR="00DF2CC3" w:rsidRPr="00DF2CC3">
        <w:rPr>
          <w:spacing w:val="-3"/>
        </w:rPr>
        <w:t>.</w:t>
      </w:r>
      <w:proofErr w:type="gramEnd"/>
      <w:r w:rsidR="00DF2CC3" w:rsidRPr="00DF2CC3">
        <w:rPr>
          <w:spacing w:val="-3"/>
        </w:rPr>
        <w:t xml:space="preserve"> §</w:t>
      </w:r>
      <w:r w:rsidR="0009055C">
        <w:rPr>
          <w:spacing w:val="-3"/>
        </w:rPr>
        <w:t xml:space="preserve"> </w:t>
      </w:r>
      <w:r w:rsidR="00DF2CC3" w:rsidRPr="00DF2CC3">
        <w:rPr>
          <w:spacing w:val="-3"/>
        </w:rPr>
        <w:t>332(a)</w:t>
      </w:r>
      <w:r w:rsidR="00CE22B3">
        <w:rPr>
          <w:spacing w:val="-3"/>
        </w:rPr>
        <w:t xml:space="preserve"> and </w:t>
      </w:r>
      <w:r w:rsidR="00CE22B3" w:rsidRPr="00DF2CC3">
        <w:t xml:space="preserve">66 </w:t>
      </w:r>
      <w:proofErr w:type="spellStart"/>
      <w:r w:rsidR="00CE22B3" w:rsidRPr="00DF2CC3">
        <w:t>Pa.C.S.A</w:t>
      </w:r>
      <w:proofErr w:type="spellEnd"/>
      <w:r w:rsidR="00CE22B3" w:rsidRPr="00DF2CC3">
        <w:t xml:space="preserve">. </w:t>
      </w:r>
      <w:r w:rsidR="00CE22B3">
        <w:rPr>
          <w:spacing w:val="-3"/>
        </w:rPr>
        <w:t>§ 1501</w:t>
      </w:r>
      <w:r w:rsidR="00DF2CC3" w:rsidRPr="00DF2CC3">
        <w:rPr>
          <w:spacing w:val="-3"/>
        </w:rPr>
        <w:t xml:space="preserve">; </w:t>
      </w:r>
      <w:r w:rsidR="00DF2CC3" w:rsidRPr="00DF2CC3">
        <w:rPr>
          <w:spacing w:val="-3"/>
          <w:u w:val="single"/>
        </w:rPr>
        <w:t>Patterson v. Bell Telephone Company of Pennsylvania</w:t>
      </w:r>
      <w:r w:rsidR="00DF2CC3" w:rsidRPr="00DF2CC3">
        <w:rPr>
          <w:spacing w:val="-3"/>
        </w:rPr>
        <w:t xml:space="preserve">, 72 Pa. PUC 196 (1990); </w:t>
      </w:r>
      <w:r w:rsidR="00DF2CC3" w:rsidRPr="00DF2CC3">
        <w:rPr>
          <w:spacing w:val="-3"/>
          <w:u w:val="single"/>
        </w:rPr>
        <w:t>Feinstein v. Philadelphia Suburban Water Company</w:t>
      </w:r>
      <w:r w:rsidR="00DF2CC3" w:rsidRPr="00DF2CC3">
        <w:rPr>
          <w:spacing w:val="-3"/>
        </w:rPr>
        <w:t xml:space="preserve">, 50 Pa. PUC 300 (1976). </w:t>
      </w:r>
    </w:p>
    <w:p w:rsidR="009C2F2A" w:rsidRDefault="009C2F2A" w:rsidP="009C2F2A">
      <w:pPr>
        <w:spacing w:line="360" w:lineRule="auto"/>
      </w:pPr>
    </w:p>
    <w:p w:rsidR="009C2F2A" w:rsidRPr="00A00D08" w:rsidRDefault="009C2F2A" w:rsidP="009C2F2A">
      <w:pPr>
        <w:pStyle w:val="BodyText"/>
        <w:spacing w:after="0" w:line="360" w:lineRule="auto"/>
        <w:jc w:val="center"/>
        <w:rPr>
          <w:sz w:val="24"/>
          <w:szCs w:val="24"/>
          <w:u w:val="single"/>
        </w:rPr>
      </w:pPr>
      <w:r w:rsidRPr="00A00D08">
        <w:rPr>
          <w:sz w:val="24"/>
          <w:szCs w:val="24"/>
          <w:u w:val="single"/>
        </w:rPr>
        <w:t>ORDER</w:t>
      </w:r>
    </w:p>
    <w:p w:rsidR="009C2F2A" w:rsidRPr="00A00D08" w:rsidRDefault="009C2F2A" w:rsidP="009C2F2A">
      <w:pPr>
        <w:pStyle w:val="BodyText"/>
        <w:spacing w:after="0" w:line="360" w:lineRule="auto"/>
        <w:rPr>
          <w:sz w:val="24"/>
          <w:szCs w:val="24"/>
        </w:rPr>
      </w:pPr>
    </w:p>
    <w:p w:rsidR="009C2F2A" w:rsidRPr="00A00D08" w:rsidRDefault="009C2F2A" w:rsidP="009C2F2A">
      <w:pPr>
        <w:pStyle w:val="BodyText"/>
        <w:spacing w:after="0" w:line="360" w:lineRule="auto"/>
        <w:rPr>
          <w:sz w:val="24"/>
          <w:szCs w:val="24"/>
        </w:rPr>
      </w:pPr>
    </w:p>
    <w:p w:rsidR="009C2F2A" w:rsidRPr="00A00D08" w:rsidRDefault="009C2F2A" w:rsidP="009C2F2A">
      <w:pPr>
        <w:pStyle w:val="BodyText"/>
        <w:spacing w:after="0" w:line="360" w:lineRule="auto"/>
        <w:rPr>
          <w:sz w:val="24"/>
          <w:szCs w:val="24"/>
        </w:rPr>
      </w:pPr>
      <w:r w:rsidRPr="00A00D08">
        <w:rPr>
          <w:sz w:val="24"/>
          <w:szCs w:val="24"/>
        </w:rPr>
        <w:tab/>
      </w:r>
      <w:r w:rsidRPr="00A00D08">
        <w:rPr>
          <w:sz w:val="24"/>
          <w:szCs w:val="24"/>
        </w:rPr>
        <w:tab/>
        <w:t>THEREFORE,</w:t>
      </w:r>
    </w:p>
    <w:p w:rsidR="009C2F2A" w:rsidRPr="00A00D08" w:rsidRDefault="009C2F2A" w:rsidP="009C2F2A">
      <w:pPr>
        <w:pStyle w:val="BodyText"/>
        <w:spacing w:after="0" w:line="360" w:lineRule="auto"/>
        <w:rPr>
          <w:sz w:val="24"/>
          <w:szCs w:val="24"/>
        </w:rPr>
      </w:pPr>
    </w:p>
    <w:p w:rsidR="009C2F2A" w:rsidRPr="00A00D08" w:rsidRDefault="009C2F2A" w:rsidP="009C2F2A">
      <w:pPr>
        <w:pStyle w:val="BodyText"/>
        <w:spacing w:after="0" w:line="360" w:lineRule="auto"/>
        <w:rPr>
          <w:sz w:val="24"/>
          <w:szCs w:val="24"/>
        </w:rPr>
      </w:pPr>
      <w:r w:rsidRPr="00A00D08">
        <w:rPr>
          <w:sz w:val="24"/>
          <w:szCs w:val="24"/>
        </w:rPr>
        <w:tab/>
      </w:r>
      <w:r w:rsidRPr="00A00D08">
        <w:rPr>
          <w:sz w:val="24"/>
          <w:szCs w:val="24"/>
        </w:rPr>
        <w:tab/>
        <w:t>IT IS ORDERED:</w:t>
      </w:r>
    </w:p>
    <w:p w:rsidR="009C2F2A" w:rsidRPr="00A00D08" w:rsidRDefault="009C2F2A" w:rsidP="009C2F2A">
      <w:pPr>
        <w:pStyle w:val="BodyText"/>
        <w:spacing w:after="0" w:line="360" w:lineRule="auto"/>
        <w:rPr>
          <w:sz w:val="24"/>
          <w:szCs w:val="24"/>
        </w:rPr>
      </w:pPr>
    </w:p>
    <w:p w:rsidR="009C2F2A" w:rsidRPr="00CC4458" w:rsidRDefault="009C2F2A" w:rsidP="009C2F2A">
      <w:pPr>
        <w:pStyle w:val="BodyText"/>
        <w:numPr>
          <w:ilvl w:val="0"/>
          <w:numId w:val="6"/>
        </w:numPr>
        <w:tabs>
          <w:tab w:val="clear" w:pos="360"/>
        </w:tabs>
        <w:spacing w:after="0" w:line="360" w:lineRule="auto"/>
        <w:ind w:left="0" w:firstLine="1440"/>
        <w:rPr>
          <w:sz w:val="24"/>
          <w:szCs w:val="24"/>
        </w:rPr>
      </w:pPr>
      <w:r w:rsidRPr="00CC4458">
        <w:rPr>
          <w:sz w:val="24"/>
          <w:szCs w:val="24"/>
        </w:rPr>
        <w:t xml:space="preserve">That the complaint of </w:t>
      </w:r>
      <w:r w:rsidR="00972652">
        <w:rPr>
          <w:sz w:val="24"/>
          <w:szCs w:val="24"/>
        </w:rPr>
        <w:t>Michael Scotto</w:t>
      </w:r>
      <w:r w:rsidRPr="00CC4458">
        <w:rPr>
          <w:sz w:val="24"/>
          <w:szCs w:val="24"/>
        </w:rPr>
        <w:t xml:space="preserve"> against</w:t>
      </w:r>
      <w:r>
        <w:rPr>
          <w:sz w:val="24"/>
          <w:szCs w:val="24"/>
        </w:rPr>
        <w:t xml:space="preserve"> </w:t>
      </w:r>
      <w:r w:rsidR="00972652">
        <w:rPr>
          <w:sz w:val="24"/>
          <w:szCs w:val="24"/>
        </w:rPr>
        <w:t>PPL Electric Utilities Corporation</w:t>
      </w:r>
      <w:r w:rsidRPr="00CC4458">
        <w:rPr>
          <w:sz w:val="24"/>
          <w:szCs w:val="24"/>
        </w:rPr>
        <w:t xml:space="preserve"> at Docket No. </w:t>
      </w:r>
      <w:r w:rsidR="00972652">
        <w:rPr>
          <w:sz w:val="24"/>
          <w:szCs w:val="24"/>
        </w:rPr>
        <w:t>C-2015-2514519 is denied</w:t>
      </w:r>
      <w:r w:rsidRPr="00CC4458">
        <w:rPr>
          <w:sz w:val="24"/>
          <w:szCs w:val="24"/>
        </w:rPr>
        <w:t>.</w:t>
      </w:r>
    </w:p>
    <w:p w:rsidR="009C2F2A" w:rsidRPr="00CC4458" w:rsidRDefault="009C2F2A" w:rsidP="009C2F2A">
      <w:pPr>
        <w:pStyle w:val="BodyText"/>
        <w:spacing w:after="0" w:line="360" w:lineRule="auto"/>
        <w:rPr>
          <w:sz w:val="24"/>
          <w:szCs w:val="24"/>
        </w:rPr>
      </w:pPr>
    </w:p>
    <w:p w:rsidR="009C2F2A" w:rsidRDefault="009C2F2A" w:rsidP="009C2F2A">
      <w:pPr>
        <w:pStyle w:val="BodyText"/>
        <w:spacing w:after="0" w:line="360" w:lineRule="auto"/>
        <w:rPr>
          <w:sz w:val="24"/>
          <w:szCs w:val="24"/>
        </w:rPr>
      </w:pPr>
      <w:r w:rsidRPr="00CC4458">
        <w:rPr>
          <w:sz w:val="24"/>
          <w:szCs w:val="24"/>
        </w:rPr>
        <w:tab/>
      </w:r>
      <w:r w:rsidRPr="00CC4458">
        <w:rPr>
          <w:sz w:val="24"/>
          <w:szCs w:val="24"/>
        </w:rPr>
        <w:tab/>
        <w:t>2.</w:t>
      </w:r>
      <w:r w:rsidRPr="00CC4458">
        <w:rPr>
          <w:sz w:val="24"/>
          <w:szCs w:val="24"/>
        </w:rPr>
        <w:tab/>
      </w:r>
      <w:r>
        <w:rPr>
          <w:sz w:val="24"/>
          <w:szCs w:val="24"/>
        </w:rPr>
        <w:t xml:space="preserve">That the complaint of </w:t>
      </w:r>
      <w:r w:rsidR="00972652">
        <w:rPr>
          <w:sz w:val="24"/>
          <w:szCs w:val="24"/>
        </w:rPr>
        <w:t>Michael Scotto</w:t>
      </w:r>
      <w:r w:rsidR="00972652" w:rsidRPr="00CC4458">
        <w:rPr>
          <w:sz w:val="24"/>
          <w:szCs w:val="24"/>
        </w:rPr>
        <w:t xml:space="preserve"> against</w:t>
      </w:r>
      <w:r w:rsidR="00972652">
        <w:rPr>
          <w:sz w:val="24"/>
          <w:szCs w:val="24"/>
        </w:rPr>
        <w:t xml:space="preserve"> PPL Electric Utilities Corporation</w:t>
      </w:r>
      <w:r w:rsidR="00972652" w:rsidRPr="00CC4458">
        <w:rPr>
          <w:sz w:val="24"/>
          <w:szCs w:val="24"/>
        </w:rPr>
        <w:t xml:space="preserve"> at Docket No. </w:t>
      </w:r>
      <w:r w:rsidR="00972652">
        <w:rPr>
          <w:sz w:val="24"/>
          <w:szCs w:val="24"/>
        </w:rPr>
        <w:t>C-2015-2514519</w:t>
      </w:r>
      <w:r>
        <w:rPr>
          <w:sz w:val="24"/>
          <w:szCs w:val="24"/>
        </w:rPr>
        <w:t xml:space="preserve"> is </w:t>
      </w:r>
      <w:r w:rsidR="00257206">
        <w:rPr>
          <w:sz w:val="24"/>
          <w:szCs w:val="24"/>
        </w:rPr>
        <w:t>closed</w:t>
      </w:r>
      <w:r>
        <w:rPr>
          <w:sz w:val="24"/>
          <w:szCs w:val="24"/>
        </w:rPr>
        <w:t>.</w:t>
      </w:r>
    </w:p>
    <w:p w:rsidR="009C2F2A" w:rsidRDefault="009C2F2A" w:rsidP="009C2F2A">
      <w:pPr>
        <w:pStyle w:val="BodyText"/>
        <w:spacing w:after="0" w:line="360" w:lineRule="auto"/>
        <w:rPr>
          <w:sz w:val="24"/>
          <w:szCs w:val="24"/>
        </w:rPr>
      </w:pPr>
    </w:p>
    <w:p w:rsidR="008C62D6" w:rsidRDefault="008C62D6" w:rsidP="008C62D6"/>
    <w:p w:rsidR="00972652" w:rsidRPr="0044591D" w:rsidRDefault="00972652" w:rsidP="008C62D6"/>
    <w:p w:rsidR="008C62D6" w:rsidRPr="0044591D" w:rsidRDefault="008C62D6" w:rsidP="008C62D6"/>
    <w:p w:rsidR="008C62D6" w:rsidRPr="0044591D" w:rsidRDefault="008C62D6" w:rsidP="008C62D6">
      <w:r w:rsidRPr="0044591D">
        <w:t xml:space="preserve">Date:  </w:t>
      </w:r>
      <w:r w:rsidR="009100DE">
        <w:rPr>
          <w:u w:val="single"/>
        </w:rPr>
        <w:t>July 2</w:t>
      </w:r>
      <w:r w:rsidR="00306C3A">
        <w:rPr>
          <w:u w:val="single"/>
        </w:rPr>
        <w:t>5</w:t>
      </w:r>
      <w:r w:rsidR="00CB3C2B">
        <w:rPr>
          <w:u w:val="single"/>
        </w:rPr>
        <w:t>, 2016</w:t>
      </w:r>
      <w:r w:rsidRPr="0044591D">
        <w:tab/>
      </w:r>
      <w:r w:rsidRPr="0044591D">
        <w:tab/>
      </w:r>
      <w:r w:rsidRPr="0044591D">
        <w:tab/>
      </w:r>
      <w:r w:rsidRPr="0044591D">
        <w:tab/>
      </w:r>
      <w:r w:rsidRPr="0044591D">
        <w:tab/>
      </w:r>
      <w:r w:rsidRPr="0044591D">
        <w:rPr>
          <w:u w:val="single"/>
        </w:rPr>
        <w:tab/>
      </w:r>
      <w:r w:rsidRPr="0044591D">
        <w:rPr>
          <w:u w:val="single"/>
        </w:rPr>
        <w:tab/>
        <w:t>/s/</w:t>
      </w:r>
      <w:r w:rsidRPr="0044591D">
        <w:rPr>
          <w:u w:val="single"/>
        </w:rPr>
        <w:tab/>
      </w:r>
      <w:r w:rsidRPr="0044591D">
        <w:rPr>
          <w:u w:val="single"/>
        </w:rPr>
        <w:tab/>
      </w:r>
      <w:r w:rsidRPr="0044591D">
        <w:rPr>
          <w:u w:val="single"/>
        </w:rPr>
        <w:tab/>
      </w:r>
      <w:r w:rsidR="008B0C47" w:rsidRPr="0044591D">
        <w:rPr>
          <w:u w:val="single"/>
        </w:rPr>
        <w:tab/>
      </w:r>
    </w:p>
    <w:p w:rsidR="008C62D6" w:rsidRPr="0044591D" w:rsidRDefault="008C62D6" w:rsidP="008C62D6">
      <w:pPr>
        <w:rPr>
          <w:u w:val="single"/>
        </w:rPr>
      </w:pPr>
      <w:r w:rsidRPr="0044591D">
        <w:tab/>
      </w:r>
      <w:r w:rsidRPr="0044591D">
        <w:tab/>
      </w:r>
      <w:r w:rsidRPr="0044591D">
        <w:tab/>
      </w:r>
      <w:r w:rsidRPr="0044591D">
        <w:tab/>
      </w:r>
      <w:r w:rsidRPr="0044591D">
        <w:tab/>
      </w:r>
      <w:r w:rsidRPr="0044591D">
        <w:tab/>
      </w:r>
      <w:r w:rsidRPr="0044591D">
        <w:tab/>
        <w:t>Katrina L. Dunderdale</w:t>
      </w:r>
    </w:p>
    <w:p w:rsidR="009857C2" w:rsidRDefault="008C62D6">
      <w:r w:rsidRPr="00ED1D67">
        <w:tab/>
      </w:r>
      <w:r w:rsidRPr="00ED1D67">
        <w:tab/>
      </w:r>
      <w:r w:rsidRPr="00B73D10">
        <w:tab/>
      </w:r>
      <w:r w:rsidRPr="00B73D10">
        <w:tab/>
      </w:r>
      <w:r w:rsidRPr="00B73D10">
        <w:tab/>
      </w:r>
      <w:r w:rsidRPr="00B73D10">
        <w:tab/>
      </w:r>
      <w:r w:rsidRPr="00B73D10">
        <w:tab/>
        <w:t>Administrative Law Judge</w:t>
      </w:r>
    </w:p>
    <w:sectPr w:rsidR="009857C2" w:rsidSect="00C9062E">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672" w:rsidRDefault="00F25672" w:rsidP="008C62D6">
      <w:r>
        <w:separator/>
      </w:r>
    </w:p>
  </w:endnote>
  <w:endnote w:type="continuationSeparator" w:id="0">
    <w:p w:rsidR="00F25672" w:rsidRDefault="00F25672" w:rsidP="008C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008749"/>
      <w:docPartObj>
        <w:docPartGallery w:val="Page Numbers (Bottom of Page)"/>
        <w:docPartUnique/>
      </w:docPartObj>
    </w:sdtPr>
    <w:sdtEndPr>
      <w:rPr>
        <w:noProof/>
        <w:sz w:val="20"/>
        <w:szCs w:val="20"/>
      </w:rPr>
    </w:sdtEndPr>
    <w:sdtContent>
      <w:p w:rsidR="00C9062E" w:rsidRPr="007254B8" w:rsidRDefault="00C9062E">
        <w:pPr>
          <w:pStyle w:val="Footer"/>
          <w:jc w:val="center"/>
          <w:rPr>
            <w:sz w:val="20"/>
            <w:szCs w:val="20"/>
          </w:rPr>
        </w:pPr>
        <w:r w:rsidRPr="007254B8">
          <w:rPr>
            <w:sz w:val="20"/>
            <w:szCs w:val="20"/>
          </w:rPr>
          <w:fldChar w:fldCharType="begin"/>
        </w:r>
        <w:r w:rsidRPr="007254B8">
          <w:rPr>
            <w:sz w:val="20"/>
            <w:szCs w:val="20"/>
          </w:rPr>
          <w:instrText xml:space="preserve"> PAGE   \* MERGEFORMAT </w:instrText>
        </w:r>
        <w:r w:rsidRPr="007254B8">
          <w:rPr>
            <w:sz w:val="20"/>
            <w:szCs w:val="20"/>
          </w:rPr>
          <w:fldChar w:fldCharType="separate"/>
        </w:r>
        <w:r w:rsidR="0075172D">
          <w:rPr>
            <w:noProof/>
            <w:sz w:val="20"/>
            <w:szCs w:val="20"/>
          </w:rPr>
          <w:t>9</w:t>
        </w:r>
        <w:r w:rsidRPr="007254B8">
          <w:rPr>
            <w:noProof/>
            <w:sz w:val="20"/>
            <w:szCs w:val="20"/>
          </w:rPr>
          <w:fldChar w:fldCharType="end"/>
        </w:r>
      </w:p>
    </w:sdtContent>
  </w:sdt>
  <w:p w:rsidR="00C11B4C" w:rsidRDefault="00C11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B4C" w:rsidRDefault="00C11B4C">
    <w:pPr>
      <w:pStyle w:val="Footer"/>
      <w:jc w:val="center"/>
    </w:pPr>
  </w:p>
  <w:p w:rsidR="00C11B4C" w:rsidRDefault="00C11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672" w:rsidRDefault="00F25672" w:rsidP="008C62D6">
      <w:r>
        <w:separator/>
      </w:r>
    </w:p>
  </w:footnote>
  <w:footnote w:type="continuationSeparator" w:id="0">
    <w:p w:rsidR="00F25672" w:rsidRDefault="00F25672" w:rsidP="008C62D6">
      <w:r>
        <w:continuationSeparator/>
      </w:r>
    </w:p>
  </w:footnote>
  <w:footnote w:id="1">
    <w:p w:rsidR="00F4031D" w:rsidRDefault="00F4031D">
      <w:pPr>
        <w:pStyle w:val="FootnoteText"/>
      </w:pPr>
      <w:r>
        <w:rPr>
          <w:rStyle w:val="FootnoteReference"/>
        </w:rPr>
        <w:footnoteRef/>
      </w:r>
      <w:r>
        <w:t xml:space="preserve"> </w:t>
      </w:r>
      <w:r>
        <w:tab/>
        <w:t xml:space="preserve">Prior to the start of the initial hearing, the parties agreed the issues stated in Complainant’s formal complaint were all resolved except whether PPL failed to provide reasonable and adequate customer service when notifying Complainant as an </w:t>
      </w:r>
      <w:proofErr w:type="spellStart"/>
      <w:r>
        <w:t>OnTrack</w:t>
      </w:r>
      <w:proofErr w:type="spellEnd"/>
      <w:r>
        <w:t xml:space="preserve"> customer about benefit limits and available benefits.  (See Tr. 6, 10).</w:t>
      </w:r>
    </w:p>
  </w:footnote>
  <w:footnote w:id="2">
    <w:p w:rsidR="00747C82" w:rsidRDefault="00747C82">
      <w:pPr>
        <w:pStyle w:val="FootnoteText"/>
      </w:pPr>
      <w:r>
        <w:rPr>
          <w:rStyle w:val="FootnoteReference"/>
        </w:rPr>
        <w:footnoteRef/>
      </w:r>
      <w:r>
        <w:t xml:space="preserve"> </w:t>
      </w:r>
      <w:r>
        <w:tab/>
      </w:r>
      <w:proofErr w:type="gramStart"/>
      <w:r>
        <w:t xml:space="preserve">66 </w:t>
      </w:r>
      <w:proofErr w:type="spellStart"/>
      <w:r>
        <w:t>Pa.</w:t>
      </w:r>
      <w:r w:rsidRPr="00BF2531">
        <w:rPr>
          <w:szCs w:val="24"/>
        </w:rPr>
        <w:t>C.S.</w:t>
      </w:r>
      <w:r>
        <w:t>A</w:t>
      </w:r>
      <w:proofErr w:type="spellEnd"/>
      <w:r>
        <w:t>.</w:t>
      </w:r>
      <w:proofErr w:type="gramEnd"/>
      <w:r w:rsidRPr="00BF2531">
        <w:rPr>
          <w:szCs w:val="24"/>
        </w:rPr>
        <w:t xml:space="preserve"> §</w:t>
      </w:r>
      <w:r>
        <w:t xml:space="preserve"> </w:t>
      </w:r>
      <w:r w:rsidRPr="00BF2531">
        <w:rPr>
          <w:szCs w:val="24"/>
        </w:rPr>
        <w:t xml:space="preserve">332(a).  </w:t>
      </w:r>
    </w:p>
  </w:footnote>
  <w:footnote w:id="3">
    <w:p w:rsidR="001847E4" w:rsidRDefault="001847E4">
      <w:pPr>
        <w:pStyle w:val="FootnoteText"/>
      </w:pPr>
    </w:p>
    <w:p w:rsidR="00747C82" w:rsidRPr="0089770C" w:rsidRDefault="00747C82">
      <w:pPr>
        <w:pStyle w:val="FootnoteText"/>
      </w:pPr>
      <w:r>
        <w:rPr>
          <w:rStyle w:val="FootnoteReference"/>
        </w:rPr>
        <w:footnoteRef/>
      </w:r>
      <w:r>
        <w:t xml:space="preserve"> </w:t>
      </w:r>
      <w:r>
        <w:tab/>
      </w:r>
      <w:proofErr w:type="gramStart"/>
      <w:r w:rsidRPr="0089770C">
        <w:t xml:space="preserve">66 </w:t>
      </w:r>
      <w:proofErr w:type="spellStart"/>
      <w:r w:rsidRPr="0089770C">
        <w:t>Pa.C.S.A</w:t>
      </w:r>
      <w:proofErr w:type="spellEnd"/>
      <w:r w:rsidRPr="0089770C">
        <w:t>.</w:t>
      </w:r>
      <w:proofErr w:type="gramEnd"/>
      <w:r w:rsidRPr="0089770C">
        <w:t xml:space="preserve"> §</w:t>
      </w:r>
      <w:r w:rsidR="00753746">
        <w:t xml:space="preserve"> </w:t>
      </w:r>
      <w:r w:rsidRPr="0089770C">
        <w:t xml:space="preserve">701; </w:t>
      </w:r>
      <w:r w:rsidRPr="0089770C">
        <w:rPr>
          <w:u w:val="single"/>
        </w:rPr>
        <w:t>Patterson v. Bell Telephone Company of Pennsylvania</w:t>
      </w:r>
      <w:r w:rsidRPr="0089770C">
        <w:t xml:space="preserve">, 72 Pa. PUC 196 (1990).  </w:t>
      </w:r>
    </w:p>
  </w:footnote>
  <w:footnote w:id="4">
    <w:p w:rsidR="0089770C" w:rsidRPr="0089770C" w:rsidRDefault="0089770C">
      <w:pPr>
        <w:pStyle w:val="FootnoteText"/>
      </w:pPr>
    </w:p>
    <w:p w:rsidR="0089770C" w:rsidRPr="0089770C" w:rsidRDefault="0089770C">
      <w:pPr>
        <w:pStyle w:val="FootnoteText"/>
      </w:pPr>
      <w:r w:rsidRPr="0089770C">
        <w:rPr>
          <w:rStyle w:val="FootnoteReference"/>
        </w:rPr>
        <w:footnoteRef/>
      </w:r>
      <w:r w:rsidRPr="0089770C">
        <w:t xml:space="preserve"> </w:t>
      </w:r>
      <w:r w:rsidRPr="0089770C">
        <w:tab/>
      </w:r>
      <w:proofErr w:type="gramStart"/>
      <w:r w:rsidRPr="0089770C">
        <w:rPr>
          <w:u w:val="single"/>
        </w:rPr>
        <w:t xml:space="preserve">Samuel J. </w:t>
      </w:r>
      <w:proofErr w:type="spellStart"/>
      <w:r w:rsidRPr="0089770C">
        <w:rPr>
          <w:u w:val="single"/>
        </w:rPr>
        <w:t>Lansberry</w:t>
      </w:r>
      <w:proofErr w:type="spellEnd"/>
      <w:r w:rsidRPr="0089770C">
        <w:rPr>
          <w:u w:val="single"/>
        </w:rPr>
        <w:t>, Inc. v. Pa. Pub.</w:t>
      </w:r>
      <w:proofErr w:type="gramEnd"/>
      <w:r w:rsidR="00753746">
        <w:rPr>
          <w:u w:val="single"/>
        </w:rPr>
        <w:t xml:space="preserve"> </w:t>
      </w:r>
      <w:r w:rsidRPr="0089770C">
        <w:rPr>
          <w:u w:val="single"/>
        </w:rPr>
        <w:t>Util.</w:t>
      </w:r>
      <w:r w:rsidR="00753746">
        <w:rPr>
          <w:u w:val="single"/>
        </w:rPr>
        <w:t xml:space="preserve"> </w:t>
      </w:r>
      <w:proofErr w:type="spellStart"/>
      <w:r w:rsidRPr="0089770C">
        <w:rPr>
          <w:u w:val="single"/>
        </w:rPr>
        <w:t>Comm’n</w:t>
      </w:r>
      <w:proofErr w:type="spellEnd"/>
      <w:r w:rsidRPr="0089770C">
        <w:t>,</w:t>
      </w:r>
      <w:r w:rsidRPr="0089770C">
        <w:rPr>
          <w:i/>
        </w:rPr>
        <w:t xml:space="preserve"> </w:t>
      </w:r>
      <w:r w:rsidRPr="0089770C">
        <w:t xml:space="preserve">578 A.2d 600, 602, </w:t>
      </w:r>
      <w:proofErr w:type="spellStart"/>
      <w:r w:rsidRPr="0089770C">
        <w:rPr>
          <w:i/>
        </w:rPr>
        <w:t>alloc</w:t>
      </w:r>
      <w:proofErr w:type="spellEnd"/>
      <w:r w:rsidRPr="0089770C">
        <w:rPr>
          <w:i/>
        </w:rPr>
        <w:t>. den</w:t>
      </w:r>
      <w:r w:rsidRPr="0089770C">
        <w:t>., 602 A.2d 863 (</w:t>
      </w:r>
      <w:proofErr w:type="spellStart"/>
      <w:r w:rsidR="00E434D4">
        <w:t>Pa.Cmwlth</w:t>
      </w:r>
      <w:proofErr w:type="spellEnd"/>
      <w:r w:rsidR="00E434D4">
        <w:t>.</w:t>
      </w:r>
      <w:r w:rsidR="00321FCC">
        <w:t xml:space="preserve"> </w:t>
      </w:r>
      <w:r w:rsidRPr="0089770C">
        <w:t xml:space="preserve">1992).  </w:t>
      </w:r>
    </w:p>
    <w:p w:rsidR="0089770C" w:rsidRPr="0089770C" w:rsidRDefault="0089770C">
      <w:pPr>
        <w:pStyle w:val="FootnoteText"/>
      </w:pPr>
    </w:p>
  </w:footnote>
  <w:footnote w:id="5">
    <w:p w:rsidR="0089770C" w:rsidRPr="0089770C" w:rsidRDefault="0089770C" w:rsidP="0089770C">
      <w:pPr>
        <w:suppressAutoHyphens/>
        <w:spacing w:line="360" w:lineRule="auto"/>
        <w:rPr>
          <w:spacing w:val="-3"/>
          <w:sz w:val="20"/>
          <w:szCs w:val="20"/>
          <w:u w:val="single"/>
        </w:rPr>
      </w:pPr>
      <w:r w:rsidRPr="0089770C">
        <w:rPr>
          <w:rStyle w:val="FootnoteReference"/>
          <w:sz w:val="20"/>
          <w:szCs w:val="20"/>
        </w:rPr>
        <w:footnoteRef/>
      </w:r>
      <w:r w:rsidRPr="0089770C">
        <w:rPr>
          <w:sz w:val="20"/>
          <w:szCs w:val="20"/>
        </w:rPr>
        <w:t xml:space="preserve"> </w:t>
      </w:r>
      <w:r w:rsidRPr="0089770C">
        <w:rPr>
          <w:sz w:val="20"/>
          <w:szCs w:val="20"/>
        </w:rPr>
        <w:tab/>
      </w:r>
      <w:proofErr w:type="gramStart"/>
      <w:r w:rsidRPr="0089770C">
        <w:rPr>
          <w:sz w:val="20"/>
          <w:szCs w:val="20"/>
          <w:u w:val="single"/>
        </w:rPr>
        <w:t>Norfolk and Western Railway v. Pa. Pub.</w:t>
      </w:r>
      <w:proofErr w:type="gramEnd"/>
      <w:r w:rsidR="00753746">
        <w:rPr>
          <w:sz w:val="20"/>
          <w:szCs w:val="20"/>
          <w:u w:val="single"/>
        </w:rPr>
        <w:t xml:space="preserve"> </w:t>
      </w:r>
      <w:proofErr w:type="gramStart"/>
      <w:r w:rsidRPr="0089770C">
        <w:rPr>
          <w:sz w:val="20"/>
          <w:szCs w:val="20"/>
          <w:u w:val="single"/>
        </w:rPr>
        <w:t>Util.</w:t>
      </w:r>
      <w:r w:rsidR="00753746">
        <w:rPr>
          <w:sz w:val="20"/>
          <w:szCs w:val="20"/>
          <w:u w:val="single"/>
        </w:rPr>
        <w:t xml:space="preserve"> </w:t>
      </w:r>
      <w:proofErr w:type="spellStart"/>
      <w:r w:rsidRPr="0089770C">
        <w:rPr>
          <w:sz w:val="20"/>
          <w:szCs w:val="20"/>
          <w:u w:val="single"/>
        </w:rPr>
        <w:t>Comm’n</w:t>
      </w:r>
      <w:proofErr w:type="spellEnd"/>
      <w:r w:rsidRPr="0089770C">
        <w:rPr>
          <w:sz w:val="20"/>
          <w:szCs w:val="20"/>
        </w:rPr>
        <w:t>, 489 Pa. 109, 413 A.2d 1037 (1980).</w:t>
      </w:r>
      <w:proofErr w:type="gramEnd"/>
    </w:p>
    <w:p w:rsidR="0089770C" w:rsidRPr="0089770C" w:rsidRDefault="0089770C">
      <w:pPr>
        <w:pStyle w:val="FootnoteText"/>
      </w:pPr>
    </w:p>
  </w:footnote>
  <w:footnote w:id="6">
    <w:p w:rsidR="0089770C" w:rsidRDefault="0089770C">
      <w:pPr>
        <w:pStyle w:val="FootnoteText"/>
        <w:rPr>
          <w:iCs/>
        </w:rPr>
      </w:pPr>
      <w:r w:rsidRPr="0089770C">
        <w:rPr>
          <w:rStyle w:val="FootnoteReference"/>
        </w:rPr>
        <w:footnoteRef/>
      </w:r>
      <w:r w:rsidRPr="0089770C">
        <w:t xml:space="preserve"> </w:t>
      </w:r>
      <w:r w:rsidRPr="0089770C">
        <w:tab/>
      </w:r>
      <w:r w:rsidRPr="0089770C">
        <w:rPr>
          <w:iCs/>
          <w:u w:val="single"/>
        </w:rPr>
        <w:t>Hallman v</w:t>
      </w:r>
      <w:r w:rsidR="00753746">
        <w:rPr>
          <w:iCs/>
          <w:u w:val="single"/>
        </w:rPr>
        <w:t>.</w:t>
      </w:r>
      <w:r w:rsidRPr="0089770C">
        <w:rPr>
          <w:iCs/>
          <w:u w:val="single"/>
        </w:rPr>
        <w:t xml:space="preserve"> PECO Energy Company</w:t>
      </w:r>
      <w:r w:rsidRPr="0089770C">
        <w:rPr>
          <w:iCs/>
        </w:rPr>
        <w:t>,</w:t>
      </w:r>
      <w:r w:rsidR="006834FA">
        <w:rPr>
          <w:iCs/>
        </w:rPr>
        <w:t xml:space="preserve"> Docket No.</w:t>
      </w:r>
      <w:r w:rsidRPr="0089770C">
        <w:rPr>
          <w:iCs/>
        </w:rPr>
        <w:t xml:space="preserve"> F-2013-2393373 (Opinion and Order</w:t>
      </w:r>
      <w:r w:rsidR="006834FA">
        <w:rPr>
          <w:iCs/>
        </w:rPr>
        <w:t xml:space="preserve"> entered</w:t>
      </w:r>
      <w:r w:rsidRPr="0089770C">
        <w:rPr>
          <w:iCs/>
        </w:rPr>
        <w:t xml:space="preserve"> May 5, 2016); </w:t>
      </w:r>
      <w:r w:rsidRPr="0089770C">
        <w:rPr>
          <w:iCs/>
          <w:u w:val="single"/>
        </w:rPr>
        <w:t xml:space="preserve">Burleson v. </w:t>
      </w:r>
      <w:r w:rsidRPr="0089770C">
        <w:rPr>
          <w:u w:val="single"/>
        </w:rPr>
        <w:t>Pa. Pub.</w:t>
      </w:r>
      <w:r w:rsidR="00753746">
        <w:rPr>
          <w:u w:val="single"/>
        </w:rPr>
        <w:t xml:space="preserve"> </w:t>
      </w:r>
      <w:r w:rsidRPr="0089770C">
        <w:rPr>
          <w:u w:val="single"/>
        </w:rPr>
        <w:t>Util.</w:t>
      </w:r>
      <w:r w:rsidR="00753746">
        <w:rPr>
          <w:u w:val="single"/>
        </w:rPr>
        <w:t xml:space="preserve"> </w:t>
      </w:r>
      <w:proofErr w:type="spellStart"/>
      <w:r w:rsidRPr="0089770C">
        <w:rPr>
          <w:u w:val="single"/>
        </w:rPr>
        <w:t>Comm’n</w:t>
      </w:r>
      <w:proofErr w:type="spellEnd"/>
      <w:r w:rsidRPr="0089770C">
        <w:rPr>
          <w:iCs/>
        </w:rPr>
        <w:t>, 443 A.2d 1373 (</w:t>
      </w:r>
      <w:proofErr w:type="spellStart"/>
      <w:r w:rsidRPr="0089770C">
        <w:rPr>
          <w:iCs/>
        </w:rPr>
        <w:t>Pa.Cmwlth</w:t>
      </w:r>
      <w:proofErr w:type="spellEnd"/>
      <w:r w:rsidRPr="0089770C">
        <w:rPr>
          <w:iCs/>
        </w:rPr>
        <w:t>. 1982), aff’d, 501 Pa. 433, 461 A.2d 1234 (1983).</w:t>
      </w:r>
    </w:p>
    <w:p w:rsidR="00BE4DA4" w:rsidRPr="0089770C" w:rsidRDefault="00BE4DA4">
      <w:pPr>
        <w:pStyle w:val="FootnoteText"/>
      </w:pPr>
    </w:p>
  </w:footnote>
  <w:footnote w:id="7">
    <w:p w:rsidR="0089770C" w:rsidRDefault="0089770C">
      <w:pPr>
        <w:pStyle w:val="FootnoteText"/>
      </w:pPr>
      <w:r w:rsidRPr="0089770C">
        <w:rPr>
          <w:rStyle w:val="FootnoteReference"/>
        </w:rPr>
        <w:footnoteRef/>
      </w:r>
      <w:r w:rsidRPr="0089770C">
        <w:t xml:space="preserve"> </w:t>
      </w:r>
      <w:r w:rsidRPr="0089770C">
        <w:tab/>
      </w:r>
      <w:proofErr w:type="spellStart"/>
      <w:proofErr w:type="gramStart"/>
      <w:r w:rsidRPr="0089770C">
        <w:rPr>
          <w:u w:val="single"/>
        </w:rPr>
        <w:t>Milkie</w:t>
      </w:r>
      <w:proofErr w:type="spellEnd"/>
      <w:r w:rsidRPr="0089770C">
        <w:rPr>
          <w:u w:val="single"/>
        </w:rPr>
        <w:t xml:space="preserve"> </w:t>
      </w:r>
      <w:r w:rsidRPr="00A91D6A">
        <w:rPr>
          <w:u w:val="single"/>
        </w:rPr>
        <w:t>v.</w:t>
      </w:r>
      <w:r w:rsidRPr="00A91D6A">
        <w:rPr>
          <w:i/>
          <w:u w:val="single"/>
        </w:rPr>
        <w:t xml:space="preserve"> </w:t>
      </w:r>
      <w:r w:rsidRPr="00A91D6A">
        <w:rPr>
          <w:u w:val="single"/>
        </w:rPr>
        <w:t>Pa.</w:t>
      </w:r>
      <w:r w:rsidRPr="0089770C">
        <w:rPr>
          <w:u w:val="single"/>
        </w:rPr>
        <w:t xml:space="preserve"> Pub</w:t>
      </w:r>
      <w:r w:rsidRPr="0089770C">
        <w:rPr>
          <w:szCs w:val="24"/>
          <w:u w:val="single"/>
        </w:rPr>
        <w:t>.</w:t>
      </w:r>
      <w:proofErr w:type="gramEnd"/>
      <w:r w:rsidR="00753746">
        <w:rPr>
          <w:szCs w:val="24"/>
          <w:u w:val="single"/>
        </w:rPr>
        <w:t xml:space="preserve"> </w:t>
      </w:r>
      <w:proofErr w:type="gramStart"/>
      <w:r w:rsidRPr="0089770C">
        <w:rPr>
          <w:szCs w:val="24"/>
          <w:u w:val="single"/>
        </w:rPr>
        <w:t>U</w:t>
      </w:r>
      <w:r>
        <w:rPr>
          <w:u w:val="single"/>
        </w:rPr>
        <w:t>til</w:t>
      </w:r>
      <w:r w:rsidRPr="0089770C">
        <w:rPr>
          <w:szCs w:val="24"/>
          <w:u w:val="single"/>
        </w:rPr>
        <w:t>.</w:t>
      </w:r>
      <w:r w:rsidR="00753746">
        <w:rPr>
          <w:szCs w:val="24"/>
          <w:u w:val="single"/>
        </w:rPr>
        <w:t xml:space="preserve"> </w:t>
      </w:r>
      <w:proofErr w:type="spellStart"/>
      <w:r w:rsidRPr="0089770C">
        <w:rPr>
          <w:szCs w:val="24"/>
          <w:u w:val="single"/>
        </w:rPr>
        <w:t>C</w:t>
      </w:r>
      <w:r>
        <w:rPr>
          <w:u w:val="single"/>
        </w:rPr>
        <w:t>omm’n</w:t>
      </w:r>
      <w:proofErr w:type="spellEnd"/>
      <w:r w:rsidRPr="00BF2531">
        <w:rPr>
          <w:i/>
          <w:szCs w:val="24"/>
        </w:rPr>
        <w:t xml:space="preserve">, </w:t>
      </w:r>
      <w:r w:rsidR="00753746">
        <w:rPr>
          <w:szCs w:val="24"/>
        </w:rPr>
        <w:t>768 A.2d 1217 (</w:t>
      </w:r>
      <w:proofErr w:type="spellStart"/>
      <w:r w:rsidR="00753746">
        <w:rPr>
          <w:szCs w:val="24"/>
        </w:rPr>
        <w:t>Pa.</w:t>
      </w:r>
      <w:r w:rsidRPr="00BF2531">
        <w:rPr>
          <w:szCs w:val="24"/>
        </w:rPr>
        <w:t>Cmwlth</w:t>
      </w:r>
      <w:proofErr w:type="spellEnd"/>
      <w:r w:rsidRPr="00BF2531">
        <w:rPr>
          <w:szCs w:val="24"/>
        </w:rPr>
        <w:t>. 2001).</w:t>
      </w:r>
      <w:proofErr w:type="gramEnd"/>
    </w:p>
  </w:footnote>
  <w:footnote w:id="8">
    <w:p w:rsidR="006834FA" w:rsidRDefault="006834FA">
      <w:pPr>
        <w:pStyle w:val="FootnoteText"/>
      </w:pPr>
    </w:p>
    <w:p w:rsidR="006834FA" w:rsidRDefault="006834FA">
      <w:pPr>
        <w:pStyle w:val="FootnoteText"/>
      </w:pPr>
      <w:r>
        <w:rPr>
          <w:rStyle w:val="FootnoteReference"/>
        </w:rPr>
        <w:footnoteRef/>
      </w:r>
      <w:r>
        <w:t xml:space="preserve"> </w:t>
      </w:r>
      <w:r>
        <w:tab/>
      </w:r>
      <w:r w:rsidRPr="00CC4458">
        <w:rPr>
          <w:u w:val="single"/>
        </w:rPr>
        <w:t xml:space="preserve">Tod and Lisa </w:t>
      </w:r>
      <w:proofErr w:type="spellStart"/>
      <w:r w:rsidRPr="00CC4458">
        <w:rPr>
          <w:u w:val="single"/>
        </w:rPr>
        <w:t>Shedlosky</w:t>
      </w:r>
      <w:proofErr w:type="spellEnd"/>
      <w:r w:rsidRPr="00CC4458">
        <w:rPr>
          <w:u w:val="single"/>
        </w:rPr>
        <w:t xml:space="preserve"> v. Pennsylvania Electric Co.</w:t>
      </w:r>
      <w:r w:rsidRPr="00CC4458">
        <w:t xml:space="preserve">, Docket No. C-20066937 (Order entered May 28, 2008); </w:t>
      </w:r>
      <w:r w:rsidRPr="00CC4458">
        <w:rPr>
          <w:u w:val="single"/>
        </w:rPr>
        <w:t>Feingold v. Bell Tel. Co. of Pa.</w:t>
      </w:r>
      <w:r w:rsidRPr="00CC4458">
        <w:t xml:space="preserve">, 383 A.2d 791 (Pa. 1977).  </w:t>
      </w:r>
    </w:p>
  </w:footnote>
  <w:footnote w:id="9">
    <w:p w:rsidR="00972652" w:rsidRDefault="00972652">
      <w:pPr>
        <w:pStyle w:val="FootnoteText"/>
      </w:pPr>
    </w:p>
    <w:p w:rsidR="006834FA" w:rsidRDefault="006834FA">
      <w:pPr>
        <w:pStyle w:val="FootnoteText"/>
      </w:pPr>
      <w:r>
        <w:rPr>
          <w:rStyle w:val="FootnoteReference"/>
        </w:rPr>
        <w:footnoteRef/>
      </w:r>
      <w:r>
        <w:t xml:space="preserve"> </w:t>
      </w:r>
      <w:r>
        <w:tab/>
      </w:r>
      <w:proofErr w:type="gramStart"/>
      <w:r w:rsidRPr="00CC4458">
        <w:rPr>
          <w:u w:val="single"/>
        </w:rPr>
        <w:t>City of Pittsburgh v. Pa. Pub.</w:t>
      </w:r>
      <w:proofErr w:type="gramEnd"/>
      <w:r w:rsidRPr="00CC4458">
        <w:rPr>
          <w:u w:val="single"/>
        </w:rPr>
        <w:t xml:space="preserve"> </w:t>
      </w:r>
      <w:proofErr w:type="gramStart"/>
      <w:r w:rsidRPr="00CC4458">
        <w:rPr>
          <w:u w:val="single"/>
        </w:rPr>
        <w:t xml:space="preserve">Util. </w:t>
      </w:r>
      <w:proofErr w:type="spellStart"/>
      <w:r w:rsidRPr="00CC4458">
        <w:rPr>
          <w:u w:val="single"/>
        </w:rPr>
        <w:t>Comm’n</w:t>
      </w:r>
      <w:proofErr w:type="spellEnd"/>
      <w:r w:rsidRPr="00CC4458">
        <w:rPr>
          <w:u w:val="single"/>
        </w:rPr>
        <w:t>,</w:t>
      </w:r>
      <w:r w:rsidRPr="00CC4458">
        <w:t xml:space="preserve"> 43 A.2d 348 (</w:t>
      </w:r>
      <w:proofErr w:type="spellStart"/>
      <w:r w:rsidRPr="00CC4458">
        <w:t>Pa.Super</w:t>
      </w:r>
      <w:proofErr w:type="spellEnd"/>
      <w:r w:rsidRPr="00CC4458">
        <w:t>. 1945).</w:t>
      </w:r>
      <w:proofErr w:type="gramEnd"/>
      <w:r w:rsidRPr="00CC4458">
        <w:t xml:space="preserve">  </w:t>
      </w:r>
    </w:p>
  </w:footnote>
  <w:footnote w:id="10">
    <w:p w:rsidR="00972652" w:rsidRDefault="00972652">
      <w:pPr>
        <w:pStyle w:val="FootnoteText"/>
      </w:pPr>
    </w:p>
    <w:p w:rsidR="006834FA" w:rsidRDefault="006834FA">
      <w:pPr>
        <w:pStyle w:val="FootnoteText"/>
      </w:pPr>
      <w:r>
        <w:rPr>
          <w:rStyle w:val="FootnoteReference"/>
        </w:rPr>
        <w:footnoteRef/>
      </w:r>
      <w:r>
        <w:t xml:space="preserve"> </w:t>
      </w:r>
      <w:r>
        <w:tab/>
      </w:r>
      <w:proofErr w:type="gramStart"/>
      <w:r w:rsidRPr="00CC4458">
        <w:rPr>
          <w:u w:val="single"/>
        </w:rPr>
        <w:t xml:space="preserve">Roberts v. </w:t>
      </w:r>
      <w:proofErr w:type="spellStart"/>
      <w:r w:rsidRPr="00CC4458">
        <w:rPr>
          <w:u w:val="single"/>
        </w:rPr>
        <w:t>Martorano</w:t>
      </w:r>
      <w:proofErr w:type="spellEnd"/>
      <w:r w:rsidRPr="00CC4458">
        <w:t>, 235 A.2d 602 (Pa. 1967).</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2E1C2C9D"/>
    <w:multiLevelType w:val="hybridMultilevel"/>
    <w:tmpl w:val="83BAFE64"/>
    <w:lvl w:ilvl="0" w:tplc="055866C4">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3647CC"/>
    <w:multiLevelType w:val="hybridMultilevel"/>
    <w:tmpl w:val="3ACC0502"/>
    <w:lvl w:ilvl="0" w:tplc="291C7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C95D4E"/>
    <w:multiLevelType w:val="hybridMultilevel"/>
    <w:tmpl w:val="190A0196"/>
    <w:lvl w:ilvl="0" w:tplc="76AE502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D6"/>
    <w:rsid w:val="00004A34"/>
    <w:rsid w:val="00006CB3"/>
    <w:rsid w:val="000267A7"/>
    <w:rsid w:val="00061955"/>
    <w:rsid w:val="0006537A"/>
    <w:rsid w:val="000875C7"/>
    <w:rsid w:val="0009055C"/>
    <w:rsid w:val="000A2EE4"/>
    <w:rsid w:val="000B3F8E"/>
    <w:rsid w:val="000E4374"/>
    <w:rsid w:val="000E5FC6"/>
    <w:rsid w:val="0012466F"/>
    <w:rsid w:val="00150458"/>
    <w:rsid w:val="001847E4"/>
    <w:rsid w:val="001B03A1"/>
    <w:rsid w:val="001C1DB9"/>
    <w:rsid w:val="001C7C26"/>
    <w:rsid w:val="00216B7C"/>
    <w:rsid w:val="00223B9A"/>
    <w:rsid w:val="002277DA"/>
    <w:rsid w:val="0024610D"/>
    <w:rsid w:val="00257206"/>
    <w:rsid w:val="00264585"/>
    <w:rsid w:val="00293908"/>
    <w:rsid w:val="00294148"/>
    <w:rsid w:val="002B0D0E"/>
    <w:rsid w:val="002B4865"/>
    <w:rsid w:val="002D5E24"/>
    <w:rsid w:val="00301524"/>
    <w:rsid w:val="00306C3A"/>
    <w:rsid w:val="00321FCC"/>
    <w:rsid w:val="00323DF1"/>
    <w:rsid w:val="00324E52"/>
    <w:rsid w:val="003316B3"/>
    <w:rsid w:val="00336D20"/>
    <w:rsid w:val="003722EC"/>
    <w:rsid w:val="00383776"/>
    <w:rsid w:val="003A25F0"/>
    <w:rsid w:val="003C3A2E"/>
    <w:rsid w:val="00421A9C"/>
    <w:rsid w:val="00443F98"/>
    <w:rsid w:val="00481F67"/>
    <w:rsid w:val="004B031D"/>
    <w:rsid w:val="004B504A"/>
    <w:rsid w:val="004E1730"/>
    <w:rsid w:val="004E6F69"/>
    <w:rsid w:val="00506B49"/>
    <w:rsid w:val="0052149B"/>
    <w:rsid w:val="00534710"/>
    <w:rsid w:val="00546C40"/>
    <w:rsid w:val="00591F3A"/>
    <w:rsid w:val="005D010C"/>
    <w:rsid w:val="005D1C07"/>
    <w:rsid w:val="005D6367"/>
    <w:rsid w:val="005F7B94"/>
    <w:rsid w:val="006019B8"/>
    <w:rsid w:val="00611442"/>
    <w:rsid w:val="00621F37"/>
    <w:rsid w:val="00627E3E"/>
    <w:rsid w:val="00641691"/>
    <w:rsid w:val="00645200"/>
    <w:rsid w:val="00681AB1"/>
    <w:rsid w:val="006834FA"/>
    <w:rsid w:val="00691959"/>
    <w:rsid w:val="0069746E"/>
    <w:rsid w:val="006B3242"/>
    <w:rsid w:val="006C1738"/>
    <w:rsid w:val="006C453F"/>
    <w:rsid w:val="006D212D"/>
    <w:rsid w:val="006E446E"/>
    <w:rsid w:val="006F49F1"/>
    <w:rsid w:val="00704D13"/>
    <w:rsid w:val="007254B8"/>
    <w:rsid w:val="00731B5B"/>
    <w:rsid w:val="007378B5"/>
    <w:rsid w:val="00747C82"/>
    <w:rsid w:val="0075172D"/>
    <w:rsid w:val="00753746"/>
    <w:rsid w:val="00771237"/>
    <w:rsid w:val="0077513B"/>
    <w:rsid w:val="00776A91"/>
    <w:rsid w:val="00777602"/>
    <w:rsid w:val="00791549"/>
    <w:rsid w:val="007A4BDC"/>
    <w:rsid w:val="007B1937"/>
    <w:rsid w:val="007B3220"/>
    <w:rsid w:val="007D4B4A"/>
    <w:rsid w:val="0083184B"/>
    <w:rsid w:val="00852806"/>
    <w:rsid w:val="00885CA0"/>
    <w:rsid w:val="0089770C"/>
    <w:rsid w:val="008B0C47"/>
    <w:rsid w:val="008B48EE"/>
    <w:rsid w:val="008C62D6"/>
    <w:rsid w:val="008E6C72"/>
    <w:rsid w:val="00900ABA"/>
    <w:rsid w:val="009024BA"/>
    <w:rsid w:val="009100DE"/>
    <w:rsid w:val="00927982"/>
    <w:rsid w:val="009312C3"/>
    <w:rsid w:val="00951B1C"/>
    <w:rsid w:val="00966BCB"/>
    <w:rsid w:val="00972652"/>
    <w:rsid w:val="00976E1B"/>
    <w:rsid w:val="009857C2"/>
    <w:rsid w:val="0098677F"/>
    <w:rsid w:val="009C2AA0"/>
    <w:rsid w:val="009C2F2A"/>
    <w:rsid w:val="009E5EF2"/>
    <w:rsid w:val="009F2726"/>
    <w:rsid w:val="00A014F5"/>
    <w:rsid w:val="00A3685A"/>
    <w:rsid w:val="00A91D6A"/>
    <w:rsid w:val="00AB5ACA"/>
    <w:rsid w:val="00AD0201"/>
    <w:rsid w:val="00B6749F"/>
    <w:rsid w:val="00BD2092"/>
    <w:rsid w:val="00BE4DA4"/>
    <w:rsid w:val="00BF0092"/>
    <w:rsid w:val="00BF3832"/>
    <w:rsid w:val="00C11B4C"/>
    <w:rsid w:val="00C22A78"/>
    <w:rsid w:val="00C33E86"/>
    <w:rsid w:val="00C66437"/>
    <w:rsid w:val="00C9062E"/>
    <w:rsid w:val="00CA1BC8"/>
    <w:rsid w:val="00CA4631"/>
    <w:rsid w:val="00CB2F35"/>
    <w:rsid w:val="00CB3C2B"/>
    <w:rsid w:val="00CB67D2"/>
    <w:rsid w:val="00CE22B3"/>
    <w:rsid w:val="00D2056C"/>
    <w:rsid w:val="00D51DE0"/>
    <w:rsid w:val="00D63020"/>
    <w:rsid w:val="00D83910"/>
    <w:rsid w:val="00DA7EC7"/>
    <w:rsid w:val="00DC72E7"/>
    <w:rsid w:val="00DD32C6"/>
    <w:rsid w:val="00DF2CC3"/>
    <w:rsid w:val="00E06E50"/>
    <w:rsid w:val="00E15B45"/>
    <w:rsid w:val="00E17E05"/>
    <w:rsid w:val="00E236CD"/>
    <w:rsid w:val="00E271CC"/>
    <w:rsid w:val="00E34C9C"/>
    <w:rsid w:val="00E36C2A"/>
    <w:rsid w:val="00E434D4"/>
    <w:rsid w:val="00E47802"/>
    <w:rsid w:val="00E62D04"/>
    <w:rsid w:val="00E727C1"/>
    <w:rsid w:val="00EA0EF6"/>
    <w:rsid w:val="00ED0A9F"/>
    <w:rsid w:val="00ED20C4"/>
    <w:rsid w:val="00EE6E8E"/>
    <w:rsid w:val="00EF1492"/>
    <w:rsid w:val="00F056FA"/>
    <w:rsid w:val="00F25672"/>
    <w:rsid w:val="00F4031D"/>
    <w:rsid w:val="00F51C81"/>
    <w:rsid w:val="00F5525B"/>
    <w:rsid w:val="00F8450E"/>
    <w:rsid w:val="00F94897"/>
    <w:rsid w:val="00FA080D"/>
    <w:rsid w:val="00FA6EB3"/>
    <w:rsid w:val="00FA7E61"/>
    <w:rsid w:val="00FB0E2E"/>
    <w:rsid w:val="00FC06D3"/>
    <w:rsid w:val="00FC48D2"/>
    <w:rsid w:val="00FF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D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62D6"/>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2D6"/>
    <w:rPr>
      <w:rFonts w:ascii="Times New Roman" w:eastAsia="Times New Roman" w:hAnsi="Times New Roman" w:cs="Times New Roman"/>
      <w:sz w:val="26"/>
      <w:szCs w:val="20"/>
      <w:u w:val="single"/>
    </w:rPr>
  </w:style>
  <w:style w:type="paragraph" w:styleId="FootnoteText">
    <w:name w:val="footnote text"/>
    <w:basedOn w:val="Normal"/>
    <w:link w:val="FootnoteTextChar"/>
    <w:semiHidden/>
    <w:rsid w:val="008C62D6"/>
    <w:rPr>
      <w:sz w:val="20"/>
      <w:szCs w:val="20"/>
    </w:rPr>
  </w:style>
  <w:style w:type="character" w:customStyle="1" w:styleId="FootnoteTextChar">
    <w:name w:val="Footnote Text Char"/>
    <w:basedOn w:val="DefaultParagraphFont"/>
    <w:link w:val="FootnoteText"/>
    <w:semiHidden/>
    <w:rsid w:val="008C62D6"/>
    <w:rPr>
      <w:rFonts w:ascii="Times New Roman" w:eastAsia="Times New Roman" w:hAnsi="Times New Roman" w:cs="Times New Roman"/>
      <w:sz w:val="20"/>
      <w:szCs w:val="20"/>
    </w:rPr>
  </w:style>
  <w:style w:type="character" w:styleId="FootnoteReference">
    <w:name w:val="footnote reference"/>
    <w:basedOn w:val="DefaultParagraphFont"/>
    <w:semiHidden/>
    <w:rsid w:val="008C62D6"/>
    <w:rPr>
      <w:vertAlign w:val="superscript"/>
    </w:rPr>
  </w:style>
  <w:style w:type="paragraph" w:styleId="ListParagraph">
    <w:name w:val="List Paragraph"/>
    <w:basedOn w:val="Normal"/>
    <w:uiPriority w:val="34"/>
    <w:qFormat/>
    <w:rsid w:val="008C62D6"/>
    <w:pPr>
      <w:spacing w:line="360" w:lineRule="auto"/>
      <w:ind w:left="720"/>
      <w:contextualSpacing/>
    </w:pPr>
    <w:rPr>
      <w:sz w:val="26"/>
      <w:szCs w:val="20"/>
    </w:rPr>
  </w:style>
  <w:style w:type="paragraph" w:customStyle="1" w:styleId="ParaTab1">
    <w:name w:val="ParaTab 1"/>
    <w:rsid w:val="009C2F2A"/>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BodyText">
    <w:name w:val="Body Text"/>
    <w:basedOn w:val="Normal"/>
    <w:link w:val="BodyTextChar"/>
    <w:rsid w:val="009C2F2A"/>
    <w:pPr>
      <w:spacing w:after="120"/>
    </w:pPr>
    <w:rPr>
      <w:sz w:val="20"/>
      <w:szCs w:val="26"/>
    </w:rPr>
  </w:style>
  <w:style w:type="character" w:customStyle="1" w:styleId="BodyTextChar">
    <w:name w:val="Body Text Char"/>
    <w:basedOn w:val="DefaultParagraphFont"/>
    <w:link w:val="BodyText"/>
    <w:rsid w:val="009C2F2A"/>
    <w:rPr>
      <w:rFonts w:ascii="Times New Roman" w:eastAsia="Times New Roman" w:hAnsi="Times New Roman" w:cs="Times New Roman"/>
      <w:sz w:val="20"/>
      <w:szCs w:val="26"/>
    </w:rPr>
  </w:style>
  <w:style w:type="paragraph" w:styleId="BalloonText">
    <w:name w:val="Balloon Text"/>
    <w:basedOn w:val="Normal"/>
    <w:link w:val="BalloonTextChar"/>
    <w:uiPriority w:val="99"/>
    <w:semiHidden/>
    <w:unhideWhenUsed/>
    <w:rsid w:val="00966BCB"/>
    <w:rPr>
      <w:rFonts w:ascii="Tahoma" w:hAnsi="Tahoma" w:cs="Tahoma"/>
      <w:sz w:val="16"/>
      <w:szCs w:val="16"/>
    </w:rPr>
  </w:style>
  <w:style w:type="character" w:customStyle="1" w:styleId="BalloonTextChar">
    <w:name w:val="Balloon Text Char"/>
    <w:basedOn w:val="DefaultParagraphFont"/>
    <w:link w:val="BalloonText"/>
    <w:uiPriority w:val="99"/>
    <w:semiHidden/>
    <w:rsid w:val="00966BCB"/>
    <w:rPr>
      <w:rFonts w:ascii="Tahoma" w:eastAsia="Times New Roman" w:hAnsi="Tahoma" w:cs="Tahoma"/>
      <w:sz w:val="16"/>
      <w:szCs w:val="16"/>
    </w:rPr>
  </w:style>
  <w:style w:type="paragraph" w:styleId="Header">
    <w:name w:val="header"/>
    <w:basedOn w:val="Normal"/>
    <w:link w:val="HeaderChar"/>
    <w:uiPriority w:val="99"/>
    <w:unhideWhenUsed/>
    <w:rsid w:val="00C11B4C"/>
    <w:pPr>
      <w:tabs>
        <w:tab w:val="center" w:pos="4680"/>
        <w:tab w:val="right" w:pos="9360"/>
      </w:tabs>
    </w:pPr>
  </w:style>
  <w:style w:type="character" w:customStyle="1" w:styleId="HeaderChar">
    <w:name w:val="Header Char"/>
    <w:basedOn w:val="DefaultParagraphFont"/>
    <w:link w:val="Header"/>
    <w:uiPriority w:val="99"/>
    <w:rsid w:val="00C11B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1B4C"/>
    <w:pPr>
      <w:tabs>
        <w:tab w:val="center" w:pos="4680"/>
        <w:tab w:val="right" w:pos="9360"/>
      </w:tabs>
    </w:pPr>
  </w:style>
  <w:style w:type="character" w:customStyle="1" w:styleId="FooterChar">
    <w:name w:val="Footer Char"/>
    <w:basedOn w:val="DefaultParagraphFont"/>
    <w:link w:val="Footer"/>
    <w:uiPriority w:val="99"/>
    <w:rsid w:val="00C11B4C"/>
    <w:rPr>
      <w:rFonts w:ascii="Times New Roman" w:eastAsia="Times New Roman" w:hAnsi="Times New Roman" w:cs="Times New Roman"/>
      <w:sz w:val="24"/>
      <w:szCs w:val="24"/>
    </w:rPr>
  </w:style>
  <w:style w:type="character" w:customStyle="1" w:styleId="term1">
    <w:name w:val="term1"/>
    <w:basedOn w:val="DefaultParagraphFont"/>
    <w:rsid w:val="00747C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D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62D6"/>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2D6"/>
    <w:rPr>
      <w:rFonts w:ascii="Times New Roman" w:eastAsia="Times New Roman" w:hAnsi="Times New Roman" w:cs="Times New Roman"/>
      <w:sz w:val="26"/>
      <w:szCs w:val="20"/>
      <w:u w:val="single"/>
    </w:rPr>
  </w:style>
  <w:style w:type="paragraph" w:styleId="FootnoteText">
    <w:name w:val="footnote text"/>
    <w:basedOn w:val="Normal"/>
    <w:link w:val="FootnoteTextChar"/>
    <w:semiHidden/>
    <w:rsid w:val="008C62D6"/>
    <w:rPr>
      <w:sz w:val="20"/>
      <w:szCs w:val="20"/>
    </w:rPr>
  </w:style>
  <w:style w:type="character" w:customStyle="1" w:styleId="FootnoteTextChar">
    <w:name w:val="Footnote Text Char"/>
    <w:basedOn w:val="DefaultParagraphFont"/>
    <w:link w:val="FootnoteText"/>
    <w:semiHidden/>
    <w:rsid w:val="008C62D6"/>
    <w:rPr>
      <w:rFonts w:ascii="Times New Roman" w:eastAsia="Times New Roman" w:hAnsi="Times New Roman" w:cs="Times New Roman"/>
      <w:sz w:val="20"/>
      <w:szCs w:val="20"/>
    </w:rPr>
  </w:style>
  <w:style w:type="character" w:styleId="FootnoteReference">
    <w:name w:val="footnote reference"/>
    <w:basedOn w:val="DefaultParagraphFont"/>
    <w:semiHidden/>
    <w:rsid w:val="008C62D6"/>
    <w:rPr>
      <w:vertAlign w:val="superscript"/>
    </w:rPr>
  </w:style>
  <w:style w:type="paragraph" w:styleId="ListParagraph">
    <w:name w:val="List Paragraph"/>
    <w:basedOn w:val="Normal"/>
    <w:uiPriority w:val="34"/>
    <w:qFormat/>
    <w:rsid w:val="008C62D6"/>
    <w:pPr>
      <w:spacing w:line="360" w:lineRule="auto"/>
      <w:ind w:left="720"/>
      <w:contextualSpacing/>
    </w:pPr>
    <w:rPr>
      <w:sz w:val="26"/>
      <w:szCs w:val="20"/>
    </w:rPr>
  </w:style>
  <w:style w:type="paragraph" w:customStyle="1" w:styleId="ParaTab1">
    <w:name w:val="ParaTab 1"/>
    <w:rsid w:val="009C2F2A"/>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BodyText">
    <w:name w:val="Body Text"/>
    <w:basedOn w:val="Normal"/>
    <w:link w:val="BodyTextChar"/>
    <w:rsid w:val="009C2F2A"/>
    <w:pPr>
      <w:spacing w:after="120"/>
    </w:pPr>
    <w:rPr>
      <w:sz w:val="20"/>
      <w:szCs w:val="26"/>
    </w:rPr>
  </w:style>
  <w:style w:type="character" w:customStyle="1" w:styleId="BodyTextChar">
    <w:name w:val="Body Text Char"/>
    <w:basedOn w:val="DefaultParagraphFont"/>
    <w:link w:val="BodyText"/>
    <w:rsid w:val="009C2F2A"/>
    <w:rPr>
      <w:rFonts w:ascii="Times New Roman" w:eastAsia="Times New Roman" w:hAnsi="Times New Roman" w:cs="Times New Roman"/>
      <w:sz w:val="20"/>
      <w:szCs w:val="26"/>
    </w:rPr>
  </w:style>
  <w:style w:type="paragraph" w:styleId="BalloonText">
    <w:name w:val="Balloon Text"/>
    <w:basedOn w:val="Normal"/>
    <w:link w:val="BalloonTextChar"/>
    <w:uiPriority w:val="99"/>
    <w:semiHidden/>
    <w:unhideWhenUsed/>
    <w:rsid w:val="00966BCB"/>
    <w:rPr>
      <w:rFonts w:ascii="Tahoma" w:hAnsi="Tahoma" w:cs="Tahoma"/>
      <w:sz w:val="16"/>
      <w:szCs w:val="16"/>
    </w:rPr>
  </w:style>
  <w:style w:type="character" w:customStyle="1" w:styleId="BalloonTextChar">
    <w:name w:val="Balloon Text Char"/>
    <w:basedOn w:val="DefaultParagraphFont"/>
    <w:link w:val="BalloonText"/>
    <w:uiPriority w:val="99"/>
    <w:semiHidden/>
    <w:rsid w:val="00966BCB"/>
    <w:rPr>
      <w:rFonts w:ascii="Tahoma" w:eastAsia="Times New Roman" w:hAnsi="Tahoma" w:cs="Tahoma"/>
      <w:sz w:val="16"/>
      <w:szCs w:val="16"/>
    </w:rPr>
  </w:style>
  <w:style w:type="paragraph" w:styleId="Header">
    <w:name w:val="header"/>
    <w:basedOn w:val="Normal"/>
    <w:link w:val="HeaderChar"/>
    <w:uiPriority w:val="99"/>
    <w:unhideWhenUsed/>
    <w:rsid w:val="00C11B4C"/>
    <w:pPr>
      <w:tabs>
        <w:tab w:val="center" w:pos="4680"/>
        <w:tab w:val="right" w:pos="9360"/>
      </w:tabs>
    </w:pPr>
  </w:style>
  <w:style w:type="character" w:customStyle="1" w:styleId="HeaderChar">
    <w:name w:val="Header Char"/>
    <w:basedOn w:val="DefaultParagraphFont"/>
    <w:link w:val="Header"/>
    <w:uiPriority w:val="99"/>
    <w:rsid w:val="00C11B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1B4C"/>
    <w:pPr>
      <w:tabs>
        <w:tab w:val="center" w:pos="4680"/>
        <w:tab w:val="right" w:pos="9360"/>
      </w:tabs>
    </w:pPr>
  </w:style>
  <w:style w:type="character" w:customStyle="1" w:styleId="FooterChar">
    <w:name w:val="Footer Char"/>
    <w:basedOn w:val="DefaultParagraphFont"/>
    <w:link w:val="Footer"/>
    <w:uiPriority w:val="99"/>
    <w:rsid w:val="00C11B4C"/>
    <w:rPr>
      <w:rFonts w:ascii="Times New Roman" w:eastAsia="Times New Roman" w:hAnsi="Times New Roman" w:cs="Times New Roman"/>
      <w:sz w:val="24"/>
      <w:szCs w:val="24"/>
    </w:rPr>
  </w:style>
  <w:style w:type="character" w:customStyle="1" w:styleId="term1">
    <w:name w:val="term1"/>
    <w:basedOn w:val="DefaultParagraphFont"/>
    <w:rsid w:val="00747C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A2DB3-81B1-4B36-B133-88F247B17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2410</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Dunderdale, Katrina</dc:creator>
  <cp:lastModifiedBy>sandra elizabeth oldynski</cp:lastModifiedBy>
  <cp:revision>35</cp:revision>
  <cp:lastPrinted>2016-08-04T17:01:00Z</cp:lastPrinted>
  <dcterms:created xsi:type="dcterms:W3CDTF">2016-07-21T14:49:00Z</dcterms:created>
  <dcterms:modified xsi:type="dcterms:W3CDTF">2016-08-04T17:10:00Z</dcterms:modified>
</cp:coreProperties>
</file>