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B75FC9">
      <w:pPr>
        <w:jc w:val="center"/>
        <w:rPr>
          <w:b/>
          <w:sz w:val="26"/>
          <w:szCs w:val="26"/>
        </w:rPr>
      </w:pPr>
      <w:r w:rsidRPr="002A5D4B">
        <w:rPr>
          <w:b/>
          <w:sz w:val="26"/>
          <w:szCs w:val="26"/>
        </w:rPr>
        <w:t>PENNSYLVANIA</w:t>
      </w:r>
    </w:p>
    <w:p w:rsidR="009304FE" w:rsidRPr="002A5D4B" w:rsidRDefault="009304FE" w:rsidP="00B75FC9">
      <w:pPr>
        <w:jc w:val="center"/>
        <w:rPr>
          <w:b/>
          <w:sz w:val="26"/>
          <w:szCs w:val="26"/>
        </w:rPr>
      </w:pPr>
      <w:r w:rsidRPr="002A5D4B">
        <w:rPr>
          <w:b/>
          <w:sz w:val="26"/>
          <w:szCs w:val="26"/>
        </w:rPr>
        <w:t>PUBLIC UTILITY COMMISSION</w:t>
      </w:r>
    </w:p>
    <w:p w:rsidR="009304FE" w:rsidRPr="002A5D4B" w:rsidRDefault="009304FE" w:rsidP="00B75FC9">
      <w:pPr>
        <w:jc w:val="center"/>
        <w:rPr>
          <w:b/>
          <w:sz w:val="26"/>
          <w:szCs w:val="26"/>
        </w:rPr>
      </w:pPr>
      <w:smartTag w:uri="urn:schemas-microsoft-com:office:smarttags" w:element="place">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w:t>
        </w:r>
        <w:smartTag w:uri="urn:schemas-microsoft-com:office:smarttags" w:element="PostalCode">
          <w:r w:rsidRPr="002A5D4B">
            <w:rPr>
              <w:b/>
              <w:sz w:val="26"/>
              <w:szCs w:val="26"/>
            </w:rPr>
            <w:t>17105-3265</w:t>
          </w:r>
        </w:smartTag>
      </w:smartTag>
    </w:p>
    <w:p w:rsidR="009304FE" w:rsidRPr="00BA66A4" w:rsidRDefault="009304FE" w:rsidP="00B75FC9">
      <w:pPr>
        <w:rPr>
          <w:sz w:val="26"/>
          <w:szCs w:val="26"/>
        </w:rPr>
      </w:pPr>
    </w:p>
    <w:p w:rsidR="009304FE" w:rsidRPr="002A5D4B" w:rsidRDefault="009304FE" w:rsidP="00B75FC9">
      <w:pPr>
        <w:jc w:val="right"/>
        <w:rPr>
          <w:sz w:val="26"/>
          <w:szCs w:val="26"/>
        </w:rPr>
      </w:pPr>
      <w:r>
        <w:rPr>
          <w:sz w:val="26"/>
          <w:szCs w:val="26"/>
        </w:rPr>
        <w:t>P</w:t>
      </w:r>
      <w:r w:rsidRPr="002A5D4B">
        <w:rPr>
          <w:sz w:val="26"/>
          <w:szCs w:val="26"/>
        </w:rPr>
        <w:t xml:space="preserve">ublic Meeting held </w:t>
      </w:r>
      <w:r w:rsidR="00C50841">
        <w:rPr>
          <w:sz w:val="26"/>
          <w:szCs w:val="26"/>
        </w:rPr>
        <w:t>August 11</w:t>
      </w:r>
      <w:r w:rsidR="00B721B6">
        <w:rPr>
          <w:sz w:val="26"/>
          <w:szCs w:val="26"/>
        </w:rPr>
        <w:t>, 201</w:t>
      </w:r>
      <w:r w:rsidR="000F452C">
        <w:rPr>
          <w:sz w:val="26"/>
          <w:szCs w:val="26"/>
        </w:rPr>
        <w:t>6</w:t>
      </w:r>
    </w:p>
    <w:p w:rsidR="009304FE" w:rsidRDefault="009304FE" w:rsidP="00B75FC9">
      <w:pPr>
        <w:rPr>
          <w:sz w:val="26"/>
          <w:szCs w:val="26"/>
        </w:rPr>
      </w:pPr>
    </w:p>
    <w:p w:rsidR="00852CA4" w:rsidRPr="002A5D4B" w:rsidRDefault="00852CA4" w:rsidP="00B75FC9">
      <w:pPr>
        <w:rPr>
          <w:sz w:val="26"/>
          <w:szCs w:val="26"/>
        </w:rPr>
      </w:pPr>
    </w:p>
    <w:p w:rsidR="009304FE" w:rsidRDefault="009304FE" w:rsidP="00B75FC9">
      <w:pPr>
        <w:rPr>
          <w:sz w:val="26"/>
          <w:szCs w:val="26"/>
        </w:rPr>
      </w:pPr>
      <w:r w:rsidRPr="002A5D4B">
        <w:rPr>
          <w:sz w:val="26"/>
          <w:szCs w:val="26"/>
        </w:rPr>
        <w:t>Commissioners Present:</w:t>
      </w:r>
    </w:p>
    <w:p w:rsidR="00B21832" w:rsidRPr="002A5D4B" w:rsidRDefault="00B21832" w:rsidP="00B75FC9">
      <w:pPr>
        <w:rPr>
          <w:sz w:val="26"/>
          <w:szCs w:val="26"/>
        </w:rPr>
      </w:pPr>
    </w:p>
    <w:p w:rsidR="009304FE" w:rsidRPr="002A5D4B" w:rsidRDefault="009304FE" w:rsidP="00B75FC9">
      <w:pPr>
        <w:rPr>
          <w:sz w:val="26"/>
          <w:szCs w:val="26"/>
        </w:rPr>
      </w:pPr>
      <w:r>
        <w:rPr>
          <w:sz w:val="26"/>
          <w:szCs w:val="26"/>
        </w:rPr>
        <w:tab/>
      </w:r>
      <w:r w:rsidR="008F6BC5">
        <w:rPr>
          <w:sz w:val="26"/>
          <w:szCs w:val="26"/>
        </w:rPr>
        <w:t>Gladys M. Brown</w:t>
      </w:r>
      <w:r w:rsidRPr="002A5D4B">
        <w:rPr>
          <w:sz w:val="26"/>
          <w:szCs w:val="26"/>
        </w:rPr>
        <w:t>, Chairman</w:t>
      </w:r>
    </w:p>
    <w:p w:rsidR="009304FE" w:rsidRDefault="009304FE" w:rsidP="00B75FC9">
      <w:pPr>
        <w:rPr>
          <w:sz w:val="26"/>
          <w:szCs w:val="26"/>
        </w:rPr>
      </w:pPr>
      <w:r>
        <w:rPr>
          <w:sz w:val="26"/>
          <w:szCs w:val="26"/>
        </w:rPr>
        <w:tab/>
      </w:r>
      <w:r w:rsidR="000F452C">
        <w:rPr>
          <w:sz w:val="26"/>
          <w:szCs w:val="26"/>
        </w:rPr>
        <w:t>Andrew G. Place</w:t>
      </w:r>
      <w:r w:rsidRPr="002A5D4B">
        <w:rPr>
          <w:sz w:val="26"/>
          <w:szCs w:val="26"/>
        </w:rPr>
        <w:t>, Vice Chairman</w:t>
      </w:r>
    </w:p>
    <w:p w:rsidR="000F452C" w:rsidRDefault="001C7F88" w:rsidP="00B75FC9">
      <w:pPr>
        <w:rPr>
          <w:sz w:val="26"/>
          <w:szCs w:val="26"/>
        </w:rPr>
      </w:pPr>
      <w:r>
        <w:rPr>
          <w:sz w:val="26"/>
          <w:szCs w:val="26"/>
        </w:rPr>
        <w:tab/>
      </w:r>
      <w:r w:rsidR="000F452C">
        <w:rPr>
          <w:sz w:val="26"/>
          <w:szCs w:val="26"/>
        </w:rPr>
        <w:t>John F. Coleman, Jr.</w:t>
      </w:r>
    </w:p>
    <w:p w:rsidR="000F452C" w:rsidRDefault="00BC7CAF" w:rsidP="00B75FC9">
      <w:pPr>
        <w:rPr>
          <w:sz w:val="26"/>
          <w:szCs w:val="26"/>
        </w:rPr>
      </w:pPr>
      <w:r>
        <w:rPr>
          <w:sz w:val="26"/>
          <w:szCs w:val="26"/>
        </w:rPr>
        <w:tab/>
      </w:r>
      <w:r w:rsidR="008F6BC5">
        <w:rPr>
          <w:sz w:val="26"/>
          <w:szCs w:val="26"/>
        </w:rPr>
        <w:t>Robert F. Powelson</w:t>
      </w:r>
    </w:p>
    <w:p w:rsidR="000551F0" w:rsidRPr="000F452C" w:rsidRDefault="000551F0" w:rsidP="00B75FC9">
      <w:pPr>
        <w:rPr>
          <w:sz w:val="26"/>
          <w:szCs w:val="26"/>
        </w:rPr>
      </w:pPr>
      <w:r>
        <w:rPr>
          <w:sz w:val="26"/>
          <w:szCs w:val="26"/>
        </w:rPr>
        <w:tab/>
        <w:t xml:space="preserve">David </w:t>
      </w:r>
      <w:r w:rsidR="00D1737C">
        <w:rPr>
          <w:sz w:val="26"/>
          <w:szCs w:val="26"/>
        </w:rPr>
        <w:t>W.</w:t>
      </w:r>
      <w:r>
        <w:rPr>
          <w:sz w:val="26"/>
          <w:szCs w:val="26"/>
        </w:rPr>
        <w:t xml:space="preserve"> Sweet</w:t>
      </w:r>
    </w:p>
    <w:p w:rsidR="009304FE" w:rsidRDefault="009304FE" w:rsidP="00B75FC9"/>
    <w:p w:rsidR="004E61BF" w:rsidRDefault="004E61BF" w:rsidP="00B75FC9">
      <w:pPr>
        <w:tabs>
          <w:tab w:val="left" w:pos="-720"/>
          <w:tab w:val="left" w:pos="0"/>
        </w:tabs>
        <w:suppressAutoHyphens/>
        <w:rPr>
          <w:sz w:val="26"/>
          <w:szCs w:val="26"/>
        </w:rPr>
      </w:pPr>
    </w:p>
    <w:p w:rsidR="000551F0" w:rsidRDefault="000551F0" w:rsidP="00B75FC9">
      <w:pPr>
        <w:tabs>
          <w:tab w:val="left" w:pos="-720"/>
        </w:tabs>
        <w:suppressAutoHyphens/>
        <w:rPr>
          <w:sz w:val="26"/>
        </w:rPr>
      </w:pPr>
      <w:r>
        <w:rPr>
          <w:sz w:val="26"/>
        </w:rPr>
        <w:t>Green Hills Manor and</w:t>
      </w:r>
      <w:r w:rsidR="00D75F69" w:rsidRPr="00D75F69">
        <w:rPr>
          <w:sz w:val="26"/>
        </w:rPr>
        <w:tab/>
        <w:t xml:space="preserve"> </w:t>
      </w:r>
      <w:r w:rsidR="00D75F69" w:rsidRPr="00D75F69">
        <w:rPr>
          <w:sz w:val="26"/>
        </w:rPr>
        <w:tab/>
      </w:r>
      <w:r w:rsidR="00D75F69" w:rsidRPr="00D75F69">
        <w:rPr>
          <w:sz w:val="26"/>
        </w:rPr>
        <w:tab/>
      </w:r>
      <w:r w:rsidR="00D75F69" w:rsidRPr="00D75F69">
        <w:rPr>
          <w:sz w:val="26"/>
        </w:rPr>
        <w:tab/>
      </w:r>
      <w:r w:rsidR="00D75F69" w:rsidRPr="00D75F69">
        <w:rPr>
          <w:sz w:val="26"/>
        </w:rPr>
        <w:tab/>
      </w:r>
      <w:r w:rsidR="00D75F69" w:rsidRPr="00D75F69">
        <w:rPr>
          <w:sz w:val="26"/>
        </w:rPr>
        <w:tab/>
      </w:r>
      <w:r w:rsidR="00D75F69" w:rsidRPr="00D75F69">
        <w:rPr>
          <w:sz w:val="26"/>
        </w:rPr>
        <w:tab/>
        <w:t xml:space="preserve">     C-2014-2420911</w:t>
      </w:r>
    </w:p>
    <w:p w:rsidR="00460A50" w:rsidRDefault="000551F0" w:rsidP="00B75FC9">
      <w:pPr>
        <w:tabs>
          <w:tab w:val="left" w:pos="-720"/>
        </w:tabs>
        <w:suppressAutoHyphens/>
        <w:rPr>
          <w:sz w:val="26"/>
        </w:rPr>
      </w:pPr>
      <w:r>
        <w:rPr>
          <w:sz w:val="26"/>
        </w:rPr>
        <w:t>The Heritage of Green Hills</w:t>
      </w:r>
    </w:p>
    <w:p w:rsidR="00D75F69" w:rsidRDefault="00D75F69" w:rsidP="00B75FC9">
      <w:pPr>
        <w:tabs>
          <w:tab w:val="left" w:pos="-720"/>
        </w:tabs>
        <w:suppressAutoHyphens/>
        <w:rPr>
          <w:sz w:val="26"/>
        </w:rPr>
      </w:pPr>
    </w:p>
    <w:p w:rsidR="00D75F69" w:rsidRPr="00D75F69" w:rsidRDefault="00CA1710" w:rsidP="00B75FC9">
      <w:pPr>
        <w:tabs>
          <w:tab w:val="left" w:pos="-720"/>
        </w:tabs>
        <w:suppressAutoHyphens/>
        <w:rPr>
          <w:sz w:val="26"/>
        </w:rPr>
      </w:pPr>
      <w:r>
        <w:rPr>
          <w:sz w:val="26"/>
        </w:rPr>
        <w:tab/>
        <w:t>v.</w:t>
      </w:r>
    </w:p>
    <w:p w:rsidR="00217165" w:rsidRDefault="00217165" w:rsidP="00B75FC9">
      <w:pPr>
        <w:tabs>
          <w:tab w:val="left" w:pos="-720"/>
        </w:tabs>
        <w:suppressAutoHyphens/>
        <w:rPr>
          <w:sz w:val="26"/>
        </w:rPr>
      </w:pPr>
    </w:p>
    <w:p w:rsidR="00CA1710" w:rsidRDefault="000551F0" w:rsidP="00B75FC9">
      <w:pPr>
        <w:tabs>
          <w:tab w:val="left" w:pos="-720"/>
        </w:tabs>
        <w:suppressAutoHyphens/>
        <w:rPr>
          <w:sz w:val="26"/>
        </w:rPr>
      </w:pPr>
      <w:r>
        <w:rPr>
          <w:sz w:val="26"/>
        </w:rPr>
        <w:t>UGI Energy Services, LLC</w:t>
      </w:r>
    </w:p>
    <w:p w:rsidR="00CA1710" w:rsidRDefault="00CA1710" w:rsidP="00B75FC9">
      <w:pPr>
        <w:tabs>
          <w:tab w:val="left" w:pos="-720"/>
        </w:tabs>
        <w:suppressAutoHyphens/>
        <w:rPr>
          <w:sz w:val="26"/>
        </w:rPr>
      </w:pPr>
    </w:p>
    <w:p w:rsidR="00852CA4" w:rsidRPr="00624B80" w:rsidRDefault="00852CA4" w:rsidP="00B75FC9">
      <w:pPr>
        <w:tabs>
          <w:tab w:val="left" w:pos="-720"/>
        </w:tabs>
        <w:suppressAutoHyphens/>
        <w:rPr>
          <w:sz w:val="26"/>
        </w:rPr>
      </w:pPr>
    </w:p>
    <w:p w:rsidR="009304FE" w:rsidRDefault="009304FE" w:rsidP="00B75FC9">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B75FC9">
      <w:pPr>
        <w:tabs>
          <w:tab w:val="left" w:pos="-720"/>
        </w:tabs>
        <w:suppressAutoHyphens/>
        <w:spacing w:line="360" w:lineRule="auto"/>
        <w:rPr>
          <w:b/>
          <w:sz w:val="26"/>
        </w:rPr>
      </w:pPr>
    </w:p>
    <w:p w:rsidR="009304FE" w:rsidRPr="00624B80" w:rsidRDefault="009304FE" w:rsidP="00B75FC9">
      <w:pPr>
        <w:tabs>
          <w:tab w:val="left" w:pos="-720"/>
        </w:tabs>
        <w:suppressAutoHyphens/>
        <w:spacing w:line="360" w:lineRule="auto"/>
        <w:rPr>
          <w:sz w:val="26"/>
        </w:rPr>
      </w:pPr>
      <w:r w:rsidRPr="00624B80">
        <w:rPr>
          <w:b/>
          <w:sz w:val="26"/>
        </w:rPr>
        <w:t>BY THE COMMISSION:</w:t>
      </w:r>
    </w:p>
    <w:p w:rsidR="009304FE" w:rsidRPr="00585188" w:rsidRDefault="009304FE" w:rsidP="00B75FC9">
      <w:pPr>
        <w:rPr>
          <w:sz w:val="26"/>
          <w:szCs w:val="26"/>
        </w:rPr>
      </w:pPr>
    </w:p>
    <w:p w:rsidR="00FC776E" w:rsidRDefault="009304FE" w:rsidP="00B75FC9">
      <w:pPr>
        <w:spacing w:line="360" w:lineRule="auto"/>
        <w:ind w:firstLine="1440"/>
        <w:rPr>
          <w:sz w:val="26"/>
          <w:szCs w:val="26"/>
        </w:rPr>
      </w:pPr>
      <w:r w:rsidRPr="00585188">
        <w:rPr>
          <w:sz w:val="26"/>
          <w:szCs w:val="26"/>
        </w:rPr>
        <w:t xml:space="preserve">Before the </w:t>
      </w:r>
      <w:r>
        <w:rPr>
          <w:sz w:val="26"/>
          <w:szCs w:val="26"/>
        </w:rPr>
        <w:t>Pennsylvania Public Utility Commission (</w:t>
      </w:r>
      <w:r w:rsidRPr="00585188">
        <w:rPr>
          <w:sz w:val="26"/>
          <w:szCs w:val="26"/>
        </w:rPr>
        <w:t>Commission</w:t>
      </w:r>
      <w:r>
        <w:rPr>
          <w:sz w:val="26"/>
          <w:szCs w:val="26"/>
        </w:rPr>
        <w:t>)</w:t>
      </w:r>
      <w:r w:rsidRPr="00585188">
        <w:rPr>
          <w:sz w:val="26"/>
          <w:szCs w:val="26"/>
        </w:rPr>
        <w:t xml:space="preserve"> for consideration </w:t>
      </w:r>
      <w:r>
        <w:rPr>
          <w:sz w:val="26"/>
          <w:szCs w:val="26"/>
        </w:rPr>
        <w:t xml:space="preserve">and disposition </w:t>
      </w:r>
      <w:r w:rsidRPr="00585188">
        <w:rPr>
          <w:sz w:val="26"/>
          <w:szCs w:val="26"/>
        </w:rPr>
        <w:t xml:space="preserve">are the </w:t>
      </w:r>
      <w:r w:rsidR="00863BA3" w:rsidRPr="00863BA3">
        <w:rPr>
          <w:sz w:val="26"/>
          <w:szCs w:val="26"/>
        </w:rPr>
        <w:t xml:space="preserve">Exceptions </w:t>
      </w:r>
      <w:r w:rsidR="0064026B">
        <w:rPr>
          <w:sz w:val="26"/>
          <w:szCs w:val="26"/>
        </w:rPr>
        <w:t xml:space="preserve">(Exc.) </w:t>
      </w:r>
      <w:r w:rsidR="00863BA3" w:rsidRPr="00863BA3">
        <w:rPr>
          <w:sz w:val="26"/>
          <w:szCs w:val="26"/>
        </w:rPr>
        <w:t xml:space="preserve">of </w:t>
      </w:r>
      <w:r w:rsidR="000551F0">
        <w:rPr>
          <w:sz w:val="26"/>
          <w:szCs w:val="26"/>
        </w:rPr>
        <w:t xml:space="preserve">Green Hills Manor and The Heritage of Green Hills (Green Hills </w:t>
      </w:r>
      <w:r w:rsidR="00460A50">
        <w:rPr>
          <w:sz w:val="26"/>
          <w:szCs w:val="26"/>
        </w:rPr>
        <w:t xml:space="preserve">or Complainant), filed on </w:t>
      </w:r>
      <w:r w:rsidR="000551F0">
        <w:rPr>
          <w:sz w:val="26"/>
          <w:szCs w:val="26"/>
        </w:rPr>
        <w:t>December 23</w:t>
      </w:r>
      <w:r w:rsidR="009B259F">
        <w:rPr>
          <w:sz w:val="26"/>
          <w:szCs w:val="26"/>
        </w:rPr>
        <w:t>, 201</w:t>
      </w:r>
      <w:r w:rsidR="000551F0">
        <w:rPr>
          <w:sz w:val="26"/>
          <w:szCs w:val="26"/>
        </w:rPr>
        <w:t>5</w:t>
      </w:r>
      <w:r w:rsidR="009B259F">
        <w:rPr>
          <w:sz w:val="26"/>
          <w:szCs w:val="26"/>
        </w:rPr>
        <w:t xml:space="preserve">, to the </w:t>
      </w:r>
      <w:r w:rsidR="009B259F" w:rsidRPr="009B259F">
        <w:rPr>
          <w:sz w:val="26"/>
          <w:szCs w:val="26"/>
        </w:rPr>
        <w:t xml:space="preserve">Initial Decision (I.D.) of Administrative Law Judge (ALJ) </w:t>
      </w:r>
      <w:r w:rsidR="000551F0">
        <w:rPr>
          <w:sz w:val="26"/>
          <w:szCs w:val="26"/>
        </w:rPr>
        <w:t>Dennis J. Buckley</w:t>
      </w:r>
      <w:r w:rsidR="009B259F" w:rsidRPr="009B259F">
        <w:rPr>
          <w:sz w:val="26"/>
          <w:szCs w:val="26"/>
        </w:rPr>
        <w:t xml:space="preserve"> issued on </w:t>
      </w:r>
      <w:r w:rsidR="009B259F">
        <w:rPr>
          <w:sz w:val="26"/>
          <w:szCs w:val="26"/>
        </w:rPr>
        <w:t xml:space="preserve">December </w:t>
      </w:r>
      <w:r w:rsidR="000551F0">
        <w:rPr>
          <w:sz w:val="26"/>
          <w:szCs w:val="26"/>
        </w:rPr>
        <w:t>3</w:t>
      </w:r>
      <w:r w:rsidR="009B259F" w:rsidRPr="009B259F">
        <w:rPr>
          <w:sz w:val="26"/>
          <w:szCs w:val="26"/>
        </w:rPr>
        <w:t>, 2015</w:t>
      </w:r>
      <w:r w:rsidR="009B259F">
        <w:rPr>
          <w:sz w:val="26"/>
          <w:szCs w:val="26"/>
        </w:rPr>
        <w:t xml:space="preserve">.  </w:t>
      </w:r>
      <w:r w:rsidR="000551F0">
        <w:rPr>
          <w:sz w:val="26"/>
          <w:szCs w:val="26"/>
        </w:rPr>
        <w:t>UGI Energy Services, LLC (UGIES or Company)</w:t>
      </w:r>
      <w:r w:rsidR="00C84DCE">
        <w:rPr>
          <w:sz w:val="26"/>
          <w:szCs w:val="26"/>
        </w:rPr>
        <w:t xml:space="preserve"> </w:t>
      </w:r>
      <w:r w:rsidR="004C4AA1">
        <w:rPr>
          <w:sz w:val="26"/>
          <w:szCs w:val="26"/>
        </w:rPr>
        <w:t xml:space="preserve">filed </w:t>
      </w:r>
      <w:r w:rsidR="009B259F">
        <w:rPr>
          <w:sz w:val="26"/>
          <w:szCs w:val="26"/>
        </w:rPr>
        <w:t xml:space="preserve">Replies to Exceptions </w:t>
      </w:r>
      <w:r w:rsidR="00C61FD1">
        <w:rPr>
          <w:sz w:val="26"/>
          <w:szCs w:val="26"/>
        </w:rPr>
        <w:t xml:space="preserve">(R. Exc.) </w:t>
      </w:r>
      <w:r w:rsidR="004C4AA1">
        <w:rPr>
          <w:sz w:val="26"/>
          <w:szCs w:val="26"/>
        </w:rPr>
        <w:t xml:space="preserve">on </w:t>
      </w:r>
      <w:r w:rsidR="009B259F">
        <w:rPr>
          <w:sz w:val="26"/>
          <w:szCs w:val="26"/>
        </w:rPr>
        <w:t xml:space="preserve">January </w:t>
      </w:r>
      <w:r w:rsidR="000551F0">
        <w:rPr>
          <w:sz w:val="26"/>
          <w:szCs w:val="26"/>
        </w:rPr>
        <w:t>4</w:t>
      </w:r>
      <w:r w:rsidR="00863BA3" w:rsidRPr="00863BA3">
        <w:rPr>
          <w:sz w:val="26"/>
          <w:szCs w:val="26"/>
        </w:rPr>
        <w:t>, 201</w:t>
      </w:r>
      <w:r w:rsidR="009B259F">
        <w:rPr>
          <w:sz w:val="26"/>
          <w:szCs w:val="26"/>
        </w:rPr>
        <w:t>6</w:t>
      </w:r>
      <w:r w:rsidR="00DC0448">
        <w:rPr>
          <w:sz w:val="26"/>
          <w:szCs w:val="26"/>
        </w:rPr>
        <w:t xml:space="preserve">. </w:t>
      </w:r>
      <w:r w:rsidR="009623E5">
        <w:rPr>
          <w:sz w:val="26"/>
          <w:szCs w:val="26"/>
        </w:rPr>
        <w:t xml:space="preserve"> </w:t>
      </w:r>
      <w:r w:rsidR="00DC0448">
        <w:rPr>
          <w:sz w:val="26"/>
          <w:szCs w:val="26"/>
        </w:rPr>
        <w:t xml:space="preserve">For the reasons stated below, we will </w:t>
      </w:r>
      <w:r w:rsidR="009B259F">
        <w:rPr>
          <w:sz w:val="26"/>
          <w:szCs w:val="26"/>
        </w:rPr>
        <w:t>deny</w:t>
      </w:r>
      <w:r w:rsidR="0070324F">
        <w:rPr>
          <w:sz w:val="26"/>
          <w:szCs w:val="26"/>
        </w:rPr>
        <w:t xml:space="preserve"> </w:t>
      </w:r>
      <w:r w:rsidR="00DC0448">
        <w:rPr>
          <w:sz w:val="26"/>
          <w:szCs w:val="26"/>
        </w:rPr>
        <w:t>the Exceptions</w:t>
      </w:r>
      <w:r w:rsidR="00995287">
        <w:rPr>
          <w:sz w:val="26"/>
          <w:szCs w:val="26"/>
        </w:rPr>
        <w:t xml:space="preserve"> of </w:t>
      </w:r>
      <w:r w:rsidR="000551F0">
        <w:rPr>
          <w:sz w:val="26"/>
          <w:szCs w:val="26"/>
        </w:rPr>
        <w:t>Green Hills</w:t>
      </w:r>
      <w:r w:rsidR="004C4AA1">
        <w:rPr>
          <w:sz w:val="26"/>
          <w:szCs w:val="26"/>
        </w:rPr>
        <w:t xml:space="preserve"> and adopt th</w:t>
      </w:r>
      <w:r w:rsidR="00DC0448">
        <w:rPr>
          <w:sz w:val="26"/>
          <w:szCs w:val="26"/>
        </w:rPr>
        <w:t>e ALJ’s Initial Decision</w:t>
      </w:r>
      <w:r w:rsidR="002A6C4E">
        <w:rPr>
          <w:sz w:val="26"/>
          <w:szCs w:val="26"/>
        </w:rPr>
        <w:t>, as modified herein</w:t>
      </w:r>
      <w:r w:rsidR="00132ACB">
        <w:rPr>
          <w:sz w:val="26"/>
          <w:szCs w:val="26"/>
        </w:rPr>
        <w:t>.</w:t>
      </w:r>
    </w:p>
    <w:p w:rsidR="004C4AA1" w:rsidRDefault="004C4AA1" w:rsidP="00B75FC9">
      <w:pPr>
        <w:spacing w:line="360" w:lineRule="auto"/>
        <w:rPr>
          <w:sz w:val="26"/>
          <w:szCs w:val="26"/>
        </w:rPr>
      </w:pPr>
    </w:p>
    <w:p w:rsidR="009304FE" w:rsidRDefault="00F55BED" w:rsidP="00B75FC9">
      <w:pPr>
        <w:keepNext/>
        <w:keepLines/>
        <w:spacing w:line="360" w:lineRule="auto"/>
        <w:jc w:val="center"/>
        <w:rPr>
          <w:b/>
          <w:sz w:val="26"/>
          <w:szCs w:val="26"/>
        </w:rPr>
      </w:pPr>
      <w:r w:rsidRPr="00CA1972">
        <w:rPr>
          <w:b/>
          <w:sz w:val="26"/>
          <w:szCs w:val="26"/>
        </w:rPr>
        <w:lastRenderedPageBreak/>
        <w:t>History of the Proceeding</w:t>
      </w:r>
    </w:p>
    <w:p w:rsidR="00E41E44" w:rsidRDefault="00E41E44" w:rsidP="00B75FC9">
      <w:pPr>
        <w:keepNext/>
        <w:keepLines/>
        <w:spacing w:line="360" w:lineRule="auto"/>
        <w:jc w:val="center"/>
        <w:rPr>
          <w:b/>
          <w:sz w:val="26"/>
          <w:szCs w:val="26"/>
        </w:rPr>
      </w:pPr>
    </w:p>
    <w:p w:rsidR="00B75FC9" w:rsidRDefault="00E41E44" w:rsidP="00B75FC9">
      <w:pPr>
        <w:pStyle w:val="ParaTab1"/>
        <w:spacing w:line="360" w:lineRule="auto"/>
        <w:rPr>
          <w:rFonts w:ascii="Times New Roman" w:hAnsi="Times New Roman" w:cs="Times New Roman"/>
          <w:sz w:val="26"/>
          <w:szCs w:val="26"/>
        </w:rPr>
      </w:pPr>
      <w:r w:rsidRPr="00E41E44">
        <w:rPr>
          <w:rFonts w:ascii="Times New Roman" w:hAnsi="Times New Roman" w:cs="Times New Roman"/>
          <w:sz w:val="26"/>
          <w:szCs w:val="26"/>
        </w:rPr>
        <w:t xml:space="preserve">On </w:t>
      </w:r>
      <w:r w:rsidR="00B75FC9">
        <w:rPr>
          <w:rFonts w:ascii="Times New Roman" w:hAnsi="Times New Roman" w:cs="Times New Roman"/>
          <w:sz w:val="26"/>
          <w:szCs w:val="26"/>
        </w:rPr>
        <w:t>April 30</w:t>
      </w:r>
      <w:r w:rsidR="008707C2">
        <w:rPr>
          <w:rFonts w:ascii="Times New Roman" w:hAnsi="Times New Roman" w:cs="Times New Roman"/>
          <w:sz w:val="26"/>
          <w:szCs w:val="26"/>
        </w:rPr>
        <w:t xml:space="preserve">, 2014, </w:t>
      </w:r>
      <w:r w:rsidR="007E4C7E">
        <w:rPr>
          <w:rFonts w:ascii="Times New Roman" w:hAnsi="Times New Roman" w:cs="Times New Roman"/>
          <w:sz w:val="26"/>
          <w:szCs w:val="26"/>
        </w:rPr>
        <w:t xml:space="preserve">the Executive Director of </w:t>
      </w:r>
      <w:r w:rsidR="00B75FC9">
        <w:rPr>
          <w:rFonts w:ascii="Times New Roman" w:hAnsi="Times New Roman" w:cs="Times New Roman"/>
          <w:sz w:val="26"/>
          <w:szCs w:val="26"/>
        </w:rPr>
        <w:t xml:space="preserve">Green Hills </w:t>
      </w:r>
      <w:r>
        <w:rPr>
          <w:rFonts w:ascii="Times New Roman" w:hAnsi="Times New Roman" w:cs="Times New Roman"/>
          <w:sz w:val="26"/>
          <w:szCs w:val="26"/>
        </w:rPr>
        <w:t>f</w:t>
      </w:r>
      <w:r w:rsidRPr="00E41E44">
        <w:rPr>
          <w:rFonts w:ascii="Times New Roman" w:hAnsi="Times New Roman" w:cs="Times New Roman"/>
          <w:sz w:val="26"/>
          <w:szCs w:val="26"/>
        </w:rPr>
        <w:t xml:space="preserve">iled </w:t>
      </w:r>
      <w:r w:rsidR="00A22D28">
        <w:rPr>
          <w:rFonts w:ascii="Times New Roman" w:hAnsi="Times New Roman" w:cs="Times New Roman"/>
          <w:sz w:val="26"/>
          <w:szCs w:val="26"/>
        </w:rPr>
        <w:t xml:space="preserve">a Formal </w:t>
      </w:r>
      <w:r>
        <w:rPr>
          <w:rFonts w:ascii="Times New Roman" w:hAnsi="Times New Roman" w:cs="Times New Roman"/>
          <w:sz w:val="26"/>
          <w:szCs w:val="26"/>
        </w:rPr>
        <w:t>C</w:t>
      </w:r>
      <w:r w:rsidRPr="00E41E44">
        <w:rPr>
          <w:rFonts w:ascii="Times New Roman" w:hAnsi="Times New Roman" w:cs="Times New Roman"/>
          <w:sz w:val="26"/>
          <w:szCs w:val="26"/>
        </w:rPr>
        <w:t xml:space="preserve">omplaint </w:t>
      </w:r>
      <w:r w:rsidR="00A22D28">
        <w:rPr>
          <w:rFonts w:ascii="Times New Roman" w:hAnsi="Times New Roman" w:cs="Times New Roman"/>
          <w:sz w:val="26"/>
          <w:szCs w:val="26"/>
        </w:rPr>
        <w:t>(Complaint)</w:t>
      </w:r>
      <w:r w:rsidRPr="00E41E44">
        <w:rPr>
          <w:rFonts w:ascii="Times New Roman" w:hAnsi="Times New Roman" w:cs="Times New Roman"/>
          <w:sz w:val="26"/>
          <w:szCs w:val="26"/>
        </w:rPr>
        <w:t xml:space="preserve"> </w:t>
      </w:r>
      <w:r w:rsidR="00A22D28">
        <w:rPr>
          <w:rFonts w:ascii="Times New Roman" w:hAnsi="Times New Roman" w:cs="Times New Roman"/>
          <w:sz w:val="26"/>
          <w:szCs w:val="26"/>
        </w:rPr>
        <w:t xml:space="preserve">against </w:t>
      </w:r>
      <w:r w:rsidR="00B75FC9">
        <w:rPr>
          <w:rFonts w:ascii="Times New Roman" w:hAnsi="Times New Roman" w:cs="Times New Roman"/>
          <w:sz w:val="26"/>
          <w:szCs w:val="26"/>
        </w:rPr>
        <w:t>UGIES</w:t>
      </w:r>
      <w:r w:rsidR="00C36114" w:rsidRPr="00C36114">
        <w:rPr>
          <w:rFonts w:ascii="Times New Roman" w:hAnsi="Times New Roman" w:cs="Times New Roman"/>
          <w:sz w:val="26"/>
          <w:szCs w:val="26"/>
        </w:rPr>
        <w:t>, an electric generation supplier (EGS),</w:t>
      </w:r>
      <w:r w:rsidR="008707C2">
        <w:rPr>
          <w:rFonts w:ascii="Times New Roman" w:hAnsi="Times New Roman" w:cs="Times New Roman"/>
          <w:sz w:val="26"/>
          <w:szCs w:val="26"/>
        </w:rPr>
        <w:t xml:space="preserve"> </w:t>
      </w:r>
      <w:r w:rsidR="003F15C6" w:rsidRPr="003F15C6">
        <w:rPr>
          <w:rFonts w:ascii="Times New Roman" w:hAnsi="Times New Roman" w:cs="Times New Roman"/>
          <w:sz w:val="26"/>
          <w:szCs w:val="26"/>
        </w:rPr>
        <w:t>using the Commission’s standard complaint form</w:t>
      </w:r>
      <w:r w:rsidR="009623E5">
        <w:rPr>
          <w:rFonts w:ascii="Times New Roman" w:hAnsi="Times New Roman" w:cs="Times New Roman"/>
          <w:sz w:val="26"/>
          <w:szCs w:val="26"/>
        </w:rPr>
        <w:t xml:space="preserve">. </w:t>
      </w:r>
      <w:r>
        <w:rPr>
          <w:rFonts w:ascii="Times New Roman" w:hAnsi="Times New Roman" w:cs="Times New Roman"/>
          <w:sz w:val="26"/>
          <w:szCs w:val="26"/>
        </w:rPr>
        <w:t xml:space="preserve"> </w:t>
      </w:r>
      <w:r w:rsidR="009623E5">
        <w:rPr>
          <w:rFonts w:ascii="Times New Roman" w:hAnsi="Times New Roman" w:cs="Times New Roman"/>
          <w:sz w:val="26"/>
          <w:szCs w:val="26"/>
        </w:rPr>
        <w:t xml:space="preserve">In response to </w:t>
      </w:r>
      <w:r w:rsidR="00A82079">
        <w:rPr>
          <w:rFonts w:ascii="Times New Roman" w:hAnsi="Times New Roman" w:cs="Times New Roman"/>
          <w:sz w:val="26"/>
          <w:szCs w:val="26"/>
        </w:rPr>
        <w:t>P</w:t>
      </w:r>
      <w:r w:rsidRPr="00E41E44">
        <w:rPr>
          <w:rFonts w:ascii="Times New Roman" w:hAnsi="Times New Roman" w:cs="Times New Roman"/>
          <w:sz w:val="26"/>
          <w:szCs w:val="26"/>
        </w:rPr>
        <w:t>aragraph</w:t>
      </w:r>
      <w:r w:rsidR="004C4AA1">
        <w:rPr>
          <w:rFonts w:ascii="Times New Roman" w:hAnsi="Times New Roman" w:cs="Times New Roman"/>
          <w:sz w:val="26"/>
          <w:szCs w:val="26"/>
        </w:rPr>
        <w:t> </w:t>
      </w:r>
      <w:r w:rsidRPr="00E41E44">
        <w:rPr>
          <w:rFonts w:ascii="Times New Roman" w:hAnsi="Times New Roman" w:cs="Times New Roman"/>
          <w:sz w:val="26"/>
          <w:szCs w:val="26"/>
        </w:rPr>
        <w:t>4</w:t>
      </w:r>
      <w:r w:rsidR="003F15C6">
        <w:rPr>
          <w:rFonts w:ascii="Times New Roman" w:hAnsi="Times New Roman" w:cs="Times New Roman"/>
          <w:sz w:val="26"/>
          <w:szCs w:val="26"/>
        </w:rPr>
        <w:t>, which</w:t>
      </w:r>
      <w:r w:rsidRPr="00E41E44">
        <w:rPr>
          <w:rFonts w:ascii="Times New Roman" w:hAnsi="Times New Roman" w:cs="Times New Roman"/>
          <w:sz w:val="26"/>
          <w:szCs w:val="26"/>
        </w:rPr>
        <w:t xml:space="preserve"> request</w:t>
      </w:r>
      <w:r w:rsidR="003F15C6">
        <w:rPr>
          <w:rFonts w:ascii="Times New Roman" w:hAnsi="Times New Roman" w:cs="Times New Roman"/>
          <w:sz w:val="26"/>
          <w:szCs w:val="26"/>
        </w:rPr>
        <w:t>s</w:t>
      </w:r>
      <w:r w:rsidRPr="00E41E44">
        <w:rPr>
          <w:rFonts w:ascii="Times New Roman" w:hAnsi="Times New Roman" w:cs="Times New Roman"/>
          <w:sz w:val="26"/>
          <w:szCs w:val="26"/>
        </w:rPr>
        <w:t xml:space="preserve"> the </w:t>
      </w:r>
      <w:r w:rsidR="009623E5">
        <w:rPr>
          <w:rFonts w:ascii="Times New Roman" w:hAnsi="Times New Roman" w:cs="Times New Roman"/>
          <w:sz w:val="26"/>
          <w:szCs w:val="26"/>
        </w:rPr>
        <w:t>reason for</w:t>
      </w:r>
      <w:r w:rsidRPr="00E41E44">
        <w:rPr>
          <w:rFonts w:ascii="Times New Roman" w:hAnsi="Times New Roman" w:cs="Times New Roman"/>
          <w:sz w:val="26"/>
          <w:szCs w:val="26"/>
        </w:rPr>
        <w:t xml:space="preserve"> the </w:t>
      </w:r>
      <w:r>
        <w:rPr>
          <w:rFonts w:ascii="Times New Roman" w:hAnsi="Times New Roman" w:cs="Times New Roman"/>
          <w:sz w:val="26"/>
          <w:szCs w:val="26"/>
        </w:rPr>
        <w:t>C</w:t>
      </w:r>
      <w:r w:rsidRPr="00E41E44">
        <w:rPr>
          <w:rFonts w:ascii="Times New Roman" w:hAnsi="Times New Roman" w:cs="Times New Roman"/>
          <w:sz w:val="26"/>
          <w:szCs w:val="26"/>
        </w:rPr>
        <w:t xml:space="preserve">omplaint, </w:t>
      </w:r>
      <w:r w:rsidR="00B75FC9">
        <w:rPr>
          <w:rFonts w:ascii="Times New Roman" w:hAnsi="Times New Roman" w:cs="Times New Roman"/>
          <w:sz w:val="26"/>
          <w:szCs w:val="26"/>
        </w:rPr>
        <w:t>the Complainant alleged that there were incorrect charges on its bill.</w:t>
      </w:r>
      <w:r w:rsidR="00345D04">
        <w:rPr>
          <w:rFonts w:ascii="Times New Roman" w:hAnsi="Times New Roman" w:cs="Times New Roman"/>
          <w:sz w:val="26"/>
          <w:szCs w:val="26"/>
        </w:rPr>
        <w:t xml:space="preserve">  </w:t>
      </w:r>
      <w:r w:rsidR="00B75FC9">
        <w:rPr>
          <w:rFonts w:ascii="Times New Roman" w:hAnsi="Times New Roman" w:cs="Times New Roman"/>
          <w:sz w:val="26"/>
          <w:szCs w:val="26"/>
        </w:rPr>
        <w:t xml:space="preserve">In response to </w:t>
      </w:r>
      <w:r w:rsidR="00345D04">
        <w:rPr>
          <w:rFonts w:ascii="Times New Roman" w:hAnsi="Times New Roman" w:cs="Times New Roman"/>
          <w:sz w:val="26"/>
          <w:szCs w:val="26"/>
        </w:rPr>
        <w:t>Paragraph 5</w:t>
      </w:r>
      <w:r w:rsidR="00B75FC9">
        <w:rPr>
          <w:rFonts w:ascii="Times New Roman" w:hAnsi="Times New Roman" w:cs="Times New Roman"/>
          <w:sz w:val="26"/>
          <w:szCs w:val="26"/>
        </w:rPr>
        <w:t xml:space="preserve">, which identifies the relief </w:t>
      </w:r>
      <w:r w:rsidR="00345D04">
        <w:rPr>
          <w:rFonts w:ascii="Times New Roman" w:hAnsi="Times New Roman" w:cs="Times New Roman"/>
          <w:sz w:val="26"/>
          <w:szCs w:val="26"/>
        </w:rPr>
        <w:t xml:space="preserve">requested, </w:t>
      </w:r>
      <w:r w:rsidR="00B75FC9">
        <w:rPr>
          <w:rFonts w:ascii="Times New Roman" w:hAnsi="Times New Roman" w:cs="Times New Roman"/>
          <w:sz w:val="26"/>
          <w:szCs w:val="26"/>
        </w:rPr>
        <w:t>the Complainant stated the following:</w:t>
      </w:r>
    </w:p>
    <w:p w:rsidR="00B75FC9" w:rsidRDefault="00B75FC9" w:rsidP="00B75FC9">
      <w:pPr>
        <w:pStyle w:val="ParaTab1"/>
        <w:spacing w:line="360" w:lineRule="auto"/>
        <w:ind w:firstLine="0"/>
        <w:rPr>
          <w:rFonts w:ascii="Times New Roman" w:hAnsi="Times New Roman" w:cs="Times New Roman"/>
          <w:sz w:val="26"/>
          <w:szCs w:val="26"/>
        </w:rPr>
      </w:pPr>
    </w:p>
    <w:p w:rsidR="00B75FC9" w:rsidRDefault="00B75FC9" w:rsidP="00B75FC9">
      <w:pPr>
        <w:pStyle w:val="ParaTab1"/>
        <w:ind w:left="1440" w:right="1440" w:firstLine="0"/>
        <w:rPr>
          <w:rFonts w:ascii="Times New Roman" w:hAnsi="Times New Roman" w:cs="Times New Roman"/>
          <w:sz w:val="26"/>
          <w:szCs w:val="26"/>
        </w:rPr>
      </w:pPr>
      <w:r>
        <w:rPr>
          <w:rFonts w:ascii="Times New Roman" w:hAnsi="Times New Roman" w:cs="Times New Roman"/>
          <w:sz w:val="26"/>
          <w:szCs w:val="26"/>
        </w:rPr>
        <w:t xml:space="preserve">Electricity bill for the period 12-20-13 to 1-20-14 was assessed on a demand usage rate due to UGI Energy Services contract starting 1-20-14 instead of 12-20-13 when previous energy supplier contract ended.  Previous provider was Liberty Power Holdings, LLC.  I contacted UGI Energy Supplier </w:t>
      </w:r>
      <w:r w:rsidR="00D1737C">
        <w:rPr>
          <w:rFonts w:ascii="Times New Roman" w:hAnsi="Times New Roman" w:cs="Times New Roman"/>
          <w:sz w:val="26"/>
          <w:szCs w:val="26"/>
        </w:rPr>
        <w:t xml:space="preserve">[sic] </w:t>
      </w:r>
      <w:r>
        <w:rPr>
          <w:rFonts w:ascii="Times New Roman" w:hAnsi="Times New Roman" w:cs="Times New Roman"/>
          <w:sz w:val="26"/>
          <w:szCs w:val="26"/>
        </w:rPr>
        <w:t>numerous times to remedy the start date effect without success.  UGI Energy Services is unwilling to roll back start date or negotiate an alternative rate for the lapsed month.</w:t>
      </w:r>
    </w:p>
    <w:p w:rsidR="00B75FC9" w:rsidRDefault="00B75FC9" w:rsidP="00B75FC9">
      <w:pPr>
        <w:pStyle w:val="ParaTab1"/>
        <w:ind w:firstLine="0"/>
        <w:rPr>
          <w:rFonts w:ascii="Times New Roman" w:hAnsi="Times New Roman" w:cs="Times New Roman"/>
          <w:sz w:val="26"/>
          <w:szCs w:val="26"/>
        </w:rPr>
      </w:pPr>
    </w:p>
    <w:p w:rsidR="00B75FC9" w:rsidRDefault="00B75FC9" w:rsidP="00B75FC9">
      <w:pPr>
        <w:pStyle w:val="ParaTab1"/>
        <w:ind w:firstLine="0"/>
        <w:rPr>
          <w:rFonts w:ascii="Times New Roman" w:hAnsi="Times New Roman" w:cs="Times New Roman"/>
          <w:sz w:val="26"/>
          <w:szCs w:val="26"/>
        </w:rPr>
      </w:pPr>
    </w:p>
    <w:p w:rsidR="004C141E" w:rsidRPr="0033406C" w:rsidRDefault="00B75FC9" w:rsidP="00B75FC9">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Complaint at 3.</w:t>
      </w:r>
      <w:r w:rsidR="00AC33FD">
        <w:rPr>
          <w:rFonts w:ascii="Times New Roman" w:hAnsi="Times New Roman" w:cs="Times New Roman"/>
          <w:sz w:val="26"/>
          <w:szCs w:val="26"/>
        </w:rPr>
        <w:t xml:space="preserve">  </w:t>
      </w:r>
      <w:r w:rsidR="008D275D">
        <w:rPr>
          <w:rFonts w:ascii="Times New Roman" w:hAnsi="Times New Roman" w:cs="Times New Roman"/>
          <w:sz w:val="26"/>
          <w:szCs w:val="26"/>
        </w:rPr>
        <w:t>Green Hills</w:t>
      </w:r>
      <w:r w:rsidR="00AC33FD">
        <w:rPr>
          <w:rFonts w:ascii="Times New Roman" w:hAnsi="Times New Roman" w:cs="Times New Roman"/>
          <w:sz w:val="26"/>
          <w:szCs w:val="26"/>
        </w:rPr>
        <w:t xml:space="preserve"> attached to its Complaint a copy of its January 29, 2014 bill for th</w:t>
      </w:r>
      <w:r w:rsidR="00A50F0B">
        <w:rPr>
          <w:rFonts w:ascii="Times New Roman" w:hAnsi="Times New Roman" w:cs="Times New Roman"/>
          <w:sz w:val="26"/>
          <w:szCs w:val="26"/>
        </w:rPr>
        <w:t>e</w:t>
      </w:r>
      <w:r w:rsidR="00AC33FD">
        <w:rPr>
          <w:rFonts w:ascii="Times New Roman" w:hAnsi="Times New Roman" w:cs="Times New Roman"/>
          <w:sz w:val="26"/>
          <w:szCs w:val="26"/>
        </w:rPr>
        <w:t xml:space="preserve"> December 20, 2013, to January 20, 2014</w:t>
      </w:r>
      <w:r w:rsidR="00D733A8">
        <w:rPr>
          <w:rFonts w:ascii="Times New Roman" w:hAnsi="Times New Roman" w:cs="Times New Roman"/>
          <w:sz w:val="26"/>
          <w:szCs w:val="26"/>
        </w:rPr>
        <w:t xml:space="preserve"> billing period (</w:t>
      </w:r>
      <w:r w:rsidR="008D275D">
        <w:rPr>
          <w:rFonts w:ascii="Times New Roman" w:hAnsi="Times New Roman" w:cs="Times New Roman"/>
          <w:sz w:val="26"/>
          <w:szCs w:val="26"/>
        </w:rPr>
        <w:t xml:space="preserve">disputed </w:t>
      </w:r>
      <w:r w:rsidR="00D733A8">
        <w:rPr>
          <w:rFonts w:ascii="Times New Roman" w:hAnsi="Times New Roman" w:cs="Times New Roman"/>
          <w:sz w:val="26"/>
          <w:szCs w:val="26"/>
        </w:rPr>
        <w:t>billing period)</w:t>
      </w:r>
      <w:r w:rsidR="00AC33FD">
        <w:rPr>
          <w:rFonts w:ascii="Times New Roman" w:hAnsi="Times New Roman" w:cs="Times New Roman"/>
          <w:sz w:val="26"/>
          <w:szCs w:val="26"/>
        </w:rPr>
        <w:t>.</w:t>
      </w:r>
    </w:p>
    <w:p w:rsidR="004C141E" w:rsidRDefault="004C141E" w:rsidP="00B75FC9">
      <w:pPr>
        <w:pStyle w:val="ParaTab1"/>
        <w:spacing w:line="360" w:lineRule="auto"/>
        <w:ind w:firstLine="0"/>
        <w:rPr>
          <w:rFonts w:ascii="Times New Roman" w:hAnsi="Times New Roman" w:cs="Times New Roman"/>
          <w:sz w:val="26"/>
          <w:szCs w:val="26"/>
        </w:rPr>
      </w:pPr>
    </w:p>
    <w:p w:rsidR="00A00704" w:rsidRDefault="00AC33FD" w:rsidP="00AC33FD">
      <w:pPr>
        <w:pStyle w:val="ParaTab1"/>
        <w:spacing w:line="360" w:lineRule="auto"/>
        <w:rPr>
          <w:rFonts w:ascii="Times New Roman" w:hAnsi="Times New Roman" w:cs="Times New Roman"/>
          <w:sz w:val="26"/>
          <w:szCs w:val="26"/>
        </w:rPr>
      </w:pPr>
      <w:r>
        <w:rPr>
          <w:rFonts w:ascii="Times New Roman" w:hAnsi="Times New Roman" w:cs="Times New Roman"/>
          <w:sz w:val="26"/>
          <w:szCs w:val="26"/>
        </w:rPr>
        <w:t xml:space="preserve">On July 31, 2014, UGIES filed an Answer and New Matter </w:t>
      </w:r>
      <w:r w:rsidR="00D733A8">
        <w:rPr>
          <w:rFonts w:ascii="Times New Roman" w:hAnsi="Times New Roman" w:cs="Times New Roman"/>
          <w:sz w:val="26"/>
          <w:szCs w:val="26"/>
        </w:rPr>
        <w:t xml:space="preserve">(Answer) </w:t>
      </w:r>
      <w:r>
        <w:rPr>
          <w:rFonts w:ascii="Times New Roman" w:hAnsi="Times New Roman" w:cs="Times New Roman"/>
          <w:sz w:val="26"/>
          <w:szCs w:val="26"/>
        </w:rPr>
        <w:t>to the Complaint.</w:t>
      </w:r>
      <w:r>
        <w:rPr>
          <w:rStyle w:val="FootnoteReference"/>
          <w:rFonts w:ascii="Times New Roman" w:hAnsi="Times New Roman" w:cs="Times New Roman"/>
        </w:rPr>
        <w:footnoteReference w:id="1"/>
      </w:r>
      <w:r>
        <w:rPr>
          <w:rFonts w:ascii="Times New Roman" w:hAnsi="Times New Roman" w:cs="Times New Roman"/>
          <w:sz w:val="26"/>
          <w:szCs w:val="26"/>
        </w:rPr>
        <w:t xml:space="preserve">  </w:t>
      </w:r>
      <w:r w:rsidR="00D733A8">
        <w:rPr>
          <w:rFonts w:ascii="Times New Roman" w:hAnsi="Times New Roman" w:cs="Times New Roman"/>
          <w:sz w:val="26"/>
          <w:szCs w:val="26"/>
        </w:rPr>
        <w:t>UGIES admitted that Green Hills was a shopping customer that received competitive supply from UGIES at all times material to the Complaint.  The Company denied, however, that it had any service obligations to the Complainant during the</w:t>
      </w:r>
      <w:r w:rsidR="008D275D">
        <w:rPr>
          <w:rFonts w:ascii="Times New Roman" w:hAnsi="Times New Roman" w:cs="Times New Roman"/>
          <w:sz w:val="26"/>
          <w:szCs w:val="26"/>
        </w:rPr>
        <w:t xml:space="preserve"> disputed</w:t>
      </w:r>
      <w:r w:rsidR="00D733A8">
        <w:rPr>
          <w:rFonts w:ascii="Times New Roman" w:hAnsi="Times New Roman" w:cs="Times New Roman"/>
          <w:sz w:val="26"/>
          <w:szCs w:val="26"/>
        </w:rPr>
        <w:t xml:space="preserve"> billing period or that it had any obligation to negotiate an alternate rate for that </w:t>
      </w:r>
      <w:r w:rsidR="00A00704">
        <w:rPr>
          <w:rFonts w:ascii="Times New Roman" w:hAnsi="Times New Roman" w:cs="Times New Roman"/>
          <w:sz w:val="26"/>
          <w:szCs w:val="26"/>
        </w:rPr>
        <w:t>period.  Answer at 2-3.</w:t>
      </w:r>
    </w:p>
    <w:p w:rsidR="00A00704" w:rsidRDefault="00A00704" w:rsidP="00AC33FD">
      <w:pPr>
        <w:pStyle w:val="ParaTab1"/>
        <w:spacing w:line="360" w:lineRule="auto"/>
        <w:rPr>
          <w:rFonts w:ascii="Times New Roman" w:hAnsi="Times New Roman" w:cs="Times New Roman"/>
          <w:sz w:val="26"/>
          <w:szCs w:val="26"/>
        </w:rPr>
      </w:pPr>
    </w:p>
    <w:p w:rsidR="00A50F0B" w:rsidRDefault="00D733A8" w:rsidP="00AC33FD">
      <w:pPr>
        <w:pStyle w:val="ParaTab1"/>
        <w:spacing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In its </w:t>
      </w:r>
      <w:r w:rsidR="0019489C">
        <w:rPr>
          <w:rFonts w:ascii="Times New Roman" w:hAnsi="Times New Roman" w:cs="Times New Roman"/>
          <w:sz w:val="26"/>
          <w:szCs w:val="26"/>
        </w:rPr>
        <w:t>n</w:t>
      </w:r>
      <w:r>
        <w:rPr>
          <w:rFonts w:ascii="Times New Roman" w:hAnsi="Times New Roman" w:cs="Times New Roman"/>
          <w:sz w:val="26"/>
          <w:szCs w:val="26"/>
        </w:rPr>
        <w:t xml:space="preserve">ew </w:t>
      </w:r>
      <w:r w:rsidR="0019489C">
        <w:rPr>
          <w:rFonts w:ascii="Times New Roman" w:hAnsi="Times New Roman" w:cs="Times New Roman"/>
          <w:sz w:val="26"/>
          <w:szCs w:val="26"/>
        </w:rPr>
        <w:t>m</w:t>
      </w:r>
      <w:r>
        <w:rPr>
          <w:rFonts w:ascii="Times New Roman" w:hAnsi="Times New Roman" w:cs="Times New Roman"/>
          <w:sz w:val="26"/>
          <w:szCs w:val="26"/>
        </w:rPr>
        <w:t xml:space="preserve">atter, </w:t>
      </w:r>
      <w:r w:rsidR="004B441B">
        <w:rPr>
          <w:rFonts w:ascii="Times New Roman" w:hAnsi="Times New Roman" w:cs="Times New Roman"/>
          <w:sz w:val="26"/>
          <w:szCs w:val="26"/>
        </w:rPr>
        <w:t>UGIES averred that the Complainant, an experienced commercial shopping customer, specifically requested a contractual start date in January 2014, after the Complainant’s January deliveries of electricity from its then-effective EGS</w:t>
      </w:r>
      <w:r w:rsidR="00A50F0B">
        <w:rPr>
          <w:rFonts w:ascii="Times New Roman" w:hAnsi="Times New Roman" w:cs="Times New Roman"/>
          <w:sz w:val="26"/>
          <w:szCs w:val="26"/>
        </w:rPr>
        <w:t>, Liberty Power Holdings, LLC (Liberty)</w:t>
      </w:r>
      <w:r w:rsidR="004B441B">
        <w:rPr>
          <w:rFonts w:ascii="Times New Roman" w:hAnsi="Times New Roman" w:cs="Times New Roman"/>
          <w:sz w:val="26"/>
          <w:szCs w:val="26"/>
        </w:rPr>
        <w:t xml:space="preserve"> were completed.  UGIES further averred that </w:t>
      </w:r>
      <w:r w:rsidR="00A50F0B">
        <w:rPr>
          <w:rFonts w:ascii="Times New Roman" w:hAnsi="Times New Roman" w:cs="Times New Roman"/>
          <w:sz w:val="26"/>
          <w:szCs w:val="26"/>
        </w:rPr>
        <w:t xml:space="preserve">for </w:t>
      </w:r>
      <w:r w:rsidR="004B441B">
        <w:rPr>
          <w:rFonts w:ascii="Times New Roman" w:hAnsi="Times New Roman" w:cs="Times New Roman"/>
          <w:sz w:val="26"/>
          <w:szCs w:val="26"/>
        </w:rPr>
        <w:t xml:space="preserve">each account for which the Complainant contracted with UGIES by Master Power Sales Agreement </w:t>
      </w:r>
      <w:r w:rsidR="00C47C78">
        <w:rPr>
          <w:rFonts w:ascii="Times New Roman" w:hAnsi="Times New Roman" w:cs="Times New Roman"/>
          <w:sz w:val="26"/>
          <w:szCs w:val="26"/>
        </w:rPr>
        <w:t xml:space="preserve">(MPSA) </w:t>
      </w:r>
      <w:r w:rsidR="004B441B">
        <w:rPr>
          <w:rFonts w:ascii="Times New Roman" w:hAnsi="Times New Roman" w:cs="Times New Roman"/>
          <w:sz w:val="26"/>
          <w:szCs w:val="26"/>
        </w:rPr>
        <w:t>dated August</w:t>
      </w:r>
      <w:r w:rsidR="0030290D">
        <w:rPr>
          <w:rFonts w:ascii="Times New Roman" w:hAnsi="Times New Roman" w:cs="Times New Roman"/>
          <w:sz w:val="26"/>
          <w:szCs w:val="26"/>
        </w:rPr>
        <w:t> </w:t>
      </w:r>
      <w:r w:rsidR="004B441B">
        <w:rPr>
          <w:rFonts w:ascii="Times New Roman" w:hAnsi="Times New Roman" w:cs="Times New Roman"/>
          <w:sz w:val="26"/>
          <w:szCs w:val="26"/>
        </w:rPr>
        <w:t xml:space="preserve">13, 2013, </w:t>
      </w:r>
      <w:r w:rsidR="0030290D">
        <w:rPr>
          <w:rFonts w:ascii="Times New Roman" w:hAnsi="Times New Roman" w:cs="Times New Roman"/>
          <w:sz w:val="26"/>
          <w:szCs w:val="26"/>
        </w:rPr>
        <w:t>it a</w:t>
      </w:r>
      <w:r w:rsidR="004B441B">
        <w:rPr>
          <w:rFonts w:ascii="Times New Roman" w:hAnsi="Times New Roman" w:cs="Times New Roman"/>
          <w:sz w:val="26"/>
          <w:szCs w:val="26"/>
        </w:rPr>
        <w:t xml:space="preserve">greed to a fourteen-month </w:t>
      </w:r>
      <w:r w:rsidR="00A00704">
        <w:rPr>
          <w:rFonts w:ascii="Times New Roman" w:hAnsi="Times New Roman" w:cs="Times New Roman"/>
          <w:sz w:val="26"/>
          <w:szCs w:val="26"/>
        </w:rPr>
        <w:t xml:space="preserve">service </w:t>
      </w:r>
      <w:r w:rsidR="004B441B">
        <w:rPr>
          <w:rFonts w:ascii="Times New Roman" w:hAnsi="Times New Roman" w:cs="Times New Roman"/>
          <w:sz w:val="26"/>
          <w:szCs w:val="26"/>
        </w:rPr>
        <w:t xml:space="preserve">period commencing </w:t>
      </w:r>
      <w:r w:rsidR="0030290D">
        <w:rPr>
          <w:rFonts w:ascii="Times New Roman" w:hAnsi="Times New Roman" w:cs="Times New Roman"/>
          <w:sz w:val="26"/>
          <w:szCs w:val="26"/>
        </w:rPr>
        <w:t xml:space="preserve">either </w:t>
      </w:r>
      <w:r w:rsidR="004B441B">
        <w:rPr>
          <w:rFonts w:ascii="Times New Roman" w:hAnsi="Times New Roman" w:cs="Times New Roman"/>
          <w:sz w:val="26"/>
          <w:szCs w:val="26"/>
        </w:rPr>
        <w:t>January</w:t>
      </w:r>
      <w:r w:rsidR="00A00704">
        <w:rPr>
          <w:rFonts w:ascii="Times New Roman" w:hAnsi="Times New Roman" w:cs="Times New Roman"/>
          <w:sz w:val="26"/>
          <w:szCs w:val="26"/>
        </w:rPr>
        <w:t xml:space="preserve"> 19</w:t>
      </w:r>
      <w:r w:rsidR="00A50F0B">
        <w:rPr>
          <w:rFonts w:ascii="Times New Roman" w:hAnsi="Times New Roman" w:cs="Times New Roman"/>
          <w:sz w:val="26"/>
          <w:szCs w:val="26"/>
        </w:rPr>
        <w:t xml:space="preserve">, 2014, </w:t>
      </w:r>
      <w:r w:rsidR="00A00704">
        <w:rPr>
          <w:rFonts w:ascii="Times New Roman" w:hAnsi="Times New Roman" w:cs="Times New Roman"/>
          <w:sz w:val="26"/>
          <w:szCs w:val="26"/>
        </w:rPr>
        <w:t>or Janu</w:t>
      </w:r>
      <w:r w:rsidR="0030290D">
        <w:rPr>
          <w:rFonts w:ascii="Times New Roman" w:hAnsi="Times New Roman" w:cs="Times New Roman"/>
          <w:sz w:val="26"/>
          <w:szCs w:val="26"/>
        </w:rPr>
        <w:t>ary 23,</w:t>
      </w:r>
      <w:r w:rsidR="004B441B">
        <w:rPr>
          <w:rFonts w:ascii="Times New Roman" w:hAnsi="Times New Roman" w:cs="Times New Roman"/>
          <w:sz w:val="26"/>
          <w:szCs w:val="26"/>
        </w:rPr>
        <w:t xml:space="preserve"> 2014</w:t>
      </w:r>
      <w:r w:rsidR="00A00704">
        <w:rPr>
          <w:rFonts w:ascii="Times New Roman" w:hAnsi="Times New Roman" w:cs="Times New Roman"/>
          <w:sz w:val="26"/>
          <w:szCs w:val="26"/>
        </w:rPr>
        <w:t>,</w:t>
      </w:r>
      <w:r w:rsidR="0030290D">
        <w:rPr>
          <w:rFonts w:ascii="Times New Roman" w:hAnsi="Times New Roman" w:cs="Times New Roman"/>
          <w:sz w:val="26"/>
          <w:szCs w:val="26"/>
        </w:rPr>
        <w:t xml:space="preserve"> and continuing </w:t>
      </w:r>
      <w:r w:rsidR="004B441B">
        <w:rPr>
          <w:rFonts w:ascii="Times New Roman" w:hAnsi="Times New Roman" w:cs="Times New Roman"/>
          <w:sz w:val="26"/>
          <w:szCs w:val="26"/>
        </w:rPr>
        <w:t>through March 2015</w:t>
      </w:r>
      <w:r w:rsidR="00C47C78">
        <w:rPr>
          <w:rFonts w:ascii="Times New Roman" w:hAnsi="Times New Roman" w:cs="Times New Roman"/>
          <w:sz w:val="26"/>
          <w:szCs w:val="26"/>
        </w:rPr>
        <w:t>, as confirmed in the Confirmation Agreements accompanying the MPSA</w:t>
      </w:r>
      <w:r w:rsidR="004B441B">
        <w:rPr>
          <w:rFonts w:ascii="Times New Roman" w:hAnsi="Times New Roman" w:cs="Times New Roman"/>
          <w:sz w:val="26"/>
          <w:szCs w:val="26"/>
        </w:rPr>
        <w:t xml:space="preserve">.  </w:t>
      </w:r>
      <w:r w:rsidR="0030290D">
        <w:rPr>
          <w:rFonts w:ascii="Times New Roman" w:hAnsi="Times New Roman" w:cs="Times New Roman"/>
          <w:sz w:val="26"/>
          <w:szCs w:val="26"/>
        </w:rPr>
        <w:t xml:space="preserve">As UGIES averred, “[t]hese start dates were selected solely by Complainant to coincide with what Complainant then believed to be the expiration date of Complainant’[s] then[-]effective contract with Liberty.”  </w:t>
      </w:r>
      <w:r w:rsidR="00A00704">
        <w:rPr>
          <w:rFonts w:ascii="Times New Roman" w:hAnsi="Times New Roman" w:cs="Times New Roman"/>
          <w:i/>
          <w:sz w:val="26"/>
          <w:szCs w:val="26"/>
        </w:rPr>
        <w:t>Id.</w:t>
      </w:r>
      <w:r w:rsidR="0030290D">
        <w:rPr>
          <w:rFonts w:ascii="Times New Roman" w:hAnsi="Times New Roman" w:cs="Times New Roman"/>
          <w:sz w:val="26"/>
          <w:szCs w:val="26"/>
        </w:rPr>
        <w:t xml:space="preserve"> at 5.  </w:t>
      </w:r>
      <w:r w:rsidR="0086455B" w:rsidRPr="0086455B">
        <w:rPr>
          <w:rFonts w:ascii="Times New Roman" w:hAnsi="Times New Roman" w:cs="Times New Roman"/>
          <w:sz w:val="26"/>
          <w:szCs w:val="26"/>
        </w:rPr>
        <w:t>No answer to the new matter was filed.</w:t>
      </w:r>
      <w:r w:rsidR="0086455B" w:rsidRPr="0086455B">
        <w:rPr>
          <w:rFonts w:ascii="Times New Roman" w:hAnsi="Times New Roman" w:cs="Times New Roman"/>
          <w:sz w:val="26"/>
          <w:szCs w:val="26"/>
          <w:vertAlign w:val="superscript"/>
        </w:rPr>
        <w:footnoteReference w:id="2"/>
      </w:r>
    </w:p>
    <w:p w:rsidR="00A50F0B" w:rsidRDefault="00A50F0B" w:rsidP="00AC33FD">
      <w:pPr>
        <w:pStyle w:val="ParaTab1"/>
        <w:spacing w:line="360" w:lineRule="auto"/>
        <w:rPr>
          <w:rFonts w:ascii="Times New Roman" w:hAnsi="Times New Roman" w:cs="Times New Roman"/>
          <w:sz w:val="26"/>
          <w:szCs w:val="26"/>
        </w:rPr>
      </w:pPr>
    </w:p>
    <w:p w:rsidR="00C47C78" w:rsidRDefault="0030290D" w:rsidP="00AC33FD">
      <w:pPr>
        <w:pStyle w:val="ParaTab1"/>
        <w:spacing w:line="360" w:lineRule="auto"/>
        <w:rPr>
          <w:rFonts w:ascii="Times New Roman" w:hAnsi="Times New Roman" w:cs="Times New Roman"/>
          <w:sz w:val="26"/>
          <w:szCs w:val="26"/>
        </w:rPr>
      </w:pPr>
      <w:r>
        <w:rPr>
          <w:rFonts w:ascii="Times New Roman" w:hAnsi="Times New Roman" w:cs="Times New Roman"/>
          <w:sz w:val="26"/>
          <w:szCs w:val="26"/>
        </w:rPr>
        <w:t xml:space="preserve">UGIES further alleged that it “strictly deferred to Complainant to select the contractual start date, so as not to interfere with another EGS’ contract or to engage in slamming.”  </w:t>
      </w:r>
      <w:r>
        <w:rPr>
          <w:rFonts w:ascii="Times New Roman" w:hAnsi="Times New Roman" w:cs="Times New Roman"/>
          <w:i/>
          <w:sz w:val="26"/>
          <w:szCs w:val="26"/>
        </w:rPr>
        <w:t>Id.</w:t>
      </w:r>
      <w:r>
        <w:rPr>
          <w:rFonts w:ascii="Times New Roman" w:hAnsi="Times New Roman" w:cs="Times New Roman"/>
          <w:sz w:val="26"/>
          <w:szCs w:val="26"/>
        </w:rPr>
        <w:t xml:space="preserve">  UGIES contended that the Complainant only complained to UGIES on February 18, 2014, after </w:t>
      </w:r>
      <w:r w:rsidR="00FA3B85">
        <w:rPr>
          <w:rFonts w:ascii="Times New Roman" w:hAnsi="Times New Roman" w:cs="Times New Roman"/>
          <w:sz w:val="26"/>
          <w:szCs w:val="26"/>
        </w:rPr>
        <w:t xml:space="preserve">the </w:t>
      </w:r>
      <w:r>
        <w:rPr>
          <w:rFonts w:ascii="Times New Roman" w:hAnsi="Times New Roman" w:cs="Times New Roman"/>
          <w:sz w:val="26"/>
          <w:szCs w:val="26"/>
        </w:rPr>
        <w:t>December/January supply had already been delivered, and even then stated that it had just determined that its contract with Liberty had ended December</w:t>
      </w:r>
      <w:r w:rsidR="007E4C7E">
        <w:rPr>
          <w:rFonts w:ascii="Times New Roman" w:hAnsi="Times New Roman" w:cs="Times New Roman"/>
          <w:sz w:val="26"/>
          <w:szCs w:val="26"/>
        </w:rPr>
        <w:t> </w:t>
      </w:r>
      <w:r>
        <w:rPr>
          <w:rFonts w:ascii="Times New Roman" w:hAnsi="Times New Roman" w:cs="Times New Roman"/>
          <w:sz w:val="26"/>
          <w:szCs w:val="26"/>
        </w:rPr>
        <w:t xml:space="preserve">16, 2013.  UGIES stated that </w:t>
      </w:r>
      <w:r w:rsidR="00FA3B85">
        <w:rPr>
          <w:rFonts w:ascii="Times New Roman" w:hAnsi="Times New Roman" w:cs="Times New Roman"/>
          <w:sz w:val="26"/>
          <w:szCs w:val="26"/>
        </w:rPr>
        <w:t xml:space="preserve">the </w:t>
      </w:r>
      <w:r>
        <w:rPr>
          <w:rFonts w:ascii="Times New Roman" w:hAnsi="Times New Roman" w:cs="Times New Roman"/>
          <w:sz w:val="26"/>
          <w:szCs w:val="26"/>
        </w:rPr>
        <w:t>Complainant</w:t>
      </w:r>
      <w:r w:rsidR="00FA3B85">
        <w:rPr>
          <w:rFonts w:ascii="Times New Roman" w:hAnsi="Times New Roman" w:cs="Times New Roman"/>
          <w:sz w:val="26"/>
          <w:szCs w:val="26"/>
        </w:rPr>
        <w:t>,</w:t>
      </w:r>
      <w:r>
        <w:rPr>
          <w:rFonts w:ascii="Times New Roman" w:hAnsi="Times New Roman" w:cs="Times New Roman"/>
          <w:sz w:val="26"/>
          <w:szCs w:val="26"/>
        </w:rPr>
        <w:t xml:space="preserve"> </w:t>
      </w:r>
      <w:r w:rsidR="00FA3B85">
        <w:rPr>
          <w:rFonts w:ascii="Times New Roman" w:hAnsi="Times New Roman" w:cs="Times New Roman"/>
          <w:sz w:val="26"/>
          <w:szCs w:val="26"/>
        </w:rPr>
        <w:t>as an existing customer of another EGS, “</w:t>
      </w:r>
      <w:r>
        <w:rPr>
          <w:rFonts w:ascii="Times New Roman" w:hAnsi="Times New Roman" w:cs="Times New Roman"/>
          <w:sz w:val="26"/>
          <w:szCs w:val="26"/>
        </w:rPr>
        <w:t xml:space="preserve">knew or should have known the terms of its contract with Liberty” and that “UGIES had no legal or contractual obligation to commence service to Complainant sooner than it did.”  </w:t>
      </w:r>
      <w:r>
        <w:rPr>
          <w:rFonts w:ascii="Times New Roman" w:hAnsi="Times New Roman" w:cs="Times New Roman"/>
          <w:i/>
          <w:sz w:val="26"/>
          <w:szCs w:val="26"/>
        </w:rPr>
        <w:t>Id.</w:t>
      </w:r>
      <w:r>
        <w:rPr>
          <w:rFonts w:ascii="Times New Roman" w:hAnsi="Times New Roman" w:cs="Times New Roman"/>
          <w:sz w:val="26"/>
          <w:szCs w:val="26"/>
        </w:rPr>
        <w:t xml:space="preserve"> at 5, 6.  Rather, contended UGIES, the Complainant’s recourse, if any, lay with its supplier of record for the</w:t>
      </w:r>
      <w:r w:rsidR="008D275D">
        <w:rPr>
          <w:rFonts w:ascii="Times New Roman" w:hAnsi="Times New Roman" w:cs="Times New Roman"/>
          <w:sz w:val="26"/>
          <w:szCs w:val="26"/>
        </w:rPr>
        <w:t xml:space="preserve"> disputed</w:t>
      </w:r>
      <w:r>
        <w:rPr>
          <w:rFonts w:ascii="Times New Roman" w:hAnsi="Times New Roman" w:cs="Times New Roman"/>
          <w:sz w:val="26"/>
          <w:szCs w:val="26"/>
        </w:rPr>
        <w:t xml:space="preserve"> billing period, not with UGIES.  Accordingly, concluded </w:t>
      </w:r>
      <w:r w:rsidR="004B441B">
        <w:rPr>
          <w:rFonts w:ascii="Times New Roman" w:hAnsi="Times New Roman" w:cs="Times New Roman"/>
          <w:sz w:val="26"/>
          <w:szCs w:val="26"/>
        </w:rPr>
        <w:t>UGIES</w:t>
      </w:r>
      <w:r>
        <w:rPr>
          <w:rFonts w:ascii="Times New Roman" w:hAnsi="Times New Roman" w:cs="Times New Roman"/>
          <w:sz w:val="26"/>
          <w:szCs w:val="26"/>
        </w:rPr>
        <w:t xml:space="preserve">, the Complainant failed to state a claim upon which relief could be granted.  </w:t>
      </w:r>
      <w:r>
        <w:rPr>
          <w:rFonts w:ascii="Times New Roman" w:hAnsi="Times New Roman" w:cs="Times New Roman"/>
          <w:i/>
          <w:sz w:val="26"/>
          <w:szCs w:val="26"/>
        </w:rPr>
        <w:t>Id.</w:t>
      </w:r>
      <w:r>
        <w:rPr>
          <w:rFonts w:ascii="Times New Roman" w:hAnsi="Times New Roman" w:cs="Times New Roman"/>
          <w:sz w:val="26"/>
          <w:szCs w:val="26"/>
        </w:rPr>
        <w:t xml:space="preserve"> at 6.  </w:t>
      </w:r>
      <w:r w:rsidR="00C47C78">
        <w:rPr>
          <w:rFonts w:ascii="Times New Roman" w:hAnsi="Times New Roman" w:cs="Times New Roman"/>
          <w:sz w:val="26"/>
          <w:szCs w:val="26"/>
        </w:rPr>
        <w:t xml:space="preserve">UGIES attached to its Answer a copy of the MPSA and </w:t>
      </w:r>
      <w:r w:rsidR="00FA3B85">
        <w:rPr>
          <w:rFonts w:ascii="Times New Roman" w:hAnsi="Times New Roman" w:cs="Times New Roman"/>
          <w:sz w:val="26"/>
          <w:szCs w:val="26"/>
        </w:rPr>
        <w:t xml:space="preserve">the </w:t>
      </w:r>
      <w:r w:rsidR="00C47C78">
        <w:rPr>
          <w:rFonts w:ascii="Times New Roman" w:hAnsi="Times New Roman" w:cs="Times New Roman"/>
          <w:sz w:val="26"/>
          <w:szCs w:val="26"/>
        </w:rPr>
        <w:t>Confirmation Agreements.</w:t>
      </w:r>
    </w:p>
    <w:p w:rsidR="00C47C78" w:rsidRDefault="00C47C78" w:rsidP="00AC33FD">
      <w:pPr>
        <w:pStyle w:val="ParaTab1"/>
        <w:spacing w:line="360" w:lineRule="auto"/>
        <w:rPr>
          <w:rFonts w:ascii="Times New Roman" w:hAnsi="Times New Roman" w:cs="Times New Roman"/>
          <w:sz w:val="26"/>
          <w:szCs w:val="26"/>
        </w:rPr>
      </w:pPr>
    </w:p>
    <w:p w:rsidR="001258CC" w:rsidRDefault="001258CC" w:rsidP="00AC33FD">
      <w:pPr>
        <w:pStyle w:val="ParaTab1"/>
        <w:spacing w:line="360" w:lineRule="auto"/>
        <w:rPr>
          <w:rFonts w:ascii="Times New Roman" w:hAnsi="Times New Roman" w:cs="Times New Roman"/>
          <w:sz w:val="26"/>
          <w:szCs w:val="26"/>
        </w:rPr>
      </w:pPr>
      <w:r>
        <w:rPr>
          <w:rFonts w:ascii="Times New Roman" w:hAnsi="Times New Roman" w:cs="Times New Roman"/>
          <w:sz w:val="26"/>
          <w:szCs w:val="26"/>
        </w:rPr>
        <w:lastRenderedPageBreak/>
        <w:t>A hearing notice was issued on August 26, 2014, scheduling a telephonic hearing for October 27, 2014.  By Prehearing Order dated October 17, 201</w:t>
      </w:r>
      <w:r w:rsidR="00842E66">
        <w:rPr>
          <w:rFonts w:ascii="Times New Roman" w:hAnsi="Times New Roman" w:cs="Times New Roman"/>
          <w:sz w:val="26"/>
          <w:szCs w:val="26"/>
        </w:rPr>
        <w:t>4</w:t>
      </w:r>
      <w:r>
        <w:rPr>
          <w:rFonts w:ascii="Times New Roman" w:hAnsi="Times New Roman" w:cs="Times New Roman"/>
          <w:sz w:val="26"/>
          <w:szCs w:val="26"/>
        </w:rPr>
        <w:t>, the ALJ confirmed the hearing date and provided the parties additional instructions regarding the proceeding.  By Order dated October 22, 2014, the ALJ granted the Complainant’s request for a continuance in order to secure legal counsel, and the hearing was subsequently</w:t>
      </w:r>
      <w:r w:rsidR="00842E66">
        <w:rPr>
          <w:rFonts w:ascii="Times New Roman" w:hAnsi="Times New Roman" w:cs="Times New Roman"/>
          <w:sz w:val="26"/>
          <w:szCs w:val="26"/>
        </w:rPr>
        <w:t xml:space="preserve"> rescheduled to December 4, 2014</w:t>
      </w:r>
      <w:r>
        <w:rPr>
          <w:rFonts w:ascii="Times New Roman" w:hAnsi="Times New Roman" w:cs="Times New Roman"/>
          <w:sz w:val="26"/>
          <w:szCs w:val="26"/>
        </w:rPr>
        <w:t>.</w:t>
      </w:r>
    </w:p>
    <w:p w:rsidR="001258CC" w:rsidRDefault="001258CC" w:rsidP="00AC33FD">
      <w:pPr>
        <w:pStyle w:val="ParaTab1"/>
        <w:spacing w:line="360" w:lineRule="auto"/>
        <w:rPr>
          <w:rFonts w:ascii="Times New Roman" w:hAnsi="Times New Roman" w:cs="Times New Roman"/>
          <w:sz w:val="26"/>
          <w:szCs w:val="26"/>
        </w:rPr>
      </w:pPr>
    </w:p>
    <w:p w:rsidR="001222DD" w:rsidRDefault="001258CC" w:rsidP="00C64521">
      <w:pPr>
        <w:pStyle w:val="ParaTab1"/>
        <w:spacing w:line="360" w:lineRule="auto"/>
        <w:rPr>
          <w:rFonts w:ascii="Times New Roman" w:hAnsi="Times New Roman" w:cs="Times New Roman"/>
          <w:sz w:val="26"/>
          <w:szCs w:val="26"/>
        </w:rPr>
      </w:pPr>
      <w:r w:rsidRPr="001258CC">
        <w:rPr>
          <w:rFonts w:ascii="Times New Roman" w:hAnsi="Times New Roman" w:cs="Times New Roman"/>
          <w:sz w:val="26"/>
          <w:szCs w:val="26"/>
        </w:rPr>
        <w:t xml:space="preserve">The telephonic hearing was convened </w:t>
      </w:r>
      <w:r>
        <w:rPr>
          <w:rFonts w:ascii="Times New Roman" w:hAnsi="Times New Roman" w:cs="Times New Roman"/>
          <w:sz w:val="26"/>
          <w:szCs w:val="26"/>
        </w:rPr>
        <w:t>as rescheduled</w:t>
      </w:r>
      <w:r w:rsidRPr="001258CC">
        <w:rPr>
          <w:rFonts w:ascii="Times New Roman" w:hAnsi="Times New Roman" w:cs="Times New Roman"/>
          <w:sz w:val="26"/>
          <w:szCs w:val="26"/>
        </w:rPr>
        <w:t xml:space="preserve">, </w:t>
      </w:r>
      <w:r w:rsidR="00A50F0B">
        <w:rPr>
          <w:rFonts w:ascii="Times New Roman" w:hAnsi="Times New Roman" w:cs="Times New Roman"/>
          <w:sz w:val="26"/>
          <w:szCs w:val="26"/>
        </w:rPr>
        <w:t xml:space="preserve">and both </w:t>
      </w:r>
      <w:r w:rsidRPr="001258CC">
        <w:rPr>
          <w:rFonts w:ascii="Times New Roman" w:hAnsi="Times New Roman" w:cs="Times New Roman"/>
          <w:sz w:val="26"/>
          <w:szCs w:val="26"/>
        </w:rPr>
        <w:t xml:space="preserve">the Complainant and </w:t>
      </w:r>
      <w:r>
        <w:rPr>
          <w:rFonts w:ascii="Times New Roman" w:hAnsi="Times New Roman" w:cs="Times New Roman"/>
          <w:sz w:val="26"/>
          <w:szCs w:val="26"/>
        </w:rPr>
        <w:t xml:space="preserve">UGIES </w:t>
      </w:r>
      <w:r w:rsidR="00A50F0B">
        <w:rPr>
          <w:rFonts w:ascii="Times New Roman" w:hAnsi="Times New Roman" w:cs="Times New Roman"/>
          <w:sz w:val="26"/>
          <w:szCs w:val="26"/>
        </w:rPr>
        <w:t xml:space="preserve">appeared and </w:t>
      </w:r>
      <w:r w:rsidRPr="001258CC">
        <w:rPr>
          <w:rFonts w:ascii="Times New Roman" w:hAnsi="Times New Roman" w:cs="Times New Roman"/>
          <w:sz w:val="26"/>
          <w:szCs w:val="26"/>
        </w:rPr>
        <w:t xml:space="preserve">were represented by counsel.  The Complainant presented the testimony of two witnesses, </w:t>
      </w:r>
      <w:r>
        <w:rPr>
          <w:rFonts w:ascii="Times New Roman" w:hAnsi="Times New Roman" w:cs="Times New Roman"/>
          <w:sz w:val="26"/>
          <w:szCs w:val="26"/>
        </w:rPr>
        <w:t>Joseph Brendl</w:t>
      </w:r>
      <w:r w:rsidR="00512F03">
        <w:rPr>
          <w:rFonts w:ascii="Times New Roman" w:hAnsi="Times New Roman" w:cs="Times New Roman"/>
          <w:sz w:val="26"/>
          <w:szCs w:val="26"/>
        </w:rPr>
        <w:t>e</w:t>
      </w:r>
      <w:r>
        <w:rPr>
          <w:rFonts w:ascii="Times New Roman" w:hAnsi="Times New Roman" w:cs="Times New Roman"/>
          <w:sz w:val="26"/>
          <w:szCs w:val="26"/>
        </w:rPr>
        <w:t xml:space="preserve">n, </w:t>
      </w:r>
      <w:r w:rsidR="00C64521">
        <w:rPr>
          <w:rFonts w:ascii="Times New Roman" w:hAnsi="Times New Roman" w:cs="Times New Roman"/>
          <w:sz w:val="26"/>
          <w:szCs w:val="26"/>
        </w:rPr>
        <w:t xml:space="preserve">Green Hills’ </w:t>
      </w:r>
      <w:r>
        <w:rPr>
          <w:rFonts w:ascii="Times New Roman" w:hAnsi="Times New Roman" w:cs="Times New Roman"/>
          <w:sz w:val="26"/>
          <w:szCs w:val="26"/>
        </w:rPr>
        <w:t xml:space="preserve">Director of Financial Services, and Michael Schmincke, </w:t>
      </w:r>
      <w:r w:rsidR="00C64521">
        <w:rPr>
          <w:rFonts w:ascii="Times New Roman" w:hAnsi="Times New Roman" w:cs="Times New Roman"/>
          <w:sz w:val="26"/>
          <w:szCs w:val="26"/>
        </w:rPr>
        <w:t xml:space="preserve">its </w:t>
      </w:r>
      <w:r>
        <w:rPr>
          <w:rFonts w:ascii="Times New Roman" w:hAnsi="Times New Roman" w:cs="Times New Roman"/>
          <w:sz w:val="26"/>
          <w:szCs w:val="26"/>
        </w:rPr>
        <w:t xml:space="preserve">Director of Plant Operations.  The Complainant also moved into evidence five exhibits.  UGIES presented the testimony of one witness, Ryan McCormick, its Regional Sales Manager, and moved </w:t>
      </w:r>
      <w:r w:rsidR="00A50F0B">
        <w:rPr>
          <w:rFonts w:ascii="Times New Roman" w:hAnsi="Times New Roman" w:cs="Times New Roman"/>
          <w:sz w:val="26"/>
          <w:szCs w:val="26"/>
        </w:rPr>
        <w:t xml:space="preserve">into evidence </w:t>
      </w:r>
      <w:r>
        <w:rPr>
          <w:rFonts w:ascii="Times New Roman" w:hAnsi="Times New Roman" w:cs="Times New Roman"/>
          <w:sz w:val="26"/>
          <w:szCs w:val="26"/>
        </w:rPr>
        <w:t xml:space="preserve">four exhibits.  </w:t>
      </w:r>
      <w:r w:rsidR="00C64521" w:rsidRPr="00C64521">
        <w:rPr>
          <w:rFonts w:ascii="Times New Roman" w:hAnsi="Times New Roman" w:cs="Times New Roman"/>
          <w:sz w:val="26"/>
          <w:szCs w:val="26"/>
        </w:rPr>
        <w:t>The hearing transcript comprises eighty-four pages.</w:t>
      </w:r>
    </w:p>
    <w:p w:rsidR="001222DD" w:rsidRDefault="001222DD" w:rsidP="001258CC">
      <w:pPr>
        <w:pStyle w:val="ParaTab1"/>
        <w:spacing w:line="360" w:lineRule="auto"/>
        <w:rPr>
          <w:rFonts w:ascii="Times New Roman" w:hAnsi="Times New Roman" w:cs="Times New Roman"/>
          <w:sz w:val="26"/>
          <w:szCs w:val="26"/>
        </w:rPr>
      </w:pPr>
    </w:p>
    <w:p w:rsidR="001258CC" w:rsidRDefault="001222DD" w:rsidP="001258CC">
      <w:pPr>
        <w:pStyle w:val="ParaTab1"/>
        <w:spacing w:line="360" w:lineRule="auto"/>
        <w:rPr>
          <w:rFonts w:ascii="Times New Roman" w:hAnsi="Times New Roman" w:cs="Times New Roman"/>
          <w:sz w:val="26"/>
          <w:szCs w:val="26"/>
        </w:rPr>
      </w:pPr>
      <w:r>
        <w:rPr>
          <w:rFonts w:ascii="Times New Roman" w:hAnsi="Times New Roman" w:cs="Times New Roman"/>
          <w:sz w:val="26"/>
          <w:szCs w:val="26"/>
        </w:rPr>
        <w:t xml:space="preserve">By </w:t>
      </w:r>
      <w:r w:rsidR="00C64521">
        <w:rPr>
          <w:rFonts w:ascii="Times New Roman" w:hAnsi="Times New Roman" w:cs="Times New Roman"/>
          <w:sz w:val="26"/>
          <w:szCs w:val="26"/>
        </w:rPr>
        <w:t xml:space="preserve">Post-Hearing </w:t>
      </w:r>
      <w:r>
        <w:rPr>
          <w:rFonts w:ascii="Times New Roman" w:hAnsi="Times New Roman" w:cs="Times New Roman"/>
          <w:sz w:val="26"/>
          <w:szCs w:val="26"/>
        </w:rPr>
        <w:t>Order dated December 22, 2014</w:t>
      </w:r>
      <w:r w:rsidR="00A851D7">
        <w:rPr>
          <w:rFonts w:ascii="Times New Roman" w:hAnsi="Times New Roman" w:cs="Times New Roman"/>
          <w:sz w:val="26"/>
          <w:szCs w:val="26"/>
        </w:rPr>
        <w:t xml:space="preserve"> (Post-Hearing Order)</w:t>
      </w:r>
      <w:r>
        <w:rPr>
          <w:rFonts w:ascii="Times New Roman" w:hAnsi="Times New Roman" w:cs="Times New Roman"/>
          <w:sz w:val="26"/>
          <w:szCs w:val="26"/>
        </w:rPr>
        <w:t xml:space="preserve">, the ALJ </w:t>
      </w:r>
      <w:r w:rsidR="00C17E4E">
        <w:rPr>
          <w:rFonts w:ascii="Times New Roman" w:hAnsi="Times New Roman" w:cs="Times New Roman"/>
          <w:sz w:val="26"/>
          <w:szCs w:val="26"/>
        </w:rPr>
        <w:t>noted that Green Hills charac</w:t>
      </w:r>
      <w:r>
        <w:rPr>
          <w:rFonts w:ascii="Times New Roman" w:hAnsi="Times New Roman" w:cs="Times New Roman"/>
          <w:sz w:val="26"/>
          <w:szCs w:val="26"/>
        </w:rPr>
        <w:t xml:space="preserve">terized </w:t>
      </w:r>
      <w:r w:rsidR="00C17E4E">
        <w:rPr>
          <w:rFonts w:ascii="Times New Roman" w:hAnsi="Times New Roman" w:cs="Times New Roman"/>
          <w:sz w:val="26"/>
          <w:szCs w:val="26"/>
        </w:rPr>
        <w:t>its Complaint as a billing dispute over which the Commission had jurisdiction, and that the relief requested was a roll</w:t>
      </w:r>
      <w:r w:rsidR="00814A44">
        <w:rPr>
          <w:rFonts w:ascii="Times New Roman" w:hAnsi="Times New Roman" w:cs="Times New Roman"/>
          <w:sz w:val="26"/>
          <w:szCs w:val="26"/>
        </w:rPr>
        <w:t>-</w:t>
      </w:r>
      <w:r w:rsidR="00C17E4E">
        <w:rPr>
          <w:rFonts w:ascii="Times New Roman" w:hAnsi="Times New Roman" w:cs="Times New Roman"/>
          <w:sz w:val="26"/>
          <w:szCs w:val="26"/>
        </w:rPr>
        <w:t xml:space="preserve">back of the UGIES MPSA start date or negotiation of an alternative rate for the </w:t>
      </w:r>
      <w:r w:rsidR="008D275D">
        <w:rPr>
          <w:rFonts w:ascii="Times New Roman" w:hAnsi="Times New Roman" w:cs="Times New Roman"/>
          <w:sz w:val="26"/>
          <w:szCs w:val="26"/>
        </w:rPr>
        <w:t xml:space="preserve">disputed </w:t>
      </w:r>
      <w:r w:rsidR="00C17E4E">
        <w:rPr>
          <w:rFonts w:ascii="Times New Roman" w:hAnsi="Times New Roman" w:cs="Times New Roman"/>
          <w:sz w:val="26"/>
          <w:szCs w:val="26"/>
        </w:rPr>
        <w:t>billing period.  A</w:t>
      </w:r>
      <w:r w:rsidR="007E4C7E">
        <w:rPr>
          <w:rFonts w:ascii="Times New Roman" w:hAnsi="Times New Roman" w:cs="Times New Roman"/>
          <w:sz w:val="26"/>
          <w:szCs w:val="26"/>
        </w:rPr>
        <w:t>ccording to the ALJ, however, a</w:t>
      </w:r>
      <w:r w:rsidR="00C17E4E">
        <w:rPr>
          <w:rFonts w:ascii="Times New Roman" w:hAnsi="Times New Roman" w:cs="Times New Roman"/>
          <w:sz w:val="26"/>
          <w:szCs w:val="26"/>
        </w:rPr>
        <w:t xml:space="preserve">s the matter evolved </w:t>
      </w:r>
      <w:r w:rsidR="00814A44">
        <w:rPr>
          <w:rFonts w:ascii="Times New Roman" w:hAnsi="Times New Roman" w:cs="Times New Roman"/>
          <w:sz w:val="26"/>
          <w:szCs w:val="26"/>
        </w:rPr>
        <w:t>G</w:t>
      </w:r>
      <w:r w:rsidR="00C17E4E">
        <w:rPr>
          <w:rFonts w:ascii="Times New Roman" w:hAnsi="Times New Roman" w:cs="Times New Roman"/>
          <w:sz w:val="26"/>
          <w:szCs w:val="26"/>
        </w:rPr>
        <w:t xml:space="preserve">reen Hills sought </w:t>
      </w:r>
      <w:r w:rsidR="00814A44">
        <w:rPr>
          <w:rFonts w:ascii="Times New Roman" w:hAnsi="Times New Roman" w:cs="Times New Roman"/>
          <w:sz w:val="26"/>
          <w:szCs w:val="26"/>
        </w:rPr>
        <w:t xml:space="preserve">to have the Commission </w:t>
      </w:r>
      <w:r w:rsidR="00C17E4E">
        <w:rPr>
          <w:rFonts w:ascii="Times New Roman" w:hAnsi="Times New Roman" w:cs="Times New Roman"/>
          <w:sz w:val="26"/>
          <w:szCs w:val="26"/>
        </w:rPr>
        <w:t xml:space="preserve">find UGIES responsible for the bill issued for the </w:t>
      </w:r>
      <w:r w:rsidR="008D275D">
        <w:rPr>
          <w:rFonts w:ascii="Times New Roman" w:hAnsi="Times New Roman" w:cs="Times New Roman"/>
          <w:sz w:val="26"/>
          <w:szCs w:val="26"/>
        </w:rPr>
        <w:t xml:space="preserve">disputed </w:t>
      </w:r>
      <w:r w:rsidR="00C17E4E">
        <w:rPr>
          <w:rFonts w:ascii="Times New Roman" w:hAnsi="Times New Roman" w:cs="Times New Roman"/>
          <w:sz w:val="26"/>
          <w:szCs w:val="26"/>
        </w:rPr>
        <w:t>billing period, which billed for supply from the Complainant’s then-effective EGS Liberty</w:t>
      </w:r>
      <w:r w:rsidR="00A50F0B">
        <w:rPr>
          <w:rFonts w:ascii="Times New Roman" w:hAnsi="Times New Roman" w:cs="Times New Roman"/>
          <w:sz w:val="26"/>
          <w:szCs w:val="26"/>
        </w:rPr>
        <w:t xml:space="preserve">.  </w:t>
      </w:r>
      <w:r w:rsidR="00814A44">
        <w:rPr>
          <w:rFonts w:ascii="Times New Roman" w:hAnsi="Times New Roman" w:cs="Times New Roman"/>
          <w:sz w:val="26"/>
          <w:szCs w:val="26"/>
        </w:rPr>
        <w:t xml:space="preserve">Green Hills </w:t>
      </w:r>
      <w:r w:rsidR="00A50F0B">
        <w:rPr>
          <w:rFonts w:ascii="Times New Roman" w:hAnsi="Times New Roman" w:cs="Times New Roman"/>
          <w:sz w:val="26"/>
          <w:szCs w:val="26"/>
        </w:rPr>
        <w:t xml:space="preserve">also </w:t>
      </w:r>
      <w:r w:rsidR="00814A44">
        <w:rPr>
          <w:rFonts w:ascii="Times New Roman" w:hAnsi="Times New Roman" w:cs="Times New Roman"/>
          <w:sz w:val="26"/>
          <w:szCs w:val="26"/>
        </w:rPr>
        <w:t>specifically sought contract reformation</w:t>
      </w:r>
      <w:r w:rsidR="00C64521">
        <w:rPr>
          <w:rFonts w:ascii="Times New Roman" w:hAnsi="Times New Roman" w:cs="Times New Roman"/>
          <w:sz w:val="26"/>
          <w:szCs w:val="26"/>
        </w:rPr>
        <w:t xml:space="preserve"> under Section 5</w:t>
      </w:r>
      <w:r w:rsidR="00A50F0B">
        <w:rPr>
          <w:rFonts w:ascii="Times New Roman" w:hAnsi="Times New Roman" w:cs="Times New Roman"/>
          <w:sz w:val="26"/>
          <w:szCs w:val="26"/>
        </w:rPr>
        <w:t>08 of the Public Utility Code</w:t>
      </w:r>
      <w:r w:rsidR="00FA3B85">
        <w:rPr>
          <w:rFonts w:ascii="Times New Roman" w:hAnsi="Times New Roman" w:cs="Times New Roman"/>
          <w:sz w:val="26"/>
          <w:szCs w:val="26"/>
        </w:rPr>
        <w:t xml:space="preserve"> (Code)</w:t>
      </w:r>
      <w:r w:rsidR="00A50F0B">
        <w:rPr>
          <w:rFonts w:ascii="Times New Roman" w:hAnsi="Times New Roman" w:cs="Times New Roman"/>
          <w:sz w:val="26"/>
          <w:szCs w:val="26"/>
        </w:rPr>
        <w:t>, 66</w:t>
      </w:r>
      <w:r w:rsidR="00C64521">
        <w:rPr>
          <w:rFonts w:ascii="Times New Roman" w:hAnsi="Times New Roman" w:cs="Times New Roman"/>
          <w:sz w:val="26"/>
          <w:szCs w:val="26"/>
        </w:rPr>
        <w:t xml:space="preserve"> Pa. C.S. § 508</w:t>
      </w:r>
      <w:r w:rsidR="00814A44">
        <w:rPr>
          <w:rFonts w:ascii="Times New Roman" w:hAnsi="Times New Roman" w:cs="Times New Roman"/>
          <w:sz w:val="26"/>
          <w:szCs w:val="26"/>
        </w:rPr>
        <w:t>.  Accordingly</w:t>
      </w:r>
      <w:r w:rsidR="00A50F0B">
        <w:rPr>
          <w:rFonts w:ascii="Times New Roman" w:hAnsi="Times New Roman" w:cs="Times New Roman"/>
          <w:sz w:val="26"/>
          <w:szCs w:val="26"/>
        </w:rPr>
        <w:t>,</w:t>
      </w:r>
      <w:r w:rsidR="00814A44">
        <w:rPr>
          <w:rFonts w:ascii="Times New Roman" w:hAnsi="Times New Roman" w:cs="Times New Roman"/>
          <w:sz w:val="26"/>
          <w:szCs w:val="26"/>
        </w:rPr>
        <w:t xml:space="preserve"> the ALJ requested that the parties file briefs addressing the issue whether the Complaint and </w:t>
      </w:r>
      <w:r w:rsidR="008F37EB">
        <w:rPr>
          <w:rFonts w:ascii="Times New Roman" w:hAnsi="Times New Roman" w:cs="Times New Roman"/>
          <w:sz w:val="26"/>
          <w:szCs w:val="26"/>
        </w:rPr>
        <w:t>its requested</w:t>
      </w:r>
      <w:r w:rsidR="00814A44">
        <w:rPr>
          <w:rFonts w:ascii="Times New Roman" w:hAnsi="Times New Roman" w:cs="Times New Roman"/>
          <w:sz w:val="26"/>
          <w:szCs w:val="26"/>
        </w:rPr>
        <w:t xml:space="preserve"> relief </w:t>
      </w:r>
      <w:r w:rsidR="008F37EB">
        <w:rPr>
          <w:rFonts w:ascii="Times New Roman" w:hAnsi="Times New Roman" w:cs="Times New Roman"/>
          <w:sz w:val="26"/>
          <w:szCs w:val="26"/>
        </w:rPr>
        <w:t>were</w:t>
      </w:r>
      <w:r w:rsidR="00814A44">
        <w:rPr>
          <w:rFonts w:ascii="Times New Roman" w:hAnsi="Times New Roman" w:cs="Times New Roman"/>
          <w:sz w:val="26"/>
          <w:szCs w:val="26"/>
        </w:rPr>
        <w:t xml:space="preserve"> properly before the Commission, or whether the Complaint </w:t>
      </w:r>
      <w:r w:rsidR="008F37EB">
        <w:rPr>
          <w:rFonts w:ascii="Times New Roman" w:hAnsi="Times New Roman" w:cs="Times New Roman"/>
          <w:sz w:val="26"/>
          <w:szCs w:val="26"/>
        </w:rPr>
        <w:t xml:space="preserve">presented </w:t>
      </w:r>
      <w:r w:rsidR="00814A44">
        <w:rPr>
          <w:rFonts w:ascii="Times New Roman" w:hAnsi="Times New Roman" w:cs="Times New Roman"/>
          <w:sz w:val="26"/>
          <w:szCs w:val="26"/>
        </w:rPr>
        <w:t xml:space="preserve">a claim for damages properly before </w:t>
      </w:r>
      <w:r w:rsidR="008F37EB">
        <w:rPr>
          <w:rFonts w:ascii="Times New Roman" w:hAnsi="Times New Roman" w:cs="Times New Roman"/>
          <w:sz w:val="26"/>
          <w:szCs w:val="26"/>
        </w:rPr>
        <w:t>a court of common pleas.  Both partie</w:t>
      </w:r>
      <w:r w:rsidR="00C64521">
        <w:rPr>
          <w:rFonts w:ascii="Times New Roman" w:hAnsi="Times New Roman" w:cs="Times New Roman"/>
          <w:sz w:val="26"/>
          <w:szCs w:val="26"/>
        </w:rPr>
        <w:t>s filed main and reply briefs</w:t>
      </w:r>
      <w:r w:rsidR="00F23D1F">
        <w:rPr>
          <w:rFonts w:ascii="Times New Roman" w:hAnsi="Times New Roman" w:cs="Times New Roman"/>
          <w:sz w:val="26"/>
          <w:szCs w:val="26"/>
        </w:rPr>
        <w:t xml:space="preserve"> and the record closed on February 3, 2015</w:t>
      </w:r>
      <w:r w:rsidR="00C64521">
        <w:rPr>
          <w:rFonts w:ascii="Times New Roman" w:hAnsi="Times New Roman" w:cs="Times New Roman"/>
          <w:sz w:val="26"/>
          <w:szCs w:val="26"/>
        </w:rPr>
        <w:t xml:space="preserve">.  </w:t>
      </w:r>
      <w:r w:rsidR="00A851D7">
        <w:rPr>
          <w:rFonts w:ascii="Times New Roman" w:hAnsi="Times New Roman" w:cs="Times New Roman"/>
          <w:sz w:val="26"/>
          <w:szCs w:val="26"/>
        </w:rPr>
        <w:t xml:space="preserve">Post-Hearing Order at 2; </w:t>
      </w:r>
      <w:r w:rsidR="00C64521">
        <w:rPr>
          <w:rFonts w:ascii="Times New Roman" w:hAnsi="Times New Roman" w:cs="Times New Roman"/>
          <w:sz w:val="26"/>
          <w:szCs w:val="26"/>
        </w:rPr>
        <w:t xml:space="preserve">Tr. at </w:t>
      </w:r>
      <w:r w:rsidR="003F01CB">
        <w:rPr>
          <w:rFonts w:ascii="Times New Roman" w:hAnsi="Times New Roman" w:cs="Times New Roman"/>
          <w:sz w:val="26"/>
          <w:szCs w:val="26"/>
        </w:rPr>
        <w:t xml:space="preserve">35, </w:t>
      </w:r>
      <w:r w:rsidR="00C64521">
        <w:rPr>
          <w:rFonts w:ascii="Times New Roman" w:hAnsi="Times New Roman" w:cs="Times New Roman"/>
          <w:sz w:val="26"/>
          <w:szCs w:val="26"/>
        </w:rPr>
        <w:t>74, 83</w:t>
      </w:r>
      <w:r w:rsidR="003F01CB">
        <w:rPr>
          <w:rFonts w:ascii="Times New Roman" w:hAnsi="Times New Roman" w:cs="Times New Roman"/>
          <w:sz w:val="26"/>
          <w:szCs w:val="26"/>
        </w:rPr>
        <w:t xml:space="preserve">; I.D. at </w:t>
      </w:r>
      <w:r w:rsidR="00F23D1F">
        <w:rPr>
          <w:rFonts w:ascii="Times New Roman" w:hAnsi="Times New Roman" w:cs="Times New Roman"/>
          <w:sz w:val="26"/>
          <w:szCs w:val="26"/>
        </w:rPr>
        <w:t xml:space="preserve">3, </w:t>
      </w:r>
      <w:r w:rsidR="00A851D7">
        <w:rPr>
          <w:rFonts w:ascii="Times New Roman" w:hAnsi="Times New Roman" w:cs="Times New Roman"/>
          <w:sz w:val="26"/>
          <w:szCs w:val="26"/>
        </w:rPr>
        <w:t>6.</w:t>
      </w:r>
    </w:p>
    <w:p w:rsidR="00A851D7" w:rsidRPr="001258CC" w:rsidRDefault="00A851D7" w:rsidP="001258CC">
      <w:pPr>
        <w:pStyle w:val="ParaTab1"/>
        <w:spacing w:line="360" w:lineRule="auto"/>
        <w:rPr>
          <w:rFonts w:ascii="Times New Roman" w:hAnsi="Times New Roman" w:cs="Times New Roman"/>
          <w:sz w:val="26"/>
          <w:szCs w:val="26"/>
        </w:rPr>
      </w:pPr>
    </w:p>
    <w:p w:rsidR="001258CC" w:rsidRDefault="001258CC" w:rsidP="001258CC">
      <w:pPr>
        <w:pStyle w:val="ParaTab1"/>
        <w:spacing w:line="360" w:lineRule="auto"/>
        <w:rPr>
          <w:rFonts w:ascii="Times New Roman" w:hAnsi="Times New Roman" w:cs="Times New Roman"/>
          <w:sz w:val="26"/>
          <w:szCs w:val="26"/>
        </w:rPr>
      </w:pPr>
      <w:r w:rsidRPr="001258CC">
        <w:rPr>
          <w:rFonts w:ascii="Times New Roman" w:hAnsi="Times New Roman" w:cs="Times New Roman"/>
          <w:sz w:val="26"/>
          <w:szCs w:val="26"/>
        </w:rPr>
        <w:t xml:space="preserve">On December </w:t>
      </w:r>
      <w:r w:rsidR="00A851D7">
        <w:rPr>
          <w:rFonts w:ascii="Times New Roman" w:hAnsi="Times New Roman" w:cs="Times New Roman"/>
          <w:sz w:val="26"/>
          <w:szCs w:val="26"/>
        </w:rPr>
        <w:t>3</w:t>
      </w:r>
      <w:r w:rsidRPr="001258CC">
        <w:rPr>
          <w:rFonts w:ascii="Times New Roman" w:hAnsi="Times New Roman" w:cs="Times New Roman"/>
          <w:sz w:val="26"/>
          <w:szCs w:val="26"/>
        </w:rPr>
        <w:t>, 2015, the Commission issued the ALJ’s Initial Decision</w:t>
      </w:r>
      <w:r w:rsidR="00F23D1F">
        <w:rPr>
          <w:rFonts w:ascii="Times New Roman" w:hAnsi="Times New Roman" w:cs="Times New Roman"/>
          <w:sz w:val="26"/>
          <w:szCs w:val="26"/>
        </w:rPr>
        <w:t xml:space="preserve"> dismissing the Complaint on jurisdictional grounds</w:t>
      </w:r>
      <w:r w:rsidR="00A851D7">
        <w:rPr>
          <w:rFonts w:ascii="Times New Roman" w:hAnsi="Times New Roman" w:cs="Times New Roman"/>
          <w:sz w:val="26"/>
          <w:szCs w:val="26"/>
        </w:rPr>
        <w:t xml:space="preserve">.  </w:t>
      </w:r>
      <w:r w:rsidR="0019489C">
        <w:rPr>
          <w:rFonts w:ascii="Times New Roman" w:hAnsi="Times New Roman" w:cs="Times New Roman"/>
          <w:sz w:val="26"/>
          <w:szCs w:val="26"/>
        </w:rPr>
        <w:t>Green Hills</w:t>
      </w:r>
      <w:r w:rsidRPr="001258CC">
        <w:rPr>
          <w:rFonts w:ascii="Times New Roman" w:hAnsi="Times New Roman" w:cs="Times New Roman"/>
          <w:sz w:val="26"/>
          <w:szCs w:val="26"/>
        </w:rPr>
        <w:t xml:space="preserve"> filed Exceptions on </w:t>
      </w:r>
      <w:r w:rsidR="00035845">
        <w:rPr>
          <w:rFonts w:ascii="Times New Roman" w:hAnsi="Times New Roman" w:cs="Times New Roman"/>
          <w:sz w:val="26"/>
          <w:szCs w:val="26"/>
        </w:rPr>
        <w:t xml:space="preserve">December 23, 2015.  </w:t>
      </w:r>
      <w:r w:rsidR="00A50F0B">
        <w:rPr>
          <w:rFonts w:ascii="Times New Roman" w:hAnsi="Times New Roman" w:cs="Times New Roman"/>
          <w:sz w:val="26"/>
          <w:szCs w:val="26"/>
        </w:rPr>
        <w:t>UGIES</w:t>
      </w:r>
      <w:r w:rsidRPr="001258CC">
        <w:rPr>
          <w:rFonts w:ascii="Times New Roman" w:hAnsi="Times New Roman" w:cs="Times New Roman"/>
          <w:sz w:val="26"/>
          <w:szCs w:val="26"/>
        </w:rPr>
        <w:t xml:space="preserve"> filed Replies to Exceptions</w:t>
      </w:r>
      <w:r w:rsidR="007E4C7E" w:rsidRPr="007E4C7E">
        <w:rPr>
          <w:rFonts w:ascii="Times New Roman" w:hAnsi="Times New Roman" w:cs="Times New Roman"/>
          <w:sz w:val="26"/>
          <w:szCs w:val="26"/>
        </w:rPr>
        <w:t xml:space="preserve"> on January 4</w:t>
      </w:r>
      <w:r w:rsidR="007E4C7E">
        <w:rPr>
          <w:rFonts w:ascii="Times New Roman" w:hAnsi="Times New Roman" w:cs="Times New Roman"/>
          <w:sz w:val="26"/>
          <w:szCs w:val="26"/>
        </w:rPr>
        <w:t>, 2016</w:t>
      </w:r>
      <w:r w:rsidRPr="001258CC">
        <w:rPr>
          <w:rFonts w:ascii="Times New Roman" w:hAnsi="Times New Roman" w:cs="Times New Roman"/>
          <w:sz w:val="26"/>
          <w:szCs w:val="26"/>
        </w:rPr>
        <w:t>.</w:t>
      </w:r>
    </w:p>
    <w:p w:rsidR="003950AE" w:rsidRDefault="003950AE" w:rsidP="001258CC">
      <w:pPr>
        <w:pStyle w:val="ParaTab1"/>
        <w:spacing w:line="360" w:lineRule="auto"/>
        <w:rPr>
          <w:rFonts w:ascii="Times New Roman" w:hAnsi="Times New Roman" w:cs="Times New Roman"/>
          <w:sz w:val="26"/>
          <w:szCs w:val="26"/>
        </w:rPr>
      </w:pPr>
    </w:p>
    <w:p w:rsidR="0095737A" w:rsidRDefault="0095737A" w:rsidP="00B75FC9">
      <w:pPr>
        <w:keepNext/>
        <w:spacing w:line="360" w:lineRule="auto"/>
        <w:jc w:val="center"/>
        <w:rPr>
          <w:b/>
          <w:sz w:val="26"/>
          <w:szCs w:val="26"/>
        </w:rPr>
      </w:pPr>
      <w:r w:rsidRPr="0095737A">
        <w:rPr>
          <w:b/>
          <w:sz w:val="26"/>
          <w:szCs w:val="26"/>
        </w:rPr>
        <w:t>Discussion</w:t>
      </w:r>
    </w:p>
    <w:p w:rsidR="00B16C25" w:rsidRDefault="00B16C25" w:rsidP="00B75FC9">
      <w:pPr>
        <w:keepNext/>
        <w:spacing w:line="360" w:lineRule="auto"/>
        <w:rPr>
          <w:b/>
          <w:sz w:val="26"/>
          <w:szCs w:val="26"/>
        </w:rPr>
      </w:pPr>
    </w:p>
    <w:p w:rsidR="00887D29" w:rsidRDefault="0094101F" w:rsidP="00035845">
      <w:pPr>
        <w:spacing w:line="360" w:lineRule="auto"/>
        <w:ind w:firstLine="1440"/>
        <w:rPr>
          <w:sz w:val="26"/>
          <w:szCs w:val="26"/>
        </w:rPr>
      </w:pPr>
      <w:r w:rsidRPr="00CA43A5">
        <w:rPr>
          <w:sz w:val="26"/>
          <w:szCs w:val="26"/>
        </w:rPr>
        <w:t xml:space="preserve">As the proponent of a rule or order, </w:t>
      </w:r>
      <w:r>
        <w:rPr>
          <w:sz w:val="26"/>
          <w:szCs w:val="26"/>
        </w:rPr>
        <w:t xml:space="preserve">the </w:t>
      </w:r>
      <w:r w:rsidRPr="00CA43A5">
        <w:rPr>
          <w:sz w:val="26"/>
          <w:szCs w:val="26"/>
        </w:rPr>
        <w:t>Complainant in this proceeding</w:t>
      </w:r>
      <w:r w:rsidR="00842E66">
        <w:rPr>
          <w:sz w:val="26"/>
          <w:szCs w:val="26"/>
        </w:rPr>
        <w:t>, Green Hills,</w:t>
      </w:r>
      <w:r w:rsidRPr="00CA43A5">
        <w:rPr>
          <w:sz w:val="26"/>
          <w:szCs w:val="26"/>
        </w:rPr>
        <w:t xml:space="preserve"> bears the burden of proof pursuant to Section 332(a) of the </w:t>
      </w:r>
      <w:r w:rsidR="001F68E6">
        <w:rPr>
          <w:sz w:val="26"/>
          <w:szCs w:val="26"/>
        </w:rPr>
        <w:t>Code</w:t>
      </w:r>
      <w:r w:rsidRPr="00CA43A5">
        <w:rPr>
          <w:sz w:val="26"/>
          <w:szCs w:val="26"/>
        </w:rPr>
        <w:t xml:space="preserve">. </w:t>
      </w:r>
      <w:r w:rsidR="005E7B86">
        <w:rPr>
          <w:sz w:val="26"/>
          <w:szCs w:val="26"/>
        </w:rPr>
        <w:t xml:space="preserve"> </w:t>
      </w:r>
      <w:r w:rsidRPr="00CA43A5">
        <w:rPr>
          <w:sz w:val="26"/>
          <w:szCs w:val="26"/>
        </w:rPr>
        <w:t xml:space="preserve">66 Pa. C.S. § 332(a). </w:t>
      </w:r>
      <w:r w:rsidR="009231DE">
        <w:rPr>
          <w:sz w:val="26"/>
          <w:szCs w:val="26"/>
        </w:rPr>
        <w:t xml:space="preserve"> </w:t>
      </w:r>
      <w:r w:rsidRPr="00CA43A5">
        <w:rPr>
          <w:sz w:val="26"/>
          <w:szCs w:val="26"/>
        </w:rPr>
        <w:t xml:space="preserve">To establish a sufficient case and satisfy the burden of proof, </w:t>
      </w:r>
      <w:r w:rsidR="00035845">
        <w:rPr>
          <w:sz w:val="26"/>
          <w:szCs w:val="26"/>
        </w:rPr>
        <w:t xml:space="preserve">Green Hills </w:t>
      </w:r>
      <w:r w:rsidRPr="00CA43A5">
        <w:rPr>
          <w:sz w:val="26"/>
          <w:szCs w:val="26"/>
        </w:rPr>
        <w:t xml:space="preserve">must show that </w:t>
      </w:r>
      <w:r w:rsidR="00035845">
        <w:rPr>
          <w:sz w:val="26"/>
          <w:szCs w:val="26"/>
        </w:rPr>
        <w:t>UGIES</w:t>
      </w:r>
      <w:r w:rsidRPr="00CA43A5">
        <w:rPr>
          <w:sz w:val="26"/>
          <w:szCs w:val="26"/>
        </w:rPr>
        <w:t xml:space="preserve"> </w:t>
      </w:r>
      <w:r w:rsidR="008F6BC5">
        <w:rPr>
          <w:sz w:val="26"/>
          <w:szCs w:val="26"/>
        </w:rPr>
        <w:t xml:space="preserve">is </w:t>
      </w:r>
      <w:r w:rsidRPr="00CA43A5">
        <w:rPr>
          <w:sz w:val="26"/>
          <w:szCs w:val="26"/>
        </w:rPr>
        <w:t xml:space="preserve">responsible or accountable for the problem described in </w:t>
      </w:r>
      <w:r w:rsidR="00C0599A">
        <w:rPr>
          <w:sz w:val="26"/>
          <w:szCs w:val="26"/>
        </w:rPr>
        <w:t>its</w:t>
      </w:r>
      <w:r w:rsidRPr="00CA43A5">
        <w:rPr>
          <w:sz w:val="26"/>
          <w:szCs w:val="26"/>
        </w:rPr>
        <w:t xml:space="preserve"> Complaint. </w:t>
      </w:r>
      <w:r w:rsidR="009231DE">
        <w:rPr>
          <w:sz w:val="26"/>
          <w:szCs w:val="26"/>
        </w:rPr>
        <w:t xml:space="preserve"> </w:t>
      </w:r>
      <w:r w:rsidRPr="00CA43A5">
        <w:rPr>
          <w:i/>
          <w:sz w:val="26"/>
          <w:szCs w:val="26"/>
        </w:rPr>
        <w:t xml:space="preserve">Patterson v. </w:t>
      </w:r>
      <w:r>
        <w:rPr>
          <w:i/>
          <w:sz w:val="26"/>
          <w:szCs w:val="26"/>
        </w:rPr>
        <w:t xml:space="preserve">The </w:t>
      </w:r>
      <w:r w:rsidRPr="00CA43A5">
        <w:rPr>
          <w:i/>
          <w:sz w:val="26"/>
          <w:szCs w:val="26"/>
        </w:rPr>
        <w:t>Bell Telephone Company of Pennsylvania</w:t>
      </w:r>
      <w:r w:rsidRPr="00CA43A5">
        <w:rPr>
          <w:sz w:val="26"/>
          <w:szCs w:val="26"/>
        </w:rPr>
        <w:t xml:space="preserve">, 72 Pa. P.U.C. 196 (1990). </w:t>
      </w:r>
      <w:r w:rsidR="005A5AAB">
        <w:rPr>
          <w:sz w:val="26"/>
          <w:szCs w:val="26"/>
        </w:rPr>
        <w:t xml:space="preserve"> </w:t>
      </w:r>
      <w:r w:rsidRPr="00CA43A5">
        <w:rPr>
          <w:sz w:val="26"/>
          <w:szCs w:val="26"/>
        </w:rPr>
        <w:t xml:space="preserve">Such a showing must be by a preponderance of the evidence.  </w:t>
      </w:r>
      <w:r w:rsidRPr="00CA43A5">
        <w:rPr>
          <w:i/>
          <w:iCs/>
          <w:sz w:val="26"/>
          <w:szCs w:val="26"/>
        </w:rPr>
        <w:t>Samuel J. Lansberry, Inc. v. Pa. PUC</w:t>
      </w:r>
      <w:r w:rsidRPr="00CA43A5">
        <w:rPr>
          <w:sz w:val="26"/>
          <w:szCs w:val="26"/>
        </w:rPr>
        <w:t>, 578 A.2d 600 (Pa. Cmwlth. 1990)</w:t>
      </w:r>
      <w:r w:rsidR="00C0599A">
        <w:rPr>
          <w:sz w:val="26"/>
          <w:szCs w:val="26"/>
        </w:rPr>
        <w:t>.</w:t>
      </w:r>
      <w:r w:rsidRPr="00CA43A5">
        <w:rPr>
          <w:sz w:val="26"/>
          <w:szCs w:val="26"/>
        </w:rPr>
        <w:t xml:space="preserve"> </w:t>
      </w:r>
      <w:r>
        <w:rPr>
          <w:sz w:val="26"/>
          <w:szCs w:val="26"/>
        </w:rPr>
        <w:t xml:space="preserve"> </w:t>
      </w:r>
      <w:r w:rsidRPr="00CA43A5">
        <w:rPr>
          <w:sz w:val="26"/>
          <w:szCs w:val="26"/>
        </w:rPr>
        <w:t xml:space="preserve">That is, </w:t>
      </w:r>
      <w:r w:rsidR="00842E66">
        <w:rPr>
          <w:sz w:val="26"/>
          <w:szCs w:val="26"/>
        </w:rPr>
        <w:t xml:space="preserve">Green Hills’ </w:t>
      </w:r>
      <w:r w:rsidRPr="00CA43A5">
        <w:rPr>
          <w:sz w:val="26"/>
          <w:szCs w:val="26"/>
        </w:rPr>
        <w:t>evidence must be more convincing, by even the smallest amount, th</w:t>
      </w:r>
      <w:r>
        <w:rPr>
          <w:sz w:val="26"/>
          <w:szCs w:val="26"/>
        </w:rPr>
        <w:t xml:space="preserve">an that presented by </w:t>
      </w:r>
      <w:r w:rsidR="00842E66">
        <w:rPr>
          <w:sz w:val="26"/>
          <w:szCs w:val="26"/>
        </w:rPr>
        <w:t>UGIES</w:t>
      </w:r>
      <w:r w:rsidRPr="00CA43A5">
        <w:rPr>
          <w:sz w:val="26"/>
          <w:szCs w:val="26"/>
        </w:rPr>
        <w:t xml:space="preserve">.  </w:t>
      </w:r>
      <w:r w:rsidRPr="00CA43A5">
        <w:rPr>
          <w:i/>
          <w:sz w:val="26"/>
          <w:szCs w:val="26"/>
        </w:rPr>
        <w:t>Se-Ling Hosiery</w:t>
      </w:r>
      <w:r>
        <w:rPr>
          <w:i/>
          <w:sz w:val="26"/>
          <w:szCs w:val="26"/>
        </w:rPr>
        <w:t>, Inc.</w:t>
      </w:r>
      <w:r w:rsidRPr="00CA43A5">
        <w:rPr>
          <w:i/>
          <w:sz w:val="26"/>
          <w:szCs w:val="26"/>
        </w:rPr>
        <w:t xml:space="preserve"> v. Margulies</w:t>
      </w:r>
      <w:r w:rsidRPr="00CA43A5">
        <w:rPr>
          <w:sz w:val="26"/>
          <w:szCs w:val="26"/>
        </w:rPr>
        <w:t xml:space="preserve">, </w:t>
      </w:r>
      <w:r>
        <w:rPr>
          <w:sz w:val="26"/>
          <w:szCs w:val="26"/>
        </w:rPr>
        <w:t xml:space="preserve">364 Pa. 45, </w:t>
      </w:r>
      <w:r w:rsidRPr="00CA43A5">
        <w:rPr>
          <w:sz w:val="26"/>
          <w:szCs w:val="26"/>
        </w:rPr>
        <w:t xml:space="preserve">70 A.2d 854 (1950). </w:t>
      </w:r>
      <w:r w:rsidR="005A5AAB">
        <w:rPr>
          <w:sz w:val="26"/>
          <w:szCs w:val="26"/>
        </w:rPr>
        <w:t xml:space="preserve"> </w:t>
      </w:r>
      <w:r w:rsidRPr="00CA43A5">
        <w:rPr>
          <w:sz w:val="26"/>
          <w:szCs w:val="26"/>
        </w:rPr>
        <w:t xml:space="preserve">Additionally, this Commission’s decision must be supported by substantial evidence. </w:t>
      </w:r>
      <w:r>
        <w:rPr>
          <w:sz w:val="26"/>
          <w:szCs w:val="26"/>
        </w:rPr>
        <w:t xml:space="preserve"> </w:t>
      </w:r>
      <w:r w:rsidRPr="00CA43A5">
        <w:rPr>
          <w:sz w:val="26"/>
          <w:szCs w:val="26"/>
        </w:rPr>
        <w:t xml:space="preserve">More is required than a mere trace of evidence or a suspicion of the existence of a fact sought to be established. </w:t>
      </w:r>
      <w:r w:rsidR="005A5AAB">
        <w:rPr>
          <w:sz w:val="26"/>
          <w:szCs w:val="26"/>
        </w:rPr>
        <w:t xml:space="preserve"> </w:t>
      </w:r>
      <w:r w:rsidRPr="00CA43A5">
        <w:rPr>
          <w:i/>
          <w:sz w:val="26"/>
          <w:szCs w:val="26"/>
        </w:rPr>
        <w:t xml:space="preserve">Norfolk &amp; Western Ry. Co. v. Pa. PUC, </w:t>
      </w:r>
      <w:r>
        <w:rPr>
          <w:sz w:val="26"/>
          <w:szCs w:val="26"/>
        </w:rPr>
        <w:t xml:space="preserve">489 Pa. 109, </w:t>
      </w:r>
      <w:r w:rsidRPr="00CA43A5">
        <w:rPr>
          <w:sz w:val="26"/>
          <w:szCs w:val="26"/>
        </w:rPr>
        <w:t xml:space="preserve">413 A.2d 1037 </w:t>
      </w:r>
      <w:r w:rsidR="00887D29">
        <w:rPr>
          <w:sz w:val="26"/>
          <w:szCs w:val="26"/>
        </w:rPr>
        <w:t>(1980).</w:t>
      </w:r>
    </w:p>
    <w:p w:rsidR="00035845" w:rsidRDefault="00035845" w:rsidP="00035845">
      <w:pPr>
        <w:spacing w:line="360" w:lineRule="auto"/>
        <w:ind w:firstLine="1440"/>
        <w:rPr>
          <w:sz w:val="26"/>
          <w:szCs w:val="26"/>
        </w:rPr>
      </w:pPr>
    </w:p>
    <w:p w:rsidR="0094101F" w:rsidRDefault="00887D29" w:rsidP="00035845">
      <w:pPr>
        <w:spacing w:line="360" w:lineRule="auto"/>
        <w:ind w:firstLine="1440"/>
        <w:rPr>
          <w:sz w:val="26"/>
        </w:rPr>
      </w:pPr>
      <w:r>
        <w:rPr>
          <w:sz w:val="26"/>
          <w:szCs w:val="26"/>
        </w:rPr>
        <w:t xml:space="preserve">Upon the presentation by the Complainant of evidence sufficient </w:t>
      </w:r>
      <w:r w:rsidR="0094101F" w:rsidRPr="00472547">
        <w:rPr>
          <w:sz w:val="26"/>
        </w:rPr>
        <w:t>to initially satisfy the</w:t>
      </w:r>
      <w:r w:rsidR="0094101F">
        <w:rPr>
          <w:sz w:val="26"/>
        </w:rPr>
        <w:t xml:space="preserve"> burden of proof, the burden </w:t>
      </w:r>
      <w:r w:rsidR="0094101F" w:rsidRPr="00472547">
        <w:rPr>
          <w:sz w:val="26"/>
        </w:rPr>
        <w:t>of g</w:t>
      </w:r>
      <w:r w:rsidR="0094101F">
        <w:rPr>
          <w:sz w:val="26"/>
        </w:rPr>
        <w:t xml:space="preserve">oing forward with the evidence </w:t>
      </w:r>
      <w:r w:rsidR="0094101F" w:rsidRPr="00472547">
        <w:rPr>
          <w:sz w:val="26"/>
        </w:rPr>
        <w:t>to rebut the evidence of the customer</w:t>
      </w:r>
      <w:r w:rsidR="0094101F">
        <w:rPr>
          <w:sz w:val="26"/>
        </w:rPr>
        <w:t xml:space="preserve"> shifts</w:t>
      </w:r>
      <w:r w:rsidR="0094101F" w:rsidRPr="00472547">
        <w:rPr>
          <w:sz w:val="26"/>
        </w:rPr>
        <w:t xml:space="preserve"> to </w:t>
      </w:r>
      <w:r w:rsidR="00035845">
        <w:rPr>
          <w:sz w:val="26"/>
        </w:rPr>
        <w:t>UGIES</w:t>
      </w:r>
      <w:r w:rsidR="0094101F" w:rsidRPr="00472547">
        <w:rPr>
          <w:sz w:val="26"/>
        </w:rPr>
        <w:t xml:space="preserve">. </w:t>
      </w:r>
      <w:r w:rsidR="00FA3B85">
        <w:rPr>
          <w:sz w:val="26"/>
        </w:rPr>
        <w:t xml:space="preserve"> </w:t>
      </w:r>
      <w:r w:rsidR="0094101F" w:rsidRPr="00472547">
        <w:rPr>
          <w:sz w:val="26"/>
        </w:rPr>
        <w:t xml:space="preserve">If the evidence presented by </w:t>
      </w:r>
      <w:r w:rsidR="00035845">
        <w:rPr>
          <w:sz w:val="26"/>
        </w:rPr>
        <w:t>UGIES</w:t>
      </w:r>
      <w:r w:rsidR="0094101F">
        <w:rPr>
          <w:sz w:val="26"/>
        </w:rPr>
        <w:t xml:space="preserve"> is of co-equal value or “</w:t>
      </w:r>
      <w:r w:rsidR="0094101F" w:rsidRPr="00472547">
        <w:rPr>
          <w:sz w:val="26"/>
        </w:rPr>
        <w:t>weight,</w:t>
      </w:r>
      <w:r w:rsidR="0094101F">
        <w:rPr>
          <w:sz w:val="26"/>
        </w:rPr>
        <w:t>”</w:t>
      </w:r>
      <w:r w:rsidR="0094101F" w:rsidRPr="00472547">
        <w:rPr>
          <w:sz w:val="26"/>
        </w:rPr>
        <w:t xml:space="preserve"> the</w:t>
      </w:r>
      <w:r w:rsidR="0094101F">
        <w:rPr>
          <w:sz w:val="26"/>
        </w:rPr>
        <w:t xml:space="preserve"> burden of proof </w:t>
      </w:r>
      <w:r w:rsidR="0094101F" w:rsidRPr="00472547">
        <w:rPr>
          <w:sz w:val="26"/>
        </w:rPr>
        <w:t xml:space="preserve">has not been satisfied. </w:t>
      </w:r>
      <w:r w:rsidR="00035845">
        <w:rPr>
          <w:sz w:val="26"/>
        </w:rPr>
        <w:t xml:space="preserve">Green Hills </w:t>
      </w:r>
      <w:r w:rsidR="0094101F" w:rsidRPr="00472547">
        <w:rPr>
          <w:sz w:val="26"/>
        </w:rPr>
        <w:t xml:space="preserve">now has to provide some additional evidence to rebut that of </w:t>
      </w:r>
      <w:r w:rsidR="00035845">
        <w:rPr>
          <w:sz w:val="26"/>
        </w:rPr>
        <w:t>UGIES</w:t>
      </w:r>
      <w:r w:rsidR="00106BF9">
        <w:rPr>
          <w:sz w:val="26"/>
        </w:rPr>
        <w:t xml:space="preserve">.  </w:t>
      </w:r>
      <w:r w:rsidR="00106BF9" w:rsidRPr="00106BF9">
        <w:rPr>
          <w:i/>
          <w:sz w:val="26"/>
        </w:rPr>
        <w:t>Burleson v. Pa. PUC</w:t>
      </w:r>
      <w:r w:rsidR="00106BF9" w:rsidRPr="00106BF9">
        <w:rPr>
          <w:sz w:val="26"/>
        </w:rPr>
        <w:t>, 443 A.2d 1373 (Pa. Cmwlth. 1982).</w:t>
      </w:r>
    </w:p>
    <w:p w:rsidR="00035845" w:rsidRDefault="00035845" w:rsidP="00035845">
      <w:pPr>
        <w:spacing w:line="360" w:lineRule="auto"/>
        <w:ind w:firstLine="1440"/>
        <w:rPr>
          <w:sz w:val="26"/>
        </w:rPr>
      </w:pPr>
    </w:p>
    <w:p w:rsidR="0094101F" w:rsidRDefault="0094101F" w:rsidP="00035845">
      <w:pPr>
        <w:spacing w:line="360" w:lineRule="auto"/>
        <w:ind w:firstLine="1440"/>
        <w:rPr>
          <w:rFonts w:ascii="Times New (W1)" w:hAnsi="Times New (W1)"/>
          <w:iCs/>
          <w:sz w:val="26"/>
        </w:rPr>
      </w:pPr>
      <w:r w:rsidRPr="00E6715E">
        <w:rPr>
          <w:rFonts w:ascii="Times New (W1)" w:hAnsi="Times New (W1)"/>
          <w:iCs/>
          <w:sz w:val="26"/>
        </w:rPr>
        <w:lastRenderedPageBreak/>
        <w:t xml:space="preserve">While the burden of going forward with the evidence may shift back and forth during a proceeding, the burden of proof never shifts. </w:t>
      </w:r>
      <w:r w:rsidR="00545FA2">
        <w:rPr>
          <w:rFonts w:ascii="Times New (W1)" w:hAnsi="Times New (W1)"/>
          <w:iCs/>
          <w:sz w:val="26"/>
        </w:rPr>
        <w:t xml:space="preserve"> </w:t>
      </w:r>
      <w:r w:rsidRPr="00E6715E">
        <w:rPr>
          <w:rFonts w:ascii="Times New (W1)" w:hAnsi="Times New (W1)"/>
          <w:iCs/>
          <w:sz w:val="26"/>
        </w:rPr>
        <w:t xml:space="preserve">The burden of proof always remains on the party seeking affirmative relief from the Commission. </w:t>
      </w:r>
      <w:r w:rsidR="00545FA2">
        <w:rPr>
          <w:rFonts w:ascii="Times New (W1)" w:hAnsi="Times New (W1)"/>
          <w:iCs/>
          <w:sz w:val="26"/>
        </w:rPr>
        <w:t xml:space="preserve"> </w:t>
      </w:r>
      <w:r w:rsidRPr="00E6715E">
        <w:rPr>
          <w:rFonts w:ascii="Times New (W1)" w:hAnsi="Times New (W1)"/>
          <w:i/>
          <w:iCs/>
          <w:sz w:val="26"/>
        </w:rPr>
        <w:t xml:space="preserve">Milkie v. Pa. PUC, </w:t>
      </w:r>
      <w:r w:rsidRPr="00E6715E">
        <w:rPr>
          <w:rFonts w:ascii="Times New (W1)" w:hAnsi="Times New (W1)"/>
          <w:iCs/>
          <w:sz w:val="26"/>
        </w:rPr>
        <w:t>768 A.2d 1217 (Pa. Cmwlth. 2001).</w:t>
      </w:r>
      <w:r w:rsidR="00106BF9">
        <w:rPr>
          <w:rFonts w:ascii="Times New (W1)" w:hAnsi="Times New (W1)"/>
          <w:iCs/>
          <w:sz w:val="26"/>
        </w:rPr>
        <w:t xml:space="preserve">  Having filed the Complaint against </w:t>
      </w:r>
      <w:r w:rsidR="00035845">
        <w:rPr>
          <w:rFonts w:ascii="Times New (W1)" w:hAnsi="Times New (W1)"/>
          <w:iCs/>
          <w:sz w:val="26"/>
        </w:rPr>
        <w:t>UGIES</w:t>
      </w:r>
      <w:r w:rsidR="00106BF9">
        <w:rPr>
          <w:rFonts w:ascii="Times New (W1)" w:hAnsi="Times New (W1)"/>
          <w:iCs/>
          <w:sz w:val="26"/>
        </w:rPr>
        <w:t xml:space="preserve">, </w:t>
      </w:r>
      <w:r w:rsidR="00035845">
        <w:rPr>
          <w:rFonts w:ascii="Times New (W1)" w:hAnsi="Times New (W1)"/>
          <w:iCs/>
          <w:sz w:val="26"/>
        </w:rPr>
        <w:t>Green Hills</w:t>
      </w:r>
      <w:r w:rsidR="00C0599A">
        <w:rPr>
          <w:rFonts w:ascii="Times New (W1)" w:hAnsi="Times New (W1)"/>
          <w:iCs/>
          <w:sz w:val="26"/>
        </w:rPr>
        <w:t xml:space="preserve"> </w:t>
      </w:r>
      <w:r w:rsidR="00106BF9">
        <w:rPr>
          <w:rFonts w:ascii="Times New (W1)" w:hAnsi="Times New (W1)"/>
          <w:iCs/>
          <w:sz w:val="26"/>
        </w:rPr>
        <w:t xml:space="preserve">is obliged to carry the burden of proving that </w:t>
      </w:r>
      <w:r w:rsidR="004C6AF4">
        <w:rPr>
          <w:rFonts w:ascii="Times New (W1)" w:hAnsi="Times New (W1)"/>
          <w:iCs/>
          <w:sz w:val="26"/>
        </w:rPr>
        <w:t>the EGS</w:t>
      </w:r>
      <w:r w:rsidR="00106BF9">
        <w:rPr>
          <w:rFonts w:ascii="Times New (W1)" w:hAnsi="Times New (W1)"/>
          <w:iCs/>
          <w:sz w:val="26"/>
        </w:rPr>
        <w:t xml:space="preserve"> has </w:t>
      </w:r>
      <w:r>
        <w:rPr>
          <w:rFonts w:ascii="Times New (W1)" w:hAnsi="Times New (W1)"/>
          <w:iCs/>
          <w:sz w:val="26"/>
        </w:rPr>
        <w:t xml:space="preserve">violated the Code, a Commission Regulation, or </w:t>
      </w:r>
      <w:r w:rsidR="00545FA2">
        <w:rPr>
          <w:rFonts w:ascii="Times New (W1)" w:hAnsi="Times New (W1)"/>
          <w:iCs/>
          <w:sz w:val="26"/>
        </w:rPr>
        <w:t xml:space="preserve">a Commission </w:t>
      </w:r>
      <w:r>
        <w:rPr>
          <w:rFonts w:ascii="Times New (W1)" w:hAnsi="Times New (W1)"/>
          <w:iCs/>
          <w:sz w:val="26"/>
        </w:rPr>
        <w:t>Order</w:t>
      </w:r>
      <w:r w:rsidRPr="00DC43D8">
        <w:rPr>
          <w:rFonts w:ascii="Times New (W1)" w:hAnsi="Times New (W1)"/>
          <w:iCs/>
          <w:sz w:val="26"/>
        </w:rPr>
        <w:t>.</w:t>
      </w:r>
    </w:p>
    <w:p w:rsidR="00035845" w:rsidRDefault="00035845" w:rsidP="00035845">
      <w:pPr>
        <w:spacing w:line="360" w:lineRule="auto"/>
        <w:ind w:firstLine="1440"/>
        <w:rPr>
          <w:rFonts w:ascii="Times New (W1)" w:hAnsi="Times New (W1)"/>
          <w:iCs/>
          <w:sz w:val="26"/>
        </w:rPr>
      </w:pPr>
    </w:p>
    <w:p w:rsidR="00106BF9" w:rsidRDefault="00035845" w:rsidP="00035845">
      <w:pPr>
        <w:spacing w:line="360" w:lineRule="auto"/>
        <w:ind w:firstLine="1440"/>
        <w:rPr>
          <w:sz w:val="26"/>
          <w:szCs w:val="26"/>
        </w:rPr>
      </w:pPr>
      <w:r>
        <w:rPr>
          <w:rFonts w:ascii="Times New (W1)" w:hAnsi="Times New (W1)"/>
          <w:iCs/>
          <w:sz w:val="26"/>
        </w:rPr>
        <w:t xml:space="preserve">The </w:t>
      </w:r>
      <w:r w:rsidR="00106BF9" w:rsidRPr="00106BF9">
        <w:rPr>
          <w:sz w:val="26"/>
          <w:szCs w:val="26"/>
        </w:rPr>
        <w:t xml:space="preserve">ALJ made </w:t>
      </w:r>
      <w:r>
        <w:rPr>
          <w:sz w:val="26"/>
          <w:szCs w:val="26"/>
        </w:rPr>
        <w:t>fourteen</w:t>
      </w:r>
      <w:r w:rsidR="00C0599A">
        <w:rPr>
          <w:sz w:val="26"/>
          <w:szCs w:val="26"/>
        </w:rPr>
        <w:t xml:space="preserve"> </w:t>
      </w:r>
      <w:r w:rsidR="00106BF9" w:rsidRPr="00106BF9">
        <w:rPr>
          <w:sz w:val="26"/>
          <w:szCs w:val="26"/>
        </w:rPr>
        <w:t xml:space="preserve">Findings of Fact and reached </w:t>
      </w:r>
      <w:r>
        <w:rPr>
          <w:sz w:val="26"/>
          <w:szCs w:val="26"/>
        </w:rPr>
        <w:t>four</w:t>
      </w:r>
      <w:r w:rsidR="00106BF9" w:rsidRPr="00106BF9">
        <w:rPr>
          <w:sz w:val="26"/>
          <w:szCs w:val="26"/>
        </w:rPr>
        <w:t xml:space="preserve"> Conclusions of Law</w:t>
      </w:r>
      <w:r w:rsidR="001F68E6">
        <w:rPr>
          <w:sz w:val="26"/>
          <w:szCs w:val="26"/>
        </w:rPr>
        <w:t>.</w:t>
      </w:r>
      <w:r w:rsidR="00106BF9" w:rsidRPr="00106BF9">
        <w:rPr>
          <w:sz w:val="26"/>
          <w:szCs w:val="26"/>
        </w:rPr>
        <w:t xml:space="preserve">  I.D. at 3-</w:t>
      </w:r>
      <w:r>
        <w:rPr>
          <w:sz w:val="26"/>
          <w:szCs w:val="26"/>
        </w:rPr>
        <w:t>4</w:t>
      </w:r>
      <w:r w:rsidR="00106BF9" w:rsidRPr="00106BF9">
        <w:rPr>
          <w:sz w:val="26"/>
          <w:szCs w:val="26"/>
        </w:rPr>
        <w:t>, 1</w:t>
      </w:r>
      <w:r w:rsidR="00C0599A">
        <w:rPr>
          <w:sz w:val="26"/>
          <w:szCs w:val="26"/>
        </w:rPr>
        <w:t>0</w:t>
      </w:r>
      <w:r w:rsidR="00106BF9" w:rsidRPr="00106BF9">
        <w:rPr>
          <w:sz w:val="26"/>
          <w:szCs w:val="26"/>
        </w:rPr>
        <w:t>-</w:t>
      </w:r>
      <w:r w:rsidR="00C0599A">
        <w:rPr>
          <w:sz w:val="26"/>
          <w:szCs w:val="26"/>
        </w:rPr>
        <w:t>1</w:t>
      </w:r>
      <w:r w:rsidR="00106BF9" w:rsidRPr="00106BF9">
        <w:rPr>
          <w:sz w:val="26"/>
          <w:szCs w:val="26"/>
        </w:rPr>
        <w:t>1.  The Findings of Fact and Conclusions of Law are incorporated herein by reference and are adopted without comment unless they are either expressly or by necessary implication rejected or modified by this Opinion and Order.</w:t>
      </w:r>
    </w:p>
    <w:p w:rsidR="00035845" w:rsidRDefault="00035845" w:rsidP="00035845">
      <w:pPr>
        <w:spacing w:line="360" w:lineRule="auto"/>
        <w:ind w:firstLine="1440"/>
        <w:rPr>
          <w:sz w:val="26"/>
          <w:szCs w:val="26"/>
        </w:rPr>
      </w:pPr>
    </w:p>
    <w:p w:rsidR="00106BF9" w:rsidRDefault="00035845" w:rsidP="00035845">
      <w:pPr>
        <w:spacing w:line="360" w:lineRule="auto"/>
        <w:ind w:firstLine="1440"/>
        <w:rPr>
          <w:sz w:val="26"/>
          <w:szCs w:val="26"/>
        </w:rPr>
      </w:pPr>
      <w:r>
        <w:rPr>
          <w:sz w:val="26"/>
          <w:szCs w:val="26"/>
        </w:rPr>
        <w:t>We</w:t>
      </w:r>
      <w:r w:rsidR="00106BF9" w:rsidRPr="00106BF9">
        <w:rPr>
          <w:sz w:val="26"/>
          <w:szCs w:val="26"/>
        </w:rPr>
        <w:t xml:space="preserve"> also note that any issue or Exception that we do not specifically delineate shall be deemed to have been duly considered and denied without further discussion. </w:t>
      </w:r>
      <w:r w:rsidR="009231DE">
        <w:rPr>
          <w:sz w:val="26"/>
          <w:szCs w:val="26"/>
        </w:rPr>
        <w:t xml:space="preserve"> </w:t>
      </w:r>
      <w:r w:rsidR="00106BF9" w:rsidRPr="00106BF9">
        <w:rPr>
          <w:sz w:val="26"/>
          <w:szCs w:val="26"/>
        </w:rPr>
        <w:t>The Commission is not required to consider expressly or at length each contention or argument raised by the parties</w:t>
      </w:r>
      <w:r w:rsidR="00106BF9" w:rsidRPr="00106BF9">
        <w:rPr>
          <w:i/>
          <w:sz w:val="26"/>
          <w:szCs w:val="26"/>
        </w:rPr>
        <w:t xml:space="preserve">. </w:t>
      </w:r>
      <w:r w:rsidR="009231DE">
        <w:rPr>
          <w:i/>
          <w:sz w:val="26"/>
          <w:szCs w:val="26"/>
        </w:rPr>
        <w:t xml:space="preserve"> </w:t>
      </w:r>
      <w:r w:rsidR="00106BF9" w:rsidRPr="00106BF9">
        <w:rPr>
          <w:i/>
          <w:sz w:val="26"/>
          <w:szCs w:val="26"/>
        </w:rPr>
        <w:t>Consolidated Rail Corp. v. Pa. PUC</w:t>
      </w:r>
      <w:r w:rsidR="00106BF9" w:rsidRPr="00106BF9">
        <w:rPr>
          <w:sz w:val="26"/>
          <w:szCs w:val="26"/>
        </w:rPr>
        <w:t xml:space="preserve">, 625 A.2d 741 (Pa. Cmwlth. 1993); </w:t>
      </w:r>
      <w:r w:rsidR="00106BF9" w:rsidRPr="00106BF9">
        <w:rPr>
          <w:i/>
          <w:sz w:val="26"/>
          <w:szCs w:val="26"/>
        </w:rPr>
        <w:t>also see, generally, University of Pennsylvania v. Pa. PUC</w:t>
      </w:r>
      <w:r w:rsidR="00106BF9" w:rsidRPr="00106BF9">
        <w:rPr>
          <w:sz w:val="26"/>
          <w:szCs w:val="26"/>
        </w:rPr>
        <w:t>, 485 A.2d 1217 (Pa. Cmwlth. 1984).</w:t>
      </w:r>
    </w:p>
    <w:p w:rsidR="004C6AF4" w:rsidRDefault="004C6AF4" w:rsidP="00B75FC9">
      <w:pPr>
        <w:spacing w:line="360" w:lineRule="auto"/>
        <w:rPr>
          <w:sz w:val="26"/>
          <w:szCs w:val="26"/>
        </w:rPr>
      </w:pPr>
    </w:p>
    <w:p w:rsidR="004C6AF4" w:rsidRDefault="004C6AF4" w:rsidP="00B75FC9">
      <w:pPr>
        <w:spacing w:line="360" w:lineRule="auto"/>
        <w:rPr>
          <w:b/>
          <w:sz w:val="26"/>
          <w:szCs w:val="26"/>
        </w:rPr>
      </w:pPr>
      <w:r>
        <w:rPr>
          <w:b/>
          <w:sz w:val="26"/>
          <w:szCs w:val="26"/>
        </w:rPr>
        <w:t>The ALJ’s Initial Decision</w:t>
      </w:r>
    </w:p>
    <w:p w:rsidR="004C6AF4" w:rsidRDefault="004C6AF4" w:rsidP="00B75FC9">
      <w:pPr>
        <w:spacing w:line="360" w:lineRule="auto"/>
        <w:rPr>
          <w:b/>
          <w:sz w:val="26"/>
          <w:szCs w:val="26"/>
        </w:rPr>
      </w:pPr>
    </w:p>
    <w:p w:rsidR="00990F6F" w:rsidRDefault="004C6AF4" w:rsidP="00B75FC9">
      <w:pPr>
        <w:spacing w:line="360" w:lineRule="auto"/>
        <w:rPr>
          <w:sz w:val="26"/>
          <w:szCs w:val="26"/>
        </w:rPr>
      </w:pPr>
      <w:r>
        <w:rPr>
          <w:b/>
          <w:sz w:val="26"/>
          <w:szCs w:val="26"/>
        </w:rPr>
        <w:tab/>
      </w:r>
      <w:r>
        <w:rPr>
          <w:b/>
          <w:sz w:val="26"/>
          <w:szCs w:val="26"/>
        </w:rPr>
        <w:tab/>
      </w:r>
      <w:r w:rsidR="005947CD">
        <w:rPr>
          <w:sz w:val="26"/>
          <w:szCs w:val="26"/>
        </w:rPr>
        <w:t xml:space="preserve">The </w:t>
      </w:r>
      <w:r w:rsidR="00A07A6A">
        <w:rPr>
          <w:sz w:val="26"/>
          <w:szCs w:val="26"/>
        </w:rPr>
        <w:t xml:space="preserve">ALJ </w:t>
      </w:r>
      <w:r w:rsidR="00AC44D7">
        <w:rPr>
          <w:sz w:val="26"/>
          <w:szCs w:val="26"/>
        </w:rPr>
        <w:t>dismissed</w:t>
      </w:r>
      <w:r>
        <w:rPr>
          <w:sz w:val="26"/>
          <w:szCs w:val="26"/>
        </w:rPr>
        <w:t xml:space="preserve"> </w:t>
      </w:r>
      <w:r w:rsidR="007717D2">
        <w:rPr>
          <w:sz w:val="26"/>
          <w:szCs w:val="26"/>
        </w:rPr>
        <w:t>the Complaint</w:t>
      </w:r>
      <w:r w:rsidR="00035845">
        <w:rPr>
          <w:sz w:val="26"/>
          <w:szCs w:val="26"/>
        </w:rPr>
        <w:t xml:space="preserve">.  </w:t>
      </w:r>
      <w:r w:rsidR="00F23D1F" w:rsidRPr="00F23D1F">
        <w:rPr>
          <w:sz w:val="26"/>
          <w:szCs w:val="26"/>
        </w:rPr>
        <w:t>The ALJ found that Commission regulation of EGSs is limited</w:t>
      </w:r>
      <w:r w:rsidR="00DA7304">
        <w:rPr>
          <w:sz w:val="26"/>
          <w:szCs w:val="26"/>
        </w:rPr>
        <w:t>,</w:t>
      </w:r>
      <w:r w:rsidR="00F23D1F" w:rsidRPr="00F23D1F">
        <w:rPr>
          <w:sz w:val="26"/>
          <w:szCs w:val="26"/>
        </w:rPr>
        <w:t xml:space="preserve"> and that it may direct an EGS to refund charges </w:t>
      </w:r>
      <w:r w:rsidR="00DA7304" w:rsidRPr="00DA7304">
        <w:rPr>
          <w:sz w:val="26"/>
          <w:szCs w:val="26"/>
        </w:rPr>
        <w:t>where an EGS has failed to bill a customer in accordance with its disclosure agreement</w:t>
      </w:r>
      <w:r w:rsidR="00DA7304">
        <w:rPr>
          <w:sz w:val="26"/>
          <w:szCs w:val="26"/>
        </w:rPr>
        <w:t xml:space="preserve"> and </w:t>
      </w:r>
      <w:r w:rsidR="00F23D1F" w:rsidRPr="00F23D1F">
        <w:rPr>
          <w:sz w:val="26"/>
          <w:szCs w:val="26"/>
        </w:rPr>
        <w:t>following a customer’s slamming</w:t>
      </w:r>
      <w:r w:rsidR="00DA7304">
        <w:rPr>
          <w:sz w:val="26"/>
          <w:szCs w:val="26"/>
        </w:rPr>
        <w:t>,</w:t>
      </w:r>
      <w:r w:rsidR="00F23D1F" w:rsidRPr="00F23D1F">
        <w:rPr>
          <w:sz w:val="26"/>
          <w:szCs w:val="26"/>
        </w:rPr>
        <w:t xml:space="preserve"> or unauthorized switch of service.  </w:t>
      </w:r>
      <w:r w:rsidR="00F23D1F">
        <w:rPr>
          <w:sz w:val="26"/>
          <w:szCs w:val="26"/>
        </w:rPr>
        <w:t xml:space="preserve">I.D. at 10-11.  </w:t>
      </w:r>
      <w:r w:rsidR="00EC2209">
        <w:rPr>
          <w:sz w:val="26"/>
          <w:szCs w:val="26"/>
        </w:rPr>
        <w:t>Based upon</w:t>
      </w:r>
      <w:r w:rsidR="00BB1CCC">
        <w:rPr>
          <w:sz w:val="26"/>
          <w:szCs w:val="26"/>
        </w:rPr>
        <w:t xml:space="preserve"> the Complainant’s </w:t>
      </w:r>
      <w:r w:rsidR="00990F6F">
        <w:rPr>
          <w:sz w:val="26"/>
          <w:szCs w:val="26"/>
        </w:rPr>
        <w:t>affirmation of its request</w:t>
      </w:r>
      <w:r w:rsidR="00A254DD">
        <w:rPr>
          <w:sz w:val="26"/>
          <w:szCs w:val="26"/>
        </w:rPr>
        <w:t>ed relief</w:t>
      </w:r>
      <w:r w:rsidR="00990F6F">
        <w:rPr>
          <w:sz w:val="26"/>
          <w:szCs w:val="26"/>
        </w:rPr>
        <w:t xml:space="preserve"> </w:t>
      </w:r>
      <w:r w:rsidR="00F23D1F">
        <w:rPr>
          <w:sz w:val="26"/>
          <w:szCs w:val="26"/>
        </w:rPr>
        <w:t xml:space="preserve">in the Complaint </w:t>
      </w:r>
      <w:r w:rsidR="00990F6F">
        <w:rPr>
          <w:sz w:val="26"/>
          <w:szCs w:val="26"/>
        </w:rPr>
        <w:t xml:space="preserve">that the Commission reform its supply contract with UGIES, </w:t>
      </w:r>
      <w:r w:rsidR="00F23D1F">
        <w:rPr>
          <w:sz w:val="26"/>
          <w:szCs w:val="26"/>
        </w:rPr>
        <w:t xml:space="preserve">the concern that </w:t>
      </w:r>
      <w:r w:rsidR="00BB1CCC">
        <w:rPr>
          <w:sz w:val="26"/>
          <w:szCs w:val="26"/>
        </w:rPr>
        <w:t xml:space="preserve">prompted </w:t>
      </w:r>
      <w:r w:rsidR="00F23D1F">
        <w:rPr>
          <w:sz w:val="26"/>
          <w:szCs w:val="26"/>
        </w:rPr>
        <w:t xml:space="preserve">the ALJ’s </w:t>
      </w:r>
      <w:r w:rsidR="00A254DD">
        <w:rPr>
          <w:sz w:val="26"/>
          <w:szCs w:val="26"/>
        </w:rPr>
        <w:t xml:space="preserve">jurisdictional briefing </w:t>
      </w:r>
      <w:r w:rsidR="00F23D1F">
        <w:rPr>
          <w:sz w:val="26"/>
          <w:szCs w:val="26"/>
        </w:rPr>
        <w:t xml:space="preserve">request in the </w:t>
      </w:r>
      <w:r w:rsidR="00BB1CCC">
        <w:rPr>
          <w:sz w:val="26"/>
          <w:szCs w:val="26"/>
        </w:rPr>
        <w:t>Post-Hearing Order</w:t>
      </w:r>
      <w:r w:rsidR="00990F6F">
        <w:rPr>
          <w:sz w:val="26"/>
          <w:szCs w:val="26"/>
        </w:rPr>
        <w:t xml:space="preserve">, </w:t>
      </w:r>
      <w:r w:rsidR="00BB1CCC">
        <w:rPr>
          <w:sz w:val="26"/>
          <w:szCs w:val="26"/>
        </w:rPr>
        <w:t xml:space="preserve">the ALJ concluded that while the Complaint on its face alleged </w:t>
      </w:r>
      <w:r w:rsidR="00990F6F">
        <w:rPr>
          <w:sz w:val="26"/>
          <w:szCs w:val="26"/>
        </w:rPr>
        <w:t xml:space="preserve">a </w:t>
      </w:r>
      <w:r w:rsidR="00BB1CCC">
        <w:rPr>
          <w:sz w:val="26"/>
          <w:szCs w:val="26"/>
        </w:rPr>
        <w:t>billing</w:t>
      </w:r>
      <w:r w:rsidR="00990F6F">
        <w:rPr>
          <w:sz w:val="26"/>
          <w:szCs w:val="26"/>
        </w:rPr>
        <w:t xml:space="preserve"> </w:t>
      </w:r>
      <w:r w:rsidR="00F23D1F">
        <w:rPr>
          <w:sz w:val="26"/>
          <w:szCs w:val="26"/>
        </w:rPr>
        <w:t>dispute</w:t>
      </w:r>
      <w:r w:rsidR="00BB1CCC">
        <w:rPr>
          <w:sz w:val="26"/>
          <w:szCs w:val="26"/>
        </w:rPr>
        <w:t xml:space="preserve">, a matter within the Commission’s </w:t>
      </w:r>
      <w:r w:rsidR="00BB1CCC">
        <w:rPr>
          <w:sz w:val="26"/>
          <w:szCs w:val="26"/>
        </w:rPr>
        <w:lastRenderedPageBreak/>
        <w:t xml:space="preserve">jurisdiction, </w:t>
      </w:r>
      <w:r w:rsidR="003950AE">
        <w:rPr>
          <w:sz w:val="26"/>
          <w:szCs w:val="26"/>
        </w:rPr>
        <w:t xml:space="preserve">ultimately </w:t>
      </w:r>
      <w:r w:rsidR="00990F6F">
        <w:rPr>
          <w:sz w:val="26"/>
          <w:szCs w:val="26"/>
        </w:rPr>
        <w:t xml:space="preserve">Green Hills was requesting contract reformation and damages under Section 508 of the Code, relief beyond the Commission’s authority </w:t>
      </w:r>
      <w:r w:rsidR="00A254DD">
        <w:rPr>
          <w:sz w:val="26"/>
          <w:szCs w:val="26"/>
        </w:rPr>
        <w:t>and jurisdiction</w:t>
      </w:r>
      <w:r w:rsidR="00BB1CCC">
        <w:rPr>
          <w:sz w:val="26"/>
          <w:szCs w:val="26"/>
        </w:rPr>
        <w:t>.</w:t>
      </w:r>
      <w:r w:rsidR="00F23D1F">
        <w:rPr>
          <w:sz w:val="26"/>
          <w:szCs w:val="26"/>
        </w:rPr>
        <w:t xml:space="preserve">  </w:t>
      </w:r>
      <w:r w:rsidR="00F23D1F">
        <w:rPr>
          <w:i/>
          <w:sz w:val="26"/>
          <w:szCs w:val="26"/>
        </w:rPr>
        <w:t xml:space="preserve">Id. </w:t>
      </w:r>
      <w:r w:rsidR="00F23D1F">
        <w:rPr>
          <w:sz w:val="26"/>
          <w:szCs w:val="26"/>
        </w:rPr>
        <w:t>at 1, 5-6 (citing</w:t>
      </w:r>
      <w:r w:rsidR="00D35133">
        <w:rPr>
          <w:sz w:val="26"/>
          <w:szCs w:val="26"/>
        </w:rPr>
        <w:t xml:space="preserve"> </w:t>
      </w:r>
      <w:r w:rsidR="00842E66">
        <w:rPr>
          <w:i/>
          <w:sz w:val="26"/>
          <w:szCs w:val="26"/>
        </w:rPr>
        <w:t>Commonwealth of Pennsylvania v. I</w:t>
      </w:r>
      <w:r w:rsidR="00D35133">
        <w:rPr>
          <w:i/>
          <w:sz w:val="26"/>
          <w:szCs w:val="26"/>
        </w:rPr>
        <w:t>DT Energy, Inc.</w:t>
      </w:r>
      <w:r w:rsidR="00D35133">
        <w:rPr>
          <w:sz w:val="26"/>
          <w:szCs w:val="26"/>
        </w:rPr>
        <w:t>, Docket No. C-2014-2427657</w:t>
      </w:r>
      <w:r w:rsidR="0067172A">
        <w:rPr>
          <w:sz w:val="26"/>
          <w:szCs w:val="26"/>
        </w:rPr>
        <w:t xml:space="preserve"> (Order entered December 18, 2014) (</w:t>
      </w:r>
      <w:r w:rsidR="0067172A">
        <w:rPr>
          <w:i/>
          <w:sz w:val="26"/>
          <w:szCs w:val="26"/>
        </w:rPr>
        <w:t>IDT Energy</w:t>
      </w:r>
      <w:r w:rsidR="0067172A">
        <w:rPr>
          <w:sz w:val="26"/>
          <w:szCs w:val="26"/>
        </w:rPr>
        <w:t>);</w:t>
      </w:r>
      <w:r w:rsidR="00F23D1F">
        <w:rPr>
          <w:sz w:val="26"/>
          <w:szCs w:val="26"/>
        </w:rPr>
        <w:t xml:space="preserve"> </w:t>
      </w:r>
      <w:r w:rsidR="00F23D1F">
        <w:rPr>
          <w:i/>
          <w:sz w:val="26"/>
          <w:szCs w:val="26"/>
        </w:rPr>
        <w:t>Feingold v</w:t>
      </w:r>
      <w:r w:rsidR="00842E66">
        <w:rPr>
          <w:i/>
          <w:sz w:val="26"/>
          <w:szCs w:val="26"/>
        </w:rPr>
        <w:t>.</w:t>
      </w:r>
      <w:r w:rsidR="00F23D1F">
        <w:rPr>
          <w:i/>
          <w:sz w:val="26"/>
          <w:szCs w:val="26"/>
        </w:rPr>
        <w:t xml:space="preserve"> Bell of PA</w:t>
      </w:r>
      <w:r w:rsidR="00F23D1F">
        <w:rPr>
          <w:sz w:val="26"/>
          <w:szCs w:val="26"/>
        </w:rPr>
        <w:t>, 477 Pa. 1, 383 A.2d 791 (1977)</w:t>
      </w:r>
      <w:r w:rsidR="00D35133">
        <w:rPr>
          <w:sz w:val="26"/>
          <w:szCs w:val="26"/>
        </w:rPr>
        <w:t xml:space="preserve"> (</w:t>
      </w:r>
      <w:r w:rsidR="00D35133">
        <w:rPr>
          <w:i/>
          <w:sz w:val="26"/>
          <w:szCs w:val="26"/>
        </w:rPr>
        <w:t>Feingold</w:t>
      </w:r>
      <w:r w:rsidR="00D35133">
        <w:rPr>
          <w:sz w:val="26"/>
          <w:szCs w:val="26"/>
        </w:rPr>
        <w:t>)</w:t>
      </w:r>
      <w:r w:rsidR="0067172A">
        <w:rPr>
          <w:sz w:val="26"/>
          <w:szCs w:val="26"/>
        </w:rPr>
        <w:t>)</w:t>
      </w:r>
      <w:r w:rsidR="00F23D1F">
        <w:rPr>
          <w:sz w:val="26"/>
          <w:szCs w:val="26"/>
        </w:rPr>
        <w:t>.</w:t>
      </w:r>
    </w:p>
    <w:p w:rsidR="00EC2209" w:rsidRDefault="00EC2209" w:rsidP="00B75FC9">
      <w:pPr>
        <w:spacing w:line="360" w:lineRule="auto"/>
        <w:rPr>
          <w:sz w:val="26"/>
          <w:szCs w:val="26"/>
        </w:rPr>
      </w:pPr>
    </w:p>
    <w:p w:rsidR="00EC2209" w:rsidRPr="00AE589C" w:rsidRDefault="00AE589C" w:rsidP="00EC2209">
      <w:pPr>
        <w:spacing w:line="360" w:lineRule="auto"/>
        <w:ind w:firstLine="1440"/>
        <w:rPr>
          <w:sz w:val="26"/>
          <w:szCs w:val="26"/>
        </w:rPr>
      </w:pPr>
      <w:r>
        <w:rPr>
          <w:sz w:val="26"/>
          <w:szCs w:val="26"/>
        </w:rPr>
        <w:t xml:space="preserve">The ALJ </w:t>
      </w:r>
      <w:r w:rsidR="00C0525B">
        <w:rPr>
          <w:sz w:val="26"/>
          <w:szCs w:val="26"/>
        </w:rPr>
        <w:t>restated the positions the parties had advanced in the</w:t>
      </w:r>
      <w:r w:rsidR="00A254DD">
        <w:rPr>
          <w:sz w:val="26"/>
          <w:szCs w:val="26"/>
        </w:rPr>
        <w:t>ir</w:t>
      </w:r>
      <w:r w:rsidR="00C0525B">
        <w:rPr>
          <w:sz w:val="26"/>
          <w:szCs w:val="26"/>
        </w:rPr>
        <w:t xml:space="preserve"> Post-Hearing Order</w:t>
      </w:r>
      <w:r w:rsidR="00A254DD">
        <w:rPr>
          <w:sz w:val="26"/>
          <w:szCs w:val="26"/>
        </w:rPr>
        <w:t xml:space="preserve"> briefs</w:t>
      </w:r>
      <w:r w:rsidR="00C0525B">
        <w:rPr>
          <w:sz w:val="26"/>
          <w:szCs w:val="26"/>
        </w:rPr>
        <w:t xml:space="preserve">.  According to the ALJ, </w:t>
      </w:r>
      <w:r>
        <w:rPr>
          <w:sz w:val="26"/>
          <w:szCs w:val="26"/>
        </w:rPr>
        <w:t>Green Hills argu</w:t>
      </w:r>
      <w:r w:rsidR="00C0525B">
        <w:rPr>
          <w:sz w:val="26"/>
          <w:szCs w:val="26"/>
        </w:rPr>
        <w:t>ed</w:t>
      </w:r>
      <w:r>
        <w:rPr>
          <w:sz w:val="26"/>
          <w:szCs w:val="26"/>
        </w:rPr>
        <w:t xml:space="preserve"> that the Commission ha</w:t>
      </w:r>
      <w:r w:rsidR="00C0525B">
        <w:rPr>
          <w:sz w:val="26"/>
          <w:szCs w:val="26"/>
        </w:rPr>
        <w:t>d</w:t>
      </w:r>
      <w:r>
        <w:rPr>
          <w:sz w:val="26"/>
          <w:szCs w:val="26"/>
        </w:rPr>
        <w:t xml:space="preserve"> plenary authority under Section 501 of the Code to order a billing adjustment in the form of a credit as addressed in </w:t>
      </w:r>
      <w:r>
        <w:rPr>
          <w:i/>
          <w:sz w:val="26"/>
          <w:szCs w:val="26"/>
        </w:rPr>
        <w:t>IDT Energy</w:t>
      </w:r>
      <w:r>
        <w:rPr>
          <w:sz w:val="26"/>
          <w:szCs w:val="26"/>
        </w:rPr>
        <w:t>.</w:t>
      </w:r>
      <w:r w:rsidR="00C0525B">
        <w:rPr>
          <w:sz w:val="26"/>
          <w:szCs w:val="26"/>
        </w:rPr>
        <w:t xml:space="preserve">  </w:t>
      </w:r>
      <w:r>
        <w:rPr>
          <w:sz w:val="26"/>
          <w:szCs w:val="26"/>
        </w:rPr>
        <w:t>In this case</w:t>
      </w:r>
      <w:r w:rsidR="00473028">
        <w:rPr>
          <w:sz w:val="26"/>
          <w:szCs w:val="26"/>
        </w:rPr>
        <w:t>,</w:t>
      </w:r>
      <w:r>
        <w:rPr>
          <w:sz w:val="26"/>
          <w:szCs w:val="26"/>
        </w:rPr>
        <w:t xml:space="preserve"> Green Hills requested </w:t>
      </w:r>
      <w:r w:rsidR="00C0525B">
        <w:rPr>
          <w:sz w:val="26"/>
          <w:szCs w:val="26"/>
        </w:rPr>
        <w:t xml:space="preserve">contract reformation, a rate adjustment, and ultimately </w:t>
      </w:r>
      <w:r>
        <w:rPr>
          <w:sz w:val="26"/>
          <w:szCs w:val="26"/>
        </w:rPr>
        <w:t xml:space="preserve">a credit of approximately $25,000, or the amount by which its energy costs for the </w:t>
      </w:r>
      <w:r w:rsidR="008D275D">
        <w:rPr>
          <w:sz w:val="26"/>
          <w:szCs w:val="26"/>
        </w:rPr>
        <w:t xml:space="preserve">disputed </w:t>
      </w:r>
      <w:r>
        <w:rPr>
          <w:sz w:val="26"/>
          <w:szCs w:val="26"/>
        </w:rPr>
        <w:t xml:space="preserve">billing period exceeded what it would have paid UGIES had the </w:t>
      </w:r>
      <w:r w:rsidR="00A254DD">
        <w:rPr>
          <w:sz w:val="26"/>
          <w:szCs w:val="26"/>
        </w:rPr>
        <w:t>MPSA</w:t>
      </w:r>
      <w:r>
        <w:rPr>
          <w:sz w:val="26"/>
          <w:szCs w:val="26"/>
        </w:rPr>
        <w:t xml:space="preserve"> beg</w:t>
      </w:r>
      <w:r w:rsidR="00A254DD">
        <w:rPr>
          <w:sz w:val="26"/>
          <w:szCs w:val="26"/>
        </w:rPr>
        <w:t>u</w:t>
      </w:r>
      <w:r>
        <w:rPr>
          <w:sz w:val="26"/>
          <w:szCs w:val="26"/>
        </w:rPr>
        <w:t>n one month earlier</w:t>
      </w:r>
      <w:r>
        <w:rPr>
          <w:i/>
          <w:sz w:val="26"/>
          <w:szCs w:val="26"/>
        </w:rPr>
        <w:t>.</w:t>
      </w:r>
      <w:r>
        <w:rPr>
          <w:sz w:val="26"/>
          <w:szCs w:val="26"/>
        </w:rPr>
        <w:t xml:space="preserve">  The ALJ also noted Green Hills’ argument that under our decision in </w:t>
      </w:r>
      <w:r>
        <w:rPr>
          <w:i/>
          <w:sz w:val="26"/>
          <w:szCs w:val="26"/>
        </w:rPr>
        <w:t>Yaglidereliler Corp. v. Blue Pilot Energy LLC</w:t>
      </w:r>
      <w:r>
        <w:rPr>
          <w:sz w:val="26"/>
          <w:szCs w:val="26"/>
        </w:rPr>
        <w:t xml:space="preserve">, Docket No. C-2014-2413732 </w:t>
      </w:r>
      <w:r w:rsidR="00D851DA" w:rsidRPr="00D851DA">
        <w:rPr>
          <w:sz w:val="26"/>
          <w:szCs w:val="26"/>
        </w:rPr>
        <w:t xml:space="preserve">(Order entered January 16, 2015) </w:t>
      </w:r>
      <w:r>
        <w:rPr>
          <w:sz w:val="26"/>
          <w:szCs w:val="26"/>
        </w:rPr>
        <w:t>(</w:t>
      </w:r>
      <w:r>
        <w:rPr>
          <w:i/>
          <w:sz w:val="26"/>
          <w:szCs w:val="26"/>
        </w:rPr>
        <w:t>Yaglidereliler</w:t>
      </w:r>
      <w:r>
        <w:rPr>
          <w:sz w:val="26"/>
          <w:szCs w:val="26"/>
        </w:rPr>
        <w:t xml:space="preserve">), the Commission has subject matter jurisdiction to regulate certain aspects of EGS services, including marketing, sales, and billing.  </w:t>
      </w:r>
      <w:r w:rsidR="00C0525B">
        <w:rPr>
          <w:sz w:val="26"/>
          <w:szCs w:val="26"/>
        </w:rPr>
        <w:t>Finally the ALJ noted Green Hills’ plea that e</w:t>
      </w:r>
      <w:r>
        <w:rPr>
          <w:sz w:val="26"/>
          <w:szCs w:val="26"/>
        </w:rPr>
        <w:t xml:space="preserve">ven if the Commission did not order the relief requested, it should determine whether UGIES violated the Code or Commission Regulations in its marketing and sales.  </w:t>
      </w:r>
      <w:r w:rsidR="00C0525B">
        <w:rPr>
          <w:sz w:val="26"/>
          <w:szCs w:val="26"/>
        </w:rPr>
        <w:t>I.D. at 6-7.</w:t>
      </w:r>
    </w:p>
    <w:p w:rsidR="00F23D1F" w:rsidRDefault="00F23D1F" w:rsidP="00B75FC9">
      <w:pPr>
        <w:spacing w:line="360" w:lineRule="auto"/>
        <w:rPr>
          <w:sz w:val="26"/>
          <w:szCs w:val="26"/>
        </w:rPr>
      </w:pPr>
    </w:p>
    <w:p w:rsidR="00C0525B" w:rsidRDefault="00C0525B" w:rsidP="00F23D1F">
      <w:pPr>
        <w:spacing w:line="360" w:lineRule="auto"/>
        <w:ind w:firstLine="1440"/>
        <w:rPr>
          <w:sz w:val="26"/>
          <w:szCs w:val="26"/>
        </w:rPr>
      </w:pPr>
      <w:r>
        <w:rPr>
          <w:sz w:val="26"/>
          <w:szCs w:val="26"/>
        </w:rPr>
        <w:t>As summarized by the ALJ, UGIES responded that the Commission lacks authority under Section 508 of the Code to reform the MPSA because Section 508 applies to public utilities, not EGSs, and the Commission likewise lacks authority to award monetary damages.  UGIES also contended that by shifting its argument for the first time in briefs from a request for contract reformation and damages to alleged fraudulent, deceptive, or other unlawful marketing and sales practices, Green Hills denied UGIES notice and an opportunity to be heard on those issues, which should be rejected on due process grounds.  Even if considered, however, UGIES contended that nothing in the record supported Green Hills’ service claim.  I.D. at 7.</w:t>
      </w:r>
    </w:p>
    <w:p w:rsidR="00C0525B" w:rsidRDefault="00C0525B" w:rsidP="00F23D1F">
      <w:pPr>
        <w:spacing w:line="360" w:lineRule="auto"/>
        <w:ind w:firstLine="1440"/>
        <w:rPr>
          <w:sz w:val="26"/>
          <w:szCs w:val="26"/>
        </w:rPr>
      </w:pPr>
    </w:p>
    <w:p w:rsidR="00B700D0" w:rsidRDefault="0017726C" w:rsidP="00F23D1F">
      <w:pPr>
        <w:spacing w:line="360" w:lineRule="auto"/>
        <w:ind w:firstLine="1440"/>
        <w:rPr>
          <w:sz w:val="26"/>
          <w:szCs w:val="26"/>
        </w:rPr>
      </w:pPr>
      <w:r>
        <w:rPr>
          <w:sz w:val="26"/>
          <w:szCs w:val="26"/>
        </w:rPr>
        <w:t xml:space="preserve">Quoting </w:t>
      </w:r>
      <w:r w:rsidR="00842E66">
        <w:rPr>
          <w:sz w:val="26"/>
          <w:szCs w:val="26"/>
        </w:rPr>
        <w:t>from</w:t>
      </w:r>
      <w:r w:rsidR="00B700D0">
        <w:rPr>
          <w:sz w:val="26"/>
          <w:szCs w:val="26"/>
        </w:rPr>
        <w:t xml:space="preserve"> </w:t>
      </w:r>
      <w:r>
        <w:rPr>
          <w:sz w:val="26"/>
          <w:szCs w:val="26"/>
        </w:rPr>
        <w:t xml:space="preserve">Green Hills’ Complaint in which the customer requested a roll-back of the MPSA start date or, in the alternative, the compelled negotiation of an alternate rate for the </w:t>
      </w:r>
      <w:r w:rsidR="008D275D">
        <w:rPr>
          <w:sz w:val="26"/>
          <w:szCs w:val="26"/>
        </w:rPr>
        <w:t xml:space="preserve">disputed </w:t>
      </w:r>
      <w:r>
        <w:rPr>
          <w:sz w:val="26"/>
          <w:szCs w:val="26"/>
        </w:rPr>
        <w:t>billing period, t</w:t>
      </w:r>
      <w:r w:rsidR="00CB1CC9">
        <w:rPr>
          <w:sz w:val="26"/>
          <w:szCs w:val="26"/>
        </w:rPr>
        <w:t xml:space="preserve">he ALJ concluded that </w:t>
      </w:r>
      <w:r>
        <w:rPr>
          <w:sz w:val="26"/>
          <w:szCs w:val="26"/>
        </w:rPr>
        <w:t>th</w:t>
      </w:r>
      <w:r w:rsidR="00B700D0">
        <w:rPr>
          <w:sz w:val="26"/>
          <w:szCs w:val="26"/>
        </w:rPr>
        <w:t xml:space="preserve">e Complaint did not present </w:t>
      </w:r>
      <w:r>
        <w:rPr>
          <w:sz w:val="26"/>
          <w:szCs w:val="26"/>
        </w:rPr>
        <w:t>a billing dispute</w:t>
      </w:r>
      <w:r w:rsidR="008D275D">
        <w:rPr>
          <w:sz w:val="26"/>
          <w:szCs w:val="26"/>
        </w:rPr>
        <w:t xml:space="preserve"> but </w:t>
      </w:r>
      <w:r w:rsidR="00647665">
        <w:rPr>
          <w:sz w:val="26"/>
          <w:szCs w:val="26"/>
        </w:rPr>
        <w:t xml:space="preserve">rather </w:t>
      </w:r>
      <w:r>
        <w:rPr>
          <w:sz w:val="26"/>
          <w:szCs w:val="26"/>
        </w:rPr>
        <w:t>a request for contract reformation</w:t>
      </w:r>
      <w:r w:rsidR="00647665">
        <w:rPr>
          <w:sz w:val="26"/>
          <w:szCs w:val="26"/>
        </w:rPr>
        <w:t xml:space="preserve">.  </w:t>
      </w:r>
      <w:r w:rsidR="00083943">
        <w:rPr>
          <w:sz w:val="26"/>
          <w:szCs w:val="26"/>
        </w:rPr>
        <w:t xml:space="preserve">Quoting from the statute, </w:t>
      </w:r>
      <w:r w:rsidR="00B700D0">
        <w:rPr>
          <w:sz w:val="26"/>
          <w:szCs w:val="26"/>
        </w:rPr>
        <w:t>the ALJ found that Section 508 was of limited application</w:t>
      </w:r>
      <w:r w:rsidR="00083943">
        <w:rPr>
          <w:sz w:val="26"/>
          <w:szCs w:val="26"/>
        </w:rPr>
        <w:t xml:space="preserve"> because</w:t>
      </w:r>
      <w:r>
        <w:rPr>
          <w:sz w:val="26"/>
          <w:szCs w:val="26"/>
        </w:rPr>
        <w:t xml:space="preserve"> </w:t>
      </w:r>
      <w:r w:rsidR="00B700D0">
        <w:rPr>
          <w:sz w:val="26"/>
          <w:szCs w:val="26"/>
        </w:rPr>
        <w:t xml:space="preserve">Section 508 </w:t>
      </w:r>
      <w:r>
        <w:rPr>
          <w:sz w:val="26"/>
          <w:szCs w:val="26"/>
        </w:rPr>
        <w:t xml:space="preserve">applies to contracts entered into between </w:t>
      </w:r>
      <w:r w:rsidRPr="00083943">
        <w:rPr>
          <w:i/>
          <w:sz w:val="26"/>
          <w:szCs w:val="26"/>
        </w:rPr>
        <w:t>public utilities</w:t>
      </w:r>
      <w:r>
        <w:rPr>
          <w:sz w:val="26"/>
          <w:szCs w:val="26"/>
        </w:rPr>
        <w:t xml:space="preserve"> and </w:t>
      </w:r>
      <w:r w:rsidR="00FD1E2A">
        <w:rPr>
          <w:sz w:val="26"/>
          <w:szCs w:val="26"/>
        </w:rPr>
        <w:t xml:space="preserve">other parties and requires a finding </w:t>
      </w:r>
      <w:r w:rsidR="00B700D0">
        <w:rPr>
          <w:sz w:val="26"/>
          <w:szCs w:val="26"/>
        </w:rPr>
        <w:t xml:space="preserve">that the contract is adverse to the public interest.  The ALJ concluded that </w:t>
      </w:r>
      <w:r w:rsidR="00083943">
        <w:rPr>
          <w:sz w:val="26"/>
          <w:szCs w:val="26"/>
        </w:rPr>
        <w:t xml:space="preserve">as an EGS, </w:t>
      </w:r>
      <w:r w:rsidR="00B700D0">
        <w:rPr>
          <w:sz w:val="26"/>
          <w:szCs w:val="26"/>
        </w:rPr>
        <w:t>UGIES was not a public utility</w:t>
      </w:r>
      <w:r w:rsidR="00083943">
        <w:rPr>
          <w:sz w:val="26"/>
          <w:szCs w:val="26"/>
        </w:rPr>
        <w:t xml:space="preserve"> “except in </w:t>
      </w:r>
      <w:r w:rsidR="00B700D0">
        <w:rPr>
          <w:sz w:val="26"/>
          <w:szCs w:val="26"/>
        </w:rPr>
        <w:t>limited circumstances.</w:t>
      </w:r>
      <w:r w:rsidR="00083943">
        <w:rPr>
          <w:sz w:val="26"/>
          <w:szCs w:val="26"/>
        </w:rPr>
        <w:t>”</w:t>
      </w:r>
      <w:r w:rsidR="00B700D0">
        <w:rPr>
          <w:sz w:val="26"/>
          <w:szCs w:val="26"/>
        </w:rPr>
        <w:t xml:space="preserve">  </w:t>
      </w:r>
      <w:r w:rsidR="00DA7304">
        <w:rPr>
          <w:sz w:val="26"/>
          <w:szCs w:val="26"/>
        </w:rPr>
        <w:t xml:space="preserve">I.D. </w:t>
      </w:r>
      <w:r w:rsidR="00083943">
        <w:rPr>
          <w:sz w:val="26"/>
          <w:szCs w:val="26"/>
        </w:rPr>
        <w:t xml:space="preserve">at 8.  </w:t>
      </w:r>
      <w:r w:rsidR="00B700D0">
        <w:rPr>
          <w:sz w:val="26"/>
          <w:szCs w:val="26"/>
        </w:rPr>
        <w:t xml:space="preserve">Further, the ALJ concluded that Green Hills failed to make a case that the MPSA was contrary or adverse to the public interest </w:t>
      </w:r>
      <w:r w:rsidR="00842E66">
        <w:rPr>
          <w:sz w:val="26"/>
          <w:szCs w:val="26"/>
        </w:rPr>
        <w:t>and</w:t>
      </w:r>
      <w:r w:rsidR="00B700D0">
        <w:rPr>
          <w:sz w:val="26"/>
          <w:szCs w:val="26"/>
        </w:rPr>
        <w:t xml:space="preserve"> the general well-being of the Commonwealth</w:t>
      </w:r>
      <w:r w:rsidR="00647665">
        <w:rPr>
          <w:sz w:val="26"/>
          <w:szCs w:val="26"/>
        </w:rPr>
        <w:t xml:space="preserve">.  Accordingly, the ALJ concluded that Section 508 was </w:t>
      </w:r>
      <w:r w:rsidR="00B700D0">
        <w:rPr>
          <w:sz w:val="26"/>
          <w:szCs w:val="26"/>
        </w:rPr>
        <w:t>inapplicable</w:t>
      </w:r>
      <w:r w:rsidR="00647665">
        <w:rPr>
          <w:sz w:val="26"/>
          <w:szCs w:val="26"/>
        </w:rPr>
        <w:t xml:space="preserve"> </w:t>
      </w:r>
      <w:r w:rsidR="002B158E">
        <w:rPr>
          <w:sz w:val="26"/>
          <w:szCs w:val="26"/>
        </w:rPr>
        <w:t>in this proceeding</w:t>
      </w:r>
      <w:r w:rsidR="00B700D0">
        <w:rPr>
          <w:sz w:val="26"/>
          <w:szCs w:val="26"/>
        </w:rPr>
        <w:t xml:space="preserve">.  </w:t>
      </w:r>
      <w:r w:rsidR="00DA7304" w:rsidRPr="00DA7304">
        <w:rPr>
          <w:i/>
          <w:sz w:val="26"/>
          <w:szCs w:val="26"/>
        </w:rPr>
        <w:t>Id</w:t>
      </w:r>
      <w:r w:rsidR="00DA7304" w:rsidRPr="00DA7304">
        <w:rPr>
          <w:sz w:val="26"/>
          <w:szCs w:val="26"/>
        </w:rPr>
        <w:t>.</w:t>
      </w:r>
      <w:r w:rsidR="00B700D0">
        <w:rPr>
          <w:sz w:val="26"/>
          <w:szCs w:val="26"/>
        </w:rPr>
        <w:t xml:space="preserve"> at 8-9.</w:t>
      </w:r>
    </w:p>
    <w:p w:rsidR="00B700D0" w:rsidRDefault="00B700D0" w:rsidP="00F23D1F">
      <w:pPr>
        <w:spacing w:line="360" w:lineRule="auto"/>
        <w:ind w:firstLine="1440"/>
        <w:rPr>
          <w:sz w:val="26"/>
          <w:szCs w:val="26"/>
        </w:rPr>
      </w:pPr>
    </w:p>
    <w:p w:rsidR="00473028" w:rsidRDefault="009547F7" w:rsidP="00F23D1F">
      <w:pPr>
        <w:spacing w:line="360" w:lineRule="auto"/>
        <w:ind w:firstLine="1440"/>
        <w:rPr>
          <w:sz w:val="26"/>
          <w:szCs w:val="26"/>
        </w:rPr>
      </w:pPr>
      <w:r>
        <w:rPr>
          <w:sz w:val="26"/>
          <w:szCs w:val="26"/>
        </w:rPr>
        <w:t>The ALJ addressed Green Hills’</w:t>
      </w:r>
      <w:r w:rsidR="00647665">
        <w:rPr>
          <w:sz w:val="26"/>
          <w:szCs w:val="26"/>
        </w:rPr>
        <w:t xml:space="preserve"> argument that UGIES held itself out as an energy expert and that Green Hills relied on that expertise to its detriment since UGIES failed to seamlessly enroll Green Hills with </w:t>
      </w:r>
      <w:r w:rsidR="00842E66">
        <w:rPr>
          <w:sz w:val="26"/>
          <w:szCs w:val="26"/>
        </w:rPr>
        <w:t>UGIES’</w:t>
      </w:r>
      <w:r w:rsidR="00647665">
        <w:rPr>
          <w:sz w:val="26"/>
          <w:szCs w:val="26"/>
        </w:rPr>
        <w:t xml:space="preserve"> service at the conclusion of </w:t>
      </w:r>
      <w:r w:rsidR="00842E66">
        <w:rPr>
          <w:sz w:val="26"/>
          <w:szCs w:val="26"/>
        </w:rPr>
        <w:t>Green Hills’</w:t>
      </w:r>
      <w:r w:rsidR="00647665">
        <w:rPr>
          <w:sz w:val="26"/>
          <w:szCs w:val="26"/>
        </w:rPr>
        <w:t xml:space="preserve"> then-existing power contract with Liberty.  Green Hills argued that even if the Commission did not grant the relief requested, it should determine whether UGIES violated the Code or Commission Regulations</w:t>
      </w:r>
      <w:r w:rsidR="00473028">
        <w:rPr>
          <w:sz w:val="26"/>
          <w:szCs w:val="26"/>
        </w:rPr>
        <w:t xml:space="preserve"> on the basis of </w:t>
      </w:r>
      <w:r w:rsidR="00473028" w:rsidRPr="00473028">
        <w:rPr>
          <w:sz w:val="26"/>
          <w:szCs w:val="26"/>
        </w:rPr>
        <w:t>UGIES</w:t>
      </w:r>
      <w:r w:rsidR="00473028">
        <w:rPr>
          <w:sz w:val="26"/>
          <w:szCs w:val="26"/>
        </w:rPr>
        <w:t xml:space="preserve">’ admission </w:t>
      </w:r>
      <w:r w:rsidR="00473028" w:rsidRPr="00473028">
        <w:rPr>
          <w:sz w:val="26"/>
          <w:szCs w:val="26"/>
        </w:rPr>
        <w:t>that it did not intend to create a supplier transaction gap</w:t>
      </w:r>
      <w:r w:rsidR="00647665">
        <w:rPr>
          <w:sz w:val="26"/>
          <w:szCs w:val="26"/>
        </w:rPr>
        <w:t>.</w:t>
      </w:r>
    </w:p>
    <w:p w:rsidR="00473028" w:rsidRDefault="00473028" w:rsidP="00F23D1F">
      <w:pPr>
        <w:spacing w:line="360" w:lineRule="auto"/>
        <w:ind w:firstLine="1440"/>
        <w:rPr>
          <w:sz w:val="26"/>
          <w:szCs w:val="26"/>
        </w:rPr>
      </w:pPr>
    </w:p>
    <w:p w:rsidR="008E162D" w:rsidRDefault="00647665" w:rsidP="00F23D1F">
      <w:pPr>
        <w:spacing w:line="360" w:lineRule="auto"/>
        <w:ind w:firstLine="1440"/>
        <w:rPr>
          <w:i/>
          <w:sz w:val="26"/>
          <w:szCs w:val="26"/>
        </w:rPr>
      </w:pPr>
      <w:r>
        <w:rPr>
          <w:sz w:val="26"/>
          <w:szCs w:val="26"/>
        </w:rPr>
        <w:t>The ALJ conclude</w:t>
      </w:r>
      <w:r w:rsidR="002B158E">
        <w:rPr>
          <w:sz w:val="26"/>
          <w:szCs w:val="26"/>
        </w:rPr>
        <w:t>d</w:t>
      </w:r>
      <w:r>
        <w:rPr>
          <w:sz w:val="26"/>
          <w:szCs w:val="26"/>
        </w:rPr>
        <w:t xml:space="preserve"> that UGIES</w:t>
      </w:r>
      <w:r w:rsidR="002B158E">
        <w:rPr>
          <w:sz w:val="26"/>
          <w:szCs w:val="26"/>
        </w:rPr>
        <w:t>’</w:t>
      </w:r>
      <w:r>
        <w:rPr>
          <w:sz w:val="26"/>
          <w:szCs w:val="26"/>
        </w:rPr>
        <w:t xml:space="preserve"> failure to accomplish a seamless transition was insufficient to confer jurisdiction on the Commission.  </w:t>
      </w:r>
      <w:r w:rsidR="00473028">
        <w:rPr>
          <w:i/>
          <w:sz w:val="26"/>
          <w:szCs w:val="26"/>
        </w:rPr>
        <w:t>Id</w:t>
      </w:r>
      <w:r>
        <w:rPr>
          <w:sz w:val="26"/>
          <w:szCs w:val="26"/>
        </w:rPr>
        <w:t xml:space="preserve">. at 9.  To this point, the ALJ concluded that the Commission’s service jurisdiction and related billing adjustment remedies </w:t>
      </w:r>
      <w:r w:rsidR="002B158E">
        <w:rPr>
          <w:sz w:val="26"/>
          <w:szCs w:val="26"/>
        </w:rPr>
        <w:t>were</w:t>
      </w:r>
      <w:r>
        <w:rPr>
          <w:sz w:val="26"/>
          <w:szCs w:val="26"/>
        </w:rPr>
        <w:t xml:space="preserve"> limited to findings</w:t>
      </w:r>
      <w:r w:rsidR="00473028">
        <w:rPr>
          <w:sz w:val="26"/>
          <w:szCs w:val="26"/>
        </w:rPr>
        <w:t xml:space="preserve"> that</w:t>
      </w:r>
      <w:r>
        <w:rPr>
          <w:sz w:val="26"/>
          <w:szCs w:val="26"/>
        </w:rPr>
        <w:t xml:space="preserve"> </w:t>
      </w:r>
      <w:r w:rsidR="00473028">
        <w:rPr>
          <w:sz w:val="26"/>
          <w:szCs w:val="26"/>
        </w:rPr>
        <w:t xml:space="preserve">either </w:t>
      </w:r>
      <w:r>
        <w:rPr>
          <w:sz w:val="26"/>
          <w:szCs w:val="26"/>
        </w:rPr>
        <w:t xml:space="preserve">a customer was slammed or </w:t>
      </w:r>
      <w:r w:rsidR="00473028">
        <w:rPr>
          <w:sz w:val="26"/>
          <w:szCs w:val="26"/>
        </w:rPr>
        <w:t xml:space="preserve">was </w:t>
      </w:r>
      <w:r>
        <w:rPr>
          <w:sz w:val="26"/>
          <w:szCs w:val="26"/>
        </w:rPr>
        <w:t xml:space="preserve">not billed in accordance with its disclosure statement.  </w:t>
      </w:r>
      <w:r>
        <w:rPr>
          <w:i/>
          <w:sz w:val="26"/>
          <w:szCs w:val="26"/>
        </w:rPr>
        <w:t>Id.</w:t>
      </w:r>
      <w:r>
        <w:rPr>
          <w:sz w:val="26"/>
          <w:szCs w:val="26"/>
        </w:rPr>
        <w:t xml:space="preserve"> at 10 (citing 52 Pa. Code § 57.177(b) (</w:t>
      </w:r>
      <w:r w:rsidR="00473028">
        <w:rPr>
          <w:sz w:val="26"/>
          <w:szCs w:val="26"/>
        </w:rPr>
        <w:t>addressing</w:t>
      </w:r>
      <w:r>
        <w:rPr>
          <w:sz w:val="26"/>
          <w:szCs w:val="26"/>
        </w:rPr>
        <w:t xml:space="preserve"> slamming) and </w:t>
      </w:r>
      <w:r>
        <w:rPr>
          <w:i/>
          <w:sz w:val="26"/>
          <w:szCs w:val="26"/>
        </w:rPr>
        <w:t>IDT Energy</w:t>
      </w:r>
      <w:r>
        <w:rPr>
          <w:sz w:val="26"/>
          <w:szCs w:val="26"/>
        </w:rPr>
        <w:t xml:space="preserve">).  </w:t>
      </w:r>
      <w:r w:rsidR="008E162D">
        <w:rPr>
          <w:sz w:val="26"/>
          <w:szCs w:val="26"/>
        </w:rPr>
        <w:t xml:space="preserve">Within </w:t>
      </w:r>
      <w:r w:rsidR="00473028">
        <w:rPr>
          <w:sz w:val="26"/>
          <w:szCs w:val="26"/>
        </w:rPr>
        <w:t>t</w:t>
      </w:r>
      <w:r w:rsidR="008E162D">
        <w:rPr>
          <w:sz w:val="26"/>
          <w:szCs w:val="26"/>
        </w:rPr>
        <w:t xml:space="preserve">his defined scope of jurisdiction, the ALJ found that Green Hills neither alleged nor presented evidence that UGIES overbilled </w:t>
      </w:r>
      <w:r w:rsidR="008E162D">
        <w:rPr>
          <w:sz w:val="26"/>
          <w:szCs w:val="26"/>
        </w:rPr>
        <w:lastRenderedPageBreak/>
        <w:t xml:space="preserve">Green Hills by failing to bill it in accordance with its disclosure statement. </w:t>
      </w:r>
      <w:r w:rsidR="00FA3B85">
        <w:rPr>
          <w:sz w:val="26"/>
          <w:szCs w:val="26"/>
        </w:rPr>
        <w:t xml:space="preserve"> </w:t>
      </w:r>
      <w:r w:rsidR="008E162D">
        <w:rPr>
          <w:sz w:val="26"/>
          <w:szCs w:val="26"/>
        </w:rPr>
        <w:t>Finding that it could be argued that both parties “were careless in their handling of this transaction,</w:t>
      </w:r>
      <w:r w:rsidR="003950AE">
        <w:rPr>
          <w:sz w:val="26"/>
          <w:szCs w:val="26"/>
        </w:rPr>
        <w:t>” the ALJ concluded that “</w:t>
      </w:r>
      <w:r w:rsidR="008E162D">
        <w:rPr>
          <w:sz w:val="26"/>
          <w:szCs w:val="26"/>
        </w:rPr>
        <w:t xml:space="preserve">the Commission does not have the statutory authority to grant relief in this case” and dismissed the Complaint.  </w:t>
      </w:r>
      <w:r w:rsidR="008E162D">
        <w:rPr>
          <w:i/>
          <w:sz w:val="26"/>
          <w:szCs w:val="26"/>
        </w:rPr>
        <w:t>Id.</w:t>
      </w:r>
    </w:p>
    <w:p w:rsidR="00B45F44" w:rsidRDefault="00B45F44" w:rsidP="00B75FC9">
      <w:pPr>
        <w:tabs>
          <w:tab w:val="left" w:pos="1440"/>
        </w:tabs>
        <w:spacing w:line="360" w:lineRule="auto"/>
        <w:rPr>
          <w:sz w:val="26"/>
          <w:szCs w:val="26"/>
        </w:rPr>
      </w:pPr>
    </w:p>
    <w:p w:rsidR="00452B3B" w:rsidRDefault="00452B3B" w:rsidP="00B75FC9">
      <w:pPr>
        <w:spacing w:line="360" w:lineRule="auto"/>
        <w:rPr>
          <w:b/>
          <w:sz w:val="26"/>
          <w:szCs w:val="26"/>
        </w:rPr>
      </w:pPr>
      <w:r w:rsidRPr="00452B3B">
        <w:rPr>
          <w:b/>
          <w:sz w:val="26"/>
          <w:szCs w:val="26"/>
        </w:rPr>
        <w:t xml:space="preserve">The </w:t>
      </w:r>
      <w:r w:rsidR="006C0C15">
        <w:rPr>
          <w:b/>
          <w:sz w:val="26"/>
          <w:szCs w:val="26"/>
        </w:rPr>
        <w:t xml:space="preserve">Parties’ </w:t>
      </w:r>
      <w:r w:rsidRPr="00452B3B">
        <w:rPr>
          <w:b/>
          <w:sz w:val="26"/>
          <w:szCs w:val="26"/>
        </w:rPr>
        <w:t>Exceptions</w:t>
      </w:r>
      <w:r w:rsidR="00D31C7D">
        <w:rPr>
          <w:b/>
          <w:sz w:val="26"/>
          <w:szCs w:val="26"/>
        </w:rPr>
        <w:t xml:space="preserve"> and Replies</w:t>
      </w:r>
    </w:p>
    <w:p w:rsidR="00452B3B" w:rsidRDefault="00452B3B" w:rsidP="00B75FC9">
      <w:pPr>
        <w:spacing w:line="360" w:lineRule="auto"/>
        <w:rPr>
          <w:b/>
          <w:sz w:val="26"/>
          <w:szCs w:val="26"/>
        </w:rPr>
      </w:pPr>
    </w:p>
    <w:p w:rsidR="008E162D" w:rsidRDefault="00452B3B" w:rsidP="00B75FC9">
      <w:pPr>
        <w:spacing w:line="360" w:lineRule="auto"/>
        <w:rPr>
          <w:sz w:val="26"/>
          <w:szCs w:val="26"/>
        </w:rPr>
      </w:pPr>
      <w:r>
        <w:rPr>
          <w:sz w:val="26"/>
          <w:szCs w:val="26"/>
        </w:rPr>
        <w:tab/>
      </w:r>
      <w:r>
        <w:rPr>
          <w:sz w:val="26"/>
          <w:szCs w:val="26"/>
        </w:rPr>
        <w:tab/>
      </w:r>
      <w:r w:rsidR="008E162D">
        <w:rPr>
          <w:sz w:val="26"/>
          <w:szCs w:val="26"/>
        </w:rPr>
        <w:t xml:space="preserve">Green Hills </w:t>
      </w:r>
      <w:r w:rsidR="00A05CDC">
        <w:rPr>
          <w:sz w:val="26"/>
          <w:szCs w:val="26"/>
        </w:rPr>
        <w:t xml:space="preserve">filed </w:t>
      </w:r>
      <w:r w:rsidR="00CF28B4">
        <w:rPr>
          <w:sz w:val="26"/>
          <w:szCs w:val="26"/>
        </w:rPr>
        <w:t>two</w:t>
      </w:r>
      <w:r w:rsidR="00A05CDC">
        <w:rPr>
          <w:sz w:val="26"/>
          <w:szCs w:val="26"/>
        </w:rPr>
        <w:t xml:space="preserve"> Exceptions</w:t>
      </w:r>
      <w:r w:rsidR="00CF28B4">
        <w:rPr>
          <w:sz w:val="26"/>
          <w:szCs w:val="26"/>
        </w:rPr>
        <w:t xml:space="preserve">.  </w:t>
      </w:r>
      <w:r w:rsidR="001013A1">
        <w:rPr>
          <w:sz w:val="26"/>
          <w:szCs w:val="26"/>
        </w:rPr>
        <w:t xml:space="preserve">In </w:t>
      </w:r>
      <w:r w:rsidR="00AC44D7">
        <w:rPr>
          <w:sz w:val="26"/>
          <w:szCs w:val="26"/>
        </w:rPr>
        <w:t xml:space="preserve">its first, the Complainant </w:t>
      </w:r>
      <w:r w:rsidR="00CF28B4">
        <w:rPr>
          <w:sz w:val="26"/>
          <w:szCs w:val="26"/>
        </w:rPr>
        <w:t xml:space="preserve">excepts to the ALJ’s conclusion </w:t>
      </w:r>
      <w:r w:rsidR="008E162D">
        <w:rPr>
          <w:sz w:val="26"/>
          <w:szCs w:val="26"/>
        </w:rPr>
        <w:t>that the Commission has no authority to grant the relief requested.  In the second, Green Hills excepts to the ALJ’s conclusion that the Commission lacks authority to reform the MPSA.</w:t>
      </w:r>
      <w:r w:rsidR="00D851DA">
        <w:rPr>
          <w:sz w:val="26"/>
          <w:szCs w:val="26"/>
        </w:rPr>
        <w:t xml:space="preserve">  Exc. at 5, 9.</w:t>
      </w:r>
      <w:r w:rsidR="008E162D">
        <w:rPr>
          <w:sz w:val="26"/>
          <w:szCs w:val="26"/>
        </w:rPr>
        <w:t xml:space="preserve">  </w:t>
      </w:r>
    </w:p>
    <w:p w:rsidR="008E162D" w:rsidRDefault="008E162D" w:rsidP="00B75FC9">
      <w:pPr>
        <w:spacing w:line="360" w:lineRule="auto"/>
        <w:rPr>
          <w:sz w:val="26"/>
          <w:szCs w:val="26"/>
        </w:rPr>
      </w:pPr>
    </w:p>
    <w:p w:rsidR="00D944D1" w:rsidRDefault="008E162D" w:rsidP="008E162D">
      <w:pPr>
        <w:spacing w:line="360" w:lineRule="auto"/>
        <w:ind w:firstLine="1440"/>
        <w:rPr>
          <w:sz w:val="26"/>
          <w:szCs w:val="26"/>
        </w:rPr>
      </w:pPr>
      <w:r>
        <w:rPr>
          <w:sz w:val="26"/>
          <w:szCs w:val="26"/>
        </w:rPr>
        <w:t>Green Hills describes the underlying matter as a dispute over UGIES</w:t>
      </w:r>
      <w:r w:rsidR="00031B9F">
        <w:rPr>
          <w:sz w:val="26"/>
          <w:szCs w:val="26"/>
        </w:rPr>
        <w:t>’</w:t>
      </w:r>
      <w:r>
        <w:rPr>
          <w:sz w:val="26"/>
          <w:szCs w:val="26"/>
        </w:rPr>
        <w:t xml:space="preserve"> failure to effectuate a smooth transition between the end of its supplier contract with Liberty on December 19, 2013, and UGIES’ initiation of service on January 23, 2014</w:t>
      </w:r>
      <w:r w:rsidR="00C9104E">
        <w:rPr>
          <w:sz w:val="26"/>
          <w:szCs w:val="26"/>
        </w:rPr>
        <w:t xml:space="preserve">.  This, the </w:t>
      </w:r>
      <w:r>
        <w:rPr>
          <w:sz w:val="26"/>
          <w:szCs w:val="26"/>
        </w:rPr>
        <w:t xml:space="preserve">Complainant </w:t>
      </w:r>
      <w:r w:rsidR="00C9104E">
        <w:rPr>
          <w:sz w:val="26"/>
          <w:szCs w:val="26"/>
        </w:rPr>
        <w:t xml:space="preserve">argues, caused it to incur an </w:t>
      </w:r>
      <w:r>
        <w:rPr>
          <w:sz w:val="26"/>
          <w:szCs w:val="26"/>
        </w:rPr>
        <w:t xml:space="preserve">approximate $25,000 in </w:t>
      </w:r>
      <w:r w:rsidR="00C9104E">
        <w:rPr>
          <w:sz w:val="26"/>
          <w:szCs w:val="26"/>
        </w:rPr>
        <w:t>incremental supp</w:t>
      </w:r>
      <w:r>
        <w:rPr>
          <w:sz w:val="26"/>
          <w:szCs w:val="26"/>
        </w:rPr>
        <w:t xml:space="preserve">ly costs for the </w:t>
      </w:r>
      <w:r w:rsidR="008D275D">
        <w:rPr>
          <w:sz w:val="26"/>
          <w:szCs w:val="26"/>
        </w:rPr>
        <w:t xml:space="preserve">disputed </w:t>
      </w:r>
      <w:r>
        <w:rPr>
          <w:sz w:val="26"/>
          <w:szCs w:val="26"/>
        </w:rPr>
        <w:t>billing period.  Exc. at 1</w:t>
      </w:r>
      <w:r w:rsidR="00031B9F">
        <w:rPr>
          <w:sz w:val="26"/>
          <w:szCs w:val="26"/>
        </w:rPr>
        <w:t>-3</w:t>
      </w:r>
      <w:r>
        <w:rPr>
          <w:sz w:val="26"/>
          <w:szCs w:val="26"/>
        </w:rPr>
        <w:t xml:space="preserve">.  </w:t>
      </w:r>
      <w:r w:rsidR="00031B9F">
        <w:rPr>
          <w:sz w:val="26"/>
          <w:szCs w:val="26"/>
        </w:rPr>
        <w:t xml:space="preserve">The Complainant argues that the substantial evidence of record places the responsibility for these incremental supply costs solely on UGIES.  In support, Green Hills cites to the testimony of its witness Brendlen, who testified that it was his understanding that UGIES would handle the transition between the end of the Liberty contract and the beginning of the MPSA, and its witness Schmincke, who testified that it was his memory that UGIES would contact Liberty about the </w:t>
      </w:r>
      <w:r w:rsidR="00473028">
        <w:rPr>
          <w:sz w:val="26"/>
          <w:szCs w:val="26"/>
        </w:rPr>
        <w:t xml:space="preserve">Liberty </w:t>
      </w:r>
      <w:r w:rsidR="00031B9F">
        <w:rPr>
          <w:sz w:val="26"/>
          <w:szCs w:val="26"/>
        </w:rPr>
        <w:t xml:space="preserve">contract end date.  </w:t>
      </w:r>
      <w:r w:rsidR="00031B9F">
        <w:rPr>
          <w:i/>
          <w:sz w:val="26"/>
          <w:szCs w:val="26"/>
        </w:rPr>
        <w:t>Id.</w:t>
      </w:r>
      <w:r w:rsidR="00031B9F">
        <w:rPr>
          <w:sz w:val="26"/>
          <w:szCs w:val="26"/>
        </w:rPr>
        <w:t xml:space="preserve"> at 3-4.  </w:t>
      </w:r>
      <w:r w:rsidR="00D851DA">
        <w:rPr>
          <w:sz w:val="26"/>
          <w:szCs w:val="26"/>
        </w:rPr>
        <w:t>C</w:t>
      </w:r>
      <w:r w:rsidR="00031B9F">
        <w:rPr>
          <w:sz w:val="26"/>
          <w:szCs w:val="26"/>
        </w:rPr>
        <w:t>iting the testimony of UGIES’ witness McCormick, Green Hills argues that</w:t>
      </w:r>
      <w:r w:rsidR="009F3BB1">
        <w:rPr>
          <w:sz w:val="26"/>
          <w:szCs w:val="26"/>
        </w:rPr>
        <w:t>,</w:t>
      </w:r>
      <w:r w:rsidR="00031B9F">
        <w:rPr>
          <w:sz w:val="26"/>
          <w:szCs w:val="26"/>
        </w:rPr>
        <w:t xml:space="preserve"> given Mr. McCormick’s concession that by creating a “supplier gap” UGIES did not accomplish what was intended</w:t>
      </w:r>
      <w:r w:rsidR="009F3BB1">
        <w:rPr>
          <w:sz w:val="26"/>
          <w:szCs w:val="26"/>
        </w:rPr>
        <w:t xml:space="preserve">, </w:t>
      </w:r>
      <w:r w:rsidR="00031B9F">
        <w:rPr>
          <w:sz w:val="26"/>
          <w:szCs w:val="26"/>
        </w:rPr>
        <w:t xml:space="preserve">the evidence is clear that “UGIES did not accomplish either what it said it would do or what it intended to do[.]”  </w:t>
      </w:r>
      <w:r w:rsidR="00031B9F">
        <w:rPr>
          <w:i/>
          <w:sz w:val="26"/>
          <w:szCs w:val="26"/>
        </w:rPr>
        <w:t>Id.</w:t>
      </w:r>
      <w:r w:rsidR="00031B9F">
        <w:rPr>
          <w:sz w:val="26"/>
          <w:szCs w:val="26"/>
        </w:rPr>
        <w:t xml:space="preserve"> at 4.</w:t>
      </w:r>
    </w:p>
    <w:p w:rsidR="00D944D1" w:rsidRDefault="00D944D1" w:rsidP="008E162D">
      <w:pPr>
        <w:spacing w:line="360" w:lineRule="auto"/>
        <w:ind w:firstLine="1440"/>
        <w:rPr>
          <w:sz w:val="26"/>
          <w:szCs w:val="26"/>
        </w:rPr>
      </w:pPr>
    </w:p>
    <w:p w:rsidR="005D2540" w:rsidRDefault="00D851DA" w:rsidP="008E162D">
      <w:pPr>
        <w:spacing w:line="360" w:lineRule="auto"/>
        <w:ind w:firstLine="1440"/>
        <w:rPr>
          <w:sz w:val="26"/>
          <w:szCs w:val="26"/>
        </w:rPr>
      </w:pPr>
      <w:r>
        <w:rPr>
          <w:sz w:val="26"/>
          <w:szCs w:val="26"/>
        </w:rPr>
        <w:lastRenderedPageBreak/>
        <w:t xml:space="preserve">Regarding </w:t>
      </w:r>
      <w:r w:rsidR="00C9104E">
        <w:rPr>
          <w:sz w:val="26"/>
          <w:szCs w:val="26"/>
        </w:rPr>
        <w:t xml:space="preserve">the ALJ’s conclusion that the Commission lacks authority to grant the relief requested, Green Hills argues that the ALJ erroneously interpreted our decision in </w:t>
      </w:r>
      <w:r w:rsidR="00C9104E">
        <w:rPr>
          <w:i/>
          <w:sz w:val="26"/>
          <w:szCs w:val="26"/>
        </w:rPr>
        <w:t xml:space="preserve">IDT Energy </w:t>
      </w:r>
      <w:r w:rsidR="00C9104E">
        <w:rPr>
          <w:sz w:val="26"/>
          <w:szCs w:val="26"/>
        </w:rPr>
        <w:t xml:space="preserve">to stand for the proposition that we have the authority to order a billing adjustment only when an EGS fails to bill a customer in accordance with its disclosure statement.  </w:t>
      </w:r>
      <w:r w:rsidR="00033F79">
        <w:rPr>
          <w:sz w:val="26"/>
          <w:szCs w:val="26"/>
        </w:rPr>
        <w:t xml:space="preserve">Relying </w:t>
      </w:r>
      <w:r w:rsidR="00C9104E">
        <w:rPr>
          <w:sz w:val="26"/>
          <w:szCs w:val="26"/>
        </w:rPr>
        <w:t xml:space="preserve">heavily on </w:t>
      </w:r>
      <w:r w:rsidR="00033F79" w:rsidRPr="00033F79">
        <w:rPr>
          <w:i/>
          <w:sz w:val="26"/>
          <w:szCs w:val="26"/>
        </w:rPr>
        <w:t>Yaglidereliler</w:t>
      </w:r>
      <w:r w:rsidR="00033F79">
        <w:rPr>
          <w:sz w:val="26"/>
          <w:szCs w:val="26"/>
        </w:rPr>
        <w:t>, the Complainant argues</w:t>
      </w:r>
      <w:r w:rsidR="00C9104E">
        <w:rPr>
          <w:sz w:val="26"/>
          <w:szCs w:val="26"/>
        </w:rPr>
        <w:t>, as it did before the ALJ,</w:t>
      </w:r>
      <w:r w:rsidR="00033F79">
        <w:rPr>
          <w:sz w:val="26"/>
          <w:szCs w:val="26"/>
        </w:rPr>
        <w:t xml:space="preserve"> that </w:t>
      </w:r>
      <w:r w:rsidR="00C9104E">
        <w:rPr>
          <w:sz w:val="26"/>
          <w:szCs w:val="26"/>
        </w:rPr>
        <w:t>UGIES</w:t>
      </w:r>
      <w:r w:rsidR="00033F79">
        <w:rPr>
          <w:sz w:val="26"/>
          <w:szCs w:val="26"/>
        </w:rPr>
        <w:t xml:space="preserve"> is responsible for </w:t>
      </w:r>
      <w:r w:rsidR="00C9104E">
        <w:rPr>
          <w:sz w:val="26"/>
          <w:szCs w:val="26"/>
        </w:rPr>
        <w:t xml:space="preserve">complying </w:t>
      </w:r>
      <w:r w:rsidR="00842E66">
        <w:rPr>
          <w:sz w:val="26"/>
          <w:szCs w:val="26"/>
        </w:rPr>
        <w:t xml:space="preserve">with </w:t>
      </w:r>
      <w:r w:rsidR="00842E66" w:rsidRPr="00842E66">
        <w:rPr>
          <w:sz w:val="26"/>
          <w:szCs w:val="26"/>
        </w:rPr>
        <w:t xml:space="preserve">not only </w:t>
      </w:r>
      <w:r w:rsidR="00C9104E">
        <w:rPr>
          <w:sz w:val="26"/>
          <w:szCs w:val="26"/>
        </w:rPr>
        <w:t xml:space="preserve">its </w:t>
      </w:r>
      <w:r w:rsidR="00033F79">
        <w:rPr>
          <w:sz w:val="26"/>
          <w:szCs w:val="26"/>
        </w:rPr>
        <w:t xml:space="preserve">disclosure </w:t>
      </w:r>
      <w:r w:rsidR="00C9104E">
        <w:rPr>
          <w:sz w:val="26"/>
          <w:szCs w:val="26"/>
        </w:rPr>
        <w:t xml:space="preserve">statement </w:t>
      </w:r>
      <w:r w:rsidR="00033F79">
        <w:rPr>
          <w:sz w:val="26"/>
          <w:szCs w:val="26"/>
        </w:rPr>
        <w:t xml:space="preserve">but also </w:t>
      </w:r>
      <w:r w:rsidR="00C9104E">
        <w:rPr>
          <w:sz w:val="26"/>
          <w:szCs w:val="26"/>
        </w:rPr>
        <w:t xml:space="preserve">its </w:t>
      </w:r>
      <w:r w:rsidR="00033F79">
        <w:rPr>
          <w:sz w:val="26"/>
          <w:szCs w:val="26"/>
        </w:rPr>
        <w:t xml:space="preserve">oral communications to customers.  The Complainant argues that </w:t>
      </w:r>
      <w:r w:rsidR="00C9104E">
        <w:rPr>
          <w:sz w:val="26"/>
          <w:szCs w:val="26"/>
        </w:rPr>
        <w:t xml:space="preserve">because UGIES told Green Hills that it would provide a smooth transition between </w:t>
      </w:r>
      <w:r w:rsidR="00842E66">
        <w:rPr>
          <w:sz w:val="26"/>
          <w:szCs w:val="26"/>
        </w:rPr>
        <w:t xml:space="preserve">Green Hills’ </w:t>
      </w:r>
      <w:r w:rsidR="00C9104E">
        <w:rPr>
          <w:sz w:val="26"/>
          <w:szCs w:val="26"/>
        </w:rPr>
        <w:t xml:space="preserve">old and new EGS contracts but then failed to do so, </w:t>
      </w:r>
      <w:r w:rsidR="00075BE9">
        <w:rPr>
          <w:sz w:val="26"/>
          <w:szCs w:val="26"/>
        </w:rPr>
        <w:t xml:space="preserve">this case </w:t>
      </w:r>
      <w:r w:rsidR="00346288">
        <w:rPr>
          <w:sz w:val="26"/>
          <w:szCs w:val="26"/>
        </w:rPr>
        <w:t xml:space="preserve">presents </w:t>
      </w:r>
      <w:r w:rsidR="00C9104E">
        <w:rPr>
          <w:sz w:val="26"/>
          <w:szCs w:val="26"/>
        </w:rPr>
        <w:t xml:space="preserve">circumstances </w:t>
      </w:r>
      <w:r w:rsidR="00346288">
        <w:rPr>
          <w:sz w:val="26"/>
          <w:szCs w:val="26"/>
        </w:rPr>
        <w:t>under which the Commission would have authority to</w:t>
      </w:r>
      <w:r w:rsidR="00C9104E">
        <w:rPr>
          <w:sz w:val="26"/>
          <w:szCs w:val="26"/>
        </w:rPr>
        <w:t xml:space="preserve"> award monetary remedies.  </w:t>
      </w:r>
      <w:r w:rsidR="007A374D">
        <w:rPr>
          <w:sz w:val="26"/>
          <w:szCs w:val="26"/>
        </w:rPr>
        <w:t>Exc</w:t>
      </w:r>
      <w:r w:rsidR="00C9104E">
        <w:rPr>
          <w:sz w:val="26"/>
          <w:szCs w:val="26"/>
        </w:rPr>
        <w:t>. at</w:t>
      </w:r>
      <w:r w:rsidR="00450FDA">
        <w:rPr>
          <w:sz w:val="26"/>
          <w:szCs w:val="26"/>
        </w:rPr>
        <w:t> </w:t>
      </w:r>
      <w:r w:rsidR="00C9104E">
        <w:rPr>
          <w:sz w:val="26"/>
          <w:szCs w:val="26"/>
        </w:rPr>
        <w:t>7 (quoting</w:t>
      </w:r>
      <w:r w:rsidR="00346288">
        <w:rPr>
          <w:sz w:val="26"/>
          <w:szCs w:val="26"/>
        </w:rPr>
        <w:t xml:space="preserve"> dissenting statement of </w:t>
      </w:r>
      <w:r w:rsidR="00346288" w:rsidRPr="00346288">
        <w:rPr>
          <w:sz w:val="26"/>
          <w:szCs w:val="26"/>
        </w:rPr>
        <w:t>then Commissioner, now Chairman</w:t>
      </w:r>
      <w:r w:rsidR="00503968">
        <w:rPr>
          <w:sz w:val="26"/>
          <w:szCs w:val="26"/>
        </w:rPr>
        <w:t>,</w:t>
      </w:r>
      <w:r w:rsidR="00346288" w:rsidRPr="00346288">
        <w:rPr>
          <w:sz w:val="26"/>
          <w:szCs w:val="26"/>
        </w:rPr>
        <w:t xml:space="preserve"> Brown</w:t>
      </w:r>
      <w:r w:rsidR="00503968">
        <w:rPr>
          <w:sz w:val="26"/>
          <w:szCs w:val="26"/>
        </w:rPr>
        <w:t xml:space="preserve"> </w:t>
      </w:r>
      <w:r w:rsidR="00346288">
        <w:rPr>
          <w:sz w:val="26"/>
          <w:szCs w:val="26"/>
        </w:rPr>
        <w:t>in</w:t>
      </w:r>
      <w:r w:rsidR="00C9104E">
        <w:rPr>
          <w:sz w:val="26"/>
          <w:szCs w:val="26"/>
        </w:rPr>
        <w:t xml:space="preserve"> </w:t>
      </w:r>
      <w:r w:rsidR="00C9104E">
        <w:rPr>
          <w:i/>
          <w:sz w:val="26"/>
          <w:szCs w:val="26"/>
        </w:rPr>
        <w:t xml:space="preserve">Werle v. Respond Power, </w:t>
      </w:r>
      <w:r w:rsidR="00C9104E" w:rsidRPr="00503968">
        <w:rPr>
          <w:i/>
          <w:sz w:val="26"/>
          <w:szCs w:val="26"/>
        </w:rPr>
        <w:t>LLC</w:t>
      </w:r>
      <w:r w:rsidR="00C9104E">
        <w:rPr>
          <w:sz w:val="26"/>
          <w:szCs w:val="26"/>
        </w:rPr>
        <w:t>, Docket No. C-2014-2429158 (Order entered February 23, 2015) (</w:t>
      </w:r>
      <w:r w:rsidR="00C9104E" w:rsidRPr="00C9104E">
        <w:rPr>
          <w:i/>
          <w:sz w:val="26"/>
          <w:szCs w:val="26"/>
        </w:rPr>
        <w:t>Werle</w:t>
      </w:r>
      <w:r w:rsidR="00C9104E">
        <w:rPr>
          <w:sz w:val="26"/>
          <w:szCs w:val="26"/>
        </w:rPr>
        <w:t>)</w:t>
      </w:r>
      <w:r w:rsidR="00FA3B85">
        <w:rPr>
          <w:sz w:val="26"/>
          <w:szCs w:val="26"/>
        </w:rPr>
        <w:t>)</w:t>
      </w:r>
      <w:r w:rsidR="00346288">
        <w:rPr>
          <w:sz w:val="26"/>
          <w:szCs w:val="26"/>
        </w:rPr>
        <w:t>.</w:t>
      </w:r>
      <w:r w:rsidR="00503968">
        <w:rPr>
          <w:sz w:val="26"/>
          <w:szCs w:val="26"/>
        </w:rPr>
        <w:t xml:space="preserve">  Green Hills contends that the facts of this case present circumstances over which the Commission should exert jurisdiction and direct a monetary remedy because its Complaint involved UGIES’ marketing to</w:t>
      </w:r>
      <w:r w:rsidR="00AC07BB">
        <w:rPr>
          <w:sz w:val="26"/>
          <w:szCs w:val="26"/>
        </w:rPr>
        <w:t>,</w:t>
      </w:r>
      <w:r w:rsidR="00503968">
        <w:rPr>
          <w:sz w:val="26"/>
          <w:szCs w:val="26"/>
        </w:rPr>
        <w:t xml:space="preserve"> and enrollment of</w:t>
      </w:r>
      <w:r w:rsidR="00AC07BB">
        <w:rPr>
          <w:sz w:val="26"/>
          <w:szCs w:val="26"/>
        </w:rPr>
        <w:t>,</w:t>
      </w:r>
      <w:r w:rsidR="00503968">
        <w:rPr>
          <w:sz w:val="26"/>
          <w:szCs w:val="26"/>
        </w:rPr>
        <w:t xml:space="preserve"> Green Hills </w:t>
      </w:r>
      <w:r w:rsidR="00AC07BB">
        <w:rPr>
          <w:sz w:val="26"/>
          <w:szCs w:val="26"/>
        </w:rPr>
        <w:t>as part of which</w:t>
      </w:r>
      <w:r w:rsidR="00503968">
        <w:rPr>
          <w:sz w:val="26"/>
          <w:szCs w:val="26"/>
        </w:rPr>
        <w:t xml:space="preserve"> UGIES stated it would effectuate a seamless transition between supply contracts but did not.</w:t>
      </w:r>
    </w:p>
    <w:p w:rsidR="00503968" w:rsidRDefault="00503968" w:rsidP="008E162D">
      <w:pPr>
        <w:spacing w:line="360" w:lineRule="auto"/>
        <w:ind w:firstLine="1440"/>
        <w:rPr>
          <w:sz w:val="26"/>
          <w:szCs w:val="26"/>
        </w:rPr>
      </w:pPr>
    </w:p>
    <w:p w:rsidR="00503968" w:rsidRDefault="00503968" w:rsidP="008E162D">
      <w:pPr>
        <w:spacing w:line="360" w:lineRule="auto"/>
        <w:ind w:firstLine="1440"/>
        <w:rPr>
          <w:sz w:val="26"/>
          <w:szCs w:val="26"/>
        </w:rPr>
      </w:pPr>
      <w:r>
        <w:rPr>
          <w:sz w:val="26"/>
          <w:szCs w:val="26"/>
        </w:rPr>
        <w:t xml:space="preserve">Green Hills rejects UGIES’ defense that </w:t>
      </w:r>
      <w:r w:rsidR="00473028">
        <w:rPr>
          <w:sz w:val="26"/>
          <w:szCs w:val="26"/>
        </w:rPr>
        <w:t>the EGS</w:t>
      </w:r>
      <w:r>
        <w:rPr>
          <w:sz w:val="26"/>
          <w:szCs w:val="26"/>
        </w:rPr>
        <w:t xml:space="preserve"> did not have a copy of the Green Hills/Liberty supply agreement to determine the effective end</w:t>
      </w:r>
      <w:r w:rsidR="00AC07BB">
        <w:rPr>
          <w:sz w:val="26"/>
          <w:szCs w:val="26"/>
        </w:rPr>
        <w:t xml:space="preserve"> </w:t>
      </w:r>
      <w:r>
        <w:rPr>
          <w:sz w:val="26"/>
          <w:szCs w:val="26"/>
        </w:rPr>
        <w:t>date</w:t>
      </w:r>
      <w:r w:rsidR="00473028">
        <w:rPr>
          <w:sz w:val="26"/>
          <w:szCs w:val="26"/>
        </w:rPr>
        <w:t xml:space="preserve">.  Green Hills contends that </w:t>
      </w:r>
      <w:r>
        <w:rPr>
          <w:sz w:val="26"/>
          <w:szCs w:val="26"/>
        </w:rPr>
        <w:t xml:space="preserve">it would have given UGIES a copy of the contract, all </w:t>
      </w:r>
      <w:r w:rsidR="009235F4">
        <w:rPr>
          <w:sz w:val="26"/>
          <w:szCs w:val="26"/>
        </w:rPr>
        <w:t>UGIES</w:t>
      </w:r>
      <w:r>
        <w:rPr>
          <w:sz w:val="26"/>
          <w:szCs w:val="26"/>
        </w:rPr>
        <w:t xml:space="preserve"> had to do was ask.  Green Hills also rejects UGIES</w:t>
      </w:r>
      <w:r w:rsidR="00362839">
        <w:rPr>
          <w:sz w:val="26"/>
          <w:szCs w:val="26"/>
        </w:rPr>
        <w:t>’</w:t>
      </w:r>
      <w:r>
        <w:rPr>
          <w:sz w:val="26"/>
          <w:szCs w:val="26"/>
        </w:rPr>
        <w:t xml:space="preserve"> defense that the start dates to the four accounts covered under the MPSA w</w:t>
      </w:r>
      <w:r w:rsidR="00012A1D">
        <w:rPr>
          <w:sz w:val="26"/>
          <w:szCs w:val="26"/>
        </w:rPr>
        <w:t>ere</w:t>
      </w:r>
      <w:r>
        <w:rPr>
          <w:sz w:val="26"/>
          <w:szCs w:val="26"/>
        </w:rPr>
        <w:t xml:space="preserve"> clearly identified in the contract UGIES provided to the Complainant, stating that the “start date [was] buried in the fine print of the UGIES” MPSA.  </w:t>
      </w:r>
      <w:r w:rsidR="007A374D">
        <w:rPr>
          <w:sz w:val="26"/>
          <w:szCs w:val="26"/>
        </w:rPr>
        <w:t>Exc</w:t>
      </w:r>
      <w:r>
        <w:rPr>
          <w:sz w:val="26"/>
          <w:szCs w:val="26"/>
        </w:rPr>
        <w:t xml:space="preserve">. at 8.  </w:t>
      </w:r>
      <w:r w:rsidR="00012A1D" w:rsidRPr="00012A1D">
        <w:rPr>
          <w:sz w:val="26"/>
          <w:szCs w:val="26"/>
        </w:rPr>
        <w:t xml:space="preserve">Instead, </w:t>
      </w:r>
      <w:r w:rsidR="00362839">
        <w:rPr>
          <w:sz w:val="26"/>
          <w:szCs w:val="26"/>
        </w:rPr>
        <w:t xml:space="preserve">contends Green Hills, </w:t>
      </w:r>
      <w:r w:rsidR="00012A1D" w:rsidRPr="00012A1D">
        <w:rPr>
          <w:sz w:val="26"/>
          <w:szCs w:val="26"/>
        </w:rPr>
        <w:t>the Complainant relied upon UGIES</w:t>
      </w:r>
      <w:r w:rsidR="00362839">
        <w:rPr>
          <w:sz w:val="26"/>
          <w:szCs w:val="26"/>
        </w:rPr>
        <w:t>’</w:t>
      </w:r>
      <w:r w:rsidR="00012A1D" w:rsidRPr="00012A1D">
        <w:rPr>
          <w:sz w:val="26"/>
          <w:szCs w:val="26"/>
        </w:rPr>
        <w:t xml:space="preserve"> expert </w:t>
      </w:r>
      <w:r w:rsidR="00012A1D">
        <w:rPr>
          <w:sz w:val="26"/>
          <w:szCs w:val="26"/>
        </w:rPr>
        <w:t>sales agent</w:t>
      </w:r>
      <w:r w:rsidR="00012A1D" w:rsidRPr="00012A1D">
        <w:rPr>
          <w:sz w:val="26"/>
          <w:szCs w:val="26"/>
        </w:rPr>
        <w:t xml:space="preserve"> to construct the contract as requested, with a </w:t>
      </w:r>
      <w:r w:rsidR="00012A1D">
        <w:rPr>
          <w:sz w:val="26"/>
          <w:szCs w:val="26"/>
        </w:rPr>
        <w:t xml:space="preserve">January 2014 start date that provided a </w:t>
      </w:r>
      <w:r w:rsidR="00012A1D" w:rsidRPr="00012A1D">
        <w:rPr>
          <w:sz w:val="26"/>
          <w:szCs w:val="26"/>
        </w:rPr>
        <w:t xml:space="preserve">smooth transition between suppliers.  </w:t>
      </w:r>
      <w:r w:rsidR="00012A1D">
        <w:rPr>
          <w:sz w:val="26"/>
          <w:szCs w:val="26"/>
        </w:rPr>
        <w:t>If the meter reading cycle prevented that transition, UGIES should have endeavored to</w:t>
      </w:r>
      <w:r w:rsidR="00362839">
        <w:rPr>
          <w:sz w:val="26"/>
          <w:szCs w:val="26"/>
        </w:rPr>
        <w:t>, but did not,</w:t>
      </w:r>
      <w:r w:rsidR="00012A1D">
        <w:rPr>
          <w:sz w:val="26"/>
          <w:szCs w:val="26"/>
        </w:rPr>
        <w:t xml:space="preserve"> determine the exact end date of the Liberty contract.  Finally Green Hills contends that if the Commission has the </w:t>
      </w:r>
      <w:r w:rsidR="00012A1D">
        <w:rPr>
          <w:sz w:val="26"/>
          <w:szCs w:val="26"/>
        </w:rPr>
        <w:lastRenderedPageBreak/>
        <w:t xml:space="preserve">authority to direct a refund as a result of slamming, when an EGS enrolls a customer without consent, it likewise should have the authority to do so when an EGS </w:t>
      </w:r>
      <w:r w:rsidR="00012A1D" w:rsidRPr="00362839">
        <w:rPr>
          <w:sz w:val="26"/>
          <w:szCs w:val="26"/>
        </w:rPr>
        <w:t>fails</w:t>
      </w:r>
      <w:r w:rsidR="00012A1D">
        <w:rPr>
          <w:i/>
          <w:sz w:val="26"/>
          <w:szCs w:val="26"/>
        </w:rPr>
        <w:t xml:space="preserve"> </w:t>
      </w:r>
      <w:r w:rsidR="00012A1D">
        <w:rPr>
          <w:sz w:val="26"/>
          <w:szCs w:val="26"/>
        </w:rPr>
        <w:t>to enroll a customer with consent as agree</w:t>
      </w:r>
      <w:r w:rsidR="007A374D">
        <w:rPr>
          <w:sz w:val="26"/>
          <w:szCs w:val="26"/>
        </w:rPr>
        <w:t>d</w:t>
      </w:r>
      <w:r w:rsidR="00012A1D">
        <w:rPr>
          <w:sz w:val="26"/>
          <w:szCs w:val="26"/>
        </w:rPr>
        <w:t xml:space="preserve"> between the parties.  </w:t>
      </w:r>
      <w:r w:rsidR="00DA7304">
        <w:rPr>
          <w:sz w:val="26"/>
          <w:szCs w:val="26"/>
        </w:rPr>
        <w:t xml:space="preserve">Exc. </w:t>
      </w:r>
      <w:r w:rsidR="00012A1D">
        <w:rPr>
          <w:sz w:val="26"/>
          <w:szCs w:val="26"/>
        </w:rPr>
        <w:t>at 9.</w:t>
      </w:r>
    </w:p>
    <w:p w:rsidR="007A374D" w:rsidRDefault="007A374D" w:rsidP="008E162D">
      <w:pPr>
        <w:spacing w:line="360" w:lineRule="auto"/>
        <w:ind w:firstLine="1440"/>
        <w:rPr>
          <w:sz w:val="26"/>
          <w:szCs w:val="26"/>
        </w:rPr>
      </w:pPr>
    </w:p>
    <w:p w:rsidR="007A374D" w:rsidRPr="007D112D" w:rsidRDefault="007A374D" w:rsidP="008E162D">
      <w:pPr>
        <w:spacing w:line="360" w:lineRule="auto"/>
        <w:ind w:firstLine="1440"/>
        <w:rPr>
          <w:i/>
          <w:sz w:val="26"/>
          <w:szCs w:val="26"/>
        </w:rPr>
      </w:pPr>
      <w:r>
        <w:rPr>
          <w:sz w:val="26"/>
          <w:szCs w:val="26"/>
        </w:rPr>
        <w:t>Green Hills also takes exception to the ALJ’s determination that the Commission lacks jurisdiction over EGSs for purposes of reforming contracts because they are not public utilities.  Green Hills argues</w:t>
      </w:r>
      <w:r w:rsidRPr="007A374D">
        <w:rPr>
          <w:sz w:val="26"/>
          <w:szCs w:val="26"/>
        </w:rPr>
        <w:t xml:space="preserve"> </w:t>
      </w:r>
      <w:r>
        <w:rPr>
          <w:sz w:val="26"/>
          <w:szCs w:val="26"/>
        </w:rPr>
        <w:t xml:space="preserve">that </w:t>
      </w:r>
      <w:r w:rsidR="00CB7DF0">
        <w:rPr>
          <w:sz w:val="26"/>
          <w:szCs w:val="26"/>
        </w:rPr>
        <w:t xml:space="preserve">under the theory presented in </w:t>
      </w:r>
      <w:r w:rsidR="00CB7DF0">
        <w:rPr>
          <w:i/>
          <w:sz w:val="26"/>
          <w:szCs w:val="26"/>
        </w:rPr>
        <w:t>IDT Energy</w:t>
      </w:r>
      <w:r w:rsidR="00CB7DF0">
        <w:rPr>
          <w:sz w:val="26"/>
          <w:szCs w:val="26"/>
        </w:rPr>
        <w:t>, in which we found EGSs to be public utilities in order to effectuate compliance with Sections 2809 and 2810 of the Electric Competition Act,</w:t>
      </w:r>
      <w:r w:rsidR="00CB7DF0">
        <w:rPr>
          <w:rStyle w:val="FootnoteReference"/>
        </w:rPr>
        <w:footnoteReference w:id="3"/>
      </w:r>
      <w:r w:rsidR="00CB7DF0">
        <w:rPr>
          <w:sz w:val="26"/>
          <w:szCs w:val="26"/>
        </w:rPr>
        <w:t xml:space="preserve"> </w:t>
      </w:r>
      <w:r w:rsidR="0086455B">
        <w:rPr>
          <w:sz w:val="26"/>
          <w:szCs w:val="26"/>
        </w:rPr>
        <w:t>the Commission could reform the contract under Section 508 of the Code in order to effectuate compliance with marketing that assured a smooth supplier transaction</w:t>
      </w:r>
      <w:r w:rsidR="00CB7DF0">
        <w:rPr>
          <w:sz w:val="26"/>
          <w:szCs w:val="26"/>
        </w:rPr>
        <w:t>.</w:t>
      </w:r>
      <w:r>
        <w:rPr>
          <w:sz w:val="26"/>
          <w:szCs w:val="26"/>
        </w:rPr>
        <w:t xml:space="preserve"> </w:t>
      </w:r>
      <w:r w:rsidR="00CB7DF0">
        <w:rPr>
          <w:sz w:val="26"/>
          <w:szCs w:val="26"/>
        </w:rPr>
        <w:t xml:space="preserve"> </w:t>
      </w:r>
      <w:r>
        <w:rPr>
          <w:sz w:val="26"/>
          <w:szCs w:val="26"/>
        </w:rPr>
        <w:t>Exc. at 10</w:t>
      </w:r>
      <w:r w:rsidR="00CB7DF0">
        <w:rPr>
          <w:sz w:val="26"/>
          <w:szCs w:val="26"/>
        </w:rPr>
        <w:t>.</w:t>
      </w:r>
      <w:r w:rsidR="007D112D">
        <w:rPr>
          <w:sz w:val="26"/>
          <w:szCs w:val="26"/>
        </w:rPr>
        <w:t xml:space="preserve">  Green Hills concludes that its MPSA with UGIES “is unjust, unreasonable, and inequitable given that it is inconsistent with the intent of the parties to effect a smooth transition of service” and </w:t>
      </w:r>
      <w:r w:rsidR="00EA3112">
        <w:rPr>
          <w:sz w:val="26"/>
          <w:szCs w:val="26"/>
        </w:rPr>
        <w:t>“</w:t>
      </w:r>
      <w:r w:rsidR="007D112D">
        <w:rPr>
          <w:sz w:val="26"/>
          <w:szCs w:val="26"/>
        </w:rPr>
        <w:t xml:space="preserve">for the same reasons, [is] adverse to the public interest and the general well-being of the Commonwealth.”  </w:t>
      </w:r>
      <w:r w:rsidR="007D112D">
        <w:rPr>
          <w:i/>
          <w:sz w:val="26"/>
          <w:szCs w:val="26"/>
        </w:rPr>
        <w:t>Id.</w:t>
      </w:r>
    </w:p>
    <w:p w:rsidR="00012A1D" w:rsidRDefault="00012A1D" w:rsidP="008E162D">
      <w:pPr>
        <w:spacing w:line="360" w:lineRule="auto"/>
        <w:ind w:firstLine="1440"/>
        <w:rPr>
          <w:sz w:val="26"/>
          <w:szCs w:val="26"/>
        </w:rPr>
      </w:pPr>
    </w:p>
    <w:p w:rsidR="00953F13" w:rsidRDefault="001013A1" w:rsidP="00B75FC9">
      <w:pPr>
        <w:spacing w:line="360" w:lineRule="auto"/>
        <w:rPr>
          <w:sz w:val="26"/>
          <w:szCs w:val="26"/>
        </w:rPr>
      </w:pPr>
      <w:r>
        <w:rPr>
          <w:sz w:val="26"/>
          <w:szCs w:val="26"/>
        </w:rPr>
        <w:tab/>
      </w:r>
      <w:r>
        <w:rPr>
          <w:sz w:val="26"/>
          <w:szCs w:val="26"/>
        </w:rPr>
        <w:tab/>
      </w:r>
      <w:r w:rsidR="00391E59">
        <w:rPr>
          <w:sz w:val="26"/>
          <w:szCs w:val="26"/>
        </w:rPr>
        <w:t>In response to the Complainant’s Exception</w:t>
      </w:r>
      <w:r w:rsidR="00F01974">
        <w:rPr>
          <w:sz w:val="26"/>
          <w:szCs w:val="26"/>
        </w:rPr>
        <w:t>s</w:t>
      </w:r>
      <w:r w:rsidR="00391E59">
        <w:rPr>
          <w:sz w:val="26"/>
          <w:szCs w:val="26"/>
        </w:rPr>
        <w:t xml:space="preserve">, </w:t>
      </w:r>
      <w:r w:rsidR="00F01974">
        <w:rPr>
          <w:sz w:val="26"/>
          <w:szCs w:val="26"/>
        </w:rPr>
        <w:t xml:space="preserve">UGIES </w:t>
      </w:r>
      <w:r w:rsidR="00682D32">
        <w:rPr>
          <w:sz w:val="26"/>
          <w:szCs w:val="26"/>
        </w:rPr>
        <w:t>contends that the ALJ correctly concluded that the Commission lacks jurisdiction over the issues Green Hills raised in its Complaint and that “the various incarnations of relief requested by Green Hills lack any precedental [sic] basis and would relieve Green Hills of responsibility for the electricity supply contract it knowingly entered into.”</w:t>
      </w:r>
      <w:r w:rsidR="00EB118C">
        <w:rPr>
          <w:sz w:val="26"/>
          <w:szCs w:val="26"/>
        </w:rPr>
        <w:t xml:space="preserve">  R. Exc. at 1.</w:t>
      </w:r>
    </w:p>
    <w:p w:rsidR="00EB118C" w:rsidRDefault="00EB118C" w:rsidP="00B75FC9">
      <w:pPr>
        <w:spacing w:line="360" w:lineRule="auto"/>
        <w:rPr>
          <w:sz w:val="26"/>
          <w:szCs w:val="26"/>
        </w:rPr>
      </w:pPr>
    </w:p>
    <w:p w:rsidR="00EB118C" w:rsidRDefault="00EB118C" w:rsidP="00EB118C">
      <w:pPr>
        <w:spacing w:line="360" w:lineRule="auto"/>
        <w:ind w:firstLine="1440"/>
        <w:rPr>
          <w:sz w:val="26"/>
          <w:szCs w:val="26"/>
        </w:rPr>
      </w:pPr>
      <w:r>
        <w:rPr>
          <w:sz w:val="26"/>
          <w:szCs w:val="26"/>
        </w:rPr>
        <w:t xml:space="preserve">UGIES characterizes Green Hills’ claim as essentially a breach of contract claim seeking damages, a matter over which the Commission lacks jurisdiction.  </w:t>
      </w:r>
      <w:r w:rsidR="00BF185D">
        <w:rPr>
          <w:sz w:val="26"/>
          <w:szCs w:val="26"/>
        </w:rPr>
        <w:t>UGIES describes the Commission’s jurisdiction as limited to certain EGS activities outlined in Sections 2809 and 2810 of the Code, and “relevant regulations, such as 52 Pa. Code §§</w:t>
      </w:r>
      <w:r w:rsidR="00966516">
        <w:rPr>
          <w:sz w:val="26"/>
          <w:szCs w:val="26"/>
        </w:rPr>
        <w:t> </w:t>
      </w:r>
      <w:r w:rsidR="00BF185D">
        <w:rPr>
          <w:sz w:val="26"/>
          <w:szCs w:val="26"/>
        </w:rPr>
        <w:t>54.3-54.</w:t>
      </w:r>
      <w:r w:rsidR="00966516">
        <w:rPr>
          <w:sz w:val="26"/>
          <w:szCs w:val="26"/>
        </w:rPr>
        <w:t>7” and our deceptive marketing R</w:t>
      </w:r>
      <w:r w:rsidR="00BF185D">
        <w:rPr>
          <w:sz w:val="26"/>
          <w:szCs w:val="26"/>
        </w:rPr>
        <w:t xml:space="preserve">egulation at Section 54.43(f).  </w:t>
      </w:r>
      <w:r>
        <w:rPr>
          <w:sz w:val="26"/>
          <w:szCs w:val="26"/>
        </w:rPr>
        <w:t>R</w:t>
      </w:r>
      <w:r w:rsidR="00BF185D">
        <w:rPr>
          <w:sz w:val="26"/>
          <w:szCs w:val="26"/>
        </w:rPr>
        <w:t>.</w:t>
      </w:r>
      <w:r>
        <w:rPr>
          <w:sz w:val="26"/>
          <w:szCs w:val="26"/>
        </w:rPr>
        <w:t xml:space="preserve"> Exc</w:t>
      </w:r>
      <w:r w:rsidR="00BF185D">
        <w:rPr>
          <w:sz w:val="26"/>
          <w:szCs w:val="26"/>
        </w:rPr>
        <w:t xml:space="preserve">. at 2.  </w:t>
      </w:r>
      <w:r w:rsidR="00BF185D">
        <w:rPr>
          <w:sz w:val="26"/>
          <w:szCs w:val="26"/>
        </w:rPr>
        <w:lastRenderedPageBreak/>
        <w:t>Pointing to Green Hills’ repeated claim that UGIES’ representative McCormick promised a “smooth transition” from Liberty, UGIES first notes that Mr. McCormick could not recall whether he made that statement.  Further, UGIES argues that the matter complained of is not deceptive marketing, a claim the EGS accuses Green Hills of failing to substantiate, but instead a struggle to fit under the Commission’s jurisdiction a claim that is really a request to interpret the MPSA to determine the parties’ intent</w:t>
      </w:r>
      <w:r w:rsidR="003D7CDF">
        <w:rPr>
          <w:sz w:val="26"/>
          <w:szCs w:val="26"/>
        </w:rPr>
        <w:t xml:space="preserve">, a claim </w:t>
      </w:r>
      <w:r w:rsidR="00AC07BB">
        <w:rPr>
          <w:sz w:val="26"/>
          <w:szCs w:val="26"/>
        </w:rPr>
        <w:t>over</w:t>
      </w:r>
      <w:r w:rsidR="003D7CDF">
        <w:rPr>
          <w:sz w:val="26"/>
          <w:szCs w:val="26"/>
        </w:rPr>
        <w:t xml:space="preserve"> which the C</w:t>
      </w:r>
      <w:r w:rsidR="00966516">
        <w:rPr>
          <w:sz w:val="26"/>
          <w:szCs w:val="26"/>
        </w:rPr>
        <w:t xml:space="preserve">ommission lacks jurisdiction.  </w:t>
      </w:r>
      <w:r w:rsidR="00AC07BB">
        <w:rPr>
          <w:sz w:val="26"/>
          <w:szCs w:val="26"/>
        </w:rPr>
        <w:t>E</w:t>
      </w:r>
      <w:r w:rsidR="003D7CDF">
        <w:rPr>
          <w:sz w:val="26"/>
          <w:szCs w:val="26"/>
        </w:rPr>
        <w:t xml:space="preserve">ven if the Commission had jurisdiction to reform and interpret the contract, contends UGIES, the start date is unambiguously stated </w:t>
      </w:r>
      <w:r w:rsidR="00A50F0B">
        <w:rPr>
          <w:sz w:val="26"/>
          <w:szCs w:val="26"/>
        </w:rPr>
        <w:t>in each of the four C</w:t>
      </w:r>
      <w:r w:rsidR="00AF1AB5">
        <w:rPr>
          <w:sz w:val="26"/>
          <w:szCs w:val="26"/>
        </w:rPr>
        <w:t xml:space="preserve">onfirmation </w:t>
      </w:r>
      <w:r w:rsidR="00A50F0B">
        <w:rPr>
          <w:sz w:val="26"/>
          <w:szCs w:val="26"/>
        </w:rPr>
        <w:t>A</w:t>
      </w:r>
      <w:r w:rsidR="00AF1AB5">
        <w:rPr>
          <w:sz w:val="26"/>
          <w:szCs w:val="26"/>
        </w:rPr>
        <w:t xml:space="preserve">greements, </w:t>
      </w:r>
      <w:r w:rsidR="00AC07BB">
        <w:rPr>
          <w:sz w:val="26"/>
          <w:szCs w:val="26"/>
        </w:rPr>
        <w:t>and thus</w:t>
      </w:r>
      <w:r w:rsidR="003D7CDF">
        <w:rPr>
          <w:sz w:val="26"/>
          <w:szCs w:val="26"/>
        </w:rPr>
        <w:t xml:space="preserve"> the intent is explicit</w:t>
      </w:r>
      <w:r w:rsidR="00AF1AB5">
        <w:rPr>
          <w:sz w:val="26"/>
          <w:szCs w:val="26"/>
        </w:rPr>
        <w:t>ly laid out</w:t>
      </w:r>
      <w:r w:rsidR="003D7CDF">
        <w:rPr>
          <w:sz w:val="26"/>
          <w:szCs w:val="26"/>
        </w:rPr>
        <w:t>.</w:t>
      </w:r>
      <w:r w:rsidR="00AF1AB5">
        <w:rPr>
          <w:sz w:val="26"/>
          <w:szCs w:val="26"/>
        </w:rPr>
        <w:t xml:space="preserve">  </w:t>
      </w:r>
      <w:r w:rsidR="00C60807">
        <w:rPr>
          <w:sz w:val="26"/>
          <w:szCs w:val="26"/>
        </w:rPr>
        <w:t>R. Exc.</w:t>
      </w:r>
      <w:r w:rsidR="00AF1AB5">
        <w:rPr>
          <w:sz w:val="26"/>
          <w:szCs w:val="26"/>
        </w:rPr>
        <w:t xml:space="preserve"> at 3-4.</w:t>
      </w:r>
    </w:p>
    <w:p w:rsidR="00AF1AB5" w:rsidRDefault="00AF1AB5" w:rsidP="00EB118C">
      <w:pPr>
        <w:spacing w:line="360" w:lineRule="auto"/>
        <w:ind w:firstLine="1440"/>
        <w:rPr>
          <w:sz w:val="26"/>
          <w:szCs w:val="26"/>
        </w:rPr>
      </w:pPr>
    </w:p>
    <w:p w:rsidR="00270DA6" w:rsidRDefault="00AF1AB5" w:rsidP="00EB118C">
      <w:pPr>
        <w:spacing w:line="360" w:lineRule="auto"/>
        <w:ind w:firstLine="1440"/>
        <w:rPr>
          <w:sz w:val="26"/>
          <w:szCs w:val="26"/>
        </w:rPr>
      </w:pPr>
      <w:r>
        <w:rPr>
          <w:sz w:val="26"/>
          <w:szCs w:val="26"/>
        </w:rPr>
        <w:t xml:space="preserve">UGIES accuses Green Hills of quoting large swaths of the Commission’s opinions in </w:t>
      </w:r>
      <w:r>
        <w:rPr>
          <w:i/>
          <w:sz w:val="26"/>
          <w:szCs w:val="26"/>
        </w:rPr>
        <w:t xml:space="preserve">IDT Energy </w:t>
      </w:r>
      <w:r>
        <w:rPr>
          <w:sz w:val="26"/>
          <w:szCs w:val="26"/>
        </w:rPr>
        <w:t xml:space="preserve">and </w:t>
      </w:r>
      <w:r>
        <w:rPr>
          <w:i/>
          <w:sz w:val="26"/>
          <w:szCs w:val="26"/>
        </w:rPr>
        <w:t>Yaglidereliler</w:t>
      </w:r>
      <w:r>
        <w:rPr>
          <w:sz w:val="26"/>
          <w:szCs w:val="26"/>
        </w:rPr>
        <w:t xml:space="preserve"> without actually applying those decisions to this case.  UGIES contends that </w:t>
      </w:r>
      <w:r>
        <w:rPr>
          <w:i/>
          <w:sz w:val="26"/>
          <w:szCs w:val="26"/>
        </w:rPr>
        <w:t xml:space="preserve">IDT Energy </w:t>
      </w:r>
      <w:r>
        <w:rPr>
          <w:sz w:val="26"/>
          <w:szCs w:val="26"/>
        </w:rPr>
        <w:t xml:space="preserve">is inapplicable because the facts here do not involve the failure to abide by the terms of a disclosure agreement during the disputed billing period.  The EGS also claims that in </w:t>
      </w:r>
      <w:r>
        <w:rPr>
          <w:i/>
          <w:sz w:val="26"/>
          <w:szCs w:val="26"/>
        </w:rPr>
        <w:t>Yaglidereliler</w:t>
      </w:r>
      <w:r>
        <w:rPr>
          <w:sz w:val="26"/>
          <w:szCs w:val="26"/>
        </w:rPr>
        <w:t xml:space="preserve"> the Commission decided that the EGS was not entitled to a judgment as a matter of law because material facts whether the</w:t>
      </w:r>
      <w:r w:rsidR="0040060E">
        <w:rPr>
          <w:sz w:val="26"/>
          <w:szCs w:val="26"/>
        </w:rPr>
        <w:t xml:space="preserve"> EGS’ marketing or billing </w:t>
      </w:r>
      <w:r>
        <w:rPr>
          <w:sz w:val="26"/>
          <w:szCs w:val="26"/>
        </w:rPr>
        <w:t xml:space="preserve">was fraudulent, deceptive, or unlawful </w:t>
      </w:r>
      <w:r w:rsidR="0040060E">
        <w:rPr>
          <w:sz w:val="26"/>
          <w:szCs w:val="26"/>
        </w:rPr>
        <w:t>were</w:t>
      </w:r>
      <w:r w:rsidR="0040060E" w:rsidRPr="0040060E">
        <w:rPr>
          <w:sz w:val="26"/>
          <w:szCs w:val="26"/>
        </w:rPr>
        <w:t xml:space="preserve"> in dispute</w:t>
      </w:r>
      <w:r>
        <w:rPr>
          <w:sz w:val="26"/>
          <w:szCs w:val="26"/>
        </w:rPr>
        <w:t>.</w:t>
      </w:r>
      <w:r w:rsidR="00D00619">
        <w:rPr>
          <w:sz w:val="26"/>
          <w:szCs w:val="26"/>
        </w:rPr>
        <w:t xml:space="preserve">  In this case, however, UGIES contends that “the requested relief is still essentially a claim for damages” over which the Commission lacks jurisdiction.  </w:t>
      </w:r>
      <w:r w:rsidR="00D00619">
        <w:rPr>
          <w:i/>
          <w:sz w:val="26"/>
          <w:szCs w:val="26"/>
        </w:rPr>
        <w:t xml:space="preserve">Id. </w:t>
      </w:r>
      <w:r w:rsidR="00D00619">
        <w:rPr>
          <w:sz w:val="26"/>
          <w:szCs w:val="26"/>
        </w:rPr>
        <w:t>at 5.</w:t>
      </w:r>
    </w:p>
    <w:p w:rsidR="00270DA6" w:rsidRDefault="00270DA6" w:rsidP="00EB118C">
      <w:pPr>
        <w:spacing w:line="360" w:lineRule="auto"/>
        <w:ind w:firstLine="1440"/>
        <w:rPr>
          <w:sz w:val="26"/>
          <w:szCs w:val="26"/>
        </w:rPr>
      </w:pPr>
    </w:p>
    <w:p w:rsidR="00AF1AB5" w:rsidRPr="00270DA6" w:rsidRDefault="0040060E" w:rsidP="00EB118C">
      <w:pPr>
        <w:spacing w:line="360" w:lineRule="auto"/>
        <w:ind w:firstLine="1440"/>
        <w:rPr>
          <w:sz w:val="26"/>
          <w:szCs w:val="26"/>
        </w:rPr>
      </w:pPr>
      <w:r>
        <w:rPr>
          <w:sz w:val="26"/>
          <w:szCs w:val="26"/>
        </w:rPr>
        <w:t xml:space="preserve">Relying </w:t>
      </w:r>
      <w:r w:rsidR="001C3318">
        <w:rPr>
          <w:sz w:val="26"/>
          <w:szCs w:val="26"/>
        </w:rPr>
        <w:t xml:space="preserve">on </w:t>
      </w:r>
      <w:r>
        <w:rPr>
          <w:i/>
          <w:sz w:val="26"/>
          <w:szCs w:val="26"/>
        </w:rPr>
        <w:t>IDT Energy</w:t>
      </w:r>
      <w:r>
        <w:rPr>
          <w:sz w:val="26"/>
          <w:szCs w:val="26"/>
        </w:rPr>
        <w:t xml:space="preserve">, UGIES argues that the Commission has previously found that it has plenary jurisdiction to compel a billing adjustment in the form of a credit or refund in “appropriate circumstances” </w:t>
      </w:r>
      <w:r w:rsidR="00270DA6">
        <w:rPr>
          <w:sz w:val="26"/>
          <w:szCs w:val="26"/>
        </w:rPr>
        <w:t xml:space="preserve">in order to ensure that EGSs comply with the Commission’s Regulations.  </w:t>
      </w:r>
      <w:r w:rsidR="001358CC" w:rsidRPr="001358CC">
        <w:rPr>
          <w:i/>
          <w:sz w:val="26"/>
          <w:szCs w:val="26"/>
        </w:rPr>
        <w:t>Id.</w:t>
      </w:r>
      <w:r w:rsidR="001358CC" w:rsidRPr="001358CC">
        <w:rPr>
          <w:sz w:val="26"/>
          <w:szCs w:val="26"/>
        </w:rPr>
        <w:t xml:space="preserve"> at 6.  </w:t>
      </w:r>
      <w:r w:rsidR="00270DA6">
        <w:rPr>
          <w:sz w:val="26"/>
          <w:szCs w:val="26"/>
        </w:rPr>
        <w:t>UGIES finds that Green Hills did not allege slamming or overbilling, however, and therefore a credit or refund is not appropriate.  Rather, Green Hills is “simply unhappy with the deal it struck and wants compensation for its own failures.  If the MPSA an</w:t>
      </w:r>
      <w:r w:rsidR="00A50F0B">
        <w:rPr>
          <w:sz w:val="26"/>
          <w:szCs w:val="26"/>
        </w:rPr>
        <w:t>d C</w:t>
      </w:r>
      <w:r w:rsidR="00270DA6">
        <w:rPr>
          <w:sz w:val="26"/>
          <w:szCs w:val="26"/>
        </w:rPr>
        <w:t xml:space="preserve">onfirmation </w:t>
      </w:r>
      <w:r w:rsidR="00A50F0B">
        <w:rPr>
          <w:sz w:val="26"/>
          <w:szCs w:val="26"/>
        </w:rPr>
        <w:t>A</w:t>
      </w:r>
      <w:r w:rsidR="00270DA6">
        <w:rPr>
          <w:sz w:val="26"/>
          <w:szCs w:val="26"/>
        </w:rPr>
        <w:t xml:space="preserve">greements stated the wrong start date, then Green Hills should not have signed them.”  </w:t>
      </w:r>
      <w:r w:rsidR="00270DA6">
        <w:rPr>
          <w:i/>
          <w:sz w:val="26"/>
          <w:szCs w:val="26"/>
        </w:rPr>
        <w:t>Id</w:t>
      </w:r>
      <w:r w:rsidR="00270DA6">
        <w:rPr>
          <w:sz w:val="26"/>
          <w:szCs w:val="26"/>
        </w:rPr>
        <w:t xml:space="preserve">.  </w:t>
      </w:r>
      <w:r w:rsidR="00AC07BB">
        <w:rPr>
          <w:sz w:val="26"/>
          <w:szCs w:val="26"/>
        </w:rPr>
        <w:t xml:space="preserve">As UGIES states, </w:t>
      </w:r>
      <w:r w:rsidR="00270DA6">
        <w:rPr>
          <w:sz w:val="26"/>
          <w:szCs w:val="26"/>
        </w:rPr>
        <w:t xml:space="preserve">Green Hills </w:t>
      </w:r>
      <w:r w:rsidR="00270DA6">
        <w:rPr>
          <w:sz w:val="26"/>
          <w:szCs w:val="26"/>
        </w:rPr>
        <w:lastRenderedPageBreak/>
        <w:t>was the only party in possession of its agreement with Liberty, had several months to review UG</w:t>
      </w:r>
      <w:r w:rsidR="001358CC">
        <w:rPr>
          <w:sz w:val="26"/>
          <w:szCs w:val="26"/>
        </w:rPr>
        <w:t>I</w:t>
      </w:r>
      <w:r w:rsidR="00270DA6">
        <w:rPr>
          <w:sz w:val="26"/>
          <w:szCs w:val="26"/>
        </w:rPr>
        <w:t xml:space="preserve">ES’ documents, should have received notices from Liberty regarding the end of its fixed price contract, and could have contacted its EDC or Liberty to determine its end date.  “Considering Green Hills’ concerns also only arose </w:t>
      </w:r>
      <w:r w:rsidR="00270DA6">
        <w:rPr>
          <w:sz w:val="26"/>
          <w:szCs w:val="26"/>
          <w:u w:val="single"/>
        </w:rPr>
        <w:t>after</w:t>
      </w:r>
      <w:r w:rsidR="00270DA6">
        <w:rPr>
          <w:sz w:val="26"/>
          <w:szCs w:val="26"/>
        </w:rPr>
        <w:t xml:space="preserve"> the January bill was generated, it appears that Green Hills failed to take any of these actions.”  </w:t>
      </w:r>
      <w:r w:rsidR="00270DA6">
        <w:rPr>
          <w:i/>
          <w:sz w:val="26"/>
          <w:szCs w:val="26"/>
        </w:rPr>
        <w:t xml:space="preserve">Id. </w:t>
      </w:r>
      <w:r w:rsidR="00270DA6">
        <w:rPr>
          <w:sz w:val="26"/>
          <w:szCs w:val="26"/>
        </w:rPr>
        <w:t>at 7</w:t>
      </w:r>
      <w:r w:rsidR="001358CC">
        <w:rPr>
          <w:sz w:val="26"/>
          <w:szCs w:val="26"/>
        </w:rPr>
        <w:t xml:space="preserve"> (emphasis in original)</w:t>
      </w:r>
      <w:r w:rsidR="00270DA6">
        <w:rPr>
          <w:sz w:val="26"/>
          <w:szCs w:val="26"/>
        </w:rPr>
        <w:t>.  UGIES concludes that the Complaint and its requested relief are not properly before the Commission and should be dismissed.</w:t>
      </w:r>
    </w:p>
    <w:p w:rsidR="00682D32" w:rsidRDefault="00682D32" w:rsidP="00B75FC9">
      <w:pPr>
        <w:spacing w:line="360" w:lineRule="auto"/>
        <w:rPr>
          <w:sz w:val="26"/>
          <w:szCs w:val="26"/>
        </w:rPr>
      </w:pPr>
    </w:p>
    <w:p w:rsidR="008A067A" w:rsidRPr="0023707D" w:rsidRDefault="008A067A" w:rsidP="00B75FC9">
      <w:pPr>
        <w:tabs>
          <w:tab w:val="left" w:pos="1440"/>
        </w:tabs>
        <w:spacing w:line="360" w:lineRule="auto"/>
        <w:rPr>
          <w:sz w:val="26"/>
          <w:szCs w:val="26"/>
        </w:rPr>
      </w:pPr>
      <w:r w:rsidRPr="008A067A">
        <w:rPr>
          <w:b/>
          <w:sz w:val="26"/>
          <w:szCs w:val="26"/>
        </w:rPr>
        <w:t>Disposition</w:t>
      </w:r>
    </w:p>
    <w:p w:rsidR="002916E5" w:rsidRPr="0023707D" w:rsidRDefault="002916E5" w:rsidP="00B75FC9">
      <w:pPr>
        <w:tabs>
          <w:tab w:val="left" w:pos="1440"/>
        </w:tabs>
        <w:spacing w:line="360" w:lineRule="auto"/>
        <w:rPr>
          <w:sz w:val="26"/>
          <w:szCs w:val="26"/>
        </w:rPr>
      </w:pPr>
    </w:p>
    <w:p w:rsidR="004B2D94" w:rsidRDefault="009219AD" w:rsidP="00444669">
      <w:pPr>
        <w:spacing w:line="360" w:lineRule="auto"/>
        <w:ind w:firstLine="1440"/>
        <w:rPr>
          <w:sz w:val="26"/>
          <w:szCs w:val="26"/>
        </w:rPr>
      </w:pPr>
      <w:r>
        <w:rPr>
          <w:sz w:val="26"/>
          <w:szCs w:val="26"/>
        </w:rPr>
        <w:t>Based upon our review of the record and the parties</w:t>
      </w:r>
      <w:r w:rsidR="0061179C">
        <w:rPr>
          <w:sz w:val="26"/>
          <w:szCs w:val="26"/>
        </w:rPr>
        <w:t>’</w:t>
      </w:r>
      <w:r>
        <w:rPr>
          <w:sz w:val="26"/>
          <w:szCs w:val="26"/>
        </w:rPr>
        <w:t xml:space="preserve"> Exceptions and Replies, we </w:t>
      </w:r>
      <w:r w:rsidR="00AC07BB">
        <w:rPr>
          <w:sz w:val="26"/>
          <w:szCs w:val="26"/>
        </w:rPr>
        <w:t>agree with and affirm</w:t>
      </w:r>
      <w:r>
        <w:rPr>
          <w:sz w:val="26"/>
          <w:szCs w:val="26"/>
        </w:rPr>
        <w:t xml:space="preserve"> </w:t>
      </w:r>
      <w:r w:rsidRPr="009219AD">
        <w:rPr>
          <w:sz w:val="26"/>
          <w:szCs w:val="26"/>
        </w:rPr>
        <w:t xml:space="preserve">the ALJ’s </w:t>
      </w:r>
      <w:r w:rsidR="00B05BB9">
        <w:rPr>
          <w:sz w:val="26"/>
          <w:szCs w:val="26"/>
        </w:rPr>
        <w:t>d</w:t>
      </w:r>
      <w:r w:rsidRPr="009219AD">
        <w:rPr>
          <w:sz w:val="26"/>
          <w:szCs w:val="26"/>
        </w:rPr>
        <w:t xml:space="preserve">ecision </w:t>
      </w:r>
      <w:r>
        <w:rPr>
          <w:sz w:val="26"/>
          <w:szCs w:val="26"/>
        </w:rPr>
        <w:t xml:space="preserve">to </w:t>
      </w:r>
      <w:r w:rsidRPr="009219AD">
        <w:rPr>
          <w:sz w:val="26"/>
          <w:szCs w:val="26"/>
        </w:rPr>
        <w:t>dismiss the Complaint</w:t>
      </w:r>
      <w:r w:rsidR="009E0E3C">
        <w:rPr>
          <w:sz w:val="26"/>
          <w:szCs w:val="26"/>
        </w:rPr>
        <w:t>.  We</w:t>
      </w:r>
      <w:r w:rsidR="00990F6F">
        <w:rPr>
          <w:sz w:val="26"/>
          <w:szCs w:val="26"/>
        </w:rPr>
        <w:t xml:space="preserve"> modify </w:t>
      </w:r>
      <w:r w:rsidR="00DE63C9">
        <w:rPr>
          <w:sz w:val="26"/>
          <w:szCs w:val="26"/>
        </w:rPr>
        <w:t>the</w:t>
      </w:r>
      <w:r w:rsidR="00990F6F">
        <w:rPr>
          <w:sz w:val="26"/>
          <w:szCs w:val="26"/>
        </w:rPr>
        <w:t xml:space="preserve"> Initial Decision</w:t>
      </w:r>
      <w:r w:rsidR="009E0E3C">
        <w:rPr>
          <w:sz w:val="26"/>
          <w:szCs w:val="26"/>
        </w:rPr>
        <w:t>, however,</w:t>
      </w:r>
      <w:r w:rsidR="00990F6F">
        <w:rPr>
          <w:sz w:val="26"/>
          <w:szCs w:val="26"/>
        </w:rPr>
        <w:t xml:space="preserve"> </w:t>
      </w:r>
      <w:r w:rsidR="00AC07BB">
        <w:rPr>
          <w:sz w:val="26"/>
          <w:szCs w:val="26"/>
        </w:rPr>
        <w:t xml:space="preserve">in order to </w:t>
      </w:r>
      <w:r w:rsidR="00216AE8">
        <w:rPr>
          <w:sz w:val="26"/>
          <w:szCs w:val="26"/>
        </w:rPr>
        <w:t xml:space="preserve">clarify the scope of our </w:t>
      </w:r>
      <w:r w:rsidR="00990F6F">
        <w:rPr>
          <w:sz w:val="26"/>
          <w:szCs w:val="26"/>
        </w:rPr>
        <w:t>authority and jurisdiction over EGSs</w:t>
      </w:r>
      <w:r>
        <w:rPr>
          <w:sz w:val="26"/>
          <w:szCs w:val="26"/>
        </w:rPr>
        <w:t xml:space="preserve">.  </w:t>
      </w:r>
    </w:p>
    <w:p w:rsidR="004B2D94" w:rsidRDefault="004B2D94" w:rsidP="00444669">
      <w:pPr>
        <w:spacing w:line="360" w:lineRule="auto"/>
        <w:ind w:firstLine="1440"/>
        <w:rPr>
          <w:sz w:val="26"/>
          <w:szCs w:val="26"/>
        </w:rPr>
      </w:pPr>
    </w:p>
    <w:p w:rsidR="00362839" w:rsidRDefault="009219AD" w:rsidP="00444669">
      <w:pPr>
        <w:spacing w:line="360" w:lineRule="auto"/>
        <w:ind w:firstLine="1440"/>
        <w:rPr>
          <w:sz w:val="26"/>
          <w:szCs w:val="26"/>
        </w:rPr>
      </w:pPr>
      <w:r>
        <w:rPr>
          <w:sz w:val="26"/>
          <w:szCs w:val="26"/>
        </w:rPr>
        <w:t xml:space="preserve">We agree </w:t>
      </w:r>
      <w:r w:rsidR="00293ACD">
        <w:rPr>
          <w:sz w:val="26"/>
          <w:szCs w:val="26"/>
        </w:rPr>
        <w:t>with the ALJ</w:t>
      </w:r>
      <w:r w:rsidR="009E0E3C">
        <w:rPr>
          <w:sz w:val="26"/>
          <w:szCs w:val="26"/>
        </w:rPr>
        <w:t>’s disposition</w:t>
      </w:r>
      <w:r w:rsidR="00293ACD">
        <w:rPr>
          <w:sz w:val="26"/>
          <w:szCs w:val="26"/>
        </w:rPr>
        <w:t xml:space="preserve"> that the matter presented </w:t>
      </w:r>
      <w:r w:rsidR="00990F6F">
        <w:rPr>
          <w:sz w:val="26"/>
          <w:szCs w:val="26"/>
        </w:rPr>
        <w:t xml:space="preserve">in this proceeding </w:t>
      </w:r>
      <w:r w:rsidR="00293ACD">
        <w:rPr>
          <w:sz w:val="26"/>
          <w:szCs w:val="26"/>
        </w:rPr>
        <w:t>is outside our jurisdiction</w:t>
      </w:r>
      <w:r w:rsidR="009E0E3C">
        <w:rPr>
          <w:sz w:val="26"/>
          <w:szCs w:val="26"/>
        </w:rPr>
        <w:t xml:space="preserve">.  </w:t>
      </w:r>
      <w:r w:rsidR="002D28A3">
        <w:rPr>
          <w:sz w:val="26"/>
          <w:szCs w:val="26"/>
        </w:rPr>
        <w:t>As UGIES contends, de</w:t>
      </w:r>
      <w:r w:rsidR="00293ACD">
        <w:rPr>
          <w:sz w:val="26"/>
          <w:szCs w:val="26"/>
        </w:rPr>
        <w:t xml:space="preserve">spite its evolution from an alleged billing dispute to a contract reformation to an alleged service issue, the gravamen of Green Hills’ argument </w:t>
      </w:r>
      <w:r w:rsidR="00990F6F">
        <w:rPr>
          <w:sz w:val="26"/>
          <w:szCs w:val="26"/>
        </w:rPr>
        <w:t>remains</w:t>
      </w:r>
      <w:r w:rsidR="00293ACD">
        <w:rPr>
          <w:sz w:val="26"/>
          <w:szCs w:val="26"/>
        </w:rPr>
        <w:t xml:space="preserve"> primarily one of contract law, namely whether the </w:t>
      </w:r>
      <w:r w:rsidR="00990F6F">
        <w:rPr>
          <w:sz w:val="26"/>
          <w:szCs w:val="26"/>
        </w:rPr>
        <w:t>supply c</w:t>
      </w:r>
      <w:r w:rsidR="00293ACD">
        <w:rPr>
          <w:sz w:val="26"/>
          <w:szCs w:val="26"/>
        </w:rPr>
        <w:t xml:space="preserve">ontract executed by the parties reflects and gives effect to the intent of the parties.  That is an issue of contract interpretation beyond our jurisdiction and properly brought before a court of </w:t>
      </w:r>
      <w:r w:rsidR="00E97688">
        <w:rPr>
          <w:sz w:val="26"/>
          <w:szCs w:val="26"/>
        </w:rPr>
        <w:t>competent jurisdiction</w:t>
      </w:r>
      <w:r w:rsidR="00AC07BB">
        <w:rPr>
          <w:sz w:val="26"/>
          <w:szCs w:val="26"/>
        </w:rPr>
        <w:t>.</w:t>
      </w:r>
    </w:p>
    <w:p w:rsidR="00362839" w:rsidRDefault="00362839" w:rsidP="00444669">
      <w:pPr>
        <w:spacing w:line="360" w:lineRule="auto"/>
        <w:ind w:firstLine="1440"/>
        <w:rPr>
          <w:sz w:val="26"/>
          <w:szCs w:val="26"/>
        </w:rPr>
      </w:pPr>
    </w:p>
    <w:p w:rsidR="00F86F8A" w:rsidRDefault="00362839" w:rsidP="00362839">
      <w:pPr>
        <w:spacing w:line="360" w:lineRule="auto"/>
        <w:ind w:firstLine="1440"/>
        <w:rPr>
          <w:bCs/>
          <w:sz w:val="26"/>
          <w:szCs w:val="26"/>
          <w:lang w:bidi="en-US"/>
        </w:rPr>
      </w:pPr>
      <w:r>
        <w:rPr>
          <w:sz w:val="26"/>
          <w:szCs w:val="26"/>
        </w:rPr>
        <w:t>We note</w:t>
      </w:r>
      <w:r w:rsidR="00216AE8">
        <w:rPr>
          <w:sz w:val="26"/>
          <w:szCs w:val="26"/>
        </w:rPr>
        <w:t xml:space="preserve">, however, </w:t>
      </w:r>
      <w:r>
        <w:rPr>
          <w:sz w:val="26"/>
          <w:szCs w:val="26"/>
        </w:rPr>
        <w:t xml:space="preserve">that </w:t>
      </w:r>
      <w:r w:rsidR="00E97688">
        <w:rPr>
          <w:sz w:val="26"/>
          <w:szCs w:val="26"/>
        </w:rPr>
        <w:t xml:space="preserve">Green Hills </w:t>
      </w:r>
      <w:r>
        <w:rPr>
          <w:sz w:val="26"/>
          <w:szCs w:val="26"/>
        </w:rPr>
        <w:t xml:space="preserve">is correct that </w:t>
      </w:r>
      <w:r w:rsidR="00E97688">
        <w:rPr>
          <w:i/>
          <w:sz w:val="26"/>
          <w:szCs w:val="26"/>
        </w:rPr>
        <w:t xml:space="preserve">IDT Energy </w:t>
      </w:r>
      <w:r w:rsidR="00E97688">
        <w:rPr>
          <w:sz w:val="26"/>
          <w:szCs w:val="26"/>
        </w:rPr>
        <w:t xml:space="preserve">and </w:t>
      </w:r>
      <w:r w:rsidR="00293ACD">
        <w:rPr>
          <w:i/>
          <w:sz w:val="26"/>
          <w:szCs w:val="26"/>
        </w:rPr>
        <w:t>Yaglidereliler</w:t>
      </w:r>
      <w:r w:rsidR="00293ACD">
        <w:rPr>
          <w:sz w:val="26"/>
          <w:szCs w:val="26"/>
        </w:rPr>
        <w:t xml:space="preserve"> </w:t>
      </w:r>
      <w:r>
        <w:rPr>
          <w:sz w:val="26"/>
          <w:szCs w:val="26"/>
        </w:rPr>
        <w:t xml:space="preserve">stand </w:t>
      </w:r>
      <w:r w:rsidR="00293ACD">
        <w:rPr>
          <w:sz w:val="26"/>
          <w:szCs w:val="26"/>
        </w:rPr>
        <w:t xml:space="preserve">for the premise that </w:t>
      </w:r>
      <w:r w:rsidR="00BA723D">
        <w:rPr>
          <w:sz w:val="26"/>
          <w:szCs w:val="26"/>
        </w:rPr>
        <w:t xml:space="preserve">our </w:t>
      </w:r>
      <w:r w:rsidR="00293ACD">
        <w:rPr>
          <w:sz w:val="26"/>
          <w:szCs w:val="26"/>
        </w:rPr>
        <w:t xml:space="preserve">jurisdiction over EGSs </w:t>
      </w:r>
      <w:r w:rsidR="00BA723D">
        <w:rPr>
          <w:sz w:val="26"/>
          <w:szCs w:val="26"/>
        </w:rPr>
        <w:t xml:space="preserve">is </w:t>
      </w:r>
      <w:r w:rsidR="00A87CBD" w:rsidRPr="00362839">
        <w:rPr>
          <w:i/>
          <w:sz w:val="26"/>
          <w:szCs w:val="26"/>
        </w:rPr>
        <w:t>not</w:t>
      </w:r>
      <w:r w:rsidR="00A87CBD">
        <w:rPr>
          <w:sz w:val="26"/>
          <w:szCs w:val="26"/>
        </w:rPr>
        <w:t xml:space="preserve"> limited to problems with disclosure statements.  Exc. at 5.</w:t>
      </w:r>
      <w:r w:rsidR="00FF7A4E">
        <w:rPr>
          <w:sz w:val="26"/>
          <w:szCs w:val="26"/>
        </w:rPr>
        <w:t xml:space="preserve">  </w:t>
      </w:r>
      <w:r w:rsidR="00E97688">
        <w:rPr>
          <w:sz w:val="26"/>
          <w:szCs w:val="26"/>
        </w:rPr>
        <w:t>On this point w</w:t>
      </w:r>
      <w:r w:rsidR="00FF7A4E">
        <w:rPr>
          <w:sz w:val="26"/>
          <w:szCs w:val="26"/>
        </w:rPr>
        <w:t>e agree with Green Hills</w:t>
      </w:r>
      <w:r w:rsidR="00E97688">
        <w:rPr>
          <w:sz w:val="26"/>
          <w:szCs w:val="26"/>
        </w:rPr>
        <w:t xml:space="preserve"> </w:t>
      </w:r>
      <w:r w:rsidR="001339EE">
        <w:rPr>
          <w:sz w:val="26"/>
          <w:szCs w:val="26"/>
        </w:rPr>
        <w:t xml:space="preserve">that </w:t>
      </w:r>
      <w:r w:rsidR="00E97688">
        <w:rPr>
          <w:sz w:val="26"/>
          <w:szCs w:val="26"/>
        </w:rPr>
        <w:t xml:space="preserve">the </w:t>
      </w:r>
      <w:r w:rsidR="00FF7A4E">
        <w:rPr>
          <w:sz w:val="26"/>
          <w:szCs w:val="26"/>
        </w:rPr>
        <w:t>ALJ</w:t>
      </w:r>
      <w:r w:rsidR="001339EE">
        <w:rPr>
          <w:sz w:val="26"/>
          <w:szCs w:val="26"/>
        </w:rPr>
        <w:t xml:space="preserve"> applied an unduly narrow </w:t>
      </w:r>
      <w:r w:rsidR="003F6B9D">
        <w:rPr>
          <w:sz w:val="26"/>
          <w:szCs w:val="26"/>
        </w:rPr>
        <w:t>analysis</w:t>
      </w:r>
      <w:r w:rsidR="001339EE">
        <w:rPr>
          <w:sz w:val="26"/>
          <w:szCs w:val="26"/>
        </w:rPr>
        <w:t xml:space="preserve"> of our </w:t>
      </w:r>
      <w:r w:rsidR="00FF7A4E">
        <w:rPr>
          <w:sz w:val="26"/>
          <w:szCs w:val="26"/>
        </w:rPr>
        <w:t xml:space="preserve">scope of authority </w:t>
      </w:r>
      <w:r w:rsidR="001339EE">
        <w:rPr>
          <w:sz w:val="26"/>
          <w:szCs w:val="26"/>
        </w:rPr>
        <w:t xml:space="preserve">when he stated that </w:t>
      </w:r>
      <w:r w:rsidR="00B87722">
        <w:rPr>
          <w:sz w:val="26"/>
          <w:szCs w:val="26"/>
        </w:rPr>
        <w:t>our authority</w:t>
      </w:r>
      <w:r w:rsidR="001339EE">
        <w:rPr>
          <w:sz w:val="26"/>
          <w:szCs w:val="26"/>
        </w:rPr>
        <w:t xml:space="preserve"> w</w:t>
      </w:r>
      <w:r w:rsidR="00444669">
        <w:rPr>
          <w:sz w:val="26"/>
          <w:szCs w:val="26"/>
        </w:rPr>
        <w:t xml:space="preserve">as </w:t>
      </w:r>
      <w:r w:rsidR="00444669" w:rsidRPr="00444669">
        <w:rPr>
          <w:bCs/>
          <w:sz w:val="26"/>
          <w:szCs w:val="26"/>
          <w:lang w:bidi="en-US"/>
        </w:rPr>
        <w:t xml:space="preserve">limited to ordering a billing adjustment when the EGS “fail[s] to bill a customer in accordance with its disclosure statement” or when a customer has been </w:t>
      </w:r>
      <w:r w:rsidR="00444669" w:rsidRPr="00444669">
        <w:rPr>
          <w:bCs/>
          <w:sz w:val="26"/>
          <w:szCs w:val="26"/>
          <w:lang w:bidi="en-US"/>
        </w:rPr>
        <w:lastRenderedPageBreak/>
        <w:t>switched without consent.</w:t>
      </w:r>
      <w:r w:rsidR="009A4877">
        <w:rPr>
          <w:bCs/>
          <w:sz w:val="26"/>
          <w:szCs w:val="26"/>
          <w:lang w:bidi="en-US"/>
        </w:rPr>
        <w:t xml:space="preserve"> </w:t>
      </w:r>
      <w:r w:rsidR="00444669" w:rsidRPr="00444669">
        <w:rPr>
          <w:bCs/>
          <w:sz w:val="26"/>
          <w:szCs w:val="26"/>
          <w:lang w:bidi="en-US"/>
        </w:rPr>
        <w:t xml:space="preserve"> I.D. at 10</w:t>
      </w:r>
      <w:r w:rsidR="00BA723D">
        <w:rPr>
          <w:bCs/>
          <w:sz w:val="26"/>
          <w:szCs w:val="26"/>
          <w:lang w:bidi="en-US"/>
        </w:rPr>
        <w:t xml:space="preserve"> (citing</w:t>
      </w:r>
      <w:r w:rsidR="003F6B9D">
        <w:rPr>
          <w:bCs/>
          <w:sz w:val="26"/>
          <w:szCs w:val="26"/>
          <w:lang w:bidi="en-US"/>
        </w:rPr>
        <w:t xml:space="preserve">, </w:t>
      </w:r>
      <w:r w:rsidR="003F6B9D">
        <w:rPr>
          <w:bCs/>
          <w:i/>
          <w:sz w:val="26"/>
          <w:szCs w:val="26"/>
          <w:lang w:bidi="en-US"/>
        </w:rPr>
        <w:t>inter alia</w:t>
      </w:r>
      <w:r w:rsidR="003F6B9D">
        <w:rPr>
          <w:bCs/>
          <w:sz w:val="26"/>
          <w:szCs w:val="26"/>
          <w:lang w:bidi="en-US"/>
        </w:rPr>
        <w:t xml:space="preserve">, </w:t>
      </w:r>
      <w:r w:rsidR="00BA723D" w:rsidRPr="00BA723D">
        <w:rPr>
          <w:bCs/>
          <w:i/>
          <w:sz w:val="26"/>
          <w:szCs w:val="26"/>
          <w:lang w:bidi="en-US"/>
        </w:rPr>
        <w:t>IDT Energy</w:t>
      </w:r>
      <w:r w:rsidR="00BA723D">
        <w:rPr>
          <w:bCs/>
          <w:i/>
          <w:sz w:val="26"/>
          <w:szCs w:val="26"/>
          <w:lang w:bidi="en-US"/>
        </w:rPr>
        <w:t>)</w:t>
      </w:r>
      <w:r w:rsidR="00444669" w:rsidRPr="00444669">
        <w:rPr>
          <w:bCs/>
          <w:sz w:val="26"/>
          <w:szCs w:val="26"/>
          <w:lang w:bidi="en-US"/>
        </w:rPr>
        <w:t xml:space="preserve">.  </w:t>
      </w:r>
      <w:r w:rsidR="00662719">
        <w:rPr>
          <w:bCs/>
          <w:sz w:val="26"/>
          <w:szCs w:val="26"/>
          <w:lang w:bidi="en-US"/>
        </w:rPr>
        <w:t xml:space="preserve">As we stated in that case, </w:t>
      </w:r>
    </w:p>
    <w:p w:rsidR="00F86F8A" w:rsidRDefault="00F86F8A" w:rsidP="00362839">
      <w:pPr>
        <w:spacing w:line="360" w:lineRule="auto"/>
        <w:ind w:firstLine="1440"/>
        <w:rPr>
          <w:bCs/>
          <w:sz w:val="26"/>
          <w:szCs w:val="26"/>
          <w:lang w:bidi="en-US"/>
        </w:rPr>
      </w:pPr>
    </w:p>
    <w:p w:rsidR="00F86F8A" w:rsidRDefault="00BA723D" w:rsidP="00F86F8A">
      <w:pPr>
        <w:ind w:left="1440" w:right="1440"/>
        <w:rPr>
          <w:sz w:val="26"/>
          <w:szCs w:val="26"/>
        </w:rPr>
      </w:pPr>
      <w:r>
        <w:rPr>
          <w:sz w:val="26"/>
          <w:szCs w:val="26"/>
        </w:rPr>
        <w:t>[h]</w:t>
      </w:r>
      <w:r w:rsidRPr="002F1316">
        <w:rPr>
          <w:sz w:val="26"/>
          <w:szCs w:val="26"/>
        </w:rPr>
        <w:t xml:space="preserve">aving the authority to order EGS credits and/or refunds carries out these statutorily-prescribed consumer protections </w:t>
      </w:r>
      <w:r w:rsidR="00F86F8A">
        <w:rPr>
          <w:sz w:val="26"/>
          <w:szCs w:val="26"/>
        </w:rPr>
        <w:t>[</w:t>
      </w:r>
      <w:r>
        <w:rPr>
          <w:sz w:val="26"/>
          <w:szCs w:val="26"/>
        </w:rPr>
        <w:t xml:space="preserve">under Section </w:t>
      </w:r>
      <w:r w:rsidRPr="002F1316">
        <w:rPr>
          <w:sz w:val="26"/>
          <w:szCs w:val="26"/>
        </w:rPr>
        <w:t xml:space="preserve">2809(b) </w:t>
      </w:r>
      <w:r>
        <w:rPr>
          <w:sz w:val="26"/>
          <w:szCs w:val="26"/>
        </w:rPr>
        <w:t xml:space="preserve">of the Electric Competition Act and Chapter 54 of our </w:t>
      </w:r>
      <w:r w:rsidRPr="002F1316">
        <w:rPr>
          <w:sz w:val="26"/>
          <w:szCs w:val="26"/>
        </w:rPr>
        <w:t>Regulations</w:t>
      </w:r>
      <w:r w:rsidR="00F86F8A">
        <w:rPr>
          <w:sz w:val="26"/>
          <w:szCs w:val="26"/>
        </w:rPr>
        <w:t>]</w:t>
      </w:r>
      <w:r>
        <w:rPr>
          <w:sz w:val="26"/>
          <w:szCs w:val="26"/>
        </w:rPr>
        <w:t xml:space="preserve"> </w:t>
      </w:r>
      <w:r w:rsidRPr="002F1316">
        <w:rPr>
          <w:sz w:val="26"/>
          <w:szCs w:val="26"/>
        </w:rPr>
        <w:t xml:space="preserve">by ensuring that electric generation supply bills are adjusted accordingly when an EGS, </w:t>
      </w:r>
      <w:r w:rsidRPr="003160F1">
        <w:rPr>
          <w:i/>
          <w:sz w:val="26"/>
          <w:szCs w:val="26"/>
        </w:rPr>
        <w:t>for example</w:t>
      </w:r>
      <w:r w:rsidRPr="002F1316">
        <w:rPr>
          <w:sz w:val="26"/>
          <w:szCs w:val="26"/>
        </w:rPr>
        <w:t>, fails to bill a customer in accordance with its disclosure statement</w:t>
      </w:r>
      <w:r>
        <w:rPr>
          <w:sz w:val="26"/>
          <w:szCs w:val="26"/>
        </w:rPr>
        <w:t>.</w:t>
      </w:r>
    </w:p>
    <w:p w:rsidR="00F86F8A" w:rsidRDefault="00F86F8A" w:rsidP="00F86F8A">
      <w:pPr>
        <w:ind w:firstLine="1440"/>
        <w:rPr>
          <w:sz w:val="26"/>
          <w:szCs w:val="26"/>
        </w:rPr>
      </w:pPr>
    </w:p>
    <w:p w:rsidR="00F86F8A" w:rsidRDefault="00F86F8A" w:rsidP="00F86F8A">
      <w:pPr>
        <w:ind w:firstLine="1440"/>
        <w:rPr>
          <w:sz w:val="26"/>
          <w:szCs w:val="26"/>
        </w:rPr>
      </w:pPr>
    </w:p>
    <w:p w:rsidR="00362839" w:rsidRDefault="00BA723D" w:rsidP="00F86F8A">
      <w:pPr>
        <w:spacing w:line="360" w:lineRule="auto"/>
        <w:rPr>
          <w:sz w:val="26"/>
          <w:szCs w:val="26"/>
        </w:rPr>
      </w:pPr>
      <w:r>
        <w:rPr>
          <w:i/>
          <w:sz w:val="26"/>
          <w:szCs w:val="26"/>
        </w:rPr>
        <w:t xml:space="preserve">IDT </w:t>
      </w:r>
      <w:r w:rsidR="003F6B9D">
        <w:rPr>
          <w:i/>
          <w:sz w:val="26"/>
          <w:szCs w:val="26"/>
        </w:rPr>
        <w:t>Energy</w:t>
      </w:r>
      <w:r>
        <w:rPr>
          <w:sz w:val="26"/>
          <w:szCs w:val="26"/>
        </w:rPr>
        <w:t xml:space="preserve"> at 17-18 (emphasis added).  </w:t>
      </w:r>
      <w:r w:rsidR="003F6B9D">
        <w:rPr>
          <w:sz w:val="26"/>
          <w:szCs w:val="26"/>
        </w:rPr>
        <w:t>W</w:t>
      </w:r>
      <w:r>
        <w:rPr>
          <w:sz w:val="26"/>
          <w:szCs w:val="26"/>
        </w:rPr>
        <w:t xml:space="preserve">e concluded </w:t>
      </w:r>
      <w:r w:rsidR="003F6B9D">
        <w:rPr>
          <w:sz w:val="26"/>
          <w:szCs w:val="26"/>
        </w:rPr>
        <w:t xml:space="preserve">that </w:t>
      </w:r>
      <w:r>
        <w:rPr>
          <w:sz w:val="26"/>
          <w:szCs w:val="26"/>
        </w:rPr>
        <w:t>our plenary authority under Section 501(a) of the Code include</w:t>
      </w:r>
      <w:r w:rsidR="003F6B9D">
        <w:rPr>
          <w:sz w:val="26"/>
          <w:szCs w:val="26"/>
        </w:rPr>
        <w:t>d</w:t>
      </w:r>
      <w:r>
        <w:rPr>
          <w:sz w:val="26"/>
          <w:szCs w:val="26"/>
        </w:rPr>
        <w:t xml:space="preserve"> directing an EGS to issue a credit or refund for an overbill in “appropriate circumstances</w:t>
      </w:r>
      <w:r w:rsidR="00C60807">
        <w:rPr>
          <w:sz w:val="26"/>
          <w:szCs w:val="26"/>
        </w:rPr>
        <w:t>.</w:t>
      </w:r>
      <w:r>
        <w:rPr>
          <w:sz w:val="26"/>
          <w:szCs w:val="26"/>
        </w:rPr>
        <w:t xml:space="preserve">” </w:t>
      </w:r>
      <w:r w:rsidR="00C60807">
        <w:rPr>
          <w:sz w:val="26"/>
          <w:szCs w:val="26"/>
        </w:rPr>
        <w:t xml:space="preserve"> </w:t>
      </w:r>
      <w:r w:rsidR="003F6B9D">
        <w:rPr>
          <w:i/>
          <w:sz w:val="26"/>
          <w:szCs w:val="26"/>
        </w:rPr>
        <w:t>I</w:t>
      </w:r>
      <w:r>
        <w:rPr>
          <w:i/>
          <w:sz w:val="26"/>
          <w:szCs w:val="26"/>
        </w:rPr>
        <w:t>d.</w:t>
      </w:r>
      <w:r>
        <w:rPr>
          <w:sz w:val="26"/>
          <w:szCs w:val="26"/>
        </w:rPr>
        <w:t xml:space="preserve"> at 18</w:t>
      </w:r>
      <w:r w:rsidR="003F6B9D">
        <w:rPr>
          <w:sz w:val="26"/>
          <w:szCs w:val="26"/>
        </w:rPr>
        <w:t>;</w:t>
      </w:r>
      <w:r w:rsidR="003F4635">
        <w:rPr>
          <w:bCs/>
          <w:sz w:val="26"/>
          <w:szCs w:val="26"/>
          <w:lang w:bidi="en-US"/>
        </w:rPr>
        <w:t xml:space="preserve"> </w:t>
      </w:r>
      <w:r w:rsidR="003F4635">
        <w:rPr>
          <w:bCs/>
          <w:i/>
          <w:sz w:val="26"/>
          <w:szCs w:val="26"/>
          <w:lang w:bidi="en-US"/>
        </w:rPr>
        <w:t>see also</w:t>
      </w:r>
      <w:r w:rsidR="00E04FA5" w:rsidRPr="00E04FA5">
        <w:rPr>
          <w:bCs/>
          <w:sz w:val="26"/>
          <w:szCs w:val="26"/>
          <w:lang w:bidi="en-US"/>
        </w:rPr>
        <w:t xml:space="preserve"> </w:t>
      </w:r>
      <w:r w:rsidR="00E04FA5" w:rsidRPr="00E04FA5">
        <w:rPr>
          <w:bCs/>
          <w:i/>
          <w:sz w:val="26"/>
          <w:szCs w:val="26"/>
          <w:lang w:bidi="en-US"/>
        </w:rPr>
        <w:t>Nadav v. Respond Power LLC</w:t>
      </w:r>
      <w:r w:rsidR="00E04FA5" w:rsidRPr="00E04FA5">
        <w:rPr>
          <w:bCs/>
          <w:sz w:val="26"/>
          <w:szCs w:val="26"/>
          <w:lang w:bidi="en-US"/>
        </w:rPr>
        <w:t>, Docket No. C-2014-2429159 (Order entered December 19, 2014)</w:t>
      </w:r>
      <w:r w:rsidR="001C3318">
        <w:rPr>
          <w:bCs/>
          <w:sz w:val="26"/>
          <w:szCs w:val="26"/>
          <w:lang w:bidi="en-US"/>
        </w:rPr>
        <w:t xml:space="preserve"> (</w:t>
      </w:r>
      <w:r w:rsidR="001C3318">
        <w:rPr>
          <w:bCs/>
          <w:i/>
          <w:sz w:val="26"/>
          <w:szCs w:val="26"/>
          <w:lang w:bidi="en-US"/>
        </w:rPr>
        <w:t>Nadav</w:t>
      </w:r>
      <w:r w:rsidR="001C3318">
        <w:rPr>
          <w:bCs/>
          <w:sz w:val="26"/>
          <w:szCs w:val="26"/>
          <w:lang w:bidi="en-US"/>
        </w:rPr>
        <w:t>)</w:t>
      </w:r>
      <w:r w:rsidR="00E04FA5">
        <w:rPr>
          <w:bCs/>
          <w:sz w:val="26"/>
          <w:szCs w:val="26"/>
          <w:lang w:bidi="en-US"/>
        </w:rPr>
        <w:t>;</w:t>
      </w:r>
      <w:r w:rsidR="00E04FA5" w:rsidRPr="00E04FA5">
        <w:rPr>
          <w:bCs/>
          <w:sz w:val="26"/>
          <w:szCs w:val="26"/>
          <w:lang w:bidi="en-US"/>
        </w:rPr>
        <w:t xml:space="preserve"> </w:t>
      </w:r>
      <w:r w:rsidR="003F4635" w:rsidRPr="003F4635">
        <w:rPr>
          <w:bCs/>
          <w:i/>
          <w:sz w:val="26"/>
          <w:szCs w:val="26"/>
          <w:lang w:bidi="en-US"/>
        </w:rPr>
        <w:t>Werle</w:t>
      </w:r>
      <w:r w:rsidR="003F6B9D">
        <w:rPr>
          <w:bCs/>
          <w:sz w:val="26"/>
          <w:szCs w:val="26"/>
          <w:lang w:bidi="en-US"/>
        </w:rPr>
        <w:t xml:space="preserve">; </w:t>
      </w:r>
      <w:r w:rsidR="00E04FA5" w:rsidRPr="00C6685D">
        <w:rPr>
          <w:i/>
          <w:sz w:val="26"/>
          <w:szCs w:val="26"/>
        </w:rPr>
        <w:t>Kiback v. IDT Energy, Inc</w:t>
      </w:r>
      <w:r w:rsidR="00E04FA5" w:rsidRPr="00C6685D">
        <w:rPr>
          <w:sz w:val="26"/>
          <w:szCs w:val="26"/>
        </w:rPr>
        <w:t>., Docket No. C-2014-2409676 (Order entered August 20, 2015) (</w:t>
      </w:r>
      <w:r w:rsidR="00E04FA5" w:rsidRPr="00C6685D">
        <w:rPr>
          <w:i/>
          <w:sz w:val="26"/>
          <w:szCs w:val="26"/>
        </w:rPr>
        <w:t>Kiback</w:t>
      </w:r>
      <w:r w:rsidR="00E04FA5" w:rsidRPr="00C6685D">
        <w:rPr>
          <w:sz w:val="26"/>
          <w:szCs w:val="26"/>
        </w:rPr>
        <w:t>)</w:t>
      </w:r>
      <w:r w:rsidR="00E04FA5">
        <w:rPr>
          <w:sz w:val="26"/>
          <w:szCs w:val="26"/>
        </w:rPr>
        <w:t>.</w:t>
      </w:r>
      <w:r w:rsidR="00C60807">
        <w:rPr>
          <w:sz w:val="26"/>
          <w:szCs w:val="26"/>
        </w:rPr>
        <w:t xml:space="preserve">  By </w:t>
      </w:r>
      <w:r w:rsidR="008E0981">
        <w:rPr>
          <w:sz w:val="26"/>
          <w:szCs w:val="26"/>
        </w:rPr>
        <w:t>definition</w:t>
      </w:r>
      <w:r w:rsidR="00C60807">
        <w:rPr>
          <w:sz w:val="26"/>
          <w:szCs w:val="26"/>
        </w:rPr>
        <w:t>, a</w:t>
      </w:r>
      <w:r w:rsidR="00C60807" w:rsidRPr="00C60807">
        <w:rPr>
          <w:sz w:val="26"/>
          <w:szCs w:val="26"/>
        </w:rPr>
        <w:t xml:space="preserve">ppropriate circumstances </w:t>
      </w:r>
      <w:r w:rsidR="00C60807">
        <w:rPr>
          <w:sz w:val="26"/>
          <w:szCs w:val="26"/>
        </w:rPr>
        <w:t xml:space="preserve">are those that </w:t>
      </w:r>
      <w:r w:rsidR="00C60807" w:rsidRPr="00C60807">
        <w:rPr>
          <w:sz w:val="26"/>
          <w:szCs w:val="26"/>
        </w:rPr>
        <w:t>will be determined on a case-by-case basis</w:t>
      </w:r>
      <w:r w:rsidR="00C60807">
        <w:rPr>
          <w:sz w:val="26"/>
          <w:szCs w:val="26"/>
        </w:rPr>
        <w:t xml:space="preserve"> and are not limited to the two examples recited by both UGIES and the ALJ</w:t>
      </w:r>
      <w:r w:rsidR="00C60807" w:rsidRPr="00C60807">
        <w:rPr>
          <w:sz w:val="26"/>
          <w:szCs w:val="26"/>
        </w:rPr>
        <w:t xml:space="preserve">.  </w:t>
      </w:r>
    </w:p>
    <w:p w:rsidR="00B1556B" w:rsidRDefault="00B1556B" w:rsidP="00362839">
      <w:pPr>
        <w:spacing w:line="360" w:lineRule="auto"/>
        <w:ind w:firstLine="1440"/>
        <w:rPr>
          <w:sz w:val="26"/>
          <w:szCs w:val="26"/>
        </w:rPr>
      </w:pPr>
    </w:p>
    <w:p w:rsidR="00B1556B" w:rsidRPr="003F6B9D" w:rsidRDefault="00B1556B" w:rsidP="00362839">
      <w:pPr>
        <w:spacing w:line="360" w:lineRule="auto"/>
        <w:ind w:firstLine="1440"/>
        <w:rPr>
          <w:bCs/>
          <w:sz w:val="26"/>
          <w:szCs w:val="26"/>
          <w:lang w:bidi="en-US"/>
        </w:rPr>
      </w:pPr>
      <w:r w:rsidRPr="00B1556B">
        <w:rPr>
          <w:bCs/>
          <w:sz w:val="26"/>
          <w:szCs w:val="26"/>
          <w:lang w:bidi="en-US"/>
        </w:rPr>
        <w:t xml:space="preserve">Although we agree with Green Hills that the ALJ’s characterization of our holding in </w:t>
      </w:r>
      <w:r w:rsidRPr="00B1556B">
        <w:rPr>
          <w:bCs/>
          <w:i/>
          <w:sz w:val="26"/>
          <w:szCs w:val="26"/>
          <w:lang w:bidi="en-US"/>
        </w:rPr>
        <w:t xml:space="preserve">IDT Energy </w:t>
      </w:r>
      <w:r w:rsidRPr="00B1556B">
        <w:rPr>
          <w:bCs/>
          <w:sz w:val="26"/>
          <w:szCs w:val="26"/>
          <w:lang w:bidi="en-US"/>
        </w:rPr>
        <w:t xml:space="preserve">was unduly narrow, we do not agree with the Complainant’s interpretation of our Chairman’s dissent in </w:t>
      </w:r>
      <w:r w:rsidRPr="00B1556B">
        <w:rPr>
          <w:bCs/>
          <w:i/>
          <w:sz w:val="26"/>
          <w:szCs w:val="26"/>
          <w:lang w:bidi="en-US"/>
        </w:rPr>
        <w:t>Werle</w:t>
      </w:r>
      <w:r w:rsidRPr="00B1556B">
        <w:rPr>
          <w:bCs/>
          <w:sz w:val="26"/>
          <w:szCs w:val="26"/>
          <w:lang w:bidi="en-US"/>
        </w:rPr>
        <w:t xml:space="preserve">, and we do not find that the facts presented here comprise appropriate circumstances over which to exert our jurisdiction.  In </w:t>
      </w:r>
      <w:r w:rsidRPr="00B1556B">
        <w:rPr>
          <w:bCs/>
          <w:i/>
          <w:sz w:val="26"/>
          <w:szCs w:val="26"/>
          <w:lang w:bidi="en-US"/>
        </w:rPr>
        <w:t>Werle</w:t>
      </w:r>
      <w:r w:rsidRPr="00B1556B">
        <w:rPr>
          <w:bCs/>
          <w:sz w:val="26"/>
          <w:szCs w:val="26"/>
          <w:lang w:bidi="en-US"/>
        </w:rPr>
        <w:t xml:space="preserve">, as in </w:t>
      </w:r>
      <w:r w:rsidRPr="00B1556B">
        <w:rPr>
          <w:bCs/>
          <w:i/>
          <w:sz w:val="26"/>
          <w:szCs w:val="26"/>
          <w:lang w:bidi="en-US"/>
        </w:rPr>
        <w:t>IDT Energy</w:t>
      </w:r>
      <w:r w:rsidRPr="00B1556B">
        <w:rPr>
          <w:bCs/>
          <w:sz w:val="26"/>
          <w:szCs w:val="26"/>
          <w:lang w:bidi="en-US"/>
        </w:rPr>
        <w:t xml:space="preserve">, we concluded that “while we [lacked] the authority to regulate EGS rates . . . we may require EGSs to provide refunds to retail customers in </w:t>
      </w:r>
      <w:r w:rsidRPr="00B1556B">
        <w:rPr>
          <w:bCs/>
          <w:i/>
          <w:sz w:val="26"/>
          <w:szCs w:val="26"/>
          <w:lang w:bidi="en-US"/>
        </w:rPr>
        <w:t>appropriate</w:t>
      </w:r>
      <w:r w:rsidRPr="00B1556B">
        <w:rPr>
          <w:bCs/>
          <w:sz w:val="26"/>
          <w:szCs w:val="26"/>
          <w:lang w:bidi="en-US"/>
        </w:rPr>
        <w:t xml:space="preserve"> </w:t>
      </w:r>
      <w:r w:rsidRPr="00B1556B">
        <w:rPr>
          <w:bCs/>
          <w:i/>
          <w:sz w:val="26"/>
          <w:szCs w:val="26"/>
          <w:lang w:bidi="en-US"/>
        </w:rPr>
        <w:t>circumstances</w:t>
      </w:r>
      <w:r w:rsidRPr="00B1556B">
        <w:rPr>
          <w:bCs/>
          <w:sz w:val="26"/>
          <w:szCs w:val="26"/>
          <w:lang w:bidi="en-US"/>
        </w:rPr>
        <w:t xml:space="preserve">.”  </w:t>
      </w:r>
      <w:r w:rsidRPr="00B1556B">
        <w:rPr>
          <w:bCs/>
          <w:i/>
          <w:sz w:val="26"/>
          <w:szCs w:val="26"/>
          <w:lang w:bidi="en-US"/>
        </w:rPr>
        <w:t xml:space="preserve">Werle </w:t>
      </w:r>
      <w:r w:rsidRPr="00B1556B">
        <w:rPr>
          <w:bCs/>
          <w:sz w:val="26"/>
          <w:szCs w:val="26"/>
          <w:lang w:bidi="en-US"/>
        </w:rPr>
        <w:t xml:space="preserve">at 8 (emphasis added).  However, the complaint in </w:t>
      </w:r>
      <w:r w:rsidRPr="00B1556B">
        <w:rPr>
          <w:bCs/>
          <w:i/>
          <w:sz w:val="26"/>
          <w:szCs w:val="26"/>
          <w:lang w:bidi="en-US"/>
        </w:rPr>
        <w:t xml:space="preserve">Werle </w:t>
      </w:r>
      <w:r w:rsidRPr="00B1556B">
        <w:rPr>
          <w:bCs/>
          <w:sz w:val="26"/>
          <w:szCs w:val="26"/>
          <w:lang w:bidi="en-US"/>
        </w:rPr>
        <w:t xml:space="preserve">was dismissed on preliminary objections challenging our jurisdiction over EGS prices and the legal sufficiency of the complaint, which was deemed a complaint against a high rate.  In the dissent quoted by Green Hills, the Chairman reached the same conclusion of the majority, </w:t>
      </w:r>
      <w:r w:rsidRPr="00B1556B">
        <w:rPr>
          <w:bCs/>
          <w:i/>
          <w:sz w:val="26"/>
          <w:szCs w:val="26"/>
          <w:lang w:bidi="en-US"/>
        </w:rPr>
        <w:t>i.e.</w:t>
      </w:r>
      <w:r w:rsidRPr="00B1556B">
        <w:rPr>
          <w:bCs/>
          <w:sz w:val="26"/>
          <w:szCs w:val="26"/>
          <w:lang w:bidi="en-US"/>
        </w:rPr>
        <w:t xml:space="preserve">, that under certain circumstances we may exert </w:t>
      </w:r>
      <w:r w:rsidRPr="00B1556B">
        <w:rPr>
          <w:bCs/>
          <w:sz w:val="26"/>
          <w:szCs w:val="26"/>
          <w:lang w:bidi="en-US"/>
        </w:rPr>
        <w:lastRenderedPageBreak/>
        <w:t xml:space="preserve">jurisdiction to compel a billing adjustment.  The Chairman’s point of dissent from the majority, however, was that she would have allowed the </w:t>
      </w:r>
      <w:r w:rsidRPr="00B1556B">
        <w:rPr>
          <w:bCs/>
          <w:i/>
          <w:sz w:val="26"/>
          <w:szCs w:val="26"/>
          <w:lang w:bidi="en-US"/>
        </w:rPr>
        <w:t xml:space="preserve">pro se </w:t>
      </w:r>
      <w:r w:rsidRPr="00B1556B">
        <w:rPr>
          <w:bCs/>
          <w:sz w:val="26"/>
          <w:szCs w:val="26"/>
          <w:lang w:bidi="en-US"/>
        </w:rPr>
        <w:t xml:space="preserve">complainant to proceed to hearing and present facts concerning the complaint.  Citing </w:t>
      </w:r>
      <w:r w:rsidRPr="00B1556B">
        <w:rPr>
          <w:bCs/>
          <w:i/>
          <w:sz w:val="26"/>
          <w:szCs w:val="26"/>
          <w:lang w:bidi="en-US"/>
        </w:rPr>
        <w:t xml:space="preserve">Nadav </w:t>
      </w:r>
      <w:r w:rsidRPr="00B1556B">
        <w:rPr>
          <w:bCs/>
          <w:sz w:val="26"/>
          <w:szCs w:val="26"/>
          <w:lang w:bidi="en-US"/>
        </w:rPr>
        <w:t xml:space="preserve">and </w:t>
      </w:r>
      <w:r w:rsidRPr="00B1556B">
        <w:rPr>
          <w:bCs/>
          <w:i/>
          <w:sz w:val="26"/>
          <w:szCs w:val="26"/>
          <w:lang w:bidi="en-US"/>
        </w:rPr>
        <w:t>IDT Energy</w:t>
      </w:r>
      <w:r w:rsidRPr="00B1556B">
        <w:rPr>
          <w:bCs/>
          <w:sz w:val="26"/>
          <w:szCs w:val="26"/>
          <w:lang w:bidi="en-US"/>
        </w:rPr>
        <w:t xml:space="preserve">, the Chairman stated </w:t>
      </w:r>
      <w:r>
        <w:rPr>
          <w:bCs/>
          <w:sz w:val="26"/>
          <w:szCs w:val="26"/>
          <w:lang w:bidi="en-US"/>
        </w:rPr>
        <w:t xml:space="preserve">in her dissent </w:t>
      </w:r>
      <w:r w:rsidRPr="00B1556B">
        <w:rPr>
          <w:bCs/>
          <w:sz w:val="26"/>
          <w:szCs w:val="26"/>
          <w:lang w:bidi="en-US"/>
        </w:rPr>
        <w:t xml:space="preserve">that “we determined that monetary remedies may be appropriately determined by the Commission in certain circumstances.  Further, I submit that </w:t>
      </w:r>
      <w:r w:rsidRPr="00B1556B">
        <w:rPr>
          <w:bCs/>
          <w:i/>
          <w:sz w:val="26"/>
          <w:szCs w:val="26"/>
          <w:lang w:bidi="en-US"/>
        </w:rPr>
        <w:t xml:space="preserve">pro se </w:t>
      </w:r>
      <w:r w:rsidRPr="00B1556B">
        <w:rPr>
          <w:bCs/>
          <w:sz w:val="26"/>
          <w:szCs w:val="26"/>
          <w:lang w:bidi="en-US"/>
        </w:rPr>
        <w:t xml:space="preserve">complainants should be given the benefit of having a hearing in instances where one can reasonably infer an accusation of improper marketing or sales activities by an EGS.” </w:t>
      </w:r>
    </w:p>
    <w:p w:rsidR="00444669" w:rsidRDefault="00444669" w:rsidP="00444669">
      <w:pPr>
        <w:spacing w:line="360" w:lineRule="auto"/>
        <w:ind w:firstLine="1440"/>
        <w:rPr>
          <w:bCs/>
          <w:sz w:val="26"/>
          <w:szCs w:val="26"/>
          <w:lang w:bidi="en-US"/>
        </w:rPr>
      </w:pPr>
    </w:p>
    <w:p w:rsidR="00444669" w:rsidRPr="00444669" w:rsidRDefault="00444669" w:rsidP="00444669">
      <w:pPr>
        <w:spacing w:line="360" w:lineRule="auto"/>
        <w:ind w:firstLine="1440"/>
        <w:rPr>
          <w:bCs/>
          <w:sz w:val="26"/>
          <w:szCs w:val="26"/>
          <w:lang w:bidi="en-US"/>
        </w:rPr>
      </w:pPr>
      <w:r w:rsidRPr="00444669">
        <w:rPr>
          <w:bCs/>
          <w:sz w:val="26"/>
          <w:szCs w:val="26"/>
          <w:lang w:bidi="en-US"/>
        </w:rPr>
        <w:t xml:space="preserve">As we </w:t>
      </w:r>
      <w:r w:rsidR="00B1556B">
        <w:rPr>
          <w:bCs/>
          <w:sz w:val="26"/>
          <w:szCs w:val="26"/>
          <w:lang w:bidi="en-US"/>
        </w:rPr>
        <w:t>addressed</w:t>
      </w:r>
      <w:r w:rsidRPr="00444669">
        <w:rPr>
          <w:bCs/>
          <w:sz w:val="26"/>
          <w:szCs w:val="26"/>
          <w:lang w:bidi="en-US"/>
        </w:rPr>
        <w:t xml:space="preserve"> most recently in </w:t>
      </w:r>
      <w:r w:rsidRPr="00444669">
        <w:rPr>
          <w:bCs/>
          <w:i/>
          <w:sz w:val="26"/>
          <w:szCs w:val="26"/>
          <w:lang w:bidi="en-US"/>
        </w:rPr>
        <w:t>Herp v. Respond Power LLC</w:t>
      </w:r>
      <w:r w:rsidRPr="00444669">
        <w:rPr>
          <w:bCs/>
          <w:sz w:val="26"/>
          <w:szCs w:val="26"/>
          <w:lang w:bidi="en-US"/>
        </w:rPr>
        <w:t>, Docket No. C-2014-2413756 (Order entered January 28, 2016)</w:t>
      </w:r>
      <w:r>
        <w:rPr>
          <w:bCs/>
          <w:sz w:val="26"/>
          <w:szCs w:val="26"/>
          <w:lang w:bidi="en-US"/>
        </w:rPr>
        <w:t xml:space="preserve"> (</w:t>
      </w:r>
      <w:r>
        <w:rPr>
          <w:bCs/>
          <w:i/>
          <w:sz w:val="26"/>
          <w:szCs w:val="26"/>
          <w:lang w:bidi="en-US"/>
        </w:rPr>
        <w:t>Herp</w:t>
      </w:r>
      <w:r>
        <w:rPr>
          <w:bCs/>
          <w:sz w:val="26"/>
          <w:szCs w:val="26"/>
          <w:lang w:bidi="en-US"/>
        </w:rPr>
        <w:t>)</w:t>
      </w:r>
      <w:r w:rsidRPr="00444669">
        <w:rPr>
          <w:bCs/>
          <w:sz w:val="26"/>
          <w:szCs w:val="26"/>
          <w:lang w:bidi="en-US"/>
        </w:rPr>
        <w:t xml:space="preserve">, </w:t>
      </w:r>
      <w:r w:rsidR="00B1556B">
        <w:rPr>
          <w:bCs/>
          <w:sz w:val="26"/>
          <w:szCs w:val="26"/>
          <w:lang w:bidi="en-US"/>
        </w:rPr>
        <w:t>our</w:t>
      </w:r>
      <w:r w:rsidR="009A4877">
        <w:rPr>
          <w:bCs/>
          <w:sz w:val="26"/>
          <w:szCs w:val="26"/>
          <w:lang w:bidi="en-US"/>
        </w:rPr>
        <w:t xml:space="preserve"> jurisdiction over EGSs </w:t>
      </w:r>
      <w:r w:rsidR="00B1556B">
        <w:rPr>
          <w:bCs/>
          <w:sz w:val="26"/>
          <w:szCs w:val="26"/>
          <w:lang w:bidi="en-US"/>
        </w:rPr>
        <w:t xml:space="preserve">is limited in that </w:t>
      </w:r>
      <w:r w:rsidR="009A4877">
        <w:rPr>
          <w:bCs/>
          <w:sz w:val="26"/>
          <w:szCs w:val="26"/>
          <w:lang w:bidi="en-US"/>
        </w:rPr>
        <w:t xml:space="preserve">we </w:t>
      </w:r>
      <w:r w:rsidRPr="009A4877">
        <w:rPr>
          <w:bCs/>
          <w:sz w:val="26"/>
          <w:szCs w:val="26"/>
          <w:lang w:bidi="en-US"/>
        </w:rPr>
        <w:t>do</w:t>
      </w:r>
      <w:r w:rsidRPr="00444669">
        <w:rPr>
          <w:bCs/>
          <w:sz w:val="26"/>
          <w:szCs w:val="26"/>
          <w:lang w:bidi="en-US"/>
        </w:rPr>
        <w:t xml:space="preserve"> not have traditional regulatory powers over </w:t>
      </w:r>
      <w:r w:rsidR="00B1556B">
        <w:rPr>
          <w:bCs/>
          <w:sz w:val="26"/>
          <w:szCs w:val="26"/>
          <w:lang w:bidi="en-US"/>
        </w:rPr>
        <w:t xml:space="preserve">EGS </w:t>
      </w:r>
      <w:r w:rsidRPr="00444669">
        <w:rPr>
          <w:bCs/>
          <w:sz w:val="26"/>
          <w:szCs w:val="26"/>
          <w:lang w:bidi="en-US"/>
        </w:rPr>
        <w:t>rates and ratemaking</w:t>
      </w:r>
      <w:r w:rsidR="00B1556B">
        <w:rPr>
          <w:bCs/>
          <w:sz w:val="26"/>
          <w:szCs w:val="26"/>
          <w:lang w:bidi="en-US"/>
        </w:rPr>
        <w:t xml:space="preserve"> </w:t>
      </w:r>
      <w:r w:rsidR="00B1556B" w:rsidRPr="00B1556B">
        <w:rPr>
          <w:bCs/>
          <w:sz w:val="26"/>
          <w:szCs w:val="26"/>
          <w:lang w:bidi="en-US"/>
        </w:rPr>
        <w:t>as</w:t>
      </w:r>
      <w:r w:rsidR="00B1556B" w:rsidRPr="00B1556B">
        <w:rPr>
          <w:bCs/>
          <w:i/>
          <w:sz w:val="26"/>
          <w:szCs w:val="26"/>
          <w:lang w:bidi="en-US"/>
        </w:rPr>
        <w:t xml:space="preserve"> </w:t>
      </w:r>
      <w:r w:rsidR="00B1556B" w:rsidRPr="00B1556B">
        <w:rPr>
          <w:bCs/>
          <w:sz w:val="26"/>
          <w:szCs w:val="26"/>
          <w:lang w:bidi="en-US"/>
        </w:rPr>
        <w:t>public</w:t>
      </w:r>
      <w:r w:rsidR="00B1556B" w:rsidRPr="00B1556B">
        <w:rPr>
          <w:bCs/>
          <w:i/>
          <w:sz w:val="26"/>
          <w:szCs w:val="26"/>
          <w:lang w:bidi="en-US"/>
        </w:rPr>
        <w:t xml:space="preserve"> </w:t>
      </w:r>
      <w:r w:rsidR="00B1556B" w:rsidRPr="00B1556B">
        <w:rPr>
          <w:bCs/>
          <w:sz w:val="26"/>
          <w:szCs w:val="26"/>
          <w:lang w:bidi="en-US"/>
        </w:rPr>
        <w:t>utilities</w:t>
      </w:r>
      <w:r w:rsidR="009A4877">
        <w:rPr>
          <w:bCs/>
          <w:sz w:val="26"/>
          <w:szCs w:val="26"/>
          <w:lang w:bidi="en-US"/>
        </w:rPr>
        <w:t xml:space="preserve">.  </w:t>
      </w:r>
      <w:r w:rsidR="009A4877">
        <w:rPr>
          <w:bCs/>
          <w:i/>
          <w:sz w:val="26"/>
          <w:szCs w:val="26"/>
          <w:lang w:bidi="en-US"/>
        </w:rPr>
        <w:t xml:space="preserve">Herp </w:t>
      </w:r>
      <w:r w:rsidR="009A4877">
        <w:rPr>
          <w:bCs/>
          <w:sz w:val="26"/>
          <w:szCs w:val="26"/>
          <w:lang w:bidi="en-US"/>
        </w:rPr>
        <w:t xml:space="preserve">at 39.  That is not </w:t>
      </w:r>
      <w:r w:rsidR="00B82F88">
        <w:rPr>
          <w:bCs/>
          <w:sz w:val="26"/>
          <w:szCs w:val="26"/>
          <w:lang w:bidi="en-US"/>
        </w:rPr>
        <w:t>the case</w:t>
      </w:r>
      <w:r w:rsidR="009A4877">
        <w:rPr>
          <w:bCs/>
          <w:sz w:val="26"/>
          <w:szCs w:val="26"/>
          <w:lang w:bidi="en-US"/>
        </w:rPr>
        <w:t xml:space="preserve"> </w:t>
      </w:r>
      <w:r w:rsidR="00B1556B">
        <w:rPr>
          <w:bCs/>
          <w:sz w:val="26"/>
          <w:szCs w:val="26"/>
          <w:lang w:bidi="en-US"/>
        </w:rPr>
        <w:t xml:space="preserve">with respect to our jurisdiction over EGSs </w:t>
      </w:r>
      <w:r w:rsidR="00B82F88">
        <w:rPr>
          <w:bCs/>
          <w:sz w:val="26"/>
          <w:szCs w:val="26"/>
          <w:lang w:bidi="en-US"/>
        </w:rPr>
        <w:t xml:space="preserve">under </w:t>
      </w:r>
      <w:r w:rsidR="009A4877">
        <w:rPr>
          <w:bCs/>
          <w:sz w:val="26"/>
          <w:szCs w:val="26"/>
          <w:lang w:bidi="en-US"/>
        </w:rPr>
        <w:t>Section 501 of the Code</w:t>
      </w:r>
      <w:r w:rsidR="00B1556B">
        <w:rPr>
          <w:bCs/>
          <w:sz w:val="26"/>
          <w:szCs w:val="26"/>
          <w:lang w:bidi="en-US"/>
        </w:rPr>
        <w:t>,</w:t>
      </w:r>
      <w:r w:rsidR="009A4877">
        <w:rPr>
          <w:bCs/>
          <w:sz w:val="26"/>
          <w:szCs w:val="26"/>
          <w:lang w:bidi="en-US"/>
        </w:rPr>
        <w:t xml:space="preserve"> as we discussed in </w:t>
      </w:r>
      <w:r w:rsidR="009A4877">
        <w:rPr>
          <w:bCs/>
          <w:i/>
          <w:sz w:val="26"/>
          <w:szCs w:val="26"/>
          <w:lang w:bidi="en-US"/>
        </w:rPr>
        <w:t xml:space="preserve">IDT </w:t>
      </w:r>
      <w:r w:rsidR="009A4877" w:rsidRPr="009A4877">
        <w:rPr>
          <w:bCs/>
          <w:i/>
          <w:sz w:val="26"/>
          <w:szCs w:val="26"/>
          <w:lang w:bidi="en-US"/>
        </w:rPr>
        <w:t>Energy</w:t>
      </w:r>
      <w:r w:rsidR="009A4877">
        <w:rPr>
          <w:bCs/>
          <w:sz w:val="26"/>
          <w:szCs w:val="26"/>
          <w:lang w:bidi="en-US"/>
        </w:rPr>
        <w:t xml:space="preserve">, or under several </w:t>
      </w:r>
      <w:r w:rsidR="00B82F88">
        <w:rPr>
          <w:bCs/>
          <w:sz w:val="26"/>
          <w:szCs w:val="26"/>
          <w:lang w:bidi="en-US"/>
        </w:rPr>
        <w:t xml:space="preserve">specific </w:t>
      </w:r>
      <w:r w:rsidR="009A4877">
        <w:rPr>
          <w:bCs/>
          <w:sz w:val="26"/>
          <w:szCs w:val="26"/>
          <w:lang w:bidi="en-US"/>
        </w:rPr>
        <w:t xml:space="preserve">provisions of the </w:t>
      </w:r>
      <w:r w:rsidR="00B1556B">
        <w:rPr>
          <w:bCs/>
          <w:sz w:val="26"/>
          <w:szCs w:val="26"/>
          <w:lang w:bidi="en-US"/>
        </w:rPr>
        <w:t xml:space="preserve">Electric </w:t>
      </w:r>
      <w:r w:rsidR="009A4877">
        <w:rPr>
          <w:bCs/>
          <w:sz w:val="26"/>
          <w:szCs w:val="26"/>
          <w:lang w:bidi="en-US"/>
        </w:rPr>
        <w:t>Competition Act</w:t>
      </w:r>
      <w:r w:rsidR="00B1556B">
        <w:rPr>
          <w:bCs/>
          <w:sz w:val="26"/>
          <w:szCs w:val="26"/>
          <w:lang w:bidi="en-US"/>
        </w:rPr>
        <w:t>,</w:t>
      </w:r>
      <w:r w:rsidR="00B82F88">
        <w:rPr>
          <w:bCs/>
          <w:sz w:val="26"/>
          <w:szCs w:val="26"/>
          <w:lang w:bidi="en-US"/>
        </w:rPr>
        <w:t xml:space="preserve"> as we discussed in </w:t>
      </w:r>
      <w:r w:rsidR="00B82F88">
        <w:rPr>
          <w:bCs/>
          <w:i/>
          <w:sz w:val="26"/>
          <w:szCs w:val="26"/>
          <w:lang w:bidi="en-US"/>
        </w:rPr>
        <w:t>Herp</w:t>
      </w:r>
      <w:r w:rsidR="009A4877">
        <w:rPr>
          <w:bCs/>
          <w:sz w:val="26"/>
          <w:szCs w:val="26"/>
          <w:lang w:bidi="en-US"/>
        </w:rPr>
        <w:t xml:space="preserve">.  As we </w:t>
      </w:r>
      <w:r w:rsidR="00B82F88">
        <w:rPr>
          <w:bCs/>
          <w:sz w:val="26"/>
          <w:szCs w:val="26"/>
          <w:lang w:bidi="en-US"/>
        </w:rPr>
        <w:t xml:space="preserve">have previously </w:t>
      </w:r>
      <w:r w:rsidR="009A4877">
        <w:rPr>
          <w:bCs/>
          <w:sz w:val="26"/>
          <w:szCs w:val="26"/>
          <w:lang w:bidi="en-US"/>
        </w:rPr>
        <w:t xml:space="preserve">noted, </w:t>
      </w:r>
      <w:r w:rsidRPr="00444669">
        <w:rPr>
          <w:bCs/>
          <w:sz w:val="26"/>
          <w:szCs w:val="26"/>
          <w:lang w:bidi="en-US"/>
        </w:rPr>
        <w:t>th</w:t>
      </w:r>
      <w:r w:rsidR="009A4877">
        <w:rPr>
          <w:bCs/>
          <w:sz w:val="26"/>
          <w:szCs w:val="26"/>
          <w:lang w:bidi="en-US"/>
        </w:rPr>
        <w:t xml:space="preserve">ose </w:t>
      </w:r>
      <w:r w:rsidRPr="00444669">
        <w:rPr>
          <w:bCs/>
          <w:sz w:val="26"/>
          <w:szCs w:val="26"/>
          <w:lang w:bidi="en-US"/>
        </w:rPr>
        <w:t xml:space="preserve">activities of EGSs and their agents </w:t>
      </w:r>
      <w:r w:rsidR="009A4877">
        <w:rPr>
          <w:bCs/>
          <w:sz w:val="26"/>
          <w:szCs w:val="26"/>
          <w:lang w:bidi="en-US"/>
        </w:rPr>
        <w:t xml:space="preserve">over which we have jurisdiction </w:t>
      </w:r>
      <w:r w:rsidRPr="00444669">
        <w:rPr>
          <w:bCs/>
          <w:sz w:val="26"/>
          <w:szCs w:val="26"/>
          <w:lang w:bidi="en-US"/>
        </w:rPr>
        <w:t xml:space="preserve">are </w:t>
      </w:r>
      <w:r w:rsidR="00B82F88">
        <w:rPr>
          <w:bCs/>
          <w:sz w:val="26"/>
          <w:szCs w:val="26"/>
          <w:lang w:bidi="en-US"/>
        </w:rPr>
        <w:t>“</w:t>
      </w:r>
      <w:r w:rsidRPr="00444669">
        <w:rPr>
          <w:bCs/>
          <w:i/>
          <w:sz w:val="26"/>
          <w:szCs w:val="26"/>
          <w:lang w:bidi="en-US"/>
        </w:rPr>
        <w:t>expressly, not impliedly</w:t>
      </w:r>
      <w:r w:rsidRPr="00444669">
        <w:rPr>
          <w:bCs/>
          <w:sz w:val="26"/>
          <w:szCs w:val="26"/>
          <w:lang w:bidi="en-US"/>
        </w:rPr>
        <w:t>, within our jurisdiction under Sections 2802(14), 2807(d)(2), and 2809(e) and (f) of the Competition Act, and that we have expressly regulated in Chapters 54 and 111 of our Regulations.”</w:t>
      </w:r>
      <w:r>
        <w:rPr>
          <w:rStyle w:val="FootnoteReference"/>
          <w:bCs/>
          <w:lang w:bidi="en-US"/>
        </w:rPr>
        <w:footnoteReference w:id="4"/>
      </w:r>
      <w:r w:rsidRPr="00444669">
        <w:rPr>
          <w:bCs/>
          <w:sz w:val="26"/>
          <w:szCs w:val="26"/>
          <w:lang w:bidi="en-US"/>
        </w:rPr>
        <w:t xml:space="preserve"> </w:t>
      </w:r>
      <w:r w:rsidRPr="00444669">
        <w:rPr>
          <w:bCs/>
          <w:i/>
          <w:sz w:val="26"/>
          <w:szCs w:val="26"/>
          <w:lang w:bidi="en-US"/>
        </w:rPr>
        <w:t xml:space="preserve">Herp </w:t>
      </w:r>
      <w:r w:rsidRPr="00444669">
        <w:rPr>
          <w:bCs/>
          <w:sz w:val="26"/>
          <w:szCs w:val="26"/>
          <w:lang w:bidi="en-US"/>
        </w:rPr>
        <w:t>at 46 (emphasis in original)</w:t>
      </w:r>
      <w:r w:rsidR="009A4877">
        <w:rPr>
          <w:bCs/>
          <w:sz w:val="26"/>
          <w:szCs w:val="26"/>
          <w:lang w:bidi="en-US"/>
        </w:rPr>
        <w:t xml:space="preserve">; </w:t>
      </w:r>
      <w:r w:rsidR="009A4877">
        <w:rPr>
          <w:bCs/>
          <w:i/>
          <w:sz w:val="26"/>
          <w:szCs w:val="26"/>
          <w:lang w:bidi="en-US"/>
        </w:rPr>
        <w:t>see also id.</w:t>
      </w:r>
      <w:r w:rsidR="009A4877">
        <w:rPr>
          <w:bCs/>
          <w:sz w:val="26"/>
          <w:szCs w:val="26"/>
          <w:lang w:bidi="en-US"/>
        </w:rPr>
        <w:t xml:space="preserve"> at 40-41 (</w:t>
      </w:r>
      <w:r w:rsidR="009A4877" w:rsidRPr="009A4877">
        <w:rPr>
          <w:bCs/>
          <w:sz w:val="26"/>
          <w:szCs w:val="26"/>
          <w:lang w:bidi="en-US"/>
        </w:rPr>
        <w:t xml:space="preserve">where we found jurisdiction to regulate EGS services under several provisions of the </w:t>
      </w:r>
      <w:r w:rsidR="00755C2C">
        <w:rPr>
          <w:bCs/>
          <w:sz w:val="26"/>
          <w:szCs w:val="26"/>
          <w:lang w:bidi="en-US"/>
        </w:rPr>
        <w:t xml:space="preserve">Electric </w:t>
      </w:r>
      <w:r w:rsidR="009A4877" w:rsidRPr="009A4877">
        <w:rPr>
          <w:bCs/>
          <w:sz w:val="26"/>
          <w:szCs w:val="26"/>
          <w:lang w:bidi="en-US"/>
        </w:rPr>
        <w:t>Competition Act and in our Customer Choice Regulations codified in Chapter 54 of Title 52 of the Pennsylvania Code).</w:t>
      </w:r>
    </w:p>
    <w:p w:rsidR="00444669" w:rsidRDefault="00444669" w:rsidP="00293ACD">
      <w:pPr>
        <w:spacing w:line="360" w:lineRule="auto"/>
        <w:ind w:firstLine="1440"/>
        <w:rPr>
          <w:bCs/>
          <w:sz w:val="26"/>
          <w:szCs w:val="26"/>
          <w:lang w:bidi="en-US"/>
        </w:rPr>
      </w:pPr>
    </w:p>
    <w:p w:rsidR="00E97688" w:rsidRDefault="00E97688" w:rsidP="00293ACD">
      <w:pPr>
        <w:spacing w:line="360" w:lineRule="auto"/>
        <w:ind w:firstLine="1440"/>
        <w:rPr>
          <w:bCs/>
          <w:sz w:val="26"/>
          <w:szCs w:val="26"/>
          <w:lang w:bidi="en-US"/>
        </w:rPr>
      </w:pPr>
      <w:r>
        <w:rPr>
          <w:sz w:val="26"/>
          <w:szCs w:val="26"/>
        </w:rPr>
        <w:lastRenderedPageBreak/>
        <w:t>More importantly</w:t>
      </w:r>
      <w:r w:rsidR="00444669">
        <w:rPr>
          <w:sz w:val="26"/>
          <w:szCs w:val="26"/>
        </w:rPr>
        <w:t xml:space="preserve"> for purposes of this disposition</w:t>
      </w:r>
      <w:r>
        <w:rPr>
          <w:sz w:val="26"/>
          <w:szCs w:val="26"/>
        </w:rPr>
        <w:t xml:space="preserve">, however, </w:t>
      </w:r>
      <w:r w:rsidR="00FF7A4E">
        <w:rPr>
          <w:sz w:val="26"/>
          <w:szCs w:val="26"/>
        </w:rPr>
        <w:t xml:space="preserve">we also </w:t>
      </w:r>
      <w:r w:rsidR="00293ACD">
        <w:rPr>
          <w:sz w:val="26"/>
          <w:szCs w:val="26"/>
        </w:rPr>
        <w:t xml:space="preserve">agree with UGIES that the matter complained of and the evidence adduced at hearing do not render this </w:t>
      </w:r>
      <w:r w:rsidR="00444669">
        <w:rPr>
          <w:sz w:val="26"/>
          <w:szCs w:val="26"/>
        </w:rPr>
        <w:t xml:space="preserve">one of those cases where </w:t>
      </w:r>
      <w:r w:rsidR="00293ACD">
        <w:rPr>
          <w:sz w:val="26"/>
          <w:szCs w:val="26"/>
        </w:rPr>
        <w:t>circumstances</w:t>
      </w:r>
      <w:r w:rsidR="00444669">
        <w:rPr>
          <w:sz w:val="26"/>
          <w:szCs w:val="26"/>
        </w:rPr>
        <w:t xml:space="preserve"> </w:t>
      </w:r>
      <w:r w:rsidR="00A87CBD">
        <w:rPr>
          <w:sz w:val="26"/>
          <w:szCs w:val="26"/>
        </w:rPr>
        <w:t>are</w:t>
      </w:r>
      <w:r w:rsidR="00444669">
        <w:rPr>
          <w:sz w:val="26"/>
          <w:szCs w:val="26"/>
        </w:rPr>
        <w:t xml:space="preserve"> appropriate for </w:t>
      </w:r>
      <w:r w:rsidR="00A87CBD">
        <w:rPr>
          <w:sz w:val="26"/>
          <w:szCs w:val="26"/>
        </w:rPr>
        <w:t xml:space="preserve">us to </w:t>
      </w:r>
      <w:r w:rsidR="00444669">
        <w:rPr>
          <w:sz w:val="26"/>
          <w:szCs w:val="26"/>
        </w:rPr>
        <w:t>exercise that jurisdiction</w:t>
      </w:r>
      <w:r w:rsidR="00293ACD">
        <w:rPr>
          <w:sz w:val="26"/>
          <w:szCs w:val="26"/>
        </w:rPr>
        <w:t>.</w:t>
      </w:r>
      <w:r w:rsidR="00031B9F">
        <w:rPr>
          <w:sz w:val="26"/>
          <w:szCs w:val="26"/>
        </w:rPr>
        <w:t xml:space="preserve">  There is a substantial difference between a mistake in the making of a contract and </w:t>
      </w:r>
      <w:r w:rsidR="00FF7A4E">
        <w:rPr>
          <w:sz w:val="26"/>
          <w:szCs w:val="26"/>
        </w:rPr>
        <w:t xml:space="preserve">the engagement in </w:t>
      </w:r>
      <w:r w:rsidR="00031B9F">
        <w:rPr>
          <w:sz w:val="26"/>
          <w:szCs w:val="26"/>
        </w:rPr>
        <w:t>fraud, deception, or misrepresentation in the marketing</w:t>
      </w:r>
      <w:r>
        <w:rPr>
          <w:sz w:val="26"/>
          <w:szCs w:val="26"/>
        </w:rPr>
        <w:t xml:space="preserve"> or</w:t>
      </w:r>
      <w:r w:rsidR="00031B9F">
        <w:rPr>
          <w:sz w:val="26"/>
          <w:szCs w:val="26"/>
        </w:rPr>
        <w:t xml:space="preserve"> sales of a contract</w:t>
      </w:r>
      <w:r>
        <w:rPr>
          <w:sz w:val="26"/>
          <w:szCs w:val="26"/>
        </w:rPr>
        <w:t xml:space="preserve"> or the billing under that contract</w:t>
      </w:r>
      <w:r w:rsidR="00031B9F">
        <w:rPr>
          <w:sz w:val="26"/>
          <w:szCs w:val="26"/>
        </w:rPr>
        <w:t>.  This case presents the former, which is properly presented before a court of competent jurisdiction, and not the latter, which</w:t>
      </w:r>
      <w:r w:rsidR="00FF7A4E">
        <w:rPr>
          <w:sz w:val="26"/>
          <w:szCs w:val="26"/>
        </w:rPr>
        <w:t xml:space="preserve"> is the substantive premise underpinning our decision in </w:t>
      </w:r>
      <w:r w:rsidR="00FF7A4E">
        <w:rPr>
          <w:i/>
          <w:sz w:val="26"/>
          <w:szCs w:val="26"/>
        </w:rPr>
        <w:t xml:space="preserve">Yaglidereliler </w:t>
      </w:r>
      <w:r w:rsidR="00FF7A4E">
        <w:rPr>
          <w:sz w:val="26"/>
          <w:szCs w:val="26"/>
        </w:rPr>
        <w:t xml:space="preserve">and subsequent cases.  </w:t>
      </w:r>
      <w:r w:rsidR="00FF7A4E">
        <w:rPr>
          <w:i/>
          <w:sz w:val="26"/>
          <w:szCs w:val="26"/>
        </w:rPr>
        <w:t>See</w:t>
      </w:r>
      <w:r w:rsidR="00C6685D">
        <w:rPr>
          <w:i/>
          <w:sz w:val="26"/>
          <w:szCs w:val="26"/>
        </w:rPr>
        <w:t>, e.g.,</w:t>
      </w:r>
      <w:r w:rsidR="00FF7A4E">
        <w:rPr>
          <w:i/>
          <w:sz w:val="26"/>
          <w:szCs w:val="26"/>
        </w:rPr>
        <w:t xml:space="preserve"> </w:t>
      </w:r>
      <w:r w:rsidR="00B82F88">
        <w:rPr>
          <w:i/>
          <w:sz w:val="26"/>
          <w:szCs w:val="26"/>
        </w:rPr>
        <w:t xml:space="preserve">Herp, </w:t>
      </w:r>
      <w:r w:rsidR="00C6685D" w:rsidRPr="00C6685D">
        <w:rPr>
          <w:i/>
          <w:sz w:val="26"/>
          <w:szCs w:val="26"/>
        </w:rPr>
        <w:t>Kiback</w:t>
      </w:r>
      <w:r w:rsidR="0095487C">
        <w:rPr>
          <w:sz w:val="26"/>
          <w:szCs w:val="26"/>
        </w:rPr>
        <w:t>.</w:t>
      </w:r>
      <w:r w:rsidR="00FF7A4E">
        <w:rPr>
          <w:sz w:val="26"/>
          <w:szCs w:val="26"/>
        </w:rPr>
        <w:t xml:space="preserve"> </w:t>
      </w:r>
      <w:r w:rsidR="0095487C">
        <w:rPr>
          <w:sz w:val="26"/>
          <w:szCs w:val="26"/>
        </w:rPr>
        <w:t xml:space="preserve"> </w:t>
      </w:r>
      <w:r>
        <w:rPr>
          <w:bCs/>
          <w:sz w:val="26"/>
          <w:szCs w:val="26"/>
          <w:lang w:bidi="en-US"/>
        </w:rPr>
        <w:t xml:space="preserve">As UGIES contends, </w:t>
      </w:r>
      <w:r w:rsidR="009A4877">
        <w:rPr>
          <w:bCs/>
          <w:sz w:val="26"/>
          <w:szCs w:val="26"/>
          <w:lang w:bidi="en-US"/>
        </w:rPr>
        <w:t xml:space="preserve">and we agree, </w:t>
      </w:r>
      <w:r>
        <w:rPr>
          <w:bCs/>
          <w:sz w:val="26"/>
          <w:szCs w:val="26"/>
          <w:lang w:bidi="en-US"/>
        </w:rPr>
        <w:t xml:space="preserve">Green Hills has failed to apply our analyses and holdings in the cases </w:t>
      </w:r>
      <w:r w:rsidR="009A4877">
        <w:rPr>
          <w:bCs/>
          <w:sz w:val="26"/>
          <w:szCs w:val="26"/>
          <w:lang w:bidi="en-US"/>
        </w:rPr>
        <w:t xml:space="preserve">it cites </w:t>
      </w:r>
      <w:r>
        <w:rPr>
          <w:bCs/>
          <w:sz w:val="26"/>
          <w:szCs w:val="26"/>
          <w:lang w:bidi="en-US"/>
        </w:rPr>
        <w:t xml:space="preserve">to </w:t>
      </w:r>
      <w:r w:rsidR="009A4877">
        <w:rPr>
          <w:bCs/>
          <w:sz w:val="26"/>
          <w:szCs w:val="26"/>
          <w:lang w:bidi="en-US"/>
        </w:rPr>
        <w:t xml:space="preserve">the subject of </w:t>
      </w:r>
      <w:r>
        <w:rPr>
          <w:bCs/>
          <w:sz w:val="26"/>
          <w:szCs w:val="26"/>
          <w:lang w:bidi="en-US"/>
        </w:rPr>
        <w:t>its Complaint against UGIES.</w:t>
      </w:r>
    </w:p>
    <w:p w:rsidR="00E97688" w:rsidRDefault="00E97688" w:rsidP="00293ACD">
      <w:pPr>
        <w:spacing w:line="360" w:lineRule="auto"/>
        <w:ind w:firstLine="1440"/>
        <w:rPr>
          <w:bCs/>
          <w:sz w:val="26"/>
          <w:szCs w:val="26"/>
          <w:lang w:bidi="en-US"/>
        </w:rPr>
      </w:pPr>
    </w:p>
    <w:p w:rsidR="00221AE4" w:rsidRDefault="001C6D24" w:rsidP="00293ACD">
      <w:pPr>
        <w:spacing w:line="360" w:lineRule="auto"/>
        <w:ind w:firstLine="1440"/>
        <w:rPr>
          <w:sz w:val="26"/>
          <w:szCs w:val="26"/>
        </w:rPr>
      </w:pPr>
      <w:r>
        <w:rPr>
          <w:bCs/>
          <w:sz w:val="26"/>
          <w:szCs w:val="26"/>
          <w:lang w:bidi="en-US"/>
        </w:rPr>
        <w:t xml:space="preserve">As we stated in </w:t>
      </w:r>
      <w:r w:rsidRPr="001C6D24">
        <w:rPr>
          <w:bCs/>
          <w:i/>
          <w:sz w:val="26"/>
          <w:szCs w:val="26"/>
          <w:lang w:bidi="en-US"/>
        </w:rPr>
        <w:t>Kiback</w:t>
      </w:r>
      <w:r>
        <w:rPr>
          <w:bCs/>
          <w:sz w:val="26"/>
          <w:szCs w:val="26"/>
          <w:lang w:bidi="en-US"/>
        </w:rPr>
        <w:t xml:space="preserve">, </w:t>
      </w:r>
      <w:r w:rsidR="009A4877">
        <w:rPr>
          <w:bCs/>
          <w:sz w:val="26"/>
          <w:szCs w:val="26"/>
          <w:lang w:bidi="en-US"/>
        </w:rPr>
        <w:t>l</w:t>
      </w:r>
      <w:r w:rsidRPr="001C6D24">
        <w:rPr>
          <w:bCs/>
          <w:sz w:val="26"/>
          <w:szCs w:val="26"/>
          <w:lang w:bidi="en-US"/>
        </w:rPr>
        <w:t>icensed EGS</w:t>
      </w:r>
      <w:r>
        <w:rPr>
          <w:bCs/>
          <w:sz w:val="26"/>
          <w:szCs w:val="26"/>
          <w:lang w:bidi="en-US"/>
        </w:rPr>
        <w:t xml:space="preserve">s </w:t>
      </w:r>
      <w:r w:rsidR="0095487C">
        <w:rPr>
          <w:bCs/>
          <w:sz w:val="26"/>
          <w:szCs w:val="26"/>
          <w:lang w:bidi="en-US"/>
        </w:rPr>
        <w:t>share “</w:t>
      </w:r>
      <w:r w:rsidR="005F5373" w:rsidRPr="005F5373">
        <w:rPr>
          <w:bCs/>
          <w:sz w:val="26"/>
          <w:szCs w:val="26"/>
          <w:lang w:bidi="en-US"/>
        </w:rPr>
        <w:t>responsibility for educating consumers to the benefits and risks of competitive shopping.</w:t>
      </w:r>
      <w:r w:rsidR="0095487C">
        <w:rPr>
          <w:bCs/>
          <w:sz w:val="26"/>
          <w:szCs w:val="26"/>
          <w:lang w:bidi="en-US"/>
        </w:rPr>
        <w:t>”</w:t>
      </w:r>
      <w:r w:rsidR="005F5373" w:rsidRPr="005F5373">
        <w:rPr>
          <w:bCs/>
          <w:sz w:val="26"/>
          <w:szCs w:val="26"/>
          <w:lang w:bidi="en-US"/>
        </w:rPr>
        <w:t xml:space="preserve">  </w:t>
      </w:r>
      <w:r w:rsidR="009A4877" w:rsidRPr="009A4877">
        <w:rPr>
          <w:bCs/>
          <w:i/>
          <w:sz w:val="26"/>
          <w:szCs w:val="26"/>
          <w:lang w:bidi="en-US"/>
        </w:rPr>
        <w:t>Kiback</w:t>
      </w:r>
      <w:r w:rsidR="009A4877" w:rsidRPr="009A4877">
        <w:rPr>
          <w:bCs/>
          <w:sz w:val="26"/>
          <w:szCs w:val="26"/>
          <w:lang w:bidi="en-US"/>
        </w:rPr>
        <w:t xml:space="preserve"> at 34.</w:t>
      </w:r>
      <w:r w:rsidR="009A4877" w:rsidRPr="009A4877">
        <w:rPr>
          <w:bCs/>
          <w:i/>
          <w:sz w:val="26"/>
          <w:szCs w:val="26"/>
          <w:lang w:bidi="en-US"/>
        </w:rPr>
        <w:t xml:space="preserve">  </w:t>
      </w:r>
      <w:r w:rsidR="009A4877">
        <w:rPr>
          <w:bCs/>
          <w:sz w:val="26"/>
          <w:szCs w:val="26"/>
          <w:lang w:bidi="en-US"/>
        </w:rPr>
        <w:t xml:space="preserve">At issue in </w:t>
      </w:r>
      <w:r w:rsidR="009A4877" w:rsidRPr="009A4877">
        <w:rPr>
          <w:bCs/>
          <w:i/>
          <w:sz w:val="26"/>
          <w:szCs w:val="26"/>
          <w:lang w:bidi="en-US"/>
        </w:rPr>
        <w:t>Yaglidereliler</w:t>
      </w:r>
      <w:r w:rsidR="009A4877">
        <w:rPr>
          <w:bCs/>
          <w:sz w:val="26"/>
          <w:szCs w:val="26"/>
          <w:lang w:bidi="en-US"/>
        </w:rPr>
        <w:t xml:space="preserve">, </w:t>
      </w:r>
      <w:r w:rsidR="009A4877" w:rsidRPr="009A4877">
        <w:rPr>
          <w:bCs/>
          <w:i/>
          <w:sz w:val="26"/>
          <w:szCs w:val="26"/>
          <w:lang w:bidi="en-US"/>
        </w:rPr>
        <w:t>Kiback</w:t>
      </w:r>
      <w:r w:rsidR="009A4877">
        <w:rPr>
          <w:bCs/>
          <w:sz w:val="26"/>
          <w:szCs w:val="26"/>
          <w:lang w:bidi="en-US"/>
        </w:rPr>
        <w:t xml:space="preserve">, </w:t>
      </w:r>
      <w:r w:rsidR="009A4877">
        <w:rPr>
          <w:bCs/>
          <w:i/>
          <w:sz w:val="26"/>
          <w:szCs w:val="26"/>
          <w:lang w:bidi="en-US"/>
        </w:rPr>
        <w:t>Herp</w:t>
      </w:r>
      <w:r w:rsidR="009A4877" w:rsidRPr="009A4877">
        <w:rPr>
          <w:bCs/>
          <w:sz w:val="26"/>
          <w:szCs w:val="26"/>
          <w:lang w:bidi="en-US"/>
        </w:rPr>
        <w:t>,</w:t>
      </w:r>
      <w:r w:rsidR="009A4877">
        <w:rPr>
          <w:bCs/>
          <w:sz w:val="26"/>
          <w:szCs w:val="26"/>
          <w:lang w:bidi="en-US"/>
        </w:rPr>
        <w:t xml:space="preserve"> and similar </w:t>
      </w:r>
      <w:r w:rsidR="005F5373">
        <w:rPr>
          <w:bCs/>
          <w:sz w:val="26"/>
          <w:szCs w:val="26"/>
          <w:lang w:bidi="en-US"/>
        </w:rPr>
        <w:t xml:space="preserve">cases </w:t>
      </w:r>
      <w:r w:rsidR="0095487C">
        <w:rPr>
          <w:bCs/>
          <w:sz w:val="26"/>
          <w:szCs w:val="26"/>
          <w:lang w:bidi="en-US"/>
        </w:rPr>
        <w:t xml:space="preserve">were factual questions whether the EGSs or their agents had engaged in fraudulent or misleading marketing, generally with respect to promised savings regarding the EGSs’ proffered rates.  </w:t>
      </w:r>
      <w:r w:rsidR="0095487C">
        <w:rPr>
          <w:sz w:val="26"/>
          <w:szCs w:val="26"/>
        </w:rPr>
        <w:t>However, w</w:t>
      </w:r>
      <w:r w:rsidR="00722C25">
        <w:rPr>
          <w:sz w:val="26"/>
          <w:szCs w:val="26"/>
        </w:rPr>
        <w:t>hile w</w:t>
      </w:r>
      <w:r w:rsidR="0015431C">
        <w:rPr>
          <w:sz w:val="26"/>
          <w:szCs w:val="26"/>
        </w:rPr>
        <w:t xml:space="preserve">e </w:t>
      </w:r>
      <w:r w:rsidR="00722C25">
        <w:rPr>
          <w:sz w:val="26"/>
          <w:szCs w:val="26"/>
        </w:rPr>
        <w:t xml:space="preserve">have in past instances appropriately </w:t>
      </w:r>
      <w:r w:rsidR="0015431C">
        <w:rPr>
          <w:sz w:val="26"/>
          <w:szCs w:val="26"/>
        </w:rPr>
        <w:t>police</w:t>
      </w:r>
      <w:r w:rsidR="00722C25">
        <w:rPr>
          <w:sz w:val="26"/>
          <w:szCs w:val="26"/>
        </w:rPr>
        <w:t xml:space="preserve">d and censured competitive suppliers in the generation market </w:t>
      </w:r>
      <w:r w:rsidR="0015431C">
        <w:rPr>
          <w:sz w:val="26"/>
          <w:szCs w:val="26"/>
        </w:rPr>
        <w:t>for improper</w:t>
      </w:r>
      <w:r w:rsidR="00722C25">
        <w:rPr>
          <w:sz w:val="26"/>
          <w:szCs w:val="26"/>
        </w:rPr>
        <w:t xml:space="preserve">ly </w:t>
      </w:r>
      <w:r w:rsidR="00221AE4">
        <w:rPr>
          <w:sz w:val="26"/>
          <w:szCs w:val="26"/>
        </w:rPr>
        <w:t>enticing</w:t>
      </w:r>
      <w:r w:rsidR="00722C25">
        <w:rPr>
          <w:sz w:val="26"/>
          <w:szCs w:val="26"/>
        </w:rPr>
        <w:t xml:space="preserve"> customers with deceptive marketing</w:t>
      </w:r>
      <w:r w:rsidR="0015431C">
        <w:rPr>
          <w:sz w:val="26"/>
          <w:szCs w:val="26"/>
        </w:rPr>
        <w:t>, that does not absolve shopping customers of the obligation to exercise due diligence</w:t>
      </w:r>
      <w:r w:rsidR="00B82F88">
        <w:rPr>
          <w:sz w:val="26"/>
          <w:szCs w:val="26"/>
        </w:rPr>
        <w:t xml:space="preserve">.  In this case, such diligence </w:t>
      </w:r>
      <w:r w:rsidR="00B1556B">
        <w:rPr>
          <w:sz w:val="26"/>
          <w:szCs w:val="26"/>
        </w:rPr>
        <w:t xml:space="preserve">would include </w:t>
      </w:r>
      <w:r w:rsidR="00B82F88">
        <w:rPr>
          <w:sz w:val="26"/>
          <w:szCs w:val="26"/>
        </w:rPr>
        <w:t>that</w:t>
      </w:r>
      <w:r w:rsidR="0015431C">
        <w:rPr>
          <w:sz w:val="26"/>
          <w:szCs w:val="26"/>
        </w:rPr>
        <w:t xml:space="preserve"> Green Hills </w:t>
      </w:r>
      <w:r w:rsidR="00B1556B">
        <w:rPr>
          <w:sz w:val="26"/>
          <w:szCs w:val="26"/>
        </w:rPr>
        <w:t>confirm</w:t>
      </w:r>
      <w:r w:rsidR="00B82F88">
        <w:rPr>
          <w:sz w:val="26"/>
          <w:szCs w:val="26"/>
        </w:rPr>
        <w:t xml:space="preserve"> </w:t>
      </w:r>
      <w:r w:rsidR="0015431C">
        <w:rPr>
          <w:sz w:val="26"/>
          <w:szCs w:val="26"/>
        </w:rPr>
        <w:t>the end date of its contract with Liberty if it had any reason to doubt the information it supplied UGIES</w:t>
      </w:r>
      <w:r w:rsidR="00B1556B">
        <w:rPr>
          <w:sz w:val="26"/>
          <w:szCs w:val="26"/>
        </w:rPr>
        <w:t xml:space="preserve"> because i</w:t>
      </w:r>
      <w:r w:rsidR="00C549F7">
        <w:rPr>
          <w:sz w:val="26"/>
          <w:szCs w:val="26"/>
        </w:rPr>
        <w:t xml:space="preserve">t was, in fact, the information supplied by Green Hills that UGIES </w:t>
      </w:r>
      <w:r w:rsidR="0015431C">
        <w:rPr>
          <w:sz w:val="26"/>
          <w:szCs w:val="26"/>
        </w:rPr>
        <w:t xml:space="preserve">incorporated </w:t>
      </w:r>
      <w:r w:rsidR="00C549F7">
        <w:rPr>
          <w:sz w:val="26"/>
          <w:szCs w:val="26"/>
        </w:rPr>
        <w:t>i</w:t>
      </w:r>
      <w:r w:rsidR="0015431C">
        <w:rPr>
          <w:sz w:val="26"/>
          <w:szCs w:val="26"/>
        </w:rPr>
        <w:t xml:space="preserve">nto </w:t>
      </w:r>
      <w:r w:rsidR="00B1556B">
        <w:rPr>
          <w:sz w:val="26"/>
          <w:szCs w:val="26"/>
        </w:rPr>
        <w:t>the</w:t>
      </w:r>
      <w:r w:rsidR="0015431C">
        <w:rPr>
          <w:sz w:val="26"/>
          <w:szCs w:val="26"/>
        </w:rPr>
        <w:t xml:space="preserve"> MPSA</w:t>
      </w:r>
      <w:r w:rsidR="00A50F0B">
        <w:rPr>
          <w:sz w:val="26"/>
          <w:szCs w:val="26"/>
        </w:rPr>
        <w:t>’s C</w:t>
      </w:r>
      <w:r w:rsidR="00C549F7">
        <w:rPr>
          <w:sz w:val="26"/>
          <w:szCs w:val="26"/>
        </w:rPr>
        <w:t xml:space="preserve">onfirmation </w:t>
      </w:r>
      <w:r w:rsidR="00A50F0B">
        <w:rPr>
          <w:sz w:val="26"/>
          <w:szCs w:val="26"/>
        </w:rPr>
        <w:t>A</w:t>
      </w:r>
      <w:r w:rsidR="00C549F7">
        <w:rPr>
          <w:sz w:val="26"/>
          <w:szCs w:val="26"/>
        </w:rPr>
        <w:t>greements</w:t>
      </w:r>
      <w:r w:rsidR="0015431C">
        <w:rPr>
          <w:sz w:val="26"/>
          <w:szCs w:val="26"/>
        </w:rPr>
        <w:t>.  As we previously stated, “</w:t>
      </w:r>
      <w:r w:rsidR="0015431C" w:rsidRPr="0015431C">
        <w:rPr>
          <w:sz w:val="26"/>
          <w:szCs w:val="26"/>
        </w:rPr>
        <w:t>we strongly believe the competitive market can provide consumers with a variety of electric supply products and services, and that consumers do bear some responsibility to make choices that are appropriate for t</w:t>
      </w:r>
      <w:r w:rsidR="0015431C">
        <w:rPr>
          <w:sz w:val="26"/>
          <w:szCs w:val="26"/>
        </w:rPr>
        <w:t xml:space="preserve">heir individual circumstances.”  </w:t>
      </w:r>
      <w:r w:rsidR="0015431C" w:rsidRPr="0015431C">
        <w:rPr>
          <w:i/>
          <w:sz w:val="26"/>
          <w:szCs w:val="26"/>
        </w:rPr>
        <w:t>William Towne v. Great American Power, LLC</w:t>
      </w:r>
      <w:r w:rsidR="0015431C" w:rsidRPr="0015431C">
        <w:rPr>
          <w:sz w:val="26"/>
          <w:szCs w:val="26"/>
        </w:rPr>
        <w:t>, Docket No.C-2012-2307991 (Order entered October 18, 2013) at 22</w:t>
      </w:r>
      <w:r w:rsidR="0015431C">
        <w:rPr>
          <w:sz w:val="26"/>
          <w:szCs w:val="26"/>
        </w:rPr>
        <w:t>.</w:t>
      </w:r>
      <w:r w:rsidR="009A4877">
        <w:rPr>
          <w:sz w:val="26"/>
          <w:szCs w:val="26"/>
        </w:rPr>
        <w:t xml:space="preserve">  </w:t>
      </w:r>
    </w:p>
    <w:p w:rsidR="00221AE4" w:rsidRDefault="00221AE4" w:rsidP="00293ACD">
      <w:pPr>
        <w:spacing w:line="360" w:lineRule="auto"/>
        <w:ind w:firstLine="1440"/>
        <w:rPr>
          <w:sz w:val="26"/>
          <w:szCs w:val="26"/>
        </w:rPr>
      </w:pPr>
    </w:p>
    <w:p w:rsidR="00C549F7" w:rsidRDefault="00190374" w:rsidP="00293ACD">
      <w:pPr>
        <w:spacing w:line="360" w:lineRule="auto"/>
        <w:ind w:firstLine="1440"/>
        <w:rPr>
          <w:sz w:val="26"/>
          <w:szCs w:val="26"/>
        </w:rPr>
      </w:pPr>
      <w:r>
        <w:rPr>
          <w:sz w:val="26"/>
          <w:szCs w:val="26"/>
        </w:rPr>
        <w:lastRenderedPageBreak/>
        <w:t xml:space="preserve">In our prior Orders </w:t>
      </w:r>
      <w:r w:rsidR="00221AE4">
        <w:rPr>
          <w:sz w:val="26"/>
          <w:szCs w:val="26"/>
        </w:rPr>
        <w:t xml:space="preserve">we </w:t>
      </w:r>
      <w:r>
        <w:rPr>
          <w:sz w:val="26"/>
          <w:szCs w:val="26"/>
        </w:rPr>
        <w:t xml:space="preserve">have held the EGS industry to </w:t>
      </w:r>
      <w:r w:rsidR="00987D6F">
        <w:rPr>
          <w:sz w:val="26"/>
          <w:szCs w:val="26"/>
        </w:rPr>
        <w:t xml:space="preserve">a </w:t>
      </w:r>
      <w:r>
        <w:rPr>
          <w:sz w:val="26"/>
          <w:szCs w:val="26"/>
        </w:rPr>
        <w:t xml:space="preserve">standard of integrity in </w:t>
      </w:r>
      <w:r w:rsidR="00987D6F">
        <w:rPr>
          <w:sz w:val="26"/>
          <w:szCs w:val="26"/>
        </w:rPr>
        <w:t xml:space="preserve">the services it provides the consuming public, particularly in the industry’s </w:t>
      </w:r>
      <w:r>
        <w:rPr>
          <w:sz w:val="26"/>
          <w:szCs w:val="26"/>
        </w:rPr>
        <w:t>marketing, sales, and billing</w:t>
      </w:r>
      <w:r w:rsidR="00987D6F">
        <w:rPr>
          <w:sz w:val="26"/>
          <w:szCs w:val="26"/>
        </w:rPr>
        <w:t xml:space="preserve">.  </w:t>
      </w:r>
      <w:r w:rsidR="00755C2C">
        <w:rPr>
          <w:sz w:val="26"/>
          <w:szCs w:val="26"/>
        </w:rPr>
        <w:t>Our</w:t>
      </w:r>
      <w:r>
        <w:rPr>
          <w:sz w:val="26"/>
          <w:szCs w:val="26"/>
        </w:rPr>
        <w:t xml:space="preserve"> Regulations are intended to protect shopping customers from fraudulent and deceptive practices</w:t>
      </w:r>
      <w:r w:rsidR="00B23F56">
        <w:rPr>
          <w:sz w:val="26"/>
          <w:szCs w:val="26"/>
        </w:rPr>
        <w:t xml:space="preserve"> and ensure the accuracy of the information that </w:t>
      </w:r>
      <w:r w:rsidR="008E0981">
        <w:rPr>
          <w:sz w:val="26"/>
          <w:szCs w:val="26"/>
        </w:rPr>
        <w:t>suppliers</w:t>
      </w:r>
      <w:r w:rsidR="00B23F56">
        <w:rPr>
          <w:sz w:val="26"/>
          <w:szCs w:val="26"/>
        </w:rPr>
        <w:t xml:space="preserve"> and their agents </w:t>
      </w:r>
      <w:r w:rsidR="008E0981">
        <w:rPr>
          <w:sz w:val="26"/>
          <w:szCs w:val="26"/>
        </w:rPr>
        <w:t>provide</w:t>
      </w:r>
      <w:r w:rsidR="00B23F56">
        <w:rPr>
          <w:sz w:val="26"/>
          <w:szCs w:val="26"/>
        </w:rPr>
        <w:t xml:space="preserve"> to shopping consumers</w:t>
      </w:r>
      <w:r>
        <w:rPr>
          <w:sz w:val="26"/>
          <w:szCs w:val="26"/>
        </w:rPr>
        <w:t xml:space="preserve">.  Based upon the evidence presented in this case, however, we do not find that UGIES engaged in fraud or misrepresentation, nor does Green Hills direct us to any specific Regulation that it alleges or argues UGIES violated.  </w:t>
      </w:r>
    </w:p>
    <w:p w:rsidR="00C549F7" w:rsidRDefault="00C549F7" w:rsidP="00293ACD">
      <w:pPr>
        <w:spacing w:line="360" w:lineRule="auto"/>
        <w:ind w:firstLine="1440"/>
        <w:rPr>
          <w:sz w:val="26"/>
          <w:szCs w:val="26"/>
        </w:rPr>
      </w:pPr>
    </w:p>
    <w:p w:rsidR="00987D6F" w:rsidRDefault="009A4877" w:rsidP="00293ACD">
      <w:pPr>
        <w:spacing w:line="360" w:lineRule="auto"/>
        <w:ind w:firstLine="1440"/>
        <w:rPr>
          <w:sz w:val="26"/>
          <w:szCs w:val="26"/>
        </w:rPr>
      </w:pPr>
      <w:r>
        <w:rPr>
          <w:sz w:val="26"/>
          <w:szCs w:val="26"/>
        </w:rPr>
        <w:t>While arguing that UGIES</w:t>
      </w:r>
      <w:r w:rsidR="00221AE4">
        <w:rPr>
          <w:sz w:val="26"/>
          <w:szCs w:val="26"/>
        </w:rPr>
        <w:t>’ representative</w:t>
      </w:r>
      <w:r>
        <w:rPr>
          <w:sz w:val="26"/>
          <w:szCs w:val="26"/>
        </w:rPr>
        <w:t xml:space="preserve"> told Green Hills</w:t>
      </w:r>
      <w:r w:rsidR="00221AE4">
        <w:rPr>
          <w:sz w:val="26"/>
          <w:szCs w:val="26"/>
        </w:rPr>
        <w:t>’ representatives</w:t>
      </w:r>
      <w:r>
        <w:rPr>
          <w:sz w:val="26"/>
          <w:szCs w:val="26"/>
        </w:rPr>
        <w:t xml:space="preserve"> that </w:t>
      </w:r>
      <w:r w:rsidR="00755C2C">
        <w:rPr>
          <w:sz w:val="26"/>
          <w:szCs w:val="26"/>
        </w:rPr>
        <w:t>UGIES</w:t>
      </w:r>
      <w:r>
        <w:rPr>
          <w:sz w:val="26"/>
          <w:szCs w:val="26"/>
        </w:rPr>
        <w:t xml:space="preserve"> would provide a smooth transition between </w:t>
      </w:r>
      <w:r w:rsidR="00755C2C">
        <w:rPr>
          <w:sz w:val="26"/>
          <w:szCs w:val="26"/>
        </w:rPr>
        <w:t xml:space="preserve">Green Hills’ </w:t>
      </w:r>
      <w:r>
        <w:rPr>
          <w:sz w:val="26"/>
          <w:szCs w:val="26"/>
        </w:rPr>
        <w:t xml:space="preserve">generation supply contracts, </w:t>
      </w:r>
      <w:r w:rsidR="004152F4">
        <w:rPr>
          <w:sz w:val="26"/>
          <w:szCs w:val="26"/>
        </w:rPr>
        <w:t xml:space="preserve">Green Hills never </w:t>
      </w:r>
      <w:r>
        <w:rPr>
          <w:sz w:val="26"/>
          <w:szCs w:val="26"/>
        </w:rPr>
        <w:t xml:space="preserve">explicitly </w:t>
      </w:r>
      <w:r w:rsidR="004152F4">
        <w:rPr>
          <w:sz w:val="26"/>
          <w:szCs w:val="26"/>
        </w:rPr>
        <w:t>contends that UGIES engaged in deceptive marketing</w:t>
      </w:r>
      <w:r w:rsidR="0015431C">
        <w:rPr>
          <w:sz w:val="26"/>
          <w:szCs w:val="26"/>
        </w:rPr>
        <w:t xml:space="preserve"> or the type of deliberate and egregious conduct at issue in other cases</w:t>
      </w:r>
      <w:r w:rsidR="004152F4">
        <w:rPr>
          <w:sz w:val="26"/>
          <w:szCs w:val="26"/>
        </w:rPr>
        <w:t xml:space="preserve">.  Rather, quoting </w:t>
      </w:r>
      <w:r w:rsidR="00B1556B">
        <w:rPr>
          <w:sz w:val="26"/>
          <w:szCs w:val="26"/>
        </w:rPr>
        <w:t xml:space="preserve">extensively </w:t>
      </w:r>
      <w:r w:rsidR="004152F4">
        <w:rPr>
          <w:sz w:val="26"/>
          <w:szCs w:val="26"/>
        </w:rPr>
        <w:t>from</w:t>
      </w:r>
      <w:r w:rsidR="00B23F56">
        <w:rPr>
          <w:sz w:val="26"/>
          <w:szCs w:val="26"/>
        </w:rPr>
        <w:t xml:space="preserve"> </w:t>
      </w:r>
      <w:r w:rsidR="00B23F56">
        <w:rPr>
          <w:i/>
          <w:sz w:val="26"/>
          <w:szCs w:val="26"/>
        </w:rPr>
        <w:t>IDT Energy</w:t>
      </w:r>
      <w:r w:rsidR="00B23F56">
        <w:rPr>
          <w:sz w:val="26"/>
          <w:szCs w:val="26"/>
        </w:rPr>
        <w:t xml:space="preserve"> and</w:t>
      </w:r>
      <w:r w:rsidR="004152F4">
        <w:rPr>
          <w:sz w:val="26"/>
          <w:szCs w:val="26"/>
        </w:rPr>
        <w:t xml:space="preserve"> </w:t>
      </w:r>
      <w:r w:rsidR="004152F4" w:rsidRPr="004152F4">
        <w:rPr>
          <w:i/>
          <w:sz w:val="26"/>
          <w:szCs w:val="26"/>
        </w:rPr>
        <w:t>Yaglidereliler</w:t>
      </w:r>
      <w:r w:rsidR="004152F4">
        <w:rPr>
          <w:sz w:val="26"/>
          <w:szCs w:val="26"/>
        </w:rPr>
        <w:t xml:space="preserve">, and citing to </w:t>
      </w:r>
      <w:r w:rsidR="004152F4">
        <w:rPr>
          <w:i/>
          <w:sz w:val="26"/>
          <w:szCs w:val="26"/>
        </w:rPr>
        <w:t>Werle</w:t>
      </w:r>
      <w:r w:rsidR="004152F4">
        <w:rPr>
          <w:sz w:val="26"/>
          <w:szCs w:val="26"/>
        </w:rPr>
        <w:t>, Green Hills seems to suggest, without directly stating, that UGIES should be held strictly liable for the alleged mistake in the contract’s start date.</w:t>
      </w:r>
      <w:r w:rsidRPr="009A4877">
        <w:rPr>
          <w:sz w:val="26"/>
          <w:szCs w:val="26"/>
          <w:vertAlign w:val="superscript"/>
        </w:rPr>
        <w:footnoteReference w:id="5"/>
      </w:r>
      <w:r w:rsidR="004152F4">
        <w:rPr>
          <w:sz w:val="26"/>
          <w:szCs w:val="26"/>
        </w:rPr>
        <w:t xml:space="preserve">  </w:t>
      </w:r>
    </w:p>
    <w:p w:rsidR="00987D6F" w:rsidRDefault="00987D6F" w:rsidP="00293ACD">
      <w:pPr>
        <w:spacing w:line="360" w:lineRule="auto"/>
        <w:ind w:firstLine="1440"/>
        <w:rPr>
          <w:sz w:val="26"/>
          <w:szCs w:val="26"/>
        </w:rPr>
      </w:pPr>
    </w:p>
    <w:p w:rsidR="004505E7" w:rsidRDefault="00221AE4" w:rsidP="00293ACD">
      <w:pPr>
        <w:spacing w:line="360" w:lineRule="auto"/>
        <w:ind w:firstLine="1440"/>
        <w:rPr>
          <w:sz w:val="26"/>
          <w:szCs w:val="26"/>
        </w:rPr>
      </w:pPr>
      <w:r>
        <w:rPr>
          <w:sz w:val="26"/>
          <w:szCs w:val="26"/>
        </w:rPr>
        <w:t xml:space="preserve">Our </w:t>
      </w:r>
      <w:r w:rsidR="004152F4">
        <w:rPr>
          <w:sz w:val="26"/>
          <w:szCs w:val="26"/>
        </w:rPr>
        <w:t>Regulations</w:t>
      </w:r>
      <w:r>
        <w:rPr>
          <w:sz w:val="26"/>
          <w:szCs w:val="26"/>
        </w:rPr>
        <w:t xml:space="preserve"> were </w:t>
      </w:r>
      <w:r w:rsidR="005C4FC5">
        <w:rPr>
          <w:sz w:val="26"/>
          <w:szCs w:val="26"/>
        </w:rPr>
        <w:t xml:space="preserve">enacted under authority of the </w:t>
      </w:r>
      <w:r w:rsidR="00927675">
        <w:rPr>
          <w:sz w:val="26"/>
          <w:szCs w:val="26"/>
        </w:rPr>
        <w:t xml:space="preserve">Electric </w:t>
      </w:r>
      <w:r w:rsidR="005C4FC5">
        <w:rPr>
          <w:sz w:val="26"/>
          <w:szCs w:val="26"/>
        </w:rPr>
        <w:t>Competition Act</w:t>
      </w:r>
      <w:r>
        <w:rPr>
          <w:sz w:val="26"/>
          <w:szCs w:val="26"/>
        </w:rPr>
        <w:t xml:space="preserve"> specifically to fulfill the mandates of that </w:t>
      </w:r>
      <w:r w:rsidR="00927675">
        <w:rPr>
          <w:sz w:val="26"/>
          <w:szCs w:val="26"/>
        </w:rPr>
        <w:t>a</w:t>
      </w:r>
      <w:r>
        <w:rPr>
          <w:sz w:val="26"/>
          <w:szCs w:val="26"/>
        </w:rPr>
        <w:t xml:space="preserve">ct.  </w:t>
      </w:r>
      <w:r w:rsidRPr="00221AE4">
        <w:rPr>
          <w:sz w:val="26"/>
          <w:szCs w:val="26"/>
        </w:rPr>
        <w:t xml:space="preserve">Chapter 54, subchapter A, addressing customer information, is intended “to require that electricity providers enable customers to make informed choices . . . by providing adequate and accurate customer information.”  </w:t>
      </w:r>
      <w:r w:rsidRPr="00221AE4">
        <w:rPr>
          <w:sz w:val="26"/>
          <w:szCs w:val="26"/>
        </w:rPr>
        <w:lastRenderedPageBreak/>
        <w:t xml:space="preserve">52 Pa. Code § 54.1.  </w:t>
      </w:r>
      <w:r w:rsidRPr="00221AE4">
        <w:rPr>
          <w:bCs/>
          <w:sz w:val="26"/>
          <w:szCs w:val="26"/>
          <w:lang w:bidi="en-US"/>
        </w:rPr>
        <w:t xml:space="preserve">Subchapter B addresses EGS licensing and standards, with Section 54.43 governing EGS standards and billing practices.  52 Pa. Code § 54.43.  These Regulations require that </w:t>
      </w:r>
      <w:r w:rsidR="00755C2C">
        <w:rPr>
          <w:bCs/>
          <w:sz w:val="26"/>
          <w:szCs w:val="26"/>
          <w:lang w:bidi="en-US"/>
        </w:rPr>
        <w:t xml:space="preserve">EGSs provide </w:t>
      </w:r>
      <w:r w:rsidRPr="00221AE4">
        <w:rPr>
          <w:bCs/>
          <w:sz w:val="26"/>
          <w:szCs w:val="26"/>
          <w:lang w:bidi="en-US"/>
        </w:rPr>
        <w:t>consumers accurate information about the</w:t>
      </w:r>
      <w:r w:rsidR="00755C2C">
        <w:rPr>
          <w:bCs/>
          <w:sz w:val="26"/>
          <w:szCs w:val="26"/>
          <w:lang w:bidi="en-US"/>
        </w:rPr>
        <w:t xml:space="preserve"> EGSs’</w:t>
      </w:r>
      <w:r w:rsidRPr="00221AE4">
        <w:rPr>
          <w:bCs/>
          <w:sz w:val="26"/>
          <w:szCs w:val="26"/>
          <w:lang w:bidi="en-US"/>
        </w:rPr>
        <w:t xml:space="preserve"> services</w:t>
      </w:r>
      <w:r w:rsidR="00706BAB">
        <w:rPr>
          <w:bCs/>
          <w:sz w:val="26"/>
          <w:szCs w:val="26"/>
          <w:lang w:bidi="en-US"/>
        </w:rPr>
        <w:t xml:space="preserve"> to allow “customers to compare the various electric generation services offered and the prices charged for each type of service.”</w:t>
      </w:r>
      <w:r w:rsidRPr="00221AE4">
        <w:rPr>
          <w:bCs/>
          <w:sz w:val="26"/>
          <w:szCs w:val="26"/>
          <w:lang w:bidi="en-US"/>
        </w:rPr>
        <w:t xml:space="preserve">  52 Pa. Code § 54.43(1).  </w:t>
      </w:r>
      <w:r w:rsidR="00927675">
        <w:rPr>
          <w:bCs/>
          <w:sz w:val="26"/>
          <w:szCs w:val="26"/>
          <w:lang w:bidi="en-US"/>
        </w:rPr>
        <w:t>Although</w:t>
      </w:r>
      <w:r w:rsidR="00B23F56">
        <w:rPr>
          <w:bCs/>
          <w:sz w:val="26"/>
          <w:szCs w:val="26"/>
          <w:lang w:bidi="en-US"/>
        </w:rPr>
        <w:t xml:space="preserve"> </w:t>
      </w:r>
      <w:r>
        <w:rPr>
          <w:bCs/>
          <w:sz w:val="26"/>
          <w:szCs w:val="26"/>
          <w:lang w:bidi="en-US"/>
        </w:rPr>
        <w:t xml:space="preserve">our authority is not </w:t>
      </w:r>
      <w:r w:rsidR="00927675">
        <w:rPr>
          <w:bCs/>
          <w:sz w:val="26"/>
          <w:szCs w:val="26"/>
          <w:lang w:bidi="en-US"/>
        </w:rPr>
        <w:t xml:space="preserve">as </w:t>
      </w:r>
      <w:r>
        <w:rPr>
          <w:bCs/>
          <w:sz w:val="26"/>
          <w:szCs w:val="26"/>
          <w:lang w:bidi="en-US"/>
        </w:rPr>
        <w:t xml:space="preserve">limited </w:t>
      </w:r>
      <w:r w:rsidR="00927675">
        <w:rPr>
          <w:bCs/>
          <w:sz w:val="26"/>
          <w:szCs w:val="26"/>
          <w:lang w:bidi="en-US"/>
        </w:rPr>
        <w:t>as described by t</w:t>
      </w:r>
      <w:r>
        <w:rPr>
          <w:bCs/>
          <w:sz w:val="26"/>
          <w:szCs w:val="26"/>
          <w:lang w:bidi="en-US"/>
        </w:rPr>
        <w:t>he ALJ</w:t>
      </w:r>
      <w:r w:rsidR="00B23F56">
        <w:rPr>
          <w:bCs/>
          <w:sz w:val="26"/>
          <w:szCs w:val="26"/>
          <w:lang w:bidi="en-US"/>
        </w:rPr>
        <w:t xml:space="preserve">, we also </w:t>
      </w:r>
      <w:r w:rsidR="004152F4">
        <w:rPr>
          <w:sz w:val="26"/>
          <w:szCs w:val="26"/>
        </w:rPr>
        <w:t xml:space="preserve">do </w:t>
      </w:r>
      <w:r w:rsidR="00B23F56">
        <w:rPr>
          <w:sz w:val="26"/>
          <w:szCs w:val="26"/>
        </w:rPr>
        <w:t>not</w:t>
      </w:r>
      <w:r w:rsidR="004152F4">
        <w:rPr>
          <w:sz w:val="26"/>
          <w:szCs w:val="26"/>
        </w:rPr>
        <w:t xml:space="preserve"> find, </w:t>
      </w:r>
      <w:r w:rsidR="00B23F56">
        <w:rPr>
          <w:sz w:val="26"/>
          <w:szCs w:val="26"/>
        </w:rPr>
        <w:t>n</w:t>
      </w:r>
      <w:r w:rsidR="004152F4">
        <w:rPr>
          <w:sz w:val="26"/>
          <w:szCs w:val="26"/>
        </w:rPr>
        <w:t xml:space="preserve">or has Green Hills </w:t>
      </w:r>
      <w:r w:rsidR="00987D6F">
        <w:rPr>
          <w:sz w:val="26"/>
          <w:szCs w:val="26"/>
        </w:rPr>
        <w:t>proved</w:t>
      </w:r>
      <w:r w:rsidR="004152F4">
        <w:rPr>
          <w:sz w:val="26"/>
          <w:szCs w:val="26"/>
        </w:rPr>
        <w:t>, that the alleged mistake in this contract rises t</w:t>
      </w:r>
      <w:r w:rsidR="00E360FB">
        <w:rPr>
          <w:sz w:val="26"/>
          <w:szCs w:val="26"/>
        </w:rPr>
        <w:t>o</w:t>
      </w:r>
      <w:r w:rsidR="004152F4">
        <w:rPr>
          <w:sz w:val="26"/>
          <w:szCs w:val="26"/>
        </w:rPr>
        <w:t xml:space="preserve"> the level of </w:t>
      </w:r>
      <w:r w:rsidR="00E360FB">
        <w:rPr>
          <w:sz w:val="26"/>
          <w:szCs w:val="26"/>
        </w:rPr>
        <w:t>a violation of our Regulations.</w:t>
      </w:r>
      <w:r w:rsidR="00927675">
        <w:rPr>
          <w:sz w:val="26"/>
          <w:szCs w:val="26"/>
        </w:rPr>
        <w:t xml:space="preserve">  As we stated, </w:t>
      </w:r>
      <w:r w:rsidR="00463CE6">
        <w:rPr>
          <w:sz w:val="26"/>
          <w:szCs w:val="26"/>
        </w:rPr>
        <w:t>there is a substantive difference between EGS</w:t>
      </w:r>
      <w:r>
        <w:rPr>
          <w:sz w:val="26"/>
          <w:szCs w:val="26"/>
        </w:rPr>
        <w:t>s</w:t>
      </w:r>
      <w:r w:rsidR="00463CE6">
        <w:rPr>
          <w:sz w:val="26"/>
          <w:szCs w:val="26"/>
        </w:rPr>
        <w:t xml:space="preserve"> </w:t>
      </w:r>
      <w:r w:rsidR="00463CE6" w:rsidRPr="00463CE6">
        <w:rPr>
          <w:sz w:val="26"/>
          <w:szCs w:val="26"/>
        </w:rPr>
        <w:t>improper</w:t>
      </w:r>
      <w:r>
        <w:rPr>
          <w:sz w:val="26"/>
          <w:szCs w:val="26"/>
        </w:rPr>
        <w:t>ly misleading prospective consumers</w:t>
      </w:r>
      <w:r w:rsidR="00463CE6" w:rsidRPr="00463CE6">
        <w:rPr>
          <w:sz w:val="26"/>
          <w:szCs w:val="26"/>
        </w:rPr>
        <w:t xml:space="preserve"> </w:t>
      </w:r>
      <w:r w:rsidR="00706BAB">
        <w:rPr>
          <w:sz w:val="26"/>
          <w:szCs w:val="26"/>
        </w:rPr>
        <w:t xml:space="preserve">about their services and prices </w:t>
      </w:r>
      <w:r w:rsidR="00463CE6">
        <w:rPr>
          <w:sz w:val="26"/>
          <w:szCs w:val="26"/>
        </w:rPr>
        <w:t>in the</w:t>
      </w:r>
      <w:r>
        <w:rPr>
          <w:sz w:val="26"/>
          <w:szCs w:val="26"/>
        </w:rPr>
        <w:t>ir</w:t>
      </w:r>
      <w:r w:rsidR="00463CE6">
        <w:rPr>
          <w:sz w:val="26"/>
          <w:szCs w:val="26"/>
        </w:rPr>
        <w:t xml:space="preserve"> marketing, sales, and billing and a mistake</w:t>
      </w:r>
      <w:r>
        <w:rPr>
          <w:sz w:val="26"/>
          <w:szCs w:val="26"/>
        </w:rPr>
        <w:t xml:space="preserve"> between parties as to the contract’s effective date</w:t>
      </w:r>
      <w:r w:rsidR="00463CE6">
        <w:rPr>
          <w:sz w:val="26"/>
          <w:szCs w:val="26"/>
        </w:rPr>
        <w:t xml:space="preserve">. </w:t>
      </w:r>
      <w:r w:rsidR="001C3318">
        <w:rPr>
          <w:sz w:val="26"/>
          <w:szCs w:val="26"/>
        </w:rPr>
        <w:t xml:space="preserve"> </w:t>
      </w:r>
      <w:r w:rsidR="00927675">
        <w:rPr>
          <w:sz w:val="26"/>
          <w:szCs w:val="26"/>
        </w:rPr>
        <w:t xml:space="preserve">We do not find in this case that </w:t>
      </w:r>
      <w:r w:rsidR="00F01974" w:rsidRPr="00F01974">
        <w:rPr>
          <w:sz w:val="26"/>
          <w:szCs w:val="26"/>
        </w:rPr>
        <w:t>Green Hills’ claim that UGIES erred in effectuating the intent of the parties in the contract</w:t>
      </w:r>
      <w:r w:rsidR="00927675">
        <w:rPr>
          <w:sz w:val="26"/>
          <w:szCs w:val="26"/>
        </w:rPr>
        <w:t xml:space="preserve"> </w:t>
      </w:r>
      <w:r w:rsidR="00F01974" w:rsidRPr="00F01974">
        <w:rPr>
          <w:sz w:val="26"/>
          <w:szCs w:val="26"/>
        </w:rPr>
        <w:t xml:space="preserve">is </w:t>
      </w:r>
      <w:r w:rsidR="00927675">
        <w:rPr>
          <w:sz w:val="26"/>
          <w:szCs w:val="26"/>
        </w:rPr>
        <w:t>sufficient evidence</w:t>
      </w:r>
      <w:r w:rsidR="00920F55">
        <w:rPr>
          <w:sz w:val="26"/>
          <w:szCs w:val="26"/>
        </w:rPr>
        <w:t xml:space="preserve"> </w:t>
      </w:r>
      <w:r w:rsidR="00927675">
        <w:rPr>
          <w:sz w:val="26"/>
          <w:szCs w:val="26"/>
        </w:rPr>
        <w:t xml:space="preserve">to enable </w:t>
      </w:r>
      <w:r w:rsidR="00F01974" w:rsidRPr="00F01974">
        <w:rPr>
          <w:sz w:val="26"/>
          <w:szCs w:val="26"/>
        </w:rPr>
        <w:t>us to find a violation of our Customer Choice Regulations.</w:t>
      </w:r>
    </w:p>
    <w:p w:rsidR="005D7D09" w:rsidRPr="005D7D09" w:rsidRDefault="005D7D09" w:rsidP="00B75FC9">
      <w:pPr>
        <w:spacing w:line="360" w:lineRule="auto"/>
        <w:rPr>
          <w:sz w:val="26"/>
          <w:szCs w:val="26"/>
        </w:rPr>
      </w:pPr>
    </w:p>
    <w:p w:rsidR="00F76466" w:rsidRPr="00FF7A4E" w:rsidRDefault="00F54CAE" w:rsidP="00FF7A4E">
      <w:pPr>
        <w:spacing w:line="360" w:lineRule="auto"/>
        <w:ind w:firstLine="1440"/>
        <w:rPr>
          <w:sz w:val="26"/>
          <w:szCs w:val="26"/>
        </w:rPr>
      </w:pPr>
      <w:r>
        <w:rPr>
          <w:sz w:val="26"/>
          <w:szCs w:val="26"/>
        </w:rPr>
        <w:t xml:space="preserve">We agree with </w:t>
      </w:r>
      <w:r w:rsidR="00FF7A4E">
        <w:rPr>
          <w:sz w:val="26"/>
          <w:szCs w:val="26"/>
        </w:rPr>
        <w:t>UGIES</w:t>
      </w:r>
      <w:r>
        <w:rPr>
          <w:sz w:val="26"/>
          <w:szCs w:val="26"/>
        </w:rPr>
        <w:t xml:space="preserve"> that t</w:t>
      </w:r>
      <w:r w:rsidR="00D74376" w:rsidRPr="00D74376">
        <w:rPr>
          <w:sz w:val="26"/>
          <w:szCs w:val="26"/>
        </w:rPr>
        <w:t>he Complainant</w:t>
      </w:r>
      <w:r w:rsidR="00EC252D">
        <w:rPr>
          <w:sz w:val="26"/>
          <w:szCs w:val="26"/>
        </w:rPr>
        <w:t>’s request for contract re</w:t>
      </w:r>
      <w:r w:rsidR="00B23F56">
        <w:rPr>
          <w:sz w:val="26"/>
          <w:szCs w:val="26"/>
        </w:rPr>
        <w:t>for</w:t>
      </w:r>
      <w:r w:rsidR="00FF7A4E">
        <w:rPr>
          <w:sz w:val="26"/>
          <w:szCs w:val="26"/>
        </w:rPr>
        <w:t xml:space="preserve">mation </w:t>
      </w:r>
      <w:r w:rsidR="00EC252D">
        <w:rPr>
          <w:sz w:val="26"/>
          <w:szCs w:val="26"/>
        </w:rPr>
        <w:t xml:space="preserve">or </w:t>
      </w:r>
      <w:r w:rsidR="00FF7A4E">
        <w:rPr>
          <w:sz w:val="26"/>
          <w:szCs w:val="26"/>
        </w:rPr>
        <w:t>a billing adjustment in the form of a credit from UGIES for the service Green Hills received from Liberty</w:t>
      </w:r>
      <w:r w:rsidR="00B23F56">
        <w:rPr>
          <w:sz w:val="26"/>
          <w:szCs w:val="26"/>
        </w:rPr>
        <w:t xml:space="preserve"> is </w:t>
      </w:r>
      <w:r w:rsidR="00D74376" w:rsidRPr="00D74376">
        <w:rPr>
          <w:sz w:val="26"/>
          <w:szCs w:val="26"/>
        </w:rPr>
        <w:t xml:space="preserve">outside our authority.  </w:t>
      </w:r>
      <w:r w:rsidR="00D74376">
        <w:rPr>
          <w:sz w:val="26"/>
          <w:szCs w:val="26"/>
        </w:rPr>
        <w:t>“</w:t>
      </w:r>
      <w:r w:rsidR="00D74376" w:rsidRPr="00D74376">
        <w:rPr>
          <w:sz w:val="26"/>
          <w:szCs w:val="26"/>
        </w:rPr>
        <w:t>Commission jurisdiction does not extend to interpreting the terms and conditions of a contract between an EGS and a customer to determine whether a breach has occurred, or setting the rates an EGS can charge.</w:t>
      </w:r>
      <w:r w:rsidR="00D74376">
        <w:rPr>
          <w:sz w:val="26"/>
          <w:szCs w:val="26"/>
        </w:rPr>
        <w:t xml:space="preserve">” </w:t>
      </w:r>
      <w:r w:rsidR="00221AE4" w:rsidRPr="00682D32">
        <w:rPr>
          <w:i/>
          <w:sz w:val="26"/>
          <w:szCs w:val="26"/>
        </w:rPr>
        <w:t>Evans v. FirstEnergy Solutions Corp.</w:t>
      </w:r>
      <w:r w:rsidR="00221AE4" w:rsidRPr="00221AE4">
        <w:rPr>
          <w:sz w:val="26"/>
          <w:szCs w:val="26"/>
        </w:rPr>
        <w:t>, Docket No. P-2014-2421556 (Order entered January 26, 2015) (</w:t>
      </w:r>
      <w:r w:rsidR="00221AE4" w:rsidRPr="00682D32">
        <w:rPr>
          <w:i/>
          <w:sz w:val="26"/>
          <w:szCs w:val="26"/>
        </w:rPr>
        <w:t>FES</w:t>
      </w:r>
      <w:r w:rsidR="00221AE4" w:rsidRPr="00221AE4">
        <w:rPr>
          <w:sz w:val="26"/>
          <w:szCs w:val="26"/>
        </w:rPr>
        <w:t>)</w:t>
      </w:r>
      <w:r w:rsidR="00221AE4">
        <w:rPr>
          <w:i/>
          <w:sz w:val="26"/>
          <w:szCs w:val="26"/>
        </w:rPr>
        <w:t xml:space="preserve"> </w:t>
      </w:r>
      <w:r w:rsidR="00D74376">
        <w:rPr>
          <w:sz w:val="26"/>
          <w:szCs w:val="26"/>
        </w:rPr>
        <w:t>at</w:t>
      </w:r>
      <w:r w:rsidR="0061179C">
        <w:rPr>
          <w:sz w:val="26"/>
          <w:szCs w:val="26"/>
        </w:rPr>
        <w:t> </w:t>
      </w:r>
      <w:r w:rsidR="00D74376">
        <w:rPr>
          <w:sz w:val="26"/>
          <w:szCs w:val="26"/>
        </w:rPr>
        <w:t xml:space="preserve">18.  </w:t>
      </w:r>
      <w:r w:rsidR="00647F6E">
        <w:rPr>
          <w:sz w:val="26"/>
          <w:szCs w:val="26"/>
        </w:rPr>
        <w:t>J</w:t>
      </w:r>
      <w:r w:rsidR="00D74376" w:rsidRPr="00D74376">
        <w:rPr>
          <w:sz w:val="26"/>
          <w:szCs w:val="26"/>
        </w:rPr>
        <w:t>urisdiction over suits for damages based on breach of contract</w:t>
      </w:r>
      <w:r w:rsidR="00647F6E">
        <w:rPr>
          <w:sz w:val="26"/>
          <w:szCs w:val="26"/>
        </w:rPr>
        <w:t xml:space="preserve"> lies in the courts, </w:t>
      </w:r>
      <w:r w:rsidR="00D74376" w:rsidRPr="00D74376">
        <w:rPr>
          <w:sz w:val="26"/>
          <w:szCs w:val="26"/>
        </w:rPr>
        <w:t xml:space="preserve">where a utility’s performance of its legally imposed and contractually adopted obligations </w:t>
      </w:r>
      <w:r w:rsidR="00647F6E">
        <w:rPr>
          <w:sz w:val="26"/>
          <w:szCs w:val="26"/>
        </w:rPr>
        <w:t>may be</w:t>
      </w:r>
      <w:r w:rsidR="00D74376" w:rsidRPr="00D74376">
        <w:rPr>
          <w:sz w:val="26"/>
          <w:szCs w:val="26"/>
        </w:rPr>
        <w:t xml:space="preserve"> examined and applied to a given set of facts.</w:t>
      </w:r>
      <w:r w:rsidR="00086A57">
        <w:rPr>
          <w:sz w:val="26"/>
          <w:szCs w:val="26"/>
        </w:rPr>
        <w:t xml:space="preserve">  </w:t>
      </w:r>
      <w:r w:rsidR="00086A57">
        <w:rPr>
          <w:i/>
          <w:sz w:val="26"/>
          <w:szCs w:val="26"/>
        </w:rPr>
        <w:t>Id.</w:t>
      </w:r>
      <w:r w:rsidR="00086A57">
        <w:rPr>
          <w:sz w:val="26"/>
          <w:szCs w:val="26"/>
        </w:rPr>
        <w:t xml:space="preserve"> </w:t>
      </w:r>
      <w:r w:rsidR="007E30A9">
        <w:rPr>
          <w:sz w:val="26"/>
          <w:szCs w:val="26"/>
        </w:rPr>
        <w:t>(</w:t>
      </w:r>
      <w:r w:rsidR="00086A57">
        <w:rPr>
          <w:sz w:val="26"/>
          <w:szCs w:val="26"/>
        </w:rPr>
        <w:t>citing</w:t>
      </w:r>
      <w:r w:rsidR="00D74376" w:rsidRPr="00D74376">
        <w:rPr>
          <w:sz w:val="26"/>
          <w:szCs w:val="26"/>
        </w:rPr>
        <w:t xml:space="preserve"> </w:t>
      </w:r>
      <w:r w:rsidR="00BE4E3B" w:rsidRPr="00BE4E3B">
        <w:rPr>
          <w:i/>
          <w:sz w:val="26"/>
          <w:szCs w:val="26"/>
        </w:rPr>
        <w:t xml:space="preserve">Morrow v. </w:t>
      </w:r>
      <w:r w:rsidR="004505E7">
        <w:rPr>
          <w:i/>
          <w:sz w:val="26"/>
          <w:szCs w:val="26"/>
        </w:rPr>
        <w:t xml:space="preserve">The </w:t>
      </w:r>
      <w:r w:rsidR="00BE4E3B" w:rsidRPr="00BE4E3B">
        <w:rPr>
          <w:i/>
          <w:sz w:val="26"/>
          <w:szCs w:val="26"/>
        </w:rPr>
        <w:t>Bell Tel</w:t>
      </w:r>
      <w:r w:rsidR="004505E7">
        <w:rPr>
          <w:i/>
          <w:sz w:val="26"/>
          <w:szCs w:val="26"/>
        </w:rPr>
        <w:t>ephone</w:t>
      </w:r>
      <w:r w:rsidR="00BE4E3B" w:rsidRPr="00BE4E3B">
        <w:rPr>
          <w:i/>
          <w:sz w:val="26"/>
          <w:szCs w:val="26"/>
        </w:rPr>
        <w:t xml:space="preserve"> Co</w:t>
      </w:r>
      <w:r w:rsidR="004505E7">
        <w:rPr>
          <w:i/>
          <w:sz w:val="26"/>
          <w:szCs w:val="26"/>
        </w:rPr>
        <w:t>mpany</w:t>
      </w:r>
      <w:r w:rsidR="00BE4E3B" w:rsidRPr="00BE4E3B">
        <w:rPr>
          <w:i/>
          <w:sz w:val="26"/>
          <w:szCs w:val="26"/>
        </w:rPr>
        <w:t xml:space="preserve"> of P</w:t>
      </w:r>
      <w:r w:rsidR="004505E7">
        <w:rPr>
          <w:i/>
          <w:sz w:val="26"/>
          <w:szCs w:val="26"/>
        </w:rPr>
        <w:t>ennsylvania</w:t>
      </w:r>
      <w:r w:rsidR="00BE4E3B" w:rsidRPr="00BE4E3B">
        <w:rPr>
          <w:sz w:val="26"/>
          <w:szCs w:val="26"/>
        </w:rPr>
        <w:t>, 479 A.2d 548 (Pa. Super. 1984)</w:t>
      </w:r>
      <w:r w:rsidR="007E30A9">
        <w:rPr>
          <w:sz w:val="26"/>
          <w:szCs w:val="26"/>
        </w:rPr>
        <w:t>)</w:t>
      </w:r>
      <w:r w:rsidR="009D6DCE">
        <w:rPr>
          <w:sz w:val="26"/>
          <w:szCs w:val="26"/>
        </w:rPr>
        <w:t>.</w:t>
      </w:r>
      <w:r w:rsidR="00FF7A4E">
        <w:rPr>
          <w:sz w:val="26"/>
          <w:szCs w:val="26"/>
        </w:rPr>
        <w:t xml:space="preserve">  </w:t>
      </w:r>
      <w:r w:rsidR="007E30A9">
        <w:rPr>
          <w:i/>
          <w:sz w:val="26"/>
          <w:szCs w:val="26"/>
        </w:rPr>
        <w:t>See also DuB</w:t>
      </w:r>
      <w:r w:rsidR="00FF7A4E">
        <w:rPr>
          <w:i/>
          <w:sz w:val="26"/>
          <w:szCs w:val="26"/>
        </w:rPr>
        <w:t>ois Manor Motel v. Blue Pilot Energy, LLC</w:t>
      </w:r>
      <w:r w:rsidR="00FF7A4E">
        <w:rPr>
          <w:sz w:val="26"/>
          <w:szCs w:val="26"/>
        </w:rPr>
        <w:t xml:space="preserve">, Docket No. </w:t>
      </w:r>
      <w:r w:rsidR="00647F6E" w:rsidRPr="00647F6E">
        <w:rPr>
          <w:sz w:val="26"/>
          <w:szCs w:val="26"/>
        </w:rPr>
        <w:t>C-2014-2433817</w:t>
      </w:r>
      <w:r w:rsidR="00FF7A4E">
        <w:rPr>
          <w:sz w:val="26"/>
          <w:szCs w:val="26"/>
        </w:rPr>
        <w:t xml:space="preserve"> (Order entered June 9, 2016).</w:t>
      </w:r>
    </w:p>
    <w:p w:rsidR="00F76466" w:rsidRDefault="00F76466" w:rsidP="00B75FC9">
      <w:pPr>
        <w:spacing w:line="360" w:lineRule="auto"/>
        <w:rPr>
          <w:sz w:val="26"/>
          <w:szCs w:val="26"/>
        </w:rPr>
      </w:pPr>
    </w:p>
    <w:p w:rsidR="00152CE0" w:rsidRDefault="00BE4E3B" w:rsidP="00444669">
      <w:pPr>
        <w:spacing w:line="360" w:lineRule="auto"/>
        <w:ind w:firstLine="1440"/>
        <w:rPr>
          <w:sz w:val="26"/>
          <w:szCs w:val="26"/>
        </w:rPr>
      </w:pPr>
      <w:r>
        <w:rPr>
          <w:sz w:val="26"/>
          <w:szCs w:val="26"/>
        </w:rPr>
        <w:t>We may</w:t>
      </w:r>
      <w:r w:rsidRPr="00BE4E3B">
        <w:rPr>
          <w:sz w:val="26"/>
          <w:szCs w:val="26"/>
        </w:rPr>
        <w:t xml:space="preserve"> </w:t>
      </w:r>
      <w:r w:rsidR="00647F6E">
        <w:rPr>
          <w:sz w:val="26"/>
          <w:szCs w:val="26"/>
        </w:rPr>
        <w:t xml:space="preserve">review supplier actions to </w:t>
      </w:r>
      <w:r>
        <w:rPr>
          <w:sz w:val="26"/>
          <w:szCs w:val="26"/>
        </w:rPr>
        <w:t xml:space="preserve">ensure </w:t>
      </w:r>
      <w:r w:rsidR="00647F6E">
        <w:rPr>
          <w:sz w:val="26"/>
          <w:szCs w:val="26"/>
        </w:rPr>
        <w:t xml:space="preserve">compliance with </w:t>
      </w:r>
      <w:r>
        <w:rPr>
          <w:sz w:val="26"/>
          <w:szCs w:val="26"/>
        </w:rPr>
        <w:t xml:space="preserve">our standards of conduct and disclosure, our marketing and sales Regulations, </w:t>
      </w:r>
      <w:r w:rsidR="00D54834">
        <w:rPr>
          <w:sz w:val="26"/>
          <w:szCs w:val="26"/>
        </w:rPr>
        <w:t>our</w:t>
      </w:r>
      <w:r>
        <w:rPr>
          <w:sz w:val="26"/>
          <w:szCs w:val="26"/>
        </w:rPr>
        <w:t xml:space="preserve"> contract </w:t>
      </w:r>
      <w:r>
        <w:rPr>
          <w:sz w:val="26"/>
          <w:szCs w:val="26"/>
        </w:rPr>
        <w:lastRenderedPageBreak/>
        <w:t>expiration/change-of-terms notice requirements</w:t>
      </w:r>
      <w:r w:rsidR="001C3318">
        <w:rPr>
          <w:sz w:val="26"/>
          <w:szCs w:val="26"/>
        </w:rPr>
        <w:t>,</w:t>
      </w:r>
      <w:r>
        <w:rPr>
          <w:sz w:val="26"/>
          <w:szCs w:val="26"/>
        </w:rPr>
        <w:t xml:space="preserve"> and </w:t>
      </w:r>
      <w:r w:rsidR="00D54834">
        <w:rPr>
          <w:sz w:val="26"/>
          <w:szCs w:val="26"/>
        </w:rPr>
        <w:t>our requirement</w:t>
      </w:r>
      <w:r w:rsidR="00647F6E">
        <w:rPr>
          <w:sz w:val="26"/>
          <w:szCs w:val="26"/>
        </w:rPr>
        <w:t>s</w:t>
      </w:r>
      <w:r w:rsidR="00D54834">
        <w:rPr>
          <w:sz w:val="26"/>
          <w:szCs w:val="26"/>
        </w:rPr>
        <w:t xml:space="preserve"> that </w:t>
      </w:r>
      <w:r>
        <w:rPr>
          <w:sz w:val="26"/>
          <w:szCs w:val="26"/>
        </w:rPr>
        <w:t>the rate</w:t>
      </w:r>
      <w:r w:rsidR="00647F6E">
        <w:rPr>
          <w:sz w:val="26"/>
          <w:szCs w:val="26"/>
        </w:rPr>
        <w:t>s</w:t>
      </w:r>
      <w:r>
        <w:rPr>
          <w:sz w:val="26"/>
          <w:szCs w:val="26"/>
        </w:rPr>
        <w:t xml:space="preserve"> </w:t>
      </w:r>
      <w:r w:rsidR="00647F6E">
        <w:rPr>
          <w:sz w:val="26"/>
          <w:szCs w:val="26"/>
        </w:rPr>
        <w:t xml:space="preserve">marketed, sold, and </w:t>
      </w:r>
      <w:r>
        <w:rPr>
          <w:sz w:val="26"/>
          <w:szCs w:val="26"/>
        </w:rPr>
        <w:t xml:space="preserve">billed </w:t>
      </w:r>
      <w:r w:rsidR="00647F6E">
        <w:rPr>
          <w:sz w:val="26"/>
          <w:szCs w:val="26"/>
        </w:rPr>
        <w:t>all comport</w:t>
      </w:r>
      <w:r>
        <w:rPr>
          <w:sz w:val="26"/>
          <w:szCs w:val="26"/>
        </w:rPr>
        <w:t xml:space="preserve">.  </w:t>
      </w:r>
      <w:r w:rsidR="00682D32" w:rsidRPr="00682D32">
        <w:rPr>
          <w:i/>
          <w:sz w:val="26"/>
          <w:szCs w:val="26"/>
        </w:rPr>
        <w:t>FES</w:t>
      </w:r>
      <w:r>
        <w:rPr>
          <w:i/>
          <w:sz w:val="26"/>
          <w:szCs w:val="26"/>
        </w:rPr>
        <w:t xml:space="preserve"> </w:t>
      </w:r>
      <w:r>
        <w:rPr>
          <w:sz w:val="26"/>
          <w:szCs w:val="26"/>
        </w:rPr>
        <w:t xml:space="preserve">at 18-19 </w:t>
      </w:r>
      <w:r w:rsidR="007E30A9">
        <w:rPr>
          <w:sz w:val="26"/>
          <w:szCs w:val="26"/>
        </w:rPr>
        <w:t>(</w:t>
      </w:r>
      <w:r>
        <w:rPr>
          <w:sz w:val="26"/>
          <w:szCs w:val="26"/>
        </w:rPr>
        <w:t xml:space="preserve">citing 52 Pa. Code §§ </w:t>
      </w:r>
      <w:r w:rsidRPr="00BE4E3B">
        <w:rPr>
          <w:sz w:val="26"/>
          <w:szCs w:val="26"/>
        </w:rPr>
        <w:t>54.3</w:t>
      </w:r>
      <w:r>
        <w:rPr>
          <w:sz w:val="26"/>
          <w:szCs w:val="26"/>
        </w:rPr>
        <w:t xml:space="preserve">, 54.5 - </w:t>
      </w:r>
      <w:r w:rsidRPr="00BE4E3B">
        <w:rPr>
          <w:sz w:val="26"/>
          <w:szCs w:val="26"/>
        </w:rPr>
        <w:t>54.7</w:t>
      </w:r>
      <w:r>
        <w:rPr>
          <w:sz w:val="26"/>
          <w:szCs w:val="26"/>
        </w:rPr>
        <w:t xml:space="preserve">, 54.10, </w:t>
      </w:r>
      <w:r w:rsidRPr="00BE4E3B">
        <w:rPr>
          <w:sz w:val="26"/>
          <w:szCs w:val="26"/>
        </w:rPr>
        <w:t>54.43(1) and 54.43(f)</w:t>
      </w:r>
      <w:r>
        <w:rPr>
          <w:sz w:val="26"/>
          <w:szCs w:val="26"/>
        </w:rPr>
        <w:t>, and</w:t>
      </w:r>
      <w:r w:rsidRPr="00BE4E3B">
        <w:rPr>
          <w:sz w:val="26"/>
          <w:szCs w:val="26"/>
        </w:rPr>
        <w:t xml:space="preserve"> 54.122(3)</w:t>
      </w:r>
      <w:r w:rsidR="007E30A9">
        <w:rPr>
          <w:sz w:val="26"/>
          <w:szCs w:val="26"/>
        </w:rPr>
        <w:t>)</w:t>
      </w:r>
      <w:r>
        <w:rPr>
          <w:sz w:val="26"/>
          <w:szCs w:val="26"/>
        </w:rPr>
        <w:t>.  In other words, w</w:t>
      </w:r>
      <w:r w:rsidR="00D74376" w:rsidRPr="00D74376">
        <w:rPr>
          <w:sz w:val="26"/>
          <w:szCs w:val="26"/>
        </w:rPr>
        <w:t xml:space="preserve">e </w:t>
      </w:r>
      <w:r>
        <w:rPr>
          <w:sz w:val="26"/>
          <w:szCs w:val="26"/>
        </w:rPr>
        <w:t>may</w:t>
      </w:r>
      <w:r w:rsidR="00D74376" w:rsidRPr="00D74376">
        <w:rPr>
          <w:sz w:val="26"/>
          <w:szCs w:val="26"/>
        </w:rPr>
        <w:t xml:space="preserve"> review the contract for compliance with our Regulations, including, </w:t>
      </w:r>
      <w:r w:rsidR="00D74376" w:rsidRPr="00BE4E3B">
        <w:rPr>
          <w:i/>
          <w:sz w:val="26"/>
          <w:szCs w:val="26"/>
        </w:rPr>
        <w:t>inter alia</w:t>
      </w:r>
      <w:r w:rsidR="00D74376" w:rsidRPr="00D74376">
        <w:rPr>
          <w:sz w:val="26"/>
          <w:szCs w:val="26"/>
        </w:rPr>
        <w:t>, determin</w:t>
      </w:r>
      <w:r>
        <w:rPr>
          <w:sz w:val="26"/>
          <w:szCs w:val="26"/>
        </w:rPr>
        <w:t>ing</w:t>
      </w:r>
      <w:r w:rsidR="00D74376" w:rsidRPr="00D74376">
        <w:rPr>
          <w:sz w:val="26"/>
          <w:szCs w:val="26"/>
        </w:rPr>
        <w:t xml:space="preserve"> whether the contract entered into was what was marketed and billed</w:t>
      </w:r>
      <w:r w:rsidR="00152CE0">
        <w:rPr>
          <w:sz w:val="26"/>
          <w:szCs w:val="26"/>
        </w:rPr>
        <w:t xml:space="preserve"> and whether its terms were clearly and accurately disclosed</w:t>
      </w:r>
      <w:r w:rsidR="00D74376" w:rsidRPr="00D74376">
        <w:rPr>
          <w:sz w:val="26"/>
          <w:szCs w:val="26"/>
        </w:rPr>
        <w:t xml:space="preserve">.  </w:t>
      </w:r>
      <w:r w:rsidR="00647F6E">
        <w:rPr>
          <w:sz w:val="26"/>
          <w:szCs w:val="26"/>
        </w:rPr>
        <w:t xml:space="preserve">Our regulatory </w:t>
      </w:r>
      <w:r w:rsidR="00EB118C">
        <w:rPr>
          <w:sz w:val="26"/>
          <w:szCs w:val="26"/>
        </w:rPr>
        <w:t>standards</w:t>
      </w:r>
      <w:r w:rsidR="007E30A9">
        <w:rPr>
          <w:sz w:val="26"/>
          <w:szCs w:val="26"/>
        </w:rPr>
        <w:t>, however,</w:t>
      </w:r>
      <w:r w:rsidR="00EB118C">
        <w:rPr>
          <w:sz w:val="26"/>
          <w:szCs w:val="26"/>
        </w:rPr>
        <w:t xml:space="preserve"> do not encompass a theory of strict liability that would compel </w:t>
      </w:r>
      <w:r w:rsidR="007E30A9">
        <w:rPr>
          <w:sz w:val="26"/>
          <w:szCs w:val="26"/>
        </w:rPr>
        <w:t xml:space="preserve">or </w:t>
      </w:r>
      <w:r w:rsidR="00647F6E">
        <w:rPr>
          <w:sz w:val="26"/>
          <w:szCs w:val="26"/>
        </w:rPr>
        <w:t xml:space="preserve">even </w:t>
      </w:r>
      <w:r w:rsidR="007E30A9">
        <w:rPr>
          <w:sz w:val="26"/>
          <w:szCs w:val="26"/>
        </w:rPr>
        <w:t xml:space="preserve">authorize </w:t>
      </w:r>
      <w:r w:rsidR="00EB118C">
        <w:rPr>
          <w:sz w:val="26"/>
          <w:szCs w:val="26"/>
        </w:rPr>
        <w:t xml:space="preserve">us to reform a contract </w:t>
      </w:r>
      <w:r w:rsidR="007E30A9">
        <w:rPr>
          <w:sz w:val="26"/>
          <w:szCs w:val="26"/>
        </w:rPr>
        <w:t xml:space="preserve">if, </w:t>
      </w:r>
      <w:r w:rsidR="00D706AC">
        <w:rPr>
          <w:sz w:val="26"/>
          <w:szCs w:val="26"/>
        </w:rPr>
        <w:t xml:space="preserve">as alleged, </w:t>
      </w:r>
      <w:r w:rsidR="00647F6E">
        <w:rPr>
          <w:sz w:val="26"/>
          <w:szCs w:val="26"/>
        </w:rPr>
        <w:t xml:space="preserve">the document </w:t>
      </w:r>
      <w:r w:rsidR="00EB118C">
        <w:rPr>
          <w:sz w:val="26"/>
          <w:szCs w:val="26"/>
        </w:rPr>
        <w:t>fail</w:t>
      </w:r>
      <w:r w:rsidR="00D706AC">
        <w:rPr>
          <w:sz w:val="26"/>
          <w:szCs w:val="26"/>
        </w:rPr>
        <w:t>ed</w:t>
      </w:r>
      <w:r w:rsidR="00EB118C">
        <w:rPr>
          <w:sz w:val="26"/>
          <w:szCs w:val="26"/>
        </w:rPr>
        <w:t xml:space="preserve"> to effectuate the intent of the parties.</w:t>
      </w:r>
    </w:p>
    <w:p w:rsidR="004152F4" w:rsidRDefault="004152F4" w:rsidP="00B75FC9">
      <w:pPr>
        <w:spacing w:line="360" w:lineRule="auto"/>
        <w:rPr>
          <w:bCs/>
          <w:sz w:val="26"/>
          <w:szCs w:val="26"/>
          <w:lang w:bidi="en-US"/>
        </w:rPr>
      </w:pPr>
    </w:p>
    <w:p w:rsidR="00BE4E3B" w:rsidRDefault="00E360FB" w:rsidP="00C549F7">
      <w:pPr>
        <w:spacing w:line="360" w:lineRule="auto"/>
        <w:ind w:firstLine="1440"/>
        <w:rPr>
          <w:sz w:val="26"/>
          <w:szCs w:val="26"/>
        </w:rPr>
      </w:pPr>
      <w:r>
        <w:rPr>
          <w:sz w:val="26"/>
          <w:szCs w:val="26"/>
        </w:rPr>
        <w:t>UGIES billed in accordance with the MPSA that Green Hills agreed to and executed.  A billing adjustment for improper billing is not warranted</w:t>
      </w:r>
      <w:r w:rsidR="00C549F7">
        <w:rPr>
          <w:sz w:val="26"/>
          <w:szCs w:val="26"/>
        </w:rPr>
        <w:t xml:space="preserve"> because</w:t>
      </w:r>
      <w:r>
        <w:rPr>
          <w:sz w:val="26"/>
          <w:szCs w:val="26"/>
        </w:rPr>
        <w:t xml:space="preserve"> UGIES structured the MPSA to commence in January 2014 as instructed by Green Hills.  A billing adjustment for improper marketing or sales is </w:t>
      </w:r>
      <w:r w:rsidR="00C549F7">
        <w:rPr>
          <w:sz w:val="26"/>
          <w:szCs w:val="26"/>
        </w:rPr>
        <w:t xml:space="preserve">likewise </w:t>
      </w:r>
      <w:r>
        <w:rPr>
          <w:sz w:val="26"/>
          <w:szCs w:val="26"/>
        </w:rPr>
        <w:t>not warranted</w:t>
      </w:r>
      <w:r w:rsidR="00C549F7">
        <w:rPr>
          <w:sz w:val="26"/>
          <w:szCs w:val="26"/>
        </w:rPr>
        <w:t xml:space="preserve"> because as Green Hills </w:t>
      </w:r>
      <w:r w:rsidR="00927675">
        <w:rPr>
          <w:sz w:val="26"/>
          <w:szCs w:val="26"/>
        </w:rPr>
        <w:t>admits</w:t>
      </w:r>
      <w:r w:rsidR="00C549F7">
        <w:rPr>
          <w:sz w:val="26"/>
          <w:szCs w:val="26"/>
        </w:rPr>
        <w:t xml:space="preserve">, </w:t>
      </w:r>
      <w:r w:rsidR="00C549F7" w:rsidRPr="00C549F7">
        <w:rPr>
          <w:sz w:val="26"/>
          <w:szCs w:val="26"/>
        </w:rPr>
        <w:t xml:space="preserve">its MPSA with UGIES “is inconsistent with the </w:t>
      </w:r>
      <w:r w:rsidR="00C549F7" w:rsidRPr="00EC252D">
        <w:rPr>
          <w:i/>
          <w:sz w:val="26"/>
          <w:szCs w:val="26"/>
        </w:rPr>
        <w:t>intent</w:t>
      </w:r>
      <w:r w:rsidR="00C549F7" w:rsidRPr="00C549F7">
        <w:rPr>
          <w:sz w:val="26"/>
          <w:szCs w:val="26"/>
        </w:rPr>
        <w:t xml:space="preserve"> of the parties to effect a smooth transition of service</w:t>
      </w:r>
      <w:r w:rsidR="003F4635">
        <w:rPr>
          <w:sz w:val="26"/>
          <w:szCs w:val="26"/>
        </w:rPr>
        <w:t>[</w:t>
      </w:r>
      <w:r>
        <w:rPr>
          <w:sz w:val="26"/>
          <w:szCs w:val="26"/>
        </w:rPr>
        <w:t>.</w:t>
      </w:r>
      <w:r w:rsidR="003F4635">
        <w:rPr>
          <w:sz w:val="26"/>
          <w:szCs w:val="26"/>
        </w:rPr>
        <w:t>]</w:t>
      </w:r>
      <w:r w:rsidR="00C549F7">
        <w:rPr>
          <w:sz w:val="26"/>
          <w:szCs w:val="26"/>
        </w:rPr>
        <w:t>”</w:t>
      </w:r>
      <w:r>
        <w:rPr>
          <w:sz w:val="26"/>
          <w:szCs w:val="26"/>
        </w:rPr>
        <w:t xml:space="preserve">  </w:t>
      </w:r>
      <w:r w:rsidR="00C549F7">
        <w:rPr>
          <w:sz w:val="26"/>
          <w:szCs w:val="26"/>
        </w:rPr>
        <w:t>Exc. at 10</w:t>
      </w:r>
      <w:r w:rsidR="00EC252D">
        <w:rPr>
          <w:sz w:val="26"/>
          <w:szCs w:val="26"/>
        </w:rPr>
        <w:t xml:space="preserve"> (emphasis added)</w:t>
      </w:r>
      <w:r w:rsidR="00C549F7">
        <w:rPr>
          <w:sz w:val="26"/>
          <w:szCs w:val="26"/>
        </w:rPr>
        <w:t xml:space="preserve">.  </w:t>
      </w:r>
      <w:r w:rsidR="00A87CBD">
        <w:rPr>
          <w:i/>
          <w:sz w:val="26"/>
          <w:szCs w:val="26"/>
        </w:rPr>
        <w:t xml:space="preserve">See also </w:t>
      </w:r>
      <w:r w:rsidR="00A87CBD">
        <w:rPr>
          <w:sz w:val="26"/>
          <w:szCs w:val="26"/>
        </w:rPr>
        <w:t>Exc. at</w:t>
      </w:r>
      <w:r w:rsidR="00EC252D">
        <w:rPr>
          <w:sz w:val="26"/>
          <w:szCs w:val="26"/>
        </w:rPr>
        <w:t> </w:t>
      </w:r>
      <w:r w:rsidR="00A87CBD">
        <w:rPr>
          <w:sz w:val="26"/>
          <w:szCs w:val="26"/>
        </w:rPr>
        <w:t xml:space="preserve">1 (“UGIES conceded that it did not </w:t>
      </w:r>
      <w:r w:rsidR="00A87CBD" w:rsidRPr="00EC252D">
        <w:rPr>
          <w:i/>
          <w:sz w:val="26"/>
          <w:szCs w:val="26"/>
        </w:rPr>
        <w:t>intend</w:t>
      </w:r>
      <w:r w:rsidR="00A87CBD">
        <w:rPr>
          <w:sz w:val="26"/>
          <w:szCs w:val="26"/>
        </w:rPr>
        <w:t xml:space="preserve"> to [create a ‘supplier transaction gap’</w:t>
      </w:r>
      <w:r w:rsidR="00EC252D">
        <w:rPr>
          <w:sz w:val="26"/>
          <w:szCs w:val="26"/>
        </w:rPr>
        <w:t>]</w:t>
      </w:r>
      <w:r w:rsidR="00A87CBD">
        <w:rPr>
          <w:sz w:val="26"/>
          <w:szCs w:val="26"/>
        </w:rPr>
        <w:t>”)</w:t>
      </w:r>
      <w:r w:rsidR="00EC252D">
        <w:rPr>
          <w:sz w:val="26"/>
          <w:szCs w:val="26"/>
        </w:rPr>
        <w:t xml:space="preserve"> (emphasis added)</w:t>
      </w:r>
      <w:r w:rsidR="00A87CBD">
        <w:rPr>
          <w:sz w:val="26"/>
          <w:szCs w:val="26"/>
        </w:rPr>
        <w:t>.  This is not a matter of fraudulent marketing</w:t>
      </w:r>
      <w:r w:rsidR="007E30A9">
        <w:rPr>
          <w:sz w:val="26"/>
          <w:szCs w:val="26"/>
        </w:rPr>
        <w:t>;</w:t>
      </w:r>
      <w:r w:rsidR="00275FE5">
        <w:rPr>
          <w:sz w:val="26"/>
          <w:szCs w:val="26"/>
        </w:rPr>
        <w:t xml:space="preserve"> i</w:t>
      </w:r>
      <w:r w:rsidR="00A87CBD">
        <w:rPr>
          <w:sz w:val="26"/>
          <w:szCs w:val="26"/>
        </w:rPr>
        <w:t xml:space="preserve">t is a </w:t>
      </w:r>
      <w:r w:rsidR="007E30A9">
        <w:rPr>
          <w:sz w:val="26"/>
          <w:szCs w:val="26"/>
        </w:rPr>
        <w:t xml:space="preserve">matter of divining the intent of the parties with respect to the </w:t>
      </w:r>
      <w:r w:rsidR="00B23F56">
        <w:rPr>
          <w:sz w:val="26"/>
          <w:szCs w:val="26"/>
        </w:rPr>
        <w:t xml:space="preserve">contract’s </w:t>
      </w:r>
      <w:r w:rsidR="007E30A9">
        <w:rPr>
          <w:sz w:val="26"/>
          <w:szCs w:val="26"/>
        </w:rPr>
        <w:t>commencement date</w:t>
      </w:r>
      <w:r w:rsidR="00A87CBD">
        <w:rPr>
          <w:sz w:val="26"/>
          <w:szCs w:val="26"/>
        </w:rPr>
        <w:t xml:space="preserve">.  </w:t>
      </w:r>
      <w:r w:rsidR="00275FE5">
        <w:rPr>
          <w:sz w:val="26"/>
          <w:szCs w:val="26"/>
        </w:rPr>
        <w:t xml:space="preserve">Indeed, short of claiming that the facts in this case present “a circumstance in which the Commission can and should exercise jurisdiction and direct a monetary remedy” and asserting </w:t>
      </w:r>
      <w:r w:rsidR="00927675">
        <w:rPr>
          <w:sz w:val="26"/>
          <w:szCs w:val="26"/>
        </w:rPr>
        <w:t xml:space="preserve">generally </w:t>
      </w:r>
      <w:r w:rsidR="00275FE5">
        <w:rPr>
          <w:sz w:val="26"/>
          <w:szCs w:val="26"/>
        </w:rPr>
        <w:t xml:space="preserve">that the case involves UGIES’ marketing and enrollment, Exc. at 7, Green Hills </w:t>
      </w:r>
      <w:r w:rsidR="00EC14CF">
        <w:rPr>
          <w:sz w:val="26"/>
          <w:szCs w:val="26"/>
        </w:rPr>
        <w:t xml:space="preserve">cites to </w:t>
      </w:r>
      <w:r w:rsidR="00275FE5">
        <w:rPr>
          <w:sz w:val="26"/>
          <w:szCs w:val="26"/>
        </w:rPr>
        <w:t xml:space="preserve">no specific </w:t>
      </w:r>
      <w:r w:rsidR="00EC14CF">
        <w:rPr>
          <w:sz w:val="26"/>
          <w:szCs w:val="26"/>
        </w:rPr>
        <w:t>R</w:t>
      </w:r>
      <w:r w:rsidR="00275FE5">
        <w:rPr>
          <w:sz w:val="26"/>
          <w:szCs w:val="26"/>
        </w:rPr>
        <w:t xml:space="preserve">egulation or </w:t>
      </w:r>
      <w:r w:rsidR="00EC14CF">
        <w:rPr>
          <w:sz w:val="26"/>
          <w:szCs w:val="26"/>
        </w:rPr>
        <w:t>R</w:t>
      </w:r>
      <w:r w:rsidR="00275FE5">
        <w:rPr>
          <w:sz w:val="26"/>
          <w:szCs w:val="26"/>
        </w:rPr>
        <w:t xml:space="preserve">egulations it believes UGIES violated.  </w:t>
      </w:r>
      <w:r w:rsidR="00EC14CF">
        <w:rPr>
          <w:sz w:val="26"/>
          <w:szCs w:val="26"/>
        </w:rPr>
        <w:t xml:space="preserve">This </w:t>
      </w:r>
      <w:r w:rsidR="00927675">
        <w:rPr>
          <w:sz w:val="26"/>
          <w:szCs w:val="26"/>
        </w:rPr>
        <w:t xml:space="preserve">lapse </w:t>
      </w:r>
      <w:r w:rsidR="00EC14CF">
        <w:rPr>
          <w:sz w:val="26"/>
          <w:szCs w:val="26"/>
        </w:rPr>
        <w:t>is consistent with the Complainant’s pleading, in which it failed to allege that UGIES engaged in any fraudulent or deceptive marketing</w:t>
      </w:r>
      <w:r w:rsidR="00B23F56">
        <w:rPr>
          <w:sz w:val="26"/>
          <w:szCs w:val="26"/>
        </w:rPr>
        <w:t>, sales, or billing</w:t>
      </w:r>
      <w:r w:rsidR="00EC14CF">
        <w:rPr>
          <w:sz w:val="26"/>
          <w:szCs w:val="26"/>
        </w:rPr>
        <w:t xml:space="preserve">.  </w:t>
      </w:r>
      <w:r>
        <w:rPr>
          <w:sz w:val="26"/>
          <w:szCs w:val="26"/>
        </w:rPr>
        <w:t xml:space="preserve">If, as Green Hills claims, there was an error in the making of the contract, that issue is properly made before a court </w:t>
      </w:r>
      <w:r w:rsidR="009D6DCE" w:rsidRPr="009D6DCE">
        <w:rPr>
          <w:sz w:val="26"/>
          <w:szCs w:val="26"/>
        </w:rPr>
        <w:t xml:space="preserve">of </w:t>
      </w:r>
      <w:r w:rsidR="00B23F56">
        <w:rPr>
          <w:sz w:val="26"/>
          <w:szCs w:val="26"/>
        </w:rPr>
        <w:t>competent jurisdiction</w:t>
      </w:r>
      <w:r w:rsidR="009D6DCE" w:rsidRPr="009D6DCE">
        <w:rPr>
          <w:sz w:val="26"/>
          <w:szCs w:val="26"/>
        </w:rPr>
        <w:t xml:space="preserve">, which has proper jurisdiction over </w:t>
      </w:r>
      <w:r>
        <w:rPr>
          <w:sz w:val="26"/>
          <w:szCs w:val="26"/>
        </w:rPr>
        <w:t>contract</w:t>
      </w:r>
      <w:r w:rsidR="00115446">
        <w:rPr>
          <w:sz w:val="26"/>
          <w:szCs w:val="26"/>
        </w:rPr>
        <w:t xml:space="preserve"> and</w:t>
      </w:r>
      <w:r>
        <w:rPr>
          <w:sz w:val="26"/>
          <w:szCs w:val="26"/>
        </w:rPr>
        <w:t xml:space="preserve"> </w:t>
      </w:r>
      <w:r w:rsidR="009D6DCE" w:rsidRPr="009D6DCE">
        <w:rPr>
          <w:sz w:val="26"/>
          <w:szCs w:val="26"/>
        </w:rPr>
        <w:t xml:space="preserve">tort claims.  </w:t>
      </w:r>
      <w:r w:rsidR="00D74376" w:rsidRPr="00D74376">
        <w:rPr>
          <w:i/>
          <w:sz w:val="26"/>
          <w:szCs w:val="26"/>
        </w:rPr>
        <w:t xml:space="preserve">Elkin v. </w:t>
      </w:r>
      <w:r w:rsidR="00A4704C">
        <w:rPr>
          <w:i/>
          <w:sz w:val="26"/>
          <w:szCs w:val="26"/>
        </w:rPr>
        <w:t xml:space="preserve">The </w:t>
      </w:r>
      <w:r w:rsidR="00D74376" w:rsidRPr="00D74376">
        <w:rPr>
          <w:i/>
          <w:sz w:val="26"/>
          <w:szCs w:val="26"/>
        </w:rPr>
        <w:t>Bell Telephone Co</w:t>
      </w:r>
      <w:r w:rsidR="00A4704C">
        <w:rPr>
          <w:i/>
          <w:sz w:val="26"/>
          <w:szCs w:val="26"/>
        </w:rPr>
        <w:t>mpany of Pennsylvania</w:t>
      </w:r>
      <w:r w:rsidR="00D74376" w:rsidRPr="00D74376">
        <w:rPr>
          <w:i/>
          <w:sz w:val="26"/>
          <w:szCs w:val="26"/>
        </w:rPr>
        <w:t>,</w:t>
      </w:r>
      <w:r w:rsidR="00D74376" w:rsidRPr="00D74376">
        <w:rPr>
          <w:sz w:val="26"/>
          <w:szCs w:val="26"/>
        </w:rPr>
        <w:t xml:space="preserve"> 491 Pa. 123, 420 A.2d 371 (1980); </w:t>
      </w:r>
      <w:r w:rsidR="00D74376" w:rsidRPr="00D74376">
        <w:rPr>
          <w:i/>
          <w:sz w:val="26"/>
          <w:szCs w:val="26"/>
        </w:rPr>
        <w:t>Feingold</w:t>
      </w:r>
      <w:r w:rsidR="009D6DCE">
        <w:rPr>
          <w:sz w:val="26"/>
          <w:szCs w:val="26"/>
        </w:rPr>
        <w:t xml:space="preserve">; </w:t>
      </w:r>
      <w:r w:rsidR="009D6DCE" w:rsidRPr="009D6DCE">
        <w:rPr>
          <w:i/>
          <w:sz w:val="26"/>
          <w:szCs w:val="26"/>
        </w:rPr>
        <w:t>Smith v. PECO Energy Co.</w:t>
      </w:r>
      <w:r w:rsidR="009D6DCE" w:rsidRPr="009D6DCE">
        <w:rPr>
          <w:sz w:val="26"/>
          <w:szCs w:val="26"/>
        </w:rPr>
        <w:t>, Docket No. C</w:t>
      </w:r>
      <w:r w:rsidR="00A4704C">
        <w:rPr>
          <w:sz w:val="26"/>
          <w:szCs w:val="26"/>
        </w:rPr>
        <w:noBreakHyphen/>
      </w:r>
      <w:r w:rsidR="009D6DCE" w:rsidRPr="009D6DCE">
        <w:rPr>
          <w:sz w:val="26"/>
          <w:szCs w:val="26"/>
        </w:rPr>
        <w:t>2014-2443198 (Order entered April 23, 2015)</w:t>
      </w:r>
      <w:r w:rsidR="00D74376" w:rsidRPr="00D74376">
        <w:rPr>
          <w:sz w:val="26"/>
          <w:szCs w:val="26"/>
        </w:rPr>
        <w:t>.</w:t>
      </w:r>
    </w:p>
    <w:p w:rsidR="00E360FB" w:rsidRDefault="00E360FB" w:rsidP="00B75FC9">
      <w:pPr>
        <w:spacing w:line="360" w:lineRule="auto"/>
        <w:rPr>
          <w:sz w:val="26"/>
          <w:szCs w:val="26"/>
        </w:rPr>
      </w:pPr>
    </w:p>
    <w:p w:rsidR="003F4635" w:rsidRDefault="00C549F7" w:rsidP="00C549F7">
      <w:pPr>
        <w:spacing w:line="360" w:lineRule="auto"/>
        <w:ind w:firstLine="1440"/>
        <w:rPr>
          <w:bCs/>
          <w:sz w:val="26"/>
          <w:szCs w:val="26"/>
          <w:lang w:bidi="en-US"/>
        </w:rPr>
      </w:pPr>
      <w:r w:rsidRPr="00C549F7">
        <w:rPr>
          <w:bCs/>
          <w:sz w:val="26"/>
          <w:szCs w:val="26"/>
          <w:lang w:bidi="en-US"/>
        </w:rPr>
        <w:t>Even were we to find that the alleged error in the contract</w:t>
      </w:r>
      <w:r w:rsidR="00512F03">
        <w:rPr>
          <w:bCs/>
          <w:sz w:val="26"/>
          <w:szCs w:val="26"/>
          <w:lang w:bidi="en-US"/>
        </w:rPr>
        <w:t>’s commencement date</w:t>
      </w:r>
      <w:r w:rsidRPr="00C549F7">
        <w:rPr>
          <w:bCs/>
          <w:sz w:val="26"/>
          <w:szCs w:val="26"/>
          <w:lang w:bidi="en-US"/>
        </w:rPr>
        <w:t xml:space="preserve"> was a matter within our jurisdiction, we are not convinced, upon review of the evidence presented, that Green Hills carried the burden of proof necessary to sustain its Complaint.  </w:t>
      </w:r>
      <w:r w:rsidR="003F4635">
        <w:rPr>
          <w:bCs/>
          <w:sz w:val="26"/>
          <w:szCs w:val="26"/>
          <w:lang w:bidi="en-US"/>
        </w:rPr>
        <w:t>A</w:t>
      </w:r>
      <w:r w:rsidRPr="00C549F7">
        <w:rPr>
          <w:bCs/>
          <w:sz w:val="26"/>
          <w:szCs w:val="26"/>
          <w:lang w:bidi="en-US"/>
        </w:rPr>
        <w:t>lthough Green Hills contends that UGIES witness McCormick assured that he would provide a “smooth transition,” UGIES responds</w:t>
      </w:r>
      <w:r w:rsidR="003F4635">
        <w:rPr>
          <w:bCs/>
          <w:sz w:val="26"/>
          <w:szCs w:val="26"/>
          <w:lang w:bidi="en-US"/>
        </w:rPr>
        <w:t xml:space="preserve"> that </w:t>
      </w:r>
      <w:r w:rsidRPr="00C549F7">
        <w:rPr>
          <w:bCs/>
          <w:sz w:val="26"/>
          <w:szCs w:val="26"/>
          <w:lang w:bidi="en-US"/>
        </w:rPr>
        <w:t xml:space="preserve">Mr. McCormick could not recall whether he used those words.  UGIES R. Exc. at 3 n.1.  Further, Green Hills argues that Messrs. Brendlen and Schmincke both testified from their recollection that UGIES agreed to undertake confirmation of the termination date of Green Hills’ contract with Liberty.  Exc. at </w:t>
      </w:r>
      <w:r w:rsidR="00A87CBD">
        <w:rPr>
          <w:bCs/>
          <w:sz w:val="26"/>
          <w:szCs w:val="26"/>
          <w:lang w:bidi="en-US"/>
        </w:rPr>
        <w:t>3</w:t>
      </w:r>
      <w:r w:rsidRPr="00C549F7">
        <w:rPr>
          <w:bCs/>
          <w:sz w:val="26"/>
          <w:szCs w:val="26"/>
          <w:lang w:bidi="en-US"/>
        </w:rPr>
        <w:t xml:space="preserve"> (citing Tr. at </w:t>
      </w:r>
      <w:r w:rsidR="00A87CBD">
        <w:rPr>
          <w:bCs/>
          <w:sz w:val="26"/>
          <w:szCs w:val="26"/>
          <w:lang w:bidi="en-US"/>
        </w:rPr>
        <w:t>11-12, 38</w:t>
      </w:r>
      <w:r w:rsidRPr="00C549F7">
        <w:rPr>
          <w:bCs/>
          <w:sz w:val="26"/>
          <w:szCs w:val="26"/>
          <w:lang w:bidi="en-US"/>
        </w:rPr>
        <w:t>).  However, as UGIES</w:t>
      </w:r>
      <w:r w:rsidR="005E07E5">
        <w:rPr>
          <w:bCs/>
          <w:sz w:val="26"/>
          <w:szCs w:val="26"/>
          <w:lang w:bidi="en-US"/>
        </w:rPr>
        <w:t>’</w:t>
      </w:r>
      <w:r w:rsidRPr="00C549F7">
        <w:rPr>
          <w:bCs/>
          <w:sz w:val="26"/>
          <w:szCs w:val="26"/>
          <w:lang w:bidi="en-US"/>
        </w:rPr>
        <w:t xml:space="preserve"> witness McCormick testified in response, it was not within UGIES’ </w:t>
      </w:r>
      <w:r w:rsidR="005E07E5">
        <w:rPr>
          <w:bCs/>
          <w:sz w:val="26"/>
          <w:szCs w:val="26"/>
          <w:lang w:bidi="en-US"/>
        </w:rPr>
        <w:t>authority</w:t>
      </w:r>
      <w:r w:rsidRPr="00C549F7">
        <w:rPr>
          <w:bCs/>
          <w:sz w:val="26"/>
          <w:szCs w:val="26"/>
          <w:lang w:bidi="en-US"/>
        </w:rPr>
        <w:t xml:space="preserve"> to contact another supplier to determine information relative to that supplier’s contract with Green Hills.  Tr. at </w:t>
      </w:r>
      <w:r w:rsidR="005E07E5">
        <w:rPr>
          <w:bCs/>
          <w:sz w:val="26"/>
          <w:szCs w:val="26"/>
          <w:lang w:bidi="en-US"/>
        </w:rPr>
        <w:t>51-52</w:t>
      </w:r>
      <w:r w:rsidRPr="00C549F7">
        <w:rPr>
          <w:bCs/>
          <w:sz w:val="26"/>
          <w:szCs w:val="26"/>
          <w:lang w:bidi="en-US"/>
        </w:rPr>
        <w:t xml:space="preserve">.  </w:t>
      </w:r>
    </w:p>
    <w:p w:rsidR="003F4635" w:rsidRDefault="003F4635" w:rsidP="00C549F7">
      <w:pPr>
        <w:spacing w:line="360" w:lineRule="auto"/>
        <w:ind w:firstLine="1440"/>
        <w:rPr>
          <w:bCs/>
          <w:sz w:val="26"/>
          <w:szCs w:val="26"/>
          <w:lang w:bidi="en-US"/>
        </w:rPr>
      </w:pPr>
    </w:p>
    <w:p w:rsidR="00FE602C" w:rsidRDefault="00C549F7" w:rsidP="00C549F7">
      <w:pPr>
        <w:spacing w:line="360" w:lineRule="auto"/>
        <w:ind w:firstLine="1440"/>
        <w:rPr>
          <w:bCs/>
          <w:sz w:val="26"/>
          <w:szCs w:val="26"/>
          <w:lang w:bidi="en-US"/>
        </w:rPr>
      </w:pPr>
      <w:r w:rsidRPr="00C549F7">
        <w:rPr>
          <w:bCs/>
          <w:sz w:val="26"/>
          <w:szCs w:val="26"/>
          <w:lang w:bidi="en-US"/>
        </w:rPr>
        <w:t>UGIES</w:t>
      </w:r>
      <w:r w:rsidR="005E07E5">
        <w:rPr>
          <w:bCs/>
          <w:sz w:val="26"/>
          <w:szCs w:val="26"/>
          <w:lang w:bidi="en-US"/>
        </w:rPr>
        <w:t>’</w:t>
      </w:r>
      <w:r w:rsidRPr="00C549F7">
        <w:rPr>
          <w:bCs/>
          <w:sz w:val="26"/>
          <w:szCs w:val="26"/>
          <w:lang w:bidi="en-US"/>
        </w:rPr>
        <w:t xml:space="preserve"> witness McCormick stated that he prepared the MPSA</w:t>
      </w:r>
      <w:r w:rsidR="00512F03">
        <w:rPr>
          <w:bCs/>
          <w:sz w:val="26"/>
          <w:szCs w:val="26"/>
          <w:lang w:bidi="en-US"/>
        </w:rPr>
        <w:t>’s Confirmation Agreements’</w:t>
      </w:r>
      <w:r w:rsidRPr="00C549F7">
        <w:rPr>
          <w:bCs/>
          <w:sz w:val="26"/>
          <w:szCs w:val="26"/>
          <w:lang w:bidi="en-US"/>
        </w:rPr>
        <w:t xml:space="preserve"> initiation dates to correspond with the Liberty termination date provided by Mr. Brendlen and matched Green Hills’ electric distribution company’s billing cycles</w:t>
      </w:r>
      <w:r w:rsidR="005E07E5">
        <w:rPr>
          <w:bCs/>
          <w:sz w:val="26"/>
          <w:szCs w:val="26"/>
          <w:lang w:bidi="en-US"/>
        </w:rPr>
        <w:t xml:space="preserve"> based upon Green Hills’ representations that the Complainant required a January 2014 start date</w:t>
      </w:r>
      <w:r w:rsidRPr="00C549F7">
        <w:rPr>
          <w:bCs/>
          <w:sz w:val="26"/>
          <w:szCs w:val="26"/>
          <w:lang w:bidi="en-US"/>
        </w:rPr>
        <w:t xml:space="preserve">.  Tr. at </w:t>
      </w:r>
      <w:r w:rsidR="005E07E5">
        <w:rPr>
          <w:bCs/>
          <w:sz w:val="26"/>
          <w:szCs w:val="26"/>
          <w:lang w:bidi="en-US"/>
        </w:rPr>
        <w:t>47-51</w:t>
      </w:r>
      <w:r w:rsidRPr="00C549F7">
        <w:rPr>
          <w:bCs/>
          <w:sz w:val="26"/>
          <w:szCs w:val="26"/>
          <w:lang w:bidi="en-US"/>
        </w:rPr>
        <w:t xml:space="preserve">.  </w:t>
      </w:r>
      <w:r w:rsidR="005E07E5">
        <w:rPr>
          <w:bCs/>
          <w:sz w:val="26"/>
          <w:szCs w:val="26"/>
          <w:lang w:bidi="en-US"/>
        </w:rPr>
        <w:t xml:space="preserve">Mr. McCormick also testified that it was clear to him that Green Hills had a history of shopping, “so when [Mr. Brendlen] said January start, I relied on his communication to me.”  Tr. at 61-62.  </w:t>
      </w:r>
      <w:r w:rsidR="00FE602C">
        <w:rPr>
          <w:bCs/>
          <w:sz w:val="26"/>
          <w:szCs w:val="26"/>
          <w:lang w:bidi="en-US"/>
        </w:rPr>
        <w:t xml:space="preserve">Based upon the contradictory but equally </w:t>
      </w:r>
      <w:r w:rsidR="00512F03">
        <w:rPr>
          <w:bCs/>
          <w:sz w:val="26"/>
          <w:szCs w:val="26"/>
          <w:lang w:bidi="en-US"/>
        </w:rPr>
        <w:t xml:space="preserve">credible </w:t>
      </w:r>
      <w:r w:rsidR="00FE602C">
        <w:rPr>
          <w:bCs/>
          <w:sz w:val="26"/>
          <w:szCs w:val="26"/>
          <w:lang w:bidi="en-US"/>
        </w:rPr>
        <w:t xml:space="preserve">evidence provided by both </w:t>
      </w:r>
      <w:r w:rsidR="00EF1D7B">
        <w:rPr>
          <w:bCs/>
          <w:sz w:val="26"/>
          <w:szCs w:val="26"/>
          <w:lang w:bidi="en-US"/>
        </w:rPr>
        <w:t>parties</w:t>
      </w:r>
      <w:r w:rsidR="00FE602C">
        <w:rPr>
          <w:bCs/>
          <w:sz w:val="26"/>
          <w:szCs w:val="26"/>
          <w:lang w:bidi="en-US"/>
        </w:rPr>
        <w:t xml:space="preserve">, we cannot conclude that Green Hills </w:t>
      </w:r>
      <w:r w:rsidR="00A254DD">
        <w:rPr>
          <w:bCs/>
          <w:sz w:val="26"/>
          <w:szCs w:val="26"/>
          <w:lang w:bidi="en-US"/>
        </w:rPr>
        <w:t xml:space="preserve">has provided evidence sufficient to carry its </w:t>
      </w:r>
      <w:r w:rsidR="00FE602C">
        <w:rPr>
          <w:bCs/>
          <w:sz w:val="26"/>
          <w:szCs w:val="26"/>
          <w:lang w:bidi="en-US"/>
        </w:rPr>
        <w:t>burden of pro</w:t>
      </w:r>
      <w:r w:rsidR="00512F03">
        <w:rPr>
          <w:bCs/>
          <w:sz w:val="26"/>
          <w:szCs w:val="26"/>
          <w:lang w:bidi="en-US"/>
        </w:rPr>
        <w:t>ving fraudulent activity</w:t>
      </w:r>
      <w:r w:rsidR="00A254DD">
        <w:rPr>
          <w:bCs/>
          <w:sz w:val="26"/>
          <w:szCs w:val="26"/>
          <w:lang w:bidi="en-US"/>
        </w:rPr>
        <w:t>.</w:t>
      </w:r>
    </w:p>
    <w:p w:rsidR="00FE602C" w:rsidRDefault="00FE602C" w:rsidP="00C549F7">
      <w:pPr>
        <w:spacing w:line="360" w:lineRule="auto"/>
        <w:ind w:firstLine="1440"/>
        <w:rPr>
          <w:bCs/>
          <w:sz w:val="26"/>
          <w:szCs w:val="26"/>
          <w:lang w:bidi="en-US"/>
        </w:rPr>
      </w:pPr>
    </w:p>
    <w:p w:rsidR="00AD1BF9" w:rsidRDefault="00FE602C" w:rsidP="00C549F7">
      <w:pPr>
        <w:spacing w:line="360" w:lineRule="auto"/>
        <w:ind w:firstLine="1440"/>
        <w:rPr>
          <w:bCs/>
          <w:sz w:val="26"/>
          <w:szCs w:val="26"/>
          <w:lang w:bidi="en-US"/>
        </w:rPr>
      </w:pPr>
      <w:r>
        <w:rPr>
          <w:bCs/>
          <w:sz w:val="26"/>
          <w:szCs w:val="26"/>
          <w:lang w:bidi="en-US"/>
        </w:rPr>
        <w:t>In addition, we cannot overlook the fact that t</w:t>
      </w:r>
      <w:r w:rsidR="00C549F7" w:rsidRPr="00C549F7">
        <w:rPr>
          <w:bCs/>
          <w:sz w:val="26"/>
          <w:szCs w:val="26"/>
          <w:lang w:bidi="en-US"/>
        </w:rPr>
        <w:t xml:space="preserve">he Confirmation Agreements </w:t>
      </w:r>
      <w:r w:rsidR="00EF1D7B" w:rsidRPr="00EF1D7B">
        <w:rPr>
          <w:bCs/>
          <w:sz w:val="26"/>
          <w:szCs w:val="26"/>
          <w:lang w:bidi="en-US"/>
        </w:rPr>
        <w:t xml:space="preserve">accompanying </w:t>
      </w:r>
      <w:r w:rsidR="00EF1D7B">
        <w:rPr>
          <w:bCs/>
          <w:sz w:val="26"/>
          <w:szCs w:val="26"/>
          <w:lang w:bidi="en-US"/>
        </w:rPr>
        <w:t xml:space="preserve">the </w:t>
      </w:r>
      <w:r w:rsidR="00EF1D7B" w:rsidRPr="00EF1D7B">
        <w:rPr>
          <w:bCs/>
          <w:sz w:val="26"/>
          <w:szCs w:val="26"/>
          <w:lang w:bidi="en-US"/>
        </w:rPr>
        <w:t xml:space="preserve">MPSA </w:t>
      </w:r>
      <w:r>
        <w:rPr>
          <w:bCs/>
          <w:sz w:val="26"/>
          <w:szCs w:val="26"/>
          <w:lang w:bidi="en-US"/>
        </w:rPr>
        <w:t>contained s</w:t>
      </w:r>
      <w:r w:rsidR="00C549F7" w:rsidRPr="00C549F7">
        <w:rPr>
          <w:bCs/>
          <w:sz w:val="26"/>
          <w:szCs w:val="26"/>
          <w:lang w:bidi="en-US"/>
        </w:rPr>
        <w:t>pecific start date</w:t>
      </w:r>
      <w:r>
        <w:rPr>
          <w:bCs/>
          <w:sz w:val="26"/>
          <w:szCs w:val="26"/>
          <w:lang w:bidi="en-US"/>
        </w:rPr>
        <w:t>s</w:t>
      </w:r>
      <w:r w:rsidR="00C549F7" w:rsidRPr="00C549F7">
        <w:rPr>
          <w:bCs/>
          <w:sz w:val="26"/>
          <w:szCs w:val="26"/>
          <w:lang w:bidi="en-US"/>
        </w:rPr>
        <w:t xml:space="preserve"> for each of Green Hills’ four accounts</w:t>
      </w:r>
      <w:r w:rsidR="00EF1D7B">
        <w:rPr>
          <w:bCs/>
          <w:sz w:val="26"/>
          <w:szCs w:val="26"/>
          <w:lang w:bidi="en-US"/>
        </w:rPr>
        <w:t>.  Those start dates were not buried in “fine print” as Green Hills asserts.  They were plainly visible</w:t>
      </w:r>
      <w:r w:rsidR="002F568A">
        <w:rPr>
          <w:bCs/>
          <w:sz w:val="26"/>
          <w:szCs w:val="26"/>
          <w:lang w:bidi="en-US"/>
        </w:rPr>
        <w:t xml:space="preserve"> on the upper </w:t>
      </w:r>
      <w:r w:rsidR="00EF1D7B">
        <w:rPr>
          <w:bCs/>
          <w:sz w:val="26"/>
          <w:szCs w:val="26"/>
          <w:lang w:bidi="en-US"/>
        </w:rPr>
        <w:t xml:space="preserve">half page of each Confirmation Agreement.  </w:t>
      </w:r>
      <w:r w:rsidR="00EF1D7B">
        <w:rPr>
          <w:bCs/>
          <w:i/>
          <w:sz w:val="26"/>
          <w:szCs w:val="26"/>
          <w:lang w:bidi="en-US"/>
        </w:rPr>
        <w:t xml:space="preserve">See </w:t>
      </w:r>
      <w:r w:rsidR="00FF056A">
        <w:rPr>
          <w:bCs/>
          <w:sz w:val="26"/>
          <w:szCs w:val="26"/>
          <w:lang w:bidi="en-US"/>
        </w:rPr>
        <w:t>Complainant’s</w:t>
      </w:r>
      <w:r w:rsidR="00EF1D7B">
        <w:rPr>
          <w:bCs/>
          <w:sz w:val="26"/>
          <w:szCs w:val="26"/>
          <w:lang w:bidi="en-US"/>
        </w:rPr>
        <w:t xml:space="preserve"> Ex. </w:t>
      </w:r>
      <w:r w:rsidR="00FF056A">
        <w:rPr>
          <w:bCs/>
          <w:sz w:val="26"/>
          <w:szCs w:val="26"/>
          <w:lang w:bidi="en-US"/>
        </w:rPr>
        <w:t>1</w:t>
      </w:r>
      <w:r w:rsidR="00EF1D7B">
        <w:rPr>
          <w:bCs/>
          <w:sz w:val="26"/>
          <w:szCs w:val="26"/>
          <w:lang w:bidi="en-US"/>
        </w:rPr>
        <w:t xml:space="preserve">.  Moreover, </w:t>
      </w:r>
      <w:r>
        <w:rPr>
          <w:bCs/>
          <w:sz w:val="26"/>
          <w:szCs w:val="26"/>
          <w:lang w:bidi="en-US"/>
        </w:rPr>
        <w:t>th</w:t>
      </w:r>
      <w:r w:rsidR="00512F03">
        <w:rPr>
          <w:bCs/>
          <w:sz w:val="26"/>
          <w:szCs w:val="26"/>
          <w:lang w:bidi="en-US"/>
        </w:rPr>
        <w:t>o</w:t>
      </w:r>
      <w:r>
        <w:rPr>
          <w:bCs/>
          <w:sz w:val="26"/>
          <w:szCs w:val="26"/>
          <w:lang w:bidi="en-US"/>
        </w:rPr>
        <w:t xml:space="preserve">se documents were </w:t>
      </w:r>
      <w:r w:rsidR="00C549F7" w:rsidRPr="00C549F7">
        <w:rPr>
          <w:bCs/>
          <w:sz w:val="26"/>
          <w:szCs w:val="26"/>
          <w:lang w:bidi="en-US"/>
        </w:rPr>
        <w:t xml:space="preserve">provided to Green Hills four months in advance of the </w:t>
      </w:r>
      <w:r>
        <w:rPr>
          <w:bCs/>
          <w:sz w:val="26"/>
          <w:szCs w:val="26"/>
          <w:lang w:bidi="en-US"/>
        </w:rPr>
        <w:t xml:space="preserve">end date of the </w:t>
      </w:r>
      <w:r w:rsidR="00C549F7" w:rsidRPr="00C549F7">
        <w:rPr>
          <w:bCs/>
          <w:sz w:val="26"/>
          <w:szCs w:val="26"/>
          <w:lang w:bidi="en-US"/>
        </w:rPr>
        <w:t xml:space="preserve">Liberty </w:t>
      </w:r>
      <w:r>
        <w:rPr>
          <w:bCs/>
          <w:sz w:val="26"/>
          <w:szCs w:val="26"/>
          <w:lang w:bidi="en-US"/>
        </w:rPr>
        <w:t>contract</w:t>
      </w:r>
      <w:r w:rsidR="00FF056A">
        <w:rPr>
          <w:bCs/>
          <w:sz w:val="26"/>
          <w:szCs w:val="26"/>
          <w:lang w:bidi="en-US"/>
        </w:rPr>
        <w:t>,</w:t>
      </w:r>
      <w:r w:rsidR="00512F03">
        <w:rPr>
          <w:bCs/>
          <w:sz w:val="26"/>
          <w:szCs w:val="26"/>
          <w:lang w:bidi="en-US"/>
        </w:rPr>
        <w:t xml:space="preserve"> yet</w:t>
      </w:r>
      <w:r>
        <w:rPr>
          <w:bCs/>
          <w:sz w:val="26"/>
          <w:szCs w:val="26"/>
          <w:lang w:bidi="en-US"/>
        </w:rPr>
        <w:t xml:space="preserve"> Green Hills undert</w:t>
      </w:r>
      <w:r w:rsidR="00512F03">
        <w:rPr>
          <w:bCs/>
          <w:sz w:val="26"/>
          <w:szCs w:val="26"/>
          <w:lang w:bidi="en-US"/>
        </w:rPr>
        <w:t>ook</w:t>
      </w:r>
      <w:r>
        <w:rPr>
          <w:bCs/>
          <w:sz w:val="26"/>
          <w:szCs w:val="26"/>
          <w:lang w:bidi="en-US"/>
        </w:rPr>
        <w:t xml:space="preserve"> no </w:t>
      </w:r>
      <w:r>
        <w:rPr>
          <w:bCs/>
          <w:sz w:val="26"/>
          <w:szCs w:val="26"/>
          <w:lang w:bidi="en-US"/>
        </w:rPr>
        <w:lastRenderedPageBreak/>
        <w:t xml:space="preserve">effort to verify </w:t>
      </w:r>
      <w:r w:rsidR="00512F03">
        <w:rPr>
          <w:bCs/>
          <w:sz w:val="26"/>
          <w:szCs w:val="26"/>
          <w:lang w:bidi="en-US"/>
        </w:rPr>
        <w:t>that</w:t>
      </w:r>
      <w:r>
        <w:rPr>
          <w:bCs/>
          <w:sz w:val="26"/>
          <w:szCs w:val="26"/>
          <w:lang w:bidi="en-US"/>
        </w:rPr>
        <w:t xml:space="preserve"> the proposed start dates</w:t>
      </w:r>
      <w:r w:rsidR="00512F03">
        <w:rPr>
          <w:bCs/>
          <w:sz w:val="26"/>
          <w:szCs w:val="26"/>
          <w:lang w:bidi="en-US"/>
        </w:rPr>
        <w:t xml:space="preserve"> </w:t>
      </w:r>
      <w:r w:rsidR="00EF1D7B">
        <w:rPr>
          <w:bCs/>
          <w:sz w:val="26"/>
          <w:szCs w:val="26"/>
          <w:lang w:bidi="en-US"/>
        </w:rPr>
        <w:t>were accurately in line with the end of its fixed Liberty supply</w:t>
      </w:r>
      <w:r>
        <w:rPr>
          <w:bCs/>
          <w:sz w:val="26"/>
          <w:szCs w:val="26"/>
          <w:lang w:bidi="en-US"/>
        </w:rPr>
        <w:t>.</w:t>
      </w:r>
      <w:r w:rsidR="00C549F7" w:rsidRPr="00C549F7">
        <w:rPr>
          <w:bCs/>
          <w:sz w:val="26"/>
          <w:szCs w:val="26"/>
          <w:lang w:bidi="en-US"/>
        </w:rPr>
        <w:t xml:space="preserve">  While Green Hills contends it was UGIES</w:t>
      </w:r>
      <w:r w:rsidR="001C3318">
        <w:rPr>
          <w:bCs/>
          <w:sz w:val="26"/>
          <w:szCs w:val="26"/>
          <w:lang w:bidi="en-US"/>
        </w:rPr>
        <w:t>’</w:t>
      </w:r>
      <w:r w:rsidR="00C549F7" w:rsidRPr="00C549F7">
        <w:rPr>
          <w:bCs/>
          <w:sz w:val="26"/>
          <w:szCs w:val="26"/>
          <w:lang w:bidi="en-US"/>
        </w:rPr>
        <w:t xml:space="preserve"> obligation to confirm that date, and it could have simply done so by asking Green Hills for the contract, Green Hills </w:t>
      </w:r>
      <w:r>
        <w:rPr>
          <w:bCs/>
          <w:sz w:val="26"/>
          <w:szCs w:val="26"/>
          <w:lang w:bidi="en-US"/>
        </w:rPr>
        <w:t xml:space="preserve">was in possession of </w:t>
      </w:r>
      <w:r w:rsidR="00C549F7" w:rsidRPr="00C549F7">
        <w:rPr>
          <w:bCs/>
          <w:sz w:val="26"/>
          <w:szCs w:val="26"/>
          <w:lang w:bidi="en-US"/>
        </w:rPr>
        <w:t>that Liberty contract</w:t>
      </w:r>
      <w:r>
        <w:rPr>
          <w:bCs/>
          <w:sz w:val="26"/>
          <w:szCs w:val="26"/>
          <w:lang w:bidi="en-US"/>
        </w:rPr>
        <w:t xml:space="preserve">.  </w:t>
      </w:r>
      <w:r w:rsidR="0064743F">
        <w:rPr>
          <w:bCs/>
          <w:sz w:val="26"/>
          <w:szCs w:val="26"/>
          <w:lang w:bidi="en-US"/>
        </w:rPr>
        <w:t xml:space="preserve">Green Hills’ witness </w:t>
      </w:r>
      <w:r>
        <w:rPr>
          <w:bCs/>
          <w:sz w:val="26"/>
          <w:szCs w:val="26"/>
          <w:lang w:bidi="en-US"/>
        </w:rPr>
        <w:t>Brendlen</w:t>
      </w:r>
      <w:r w:rsidR="00512F03">
        <w:rPr>
          <w:bCs/>
          <w:sz w:val="26"/>
          <w:szCs w:val="26"/>
          <w:lang w:bidi="en-US"/>
        </w:rPr>
        <w:t xml:space="preserve"> testified that he is</w:t>
      </w:r>
      <w:r w:rsidR="0064743F">
        <w:rPr>
          <w:bCs/>
          <w:sz w:val="26"/>
          <w:szCs w:val="26"/>
          <w:lang w:bidi="en-US"/>
        </w:rPr>
        <w:t xml:space="preserve"> Green Hills’ Financial Services Director who is responsible for overseeing accounting and entering into contracts but whose daily responsibilities do not include shopping for electricity</w:t>
      </w:r>
      <w:r w:rsidR="00512F03">
        <w:rPr>
          <w:bCs/>
          <w:sz w:val="26"/>
          <w:szCs w:val="26"/>
          <w:lang w:bidi="en-US"/>
        </w:rPr>
        <w:t xml:space="preserve">.  </w:t>
      </w:r>
      <w:r w:rsidR="0064743F">
        <w:rPr>
          <w:bCs/>
          <w:sz w:val="26"/>
          <w:szCs w:val="26"/>
          <w:lang w:bidi="en-US"/>
        </w:rPr>
        <w:t xml:space="preserve">Tr. at 6-7, </w:t>
      </w:r>
      <w:r w:rsidR="003A7DCE">
        <w:rPr>
          <w:bCs/>
          <w:sz w:val="26"/>
          <w:szCs w:val="26"/>
          <w:lang w:bidi="en-US"/>
        </w:rPr>
        <w:t>21</w:t>
      </w:r>
      <w:r w:rsidR="00512F03">
        <w:rPr>
          <w:bCs/>
          <w:sz w:val="26"/>
          <w:szCs w:val="26"/>
          <w:lang w:bidi="en-US"/>
        </w:rPr>
        <w:t>.  Even if he</w:t>
      </w:r>
      <w:r>
        <w:rPr>
          <w:bCs/>
          <w:sz w:val="26"/>
          <w:szCs w:val="26"/>
          <w:lang w:bidi="en-US"/>
        </w:rPr>
        <w:t xml:space="preserve"> did not consider himself an experienced shopper, clearly someone at Green Hills could </w:t>
      </w:r>
      <w:r w:rsidR="00C549F7" w:rsidRPr="00C549F7">
        <w:rPr>
          <w:bCs/>
          <w:sz w:val="26"/>
          <w:szCs w:val="26"/>
          <w:lang w:bidi="en-US"/>
        </w:rPr>
        <w:t xml:space="preserve">have easily verified the start date itself.  </w:t>
      </w:r>
      <w:r w:rsidR="003A7DCE">
        <w:rPr>
          <w:bCs/>
          <w:sz w:val="26"/>
          <w:szCs w:val="26"/>
          <w:lang w:bidi="en-US"/>
        </w:rPr>
        <w:t xml:space="preserve">Tr. at 30 (a member of Green Hills would have experience reviewing the terms of energy contracts).  </w:t>
      </w:r>
    </w:p>
    <w:p w:rsidR="00AD1BF9" w:rsidRDefault="00AD1BF9" w:rsidP="00C549F7">
      <w:pPr>
        <w:spacing w:line="360" w:lineRule="auto"/>
        <w:ind w:firstLine="1440"/>
        <w:rPr>
          <w:bCs/>
          <w:sz w:val="26"/>
          <w:szCs w:val="26"/>
          <w:lang w:bidi="en-US"/>
        </w:rPr>
      </w:pPr>
    </w:p>
    <w:p w:rsidR="00C549F7" w:rsidRPr="00C549F7" w:rsidRDefault="00512F03" w:rsidP="00C549F7">
      <w:pPr>
        <w:spacing w:line="360" w:lineRule="auto"/>
        <w:ind w:firstLine="1440"/>
        <w:rPr>
          <w:bCs/>
          <w:sz w:val="26"/>
          <w:szCs w:val="26"/>
          <w:lang w:bidi="en-US"/>
        </w:rPr>
      </w:pPr>
      <w:r>
        <w:rPr>
          <w:bCs/>
          <w:sz w:val="26"/>
          <w:szCs w:val="26"/>
          <w:lang w:bidi="en-US"/>
        </w:rPr>
        <w:t xml:space="preserve">On review of the evidence, we are compelled to </w:t>
      </w:r>
      <w:r w:rsidR="00FE602C">
        <w:rPr>
          <w:bCs/>
          <w:sz w:val="26"/>
          <w:szCs w:val="26"/>
          <w:lang w:bidi="en-US"/>
        </w:rPr>
        <w:t>agree with the ALJ</w:t>
      </w:r>
      <w:r>
        <w:rPr>
          <w:bCs/>
          <w:sz w:val="26"/>
          <w:szCs w:val="26"/>
          <w:lang w:bidi="en-US"/>
        </w:rPr>
        <w:t xml:space="preserve"> that</w:t>
      </w:r>
      <w:r w:rsidR="00FE602C">
        <w:rPr>
          <w:bCs/>
          <w:sz w:val="26"/>
          <w:szCs w:val="26"/>
          <w:lang w:bidi="en-US"/>
        </w:rPr>
        <w:t xml:space="preserve"> “[w]hile it may be argued that both Green Hills and UGIES were careless in their handling of this transaction, the Commission does not have the statutory authority to grant relief in this case.”  I.D. at 10.</w:t>
      </w:r>
    </w:p>
    <w:p w:rsidR="006F3B0F" w:rsidRDefault="006F3B0F" w:rsidP="00B75FC9">
      <w:pPr>
        <w:spacing w:line="360" w:lineRule="auto"/>
        <w:rPr>
          <w:bCs/>
          <w:sz w:val="26"/>
          <w:szCs w:val="26"/>
          <w:lang w:bidi="en-US"/>
        </w:rPr>
      </w:pPr>
    </w:p>
    <w:p w:rsidR="00BE4E3B" w:rsidRPr="005D7D09" w:rsidRDefault="009D6DCE" w:rsidP="00C549F7">
      <w:pPr>
        <w:spacing w:line="360" w:lineRule="auto"/>
        <w:ind w:firstLine="1440"/>
        <w:rPr>
          <w:sz w:val="26"/>
          <w:szCs w:val="26"/>
        </w:rPr>
      </w:pPr>
      <w:r w:rsidRPr="009D6DCE">
        <w:rPr>
          <w:bCs/>
          <w:sz w:val="26"/>
          <w:szCs w:val="26"/>
          <w:lang w:bidi="en-US"/>
        </w:rPr>
        <w:t xml:space="preserve">For these reasons, we </w:t>
      </w:r>
      <w:r w:rsidR="00CF69FF">
        <w:rPr>
          <w:bCs/>
          <w:sz w:val="26"/>
          <w:szCs w:val="26"/>
          <w:lang w:bidi="en-US"/>
        </w:rPr>
        <w:t>adopt the Initial Decision of the ALJ, as modified by our discussion herein.</w:t>
      </w:r>
    </w:p>
    <w:p w:rsidR="005D7D09" w:rsidRDefault="005D7D09" w:rsidP="00B75FC9">
      <w:pPr>
        <w:spacing w:line="360" w:lineRule="auto"/>
        <w:rPr>
          <w:sz w:val="26"/>
          <w:szCs w:val="26"/>
        </w:rPr>
      </w:pPr>
    </w:p>
    <w:p w:rsidR="00FC776E" w:rsidRPr="00FC776E" w:rsidRDefault="00FC776E" w:rsidP="00B75FC9">
      <w:pPr>
        <w:keepNext/>
        <w:spacing w:line="360" w:lineRule="auto"/>
        <w:jc w:val="center"/>
        <w:rPr>
          <w:b/>
          <w:sz w:val="26"/>
          <w:szCs w:val="26"/>
        </w:rPr>
      </w:pPr>
      <w:r w:rsidRPr="00FC776E">
        <w:rPr>
          <w:b/>
          <w:sz w:val="26"/>
          <w:szCs w:val="26"/>
        </w:rPr>
        <w:t>Conclusion</w:t>
      </w:r>
    </w:p>
    <w:p w:rsidR="00FC776E" w:rsidRPr="00FC776E" w:rsidRDefault="00FC776E" w:rsidP="00B75FC9">
      <w:pPr>
        <w:keepNext/>
        <w:spacing w:line="360" w:lineRule="auto"/>
        <w:jc w:val="center"/>
        <w:rPr>
          <w:b/>
          <w:sz w:val="26"/>
          <w:szCs w:val="26"/>
        </w:rPr>
      </w:pPr>
    </w:p>
    <w:p w:rsidR="00FC776E" w:rsidRDefault="00FC776E" w:rsidP="00EC2209">
      <w:pPr>
        <w:spacing w:line="360" w:lineRule="auto"/>
        <w:ind w:firstLine="1440"/>
        <w:rPr>
          <w:b/>
          <w:sz w:val="26"/>
          <w:szCs w:val="26"/>
        </w:rPr>
      </w:pPr>
      <w:r w:rsidRPr="00FC776E">
        <w:rPr>
          <w:sz w:val="26"/>
          <w:szCs w:val="26"/>
        </w:rPr>
        <w:t xml:space="preserve">For the </w:t>
      </w:r>
      <w:r w:rsidR="00C648FC">
        <w:rPr>
          <w:sz w:val="26"/>
          <w:szCs w:val="26"/>
        </w:rPr>
        <w:t xml:space="preserve">foregoing reasons, </w:t>
      </w:r>
      <w:r w:rsidR="00D8200D">
        <w:rPr>
          <w:sz w:val="26"/>
          <w:szCs w:val="26"/>
        </w:rPr>
        <w:t>we will</w:t>
      </w:r>
      <w:r w:rsidR="00A21193">
        <w:rPr>
          <w:sz w:val="26"/>
          <w:szCs w:val="26"/>
        </w:rPr>
        <w:t xml:space="preserve"> </w:t>
      </w:r>
      <w:r w:rsidR="00A21193" w:rsidRPr="00A21193">
        <w:rPr>
          <w:sz w:val="26"/>
          <w:szCs w:val="26"/>
        </w:rPr>
        <w:t>adopt the Initial Decision of the Administrative Law Judge</w:t>
      </w:r>
      <w:r w:rsidR="00A6165D">
        <w:rPr>
          <w:sz w:val="26"/>
          <w:szCs w:val="26"/>
        </w:rPr>
        <w:t xml:space="preserve"> as modified herein</w:t>
      </w:r>
      <w:r w:rsidR="00A21193" w:rsidRPr="00A21193">
        <w:rPr>
          <w:sz w:val="26"/>
          <w:szCs w:val="26"/>
        </w:rPr>
        <w:t xml:space="preserve">, deny the Exceptions of </w:t>
      </w:r>
      <w:r w:rsidR="00EC2209">
        <w:rPr>
          <w:sz w:val="26"/>
          <w:szCs w:val="26"/>
        </w:rPr>
        <w:t>Green Hills</w:t>
      </w:r>
      <w:r w:rsidR="00A21193" w:rsidRPr="00A21193">
        <w:rPr>
          <w:sz w:val="26"/>
          <w:szCs w:val="26"/>
        </w:rPr>
        <w:t xml:space="preserve">, and </w:t>
      </w:r>
      <w:r w:rsidR="008B1ABF">
        <w:rPr>
          <w:sz w:val="26"/>
          <w:szCs w:val="26"/>
        </w:rPr>
        <w:t>dismiss</w:t>
      </w:r>
      <w:r w:rsidR="00A21193" w:rsidRPr="00A21193">
        <w:rPr>
          <w:sz w:val="26"/>
          <w:szCs w:val="26"/>
        </w:rPr>
        <w:t xml:space="preserve"> the Complaint</w:t>
      </w:r>
      <w:r w:rsidR="000F689F">
        <w:rPr>
          <w:sz w:val="26"/>
          <w:szCs w:val="26"/>
        </w:rPr>
        <w:t>,</w:t>
      </w:r>
      <w:r w:rsidR="004D1308">
        <w:rPr>
          <w:sz w:val="26"/>
          <w:szCs w:val="26"/>
        </w:rPr>
        <w:t xml:space="preserve"> </w:t>
      </w:r>
      <w:r w:rsidR="000F689F">
        <w:rPr>
          <w:sz w:val="26"/>
          <w:szCs w:val="26"/>
        </w:rPr>
        <w:t xml:space="preserve">all consistent with this Opinion and Order; </w:t>
      </w:r>
      <w:r w:rsidR="00590E23">
        <w:rPr>
          <w:b/>
          <w:sz w:val="26"/>
          <w:szCs w:val="26"/>
        </w:rPr>
        <w:t>THEREFORE,</w:t>
      </w:r>
    </w:p>
    <w:p w:rsidR="00FC776E" w:rsidRDefault="00FC776E" w:rsidP="00B75FC9">
      <w:pPr>
        <w:spacing w:line="360" w:lineRule="auto"/>
        <w:rPr>
          <w:b/>
          <w:sz w:val="26"/>
          <w:szCs w:val="26"/>
        </w:rPr>
      </w:pPr>
    </w:p>
    <w:p w:rsidR="00FC776E" w:rsidRDefault="00CB5982" w:rsidP="00B75FC9">
      <w:pPr>
        <w:keepNext/>
        <w:spacing w:line="360" w:lineRule="auto"/>
        <w:rPr>
          <w:b/>
          <w:sz w:val="26"/>
          <w:szCs w:val="26"/>
        </w:rPr>
      </w:pPr>
      <w:r>
        <w:rPr>
          <w:b/>
          <w:sz w:val="26"/>
          <w:szCs w:val="26"/>
        </w:rPr>
        <w:t>IT IS ORDERED:</w:t>
      </w:r>
    </w:p>
    <w:p w:rsidR="0023707D" w:rsidRDefault="0023707D" w:rsidP="00B75FC9">
      <w:pPr>
        <w:keepNext/>
        <w:spacing w:line="360" w:lineRule="auto"/>
        <w:rPr>
          <w:b/>
          <w:sz w:val="26"/>
          <w:szCs w:val="26"/>
        </w:rPr>
      </w:pPr>
    </w:p>
    <w:p w:rsidR="00E65EBC" w:rsidRDefault="00590E23" w:rsidP="00AA57B7">
      <w:pPr>
        <w:spacing w:line="360" w:lineRule="auto"/>
        <w:ind w:firstLine="1440"/>
        <w:rPr>
          <w:sz w:val="26"/>
          <w:szCs w:val="26"/>
        </w:rPr>
      </w:pPr>
      <w:r>
        <w:rPr>
          <w:sz w:val="26"/>
          <w:szCs w:val="26"/>
        </w:rPr>
        <w:t>1.</w:t>
      </w:r>
      <w:r w:rsidR="0079143A">
        <w:rPr>
          <w:sz w:val="26"/>
          <w:szCs w:val="26"/>
        </w:rPr>
        <w:tab/>
      </w:r>
      <w:r>
        <w:rPr>
          <w:sz w:val="26"/>
          <w:szCs w:val="26"/>
        </w:rPr>
        <w:t xml:space="preserve">That </w:t>
      </w:r>
      <w:r w:rsidR="000B2A5C">
        <w:rPr>
          <w:sz w:val="26"/>
          <w:szCs w:val="26"/>
        </w:rPr>
        <w:t xml:space="preserve">the </w:t>
      </w:r>
      <w:r w:rsidR="004D1308">
        <w:rPr>
          <w:sz w:val="26"/>
          <w:szCs w:val="26"/>
        </w:rPr>
        <w:t xml:space="preserve">Exceptions filed by </w:t>
      </w:r>
      <w:r w:rsidR="00EC2209">
        <w:rPr>
          <w:sz w:val="26"/>
          <w:szCs w:val="26"/>
        </w:rPr>
        <w:t xml:space="preserve">Green Hills </w:t>
      </w:r>
      <w:r w:rsidR="006F3B0F">
        <w:rPr>
          <w:sz w:val="26"/>
          <w:szCs w:val="26"/>
        </w:rPr>
        <w:t xml:space="preserve">Manor </w:t>
      </w:r>
      <w:r w:rsidR="00EC2209">
        <w:rPr>
          <w:sz w:val="26"/>
          <w:szCs w:val="26"/>
        </w:rPr>
        <w:t>and The Heritage of Green Hills</w:t>
      </w:r>
      <w:r w:rsidR="00C46521">
        <w:rPr>
          <w:sz w:val="26"/>
          <w:szCs w:val="26"/>
        </w:rPr>
        <w:t xml:space="preserve"> </w:t>
      </w:r>
      <w:r w:rsidR="004D1308">
        <w:rPr>
          <w:sz w:val="26"/>
          <w:szCs w:val="26"/>
        </w:rPr>
        <w:t>on</w:t>
      </w:r>
      <w:r w:rsidR="00EC2209">
        <w:rPr>
          <w:sz w:val="26"/>
          <w:szCs w:val="26"/>
        </w:rPr>
        <w:t xml:space="preserve"> December 23, 2015,</w:t>
      </w:r>
      <w:r w:rsidR="006C0C15">
        <w:rPr>
          <w:sz w:val="26"/>
          <w:szCs w:val="26"/>
        </w:rPr>
        <w:t xml:space="preserve"> </w:t>
      </w:r>
      <w:r w:rsidR="004D1308">
        <w:rPr>
          <w:sz w:val="26"/>
          <w:szCs w:val="26"/>
        </w:rPr>
        <w:t xml:space="preserve">are </w:t>
      </w:r>
      <w:r w:rsidR="002D20AC">
        <w:rPr>
          <w:sz w:val="26"/>
          <w:szCs w:val="26"/>
        </w:rPr>
        <w:t>denied</w:t>
      </w:r>
      <w:r w:rsidR="004D1308">
        <w:rPr>
          <w:sz w:val="26"/>
          <w:szCs w:val="26"/>
        </w:rPr>
        <w:t>.</w:t>
      </w:r>
    </w:p>
    <w:p w:rsidR="00E65EBC" w:rsidRDefault="00E65EBC" w:rsidP="00B75FC9">
      <w:pPr>
        <w:spacing w:line="360" w:lineRule="auto"/>
        <w:rPr>
          <w:sz w:val="26"/>
          <w:szCs w:val="26"/>
        </w:rPr>
      </w:pPr>
    </w:p>
    <w:p w:rsidR="006C0C15" w:rsidRDefault="00E65EBC" w:rsidP="00AA57B7">
      <w:pPr>
        <w:spacing w:line="360" w:lineRule="auto"/>
        <w:ind w:firstLine="1440"/>
        <w:rPr>
          <w:sz w:val="26"/>
          <w:szCs w:val="26"/>
        </w:rPr>
      </w:pPr>
      <w:r>
        <w:rPr>
          <w:sz w:val="26"/>
          <w:szCs w:val="26"/>
        </w:rPr>
        <w:t>2.</w:t>
      </w:r>
      <w:r>
        <w:rPr>
          <w:sz w:val="26"/>
          <w:szCs w:val="26"/>
        </w:rPr>
        <w:tab/>
      </w:r>
      <w:r w:rsidR="00FA0A47">
        <w:rPr>
          <w:sz w:val="26"/>
          <w:szCs w:val="26"/>
        </w:rPr>
        <w:t xml:space="preserve">That the </w:t>
      </w:r>
      <w:r w:rsidR="004D1308">
        <w:rPr>
          <w:sz w:val="26"/>
          <w:szCs w:val="26"/>
        </w:rPr>
        <w:t>Initial Decision</w:t>
      </w:r>
      <w:r w:rsidR="00A573A6" w:rsidRPr="00A573A6">
        <w:rPr>
          <w:sz w:val="26"/>
          <w:szCs w:val="26"/>
        </w:rPr>
        <w:t xml:space="preserve"> </w:t>
      </w:r>
      <w:r w:rsidR="004D1308">
        <w:rPr>
          <w:sz w:val="26"/>
          <w:szCs w:val="26"/>
        </w:rPr>
        <w:t xml:space="preserve">of Administrative Law Judge </w:t>
      </w:r>
      <w:r w:rsidR="00EC2209">
        <w:rPr>
          <w:sz w:val="26"/>
          <w:szCs w:val="26"/>
        </w:rPr>
        <w:t>Dennis J. Buckley</w:t>
      </w:r>
      <w:r w:rsidR="006C0C15">
        <w:rPr>
          <w:sz w:val="26"/>
          <w:szCs w:val="26"/>
        </w:rPr>
        <w:t xml:space="preserve"> </w:t>
      </w:r>
      <w:r w:rsidR="00FE5E6D">
        <w:rPr>
          <w:sz w:val="26"/>
          <w:szCs w:val="26"/>
        </w:rPr>
        <w:t xml:space="preserve">issued </w:t>
      </w:r>
      <w:r w:rsidR="004D1308">
        <w:rPr>
          <w:sz w:val="26"/>
          <w:szCs w:val="26"/>
        </w:rPr>
        <w:t xml:space="preserve">on </w:t>
      </w:r>
      <w:r w:rsidR="006F3B0F">
        <w:rPr>
          <w:sz w:val="26"/>
          <w:szCs w:val="26"/>
        </w:rPr>
        <w:t xml:space="preserve">December </w:t>
      </w:r>
      <w:r w:rsidR="00EC2209">
        <w:rPr>
          <w:sz w:val="26"/>
          <w:szCs w:val="26"/>
        </w:rPr>
        <w:t>3</w:t>
      </w:r>
      <w:r w:rsidR="00EA4755">
        <w:rPr>
          <w:sz w:val="26"/>
          <w:szCs w:val="26"/>
        </w:rPr>
        <w:t xml:space="preserve">, 2015, </w:t>
      </w:r>
      <w:r w:rsidR="004D1308">
        <w:rPr>
          <w:sz w:val="26"/>
          <w:szCs w:val="26"/>
        </w:rPr>
        <w:t xml:space="preserve">is </w:t>
      </w:r>
      <w:r w:rsidR="002D20AC">
        <w:rPr>
          <w:sz w:val="26"/>
          <w:szCs w:val="26"/>
        </w:rPr>
        <w:t>adopted</w:t>
      </w:r>
      <w:r w:rsidR="00A6165D">
        <w:rPr>
          <w:sz w:val="26"/>
          <w:szCs w:val="26"/>
        </w:rPr>
        <w:t xml:space="preserve"> as modified</w:t>
      </w:r>
      <w:r w:rsidR="004D1308">
        <w:rPr>
          <w:sz w:val="26"/>
          <w:szCs w:val="26"/>
        </w:rPr>
        <w:t>.</w:t>
      </w:r>
    </w:p>
    <w:p w:rsidR="006C0C15" w:rsidRDefault="006C0C15" w:rsidP="00B75FC9">
      <w:pPr>
        <w:spacing w:line="360" w:lineRule="auto"/>
        <w:rPr>
          <w:sz w:val="26"/>
          <w:szCs w:val="26"/>
        </w:rPr>
      </w:pPr>
    </w:p>
    <w:p w:rsidR="000B2A5C" w:rsidRDefault="005B5A86" w:rsidP="00AA57B7">
      <w:pPr>
        <w:tabs>
          <w:tab w:val="left" w:pos="1440"/>
        </w:tabs>
        <w:spacing w:line="360" w:lineRule="auto"/>
        <w:ind w:firstLine="1440"/>
        <w:rPr>
          <w:sz w:val="26"/>
          <w:szCs w:val="26"/>
        </w:rPr>
      </w:pPr>
      <w:r>
        <w:rPr>
          <w:sz w:val="26"/>
          <w:szCs w:val="26"/>
        </w:rPr>
        <w:t>3</w:t>
      </w:r>
      <w:r w:rsidR="004D1308">
        <w:rPr>
          <w:sz w:val="26"/>
          <w:szCs w:val="26"/>
        </w:rPr>
        <w:t>.</w:t>
      </w:r>
      <w:r w:rsidR="004D1308">
        <w:rPr>
          <w:sz w:val="26"/>
          <w:szCs w:val="26"/>
        </w:rPr>
        <w:tab/>
      </w:r>
      <w:r w:rsidR="000B2A5C">
        <w:rPr>
          <w:sz w:val="26"/>
          <w:szCs w:val="26"/>
        </w:rPr>
        <w:t xml:space="preserve">That the </w:t>
      </w:r>
      <w:r w:rsidR="002D20AC">
        <w:rPr>
          <w:sz w:val="26"/>
          <w:szCs w:val="26"/>
        </w:rPr>
        <w:t xml:space="preserve">Formal Complaint </w:t>
      </w:r>
      <w:r w:rsidR="006C0C15">
        <w:rPr>
          <w:sz w:val="26"/>
          <w:szCs w:val="26"/>
        </w:rPr>
        <w:t xml:space="preserve">filed by </w:t>
      </w:r>
      <w:r w:rsidR="00EC2209" w:rsidRPr="00EC2209">
        <w:rPr>
          <w:sz w:val="26"/>
          <w:szCs w:val="26"/>
        </w:rPr>
        <w:t>Green Hills Manor and The Heritage of Green Hills</w:t>
      </w:r>
      <w:r w:rsidR="0023707D">
        <w:rPr>
          <w:sz w:val="26"/>
          <w:szCs w:val="26"/>
        </w:rPr>
        <w:t xml:space="preserve"> </w:t>
      </w:r>
      <w:r w:rsidR="002D20AC">
        <w:rPr>
          <w:sz w:val="26"/>
          <w:szCs w:val="26"/>
        </w:rPr>
        <w:t xml:space="preserve">against </w:t>
      </w:r>
      <w:r w:rsidR="00EC2209">
        <w:rPr>
          <w:sz w:val="26"/>
          <w:szCs w:val="26"/>
        </w:rPr>
        <w:t xml:space="preserve">UGI Energy Services, LLC </w:t>
      </w:r>
      <w:r w:rsidR="006C0C15">
        <w:rPr>
          <w:sz w:val="26"/>
          <w:szCs w:val="26"/>
        </w:rPr>
        <w:t xml:space="preserve">on </w:t>
      </w:r>
      <w:r w:rsidR="00EC2209">
        <w:rPr>
          <w:sz w:val="26"/>
          <w:szCs w:val="26"/>
        </w:rPr>
        <w:t>April 30</w:t>
      </w:r>
      <w:r w:rsidR="006C0C15">
        <w:rPr>
          <w:sz w:val="26"/>
          <w:szCs w:val="26"/>
        </w:rPr>
        <w:t xml:space="preserve">, 2014, </w:t>
      </w:r>
      <w:r w:rsidR="002D20AC">
        <w:rPr>
          <w:sz w:val="26"/>
          <w:szCs w:val="26"/>
        </w:rPr>
        <w:t>at Docket No. C-2014-24</w:t>
      </w:r>
      <w:r w:rsidR="00EC2209">
        <w:rPr>
          <w:sz w:val="26"/>
          <w:szCs w:val="26"/>
        </w:rPr>
        <w:t>20911</w:t>
      </w:r>
      <w:r w:rsidR="002D20AC">
        <w:rPr>
          <w:sz w:val="26"/>
          <w:szCs w:val="26"/>
        </w:rPr>
        <w:t xml:space="preserve"> </w:t>
      </w:r>
      <w:r w:rsidR="00EB5F4B">
        <w:rPr>
          <w:sz w:val="26"/>
          <w:szCs w:val="26"/>
        </w:rPr>
        <w:t xml:space="preserve">is </w:t>
      </w:r>
      <w:r w:rsidR="0023707D">
        <w:rPr>
          <w:sz w:val="26"/>
          <w:szCs w:val="26"/>
        </w:rPr>
        <w:t>dismissed</w:t>
      </w:r>
      <w:r w:rsidR="00EB5F4B">
        <w:rPr>
          <w:sz w:val="26"/>
          <w:szCs w:val="26"/>
        </w:rPr>
        <w:t>.</w:t>
      </w:r>
    </w:p>
    <w:p w:rsidR="007714B1" w:rsidRDefault="007714B1" w:rsidP="00B75FC9">
      <w:pPr>
        <w:tabs>
          <w:tab w:val="left" w:pos="1440"/>
        </w:tabs>
        <w:spacing w:line="360" w:lineRule="auto"/>
        <w:rPr>
          <w:sz w:val="26"/>
          <w:szCs w:val="26"/>
        </w:rPr>
      </w:pPr>
    </w:p>
    <w:p w:rsidR="003B03A6" w:rsidRDefault="0023707D" w:rsidP="00AA57B7">
      <w:pPr>
        <w:spacing w:line="360" w:lineRule="auto"/>
        <w:ind w:firstLine="1440"/>
        <w:rPr>
          <w:sz w:val="26"/>
          <w:szCs w:val="26"/>
        </w:rPr>
      </w:pPr>
      <w:r>
        <w:rPr>
          <w:sz w:val="26"/>
          <w:szCs w:val="26"/>
        </w:rPr>
        <w:t>4</w:t>
      </w:r>
      <w:r w:rsidR="002D20AC" w:rsidRPr="002D20AC">
        <w:rPr>
          <w:sz w:val="26"/>
          <w:szCs w:val="26"/>
        </w:rPr>
        <w:t>.</w:t>
      </w:r>
      <w:r w:rsidR="002D20AC" w:rsidRPr="002D20AC">
        <w:rPr>
          <w:sz w:val="26"/>
          <w:szCs w:val="26"/>
        </w:rPr>
        <w:tab/>
        <w:t>That the proceeding docketed at C-2014-</w:t>
      </w:r>
      <w:r w:rsidR="00EC2209" w:rsidRPr="00EC2209">
        <w:rPr>
          <w:sz w:val="26"/>
          <w:szCs w:val="26"/>
        </w:rPr>
        <w:t>2420911</w:t>
      </w:r>
      <w:r w:rsidR="002D20AC" w:rsidRPr="002D20AC">
        <w:rPr>
          <w:sz w:val="26"/>
          <w:szCs w:val="26"/>
        </w:rPr>
        <w:t xml:space="preserve"> be marked closed</w:t>
      </w:r>
      <w:r w:rsidR="00FA0A47" w:rsidRPr="002D20AC">
        <w:rPr>
          <w:sz w:val="26"/>
          <w:szCs w:val="26"/>
        </w:rPr>
        <w:t>.</w:t>
      </w:r>
    </w:p>
    <w:p w:rsidR="006F3B0F" w:rsidRPr="002D20AC" w:rsidRDefault="009C49D6" w:rsidP="00B75FC9">
      <w:pPr>
        <w:spacing w:line="360" w:lineRule="auto"/>
        <w:rPr>
          <w:sz w:val="26"/>
          <w:szCs w:val="26"/>
        </w:rPr>
      </w:pPr>
      <w:bookmarkStart w:id="0" w:name="_GoBack"/>
      <w:r w:rsidRPr="00F45E06">
        <w:rPr>
          <w:b/>
          <w:noProof/>
        </w:rPr>
        <w:drawing>
          <wp:anchor distT="0" distB="0" distL="114300" distR="114300" simplePos="0" relativeHeight="251659264" behindDoc="1" locked="0" layoutInCell="1" allowOverlap="1" wp14:anchorId="35512C6D" wp14:editId="06221051">
            <wp:simplePos x="0" y="0"/>
            <wp:positionH relativeFrom="column">
              <wp:posOffset>3131185</wp:posOffset>
            </wp:positionH>
            <wp:positionV relativeFrom="paragraph">
              <wp:posOffset>258445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6F3B0F" w:rsidRDefault="001A1AD3" w:rsidP="00B75FC9">
      <w:pPr>
        <w:rPr>
          <w:b/>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b/>
          <w:sz w:val="26"/>
          <w:szCs w:val="26"/>
        </w:rPr>
        <w:t>BY THE COMMISSION,</w:t>
      </w:r>
    </w:p>
    <w:p w:rsidR="006F3B0F" w:rsidRDefault="006F3B0F" w:rsidP="00B75FC9">
      <w:pPr>
        <w:rPr>
          <w:b/>
          <w:sz w:val="26"/>
          <w:szCs w:val="26"/>
        </w:rPr>
      </w:pPr>
    </w:p>
    <w:p w:rsidR="006F3B0F" w:rsidRDefault="006F3B0F" w:rsidP="00B75FC9">
      <w:pPr>
        <w:rPr>
          <w:b/>
          <w:sz w:val="26"/>
          <w:szCs w:val="26"/>
        </w:rPr>
      </w:pPr>
    </w:p>
    <w:p w:rsidR="006F3B0F" w:rsidRDefault="006F3B0F" w:rsidP="00B75FC9">
      <w:pPr>
        <w:rPr>
          <w:b/>
          <w:sz w:val="26"/>
          <w:szCs w:val="26"/>
        </w:rPr>
      </w:pPr>
    </w:p>
    <w:p w:rsidR="001A1AD3" w:rsidRPr="000D6043" w:rsidRDefault="008D6E6F" w:rsidP="00B75FC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1A1AD3" w:rsidRPr="000D6043">
        <w:rPr>
          <w:sz w:val="26"/>
          <w:szCs w:val="26"/>
        </w:rPr>
        <w:tab/>
      </w:r>
      <w:r w:rsidR="00F40A17">
        <w:rPr>
          <w:sz w:val="26"/>
          <w:szCs w:val="26"/>
        </w:rPr>
        <w:t>Rosemary Chiavetta</w:t>
      </w:r>
    </w:p>
    <w:p w:rsidR="00F15AA1" w:rsidRDefault="001A1AD3" w:rsidP="00B75FC9">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0261D5" w:rsidRDefault="000261D5" w:rsidP="00B75FC9">
      <w:pPr>
        <w:tabs>
          <w:tab w:val="left" w:pos="-720"/>
        </w:tabs>
        <w:suppressAutoHyphens/>
        <w:rPr>
          <w:sz w:val="26"/>
          <w:szCs w:val="26"/>
        </w:rPr>
      </w:pPr>
    </w:p>
    <w:p w:rsidR="001A1AD3" w:rsidRPr="00AD292A" w:rsidRDefault="001A1AD3" w:rsidP="00B75FC9">
      <w:pPr>
        <w:tabs>
          <w:tab w:val="left" w:pos="-720"/>
        </w:tabs>
        <w:suppressAutoHyphens/>
        <w:rPr>
          <w:sz w:val="26"/>
          <w:szCs w:val="26"/>
        </w:rPr>
      </w:pPr>
      <w:r w:rsidRPr="00AD292A">
        <w:rPr>
          <w:sz w:val="26"/>
          <w:szCs w:val="26"/>
        </w:rPr>
        <w:t>(SEAL)</w:t>
      </w:r>
    </w:p>
    <w:p w:rsidR="001A1AD3" w:rsidRPr="001B2BFB" w:rsidRDefault="001A1AD3" w:rsidP="00B75FC9">
      <w:pPr>
        <w:tabs>
          <w:tab w:val="left" w:pos="-720"/>
        </w:tabs>
        <w:suppressAutoHyphens/>
        <w:rPr>
          <w:sz w:val="26"/>
          <w:szCs w:val="26"/>
        </w:rPr>
      </w:pPr>
    </w:p>
    <w:p w:rsidR="001A1AD3" w:rsidRDefault="001A1AD3" w:rsidP="00B75FC9">
      <w:pPr>
        <w:tabs>
          <w:tab w:val="left" w:pos="-720"/>
        </w:tabs>
        <w:suppressAutoHyphens/>
        <w:rPr>
          <w:sz w:val="26"/>
          <w:szCs w:val="26"/>
        </w:rPr>
      </w:pPr>
      <w:r w:rsidRPr="00AD292A">
        <w:rPr>
          <w:sz w:val="26"/>
          <w:szCs w:val="26"/>
        </w:rPr>
        <w:t>ORDER ADOPTED:</w:t>
      </w:r>
      <w:r w:rsidRPr="001B2BFB">
        <w:rPr>
          <w:sz w:val="26"/>
          <w:szCs w:val="26"/>
        </w:rPr>
        <w:t xml:space="preserve"> </w:t>
      </w:r>
      <w:r w:rsidR="00C50841">
        <w:rPr>
          <w:sz w:val="26"/>
          <w:szCs w:val="26"/>
        </w:rPr>
        <w:t>August 11</w:t>
      </w:r>
      <w:r w:rsidR="004D1308">
        <w:rPr>
          <w:sz w:val="26"/>
          <w:szCs w:val="26"/>
        </w:rPr>
        <w:t>, 201</w:t>
      </w:r>
      <w:r w:rsidR="005F43FA">
        <w:rPr>
          <w:sz w:val="26"/>
          <w:szCs w:val="26"/>
        </w:rPr>
        <w:t>6</w:t>
      </w:r>
    </w:p>
    <w:p w:rsidR="004E61BF" w:rsidRDefault="004E61BF" w:rsidP="00B75FC9">
      <w:pPr>
        <w:tabs>
          <w:tab w:val="left" w:pos="-720"/>
        </w:tabs>
        <w:suppressAutoHyphens/>
        <w:rPr>
          <w:sz w:val="26"/>
          <w:szCs w:val="26"/>
        </w:rPr>
      </w:pPr>
    </w:p>
    <w:p w:rsidR="00925961" w:rsidRPr="00B922DE" w:rsidRDefault="006F3B0F" w:rsidP="00B75FC9">
      <w:pPr>
        <w:tabs>
          <w:tab w:val="left" w:pos="-720"/>
        </w:tabs>
        <w:suppressAutoHyphens/>
        <w:rPr>
          <w:sz w:val="26"/>
          <w:szCs w:val="26"/>
        </w:rPr>
      </w:pPr>
      <w:r>
        <w:rPr>
          <w:sz w:val="26"/>
          <w:szCs w:val="26"/>
        </w:rPr>
        <w:t>ORDER ENTERED:</w:t>
      </w:r>
      <w:r w:rsidR="00925961" w:rsidRPr="00925961">
        <w:rPr>
          <w:sz w:val="26"/>
          <w:szCs w:val="26"/>
        </w:rPr>
        <w:t xml:space="preserve"> </w:t>
      </w:r>
      <w:r w:rsidR="009C49D6">
        <w:rPr>
          <w:sz w:val="26"/>
          <w:szCs w:val="26"/>
        </w:rPr>
        <w:t>August 11, 2016</w:t>
      </w:r>
    </w:p>
    <w:sectPr w:rsidR="00925961" w:rsidRPr="00B922DE"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BC6" w:rsidRDefault="00983BC6">
      <w:r>
        <w:separator/>
      </w:r>
    </w:p>
  </w:endnote>
  <w:endnote w:type="continuationSeparator" w:id="0">
    <w:p w:rsidR="00983BC6" w:rsidRDefault="0098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055" w:rsidRDefault="00EA0055"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0055" w:rsidRDefault="00EA00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055" w:rsidRDefault="00EA0055"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49D6">
      <w:rPr>
        <w:rStyle w:val="PageNumber"/>
        <w:noProof/>
      </w:rPr>
      <w:t>22</w:t>
    </w:r>
    <w:r>
      <w:rPr>
        <w:rStyle w:val="PageNumber"/>
      </w:rPr>
      <w:fldChar w:fldCharType="end"/>
    </w:r>
  </w:p>
  <w:p w:rsidR="00EA0055" w:rsidRDefault="00EA00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BC6" w:rsidRDefault="00983BC6">
      <w:r>
        <w:separator/>
      </w:r>
    </w:p>
  </w:footnote>
  <w:footnote w:type="continuationSeparator" w:id="0">
    <w:p w:rsidR="00983BC6" w:rsidRDefault="00983BC6">
      <w:r>
        <w:continuationSeparator/>
      </w:r>
    </w:p>
  </w:footnote>
  <w:footnote w:id="1">
    <w:p w:rsidR="00AC33FD" w:rsidRDefault="00AC33FD">
      <w:pPr>
        <w:pStyle w:val="FootnoteText"/>
      </w:pPr>
      <w:r>
        <w:tab/>
      </w:r>
      <w:r>
        <w:rPr>
          <w:rStyle w:val="FootnoteReference"/>
        </w:rPr>
        <w:footnoteRef/>
      </w:r>
      <w:r>
        <w:t xml:space="preserve"> </w:t>
      </w:r>
      <w:r>
        <w:tab/>
        <w:t>The</w:t>
      </w:r>
      <w:r w:rsidR="00A50F0B">
        <w:t xml:space="preserve"> Commission served the</w:t>
      </w:r>
      <w:r>
        <w:t xml:space="preserve"> Complaint on UGIES </w:t>
      </w:r>
      <w:r w:rsidR="00A50F0B">
        <w:t>on</w:t>
      </w:r>
      <w:r>
        <w:t xml:space="preserve"> July 11, 2014. I.D. at</w:t>
      </w:r>
      <w:r w:rsidR="00A50F0B">
        <w:t> </w:t>
      </w:r>
      <w:r>
        <w:t>2.</w:t>
      </w:r>
    </w:p>
  </w:footnote>
  <w:footnote w:id="2">
    <w:p w:rsidR="0086455B" w:rsidRDefault="0086455B" w:rsidP="0086455B">
      <w:pPr>
        <w:pStyle w:val="FootnoteText"/>
      </w:pPr>
      <w:r>
        <w:tab/>
      </w:r>
      <w:r>
        <w:rPr>
          <w:rStyle w:val="FootnoteReference"/>
        </w:rPr>
        <w:footnoteRef/>
      </w:r>
      <w:r>
        <w:t xml:space="preserve"> </w:t>
      </w:r>
      <w:r>
        <w:tab/>
        <w:t>Green Hills did not retain legal counsel until after the originally scheduled October 27, 2014 hearing date.  I.D. at 2.</w:t>
      </w:r>
    </w:p>
  </w:footnote>
  <w:footnote w:id="3">
    <w:p w:rsidR="00CB7DF0" w:rsidRDefault="00966516">
      <w:pPr>
        <w:pStyle w:val="FootnoteText"/>
      </w:pPr>
      <w:r>
        <w:tab/>
      </w:r>
      <w:r w:rsidR="00CB7DF0">
        <w:rPr>
          <w:rStyle w:val="FootnoteReference"/>
        </w:rPr>
        <w:footnoteRef/>
      </w:r>
      <w:r w:rsidR="00CB7DF0">
        <w:t xml:space="preserve"> </w:t>
      </w:r>
      <w:r>
        <w:tab/>
      </w:r>
      <w:r w:rsidR="007D112D">
        <w:t>T</w:t>
      </w:r>
      <w:r w:rsidR="007D112D" w:rsidRPr="007D112D">
        <w:t>he Electricity Generation Customer Choice and Competition Act (Electric Competition Act), effective January 1, 1997</w:t>
      </w:r>
      <w:r w:rsidR="007D112D">
        <w:t xml:space="preserve">, </w:t>
      </w:r>
      <w:r w:rsidR="007D112D" w:rsidRPr="007D112D">
        <w:t xml:space="preserve">66 Pa. C.S. §§ 2801 – 2815 (as amended).  </w:t>
      </w:r>
    </w:p>
  </w:footnote>
  <w:footnote w:id="4">
    <w:p w:rsidR="00444669" w:rsidRDefault="00966516">
      <w:pPr>
        <w:pStyle w:val="FootnoteText"/>
      </w:pPr>
      <w:r>
        <w:tab/>
      </w:r>
      <w:r w:rsidR="00444669">
        <w:rPr>
          <w:rStyle w:val="FootnoteReference"/>
        </w:rPr>
        <w:footnoteRef/>
      </w:r>
      <w:r w:rsidR="00444669">
        <w:t xml:space="preserve"> </w:t>
      </w:r>
      <w:r w:rsidR="00444669">
        <w:tab/>
      </w:r>
      <w:r w:rsidR="0095487C">
        <w:t xml:space="preserve">Although we find </w:t>
      </w:r>
      <w:r>
        <w:t xml:space="preserve">insufficient evidence of </w:t>
      </w:r>
      <w:r w:rsidR="0095487C">
        <w:t xml:space="preserve">fraudulent activity in this proceeding, we note that </w:t>
      </w:r>
      <w:r w:rsidR="00444669">
        <w:t>Chapter 111 addresses residential marketing only</w:t>
      </w:r>
      <w:r>
        <w:t xml:space="preserve">.  For non-residential customers, </w:t>
      </w:r>
      <w:r w:rsidR="0095487C" w:rsidRPr="0095487C">
        <w:rPr>
          <w:bCs/>
        </w:rPr>
        <w:t>Section 54.122(3) of our Regulations</w:t>
      </w:r>
      <w:r w:rsidR="0095487C">
        <w:rPr>
          <w:bCs/>
        </w:rPr>
        <w:t xml:space="preserve"> provides that </w:t>
      </w:r>
      <w:r w:rsidR="0095487C" w:rsidRPr="0095487C">
        <w:rPr>
          <w:bCs/>
        </w:rPr>
        <w:t>an “electric generation supplier may not engage in false or deceptive advertising to customers with respect to the retail supply of electricity in this Commonwealth.”  52 Pa. Code § 54.122(3).</w:t>
      </w:r>
    </w:p>
  </w:footnote>
  <w:footnote w:id="5">
    <w:p w:rsidR="009A4877" w:rsidRDefault="009A4877" w:rsidP="009A4877">
      <w:pPr>
        <w:pStyle w:val="FootnoteText"/>
      </w:pPr>
      <w:r>
        <w:tab/>
      </w:r>
      <w:r>
        <w:rPr>
          <w:rStyle w:val="FootnoteReference"/>
        </w:rPr>
        <w:footnoteRef/>
      </w:r>
      <w:r>
        <w:t xml:space="preserve"> </w:t>
      </w:r>
      <w:r>
        <w:tab/>
      </w:r>
      <w:r w:rsidR="00EE0EF8">
        <w:t>The Complainant</w:t>
      </w:r>
      <w:r>
        <w:t xml:space="preserve"> asserts that UGIES’ representative told Green Hills’ representative</w:t>
      </w:r>
      <w:r w:rsidR="00BB6ACC">
        <w:t>s</w:t>
      </w:r>
      <w:r>
        <w:t xml:space="preserve"> that the services of a broker </w:t>
      </w:r>
      <w:r w:rsidR="00BB6ACC">
        <w:t>were not needed and the EGS</w:t>
      </w:r>
      <w:r>
        <w:t xml:space="preserve"> “could save Green Hills extra money by cutting the broker out of the transaction.”  Exc. at 3, 6.  Because Green Hills </w:t>
      </w:r>
      <w:r w:rsidR="00B23F56">
        <w:t>advances what we find to be n</w:t>
      </w:r>
      <w:r>
        <w:t xml:space="preserve">o more </w:t>
      </w:r>
      <w:r w:rsidR="00B23F56">
        <w:t xml:space="preserve">than </w:t>
      </w:r>
      <w:r>
        <w:t>an implication that UGIES intentionally cut out the broker as a means to mislead, deceive, or somehow take advantage of</w:t>
      </w:r>
      <w:r w:rsidR="00B23F56">
        <w:t xml:space="preserve"> Green Hills</w:t>
      </w:r>
      <w:r>
        <w:t xml:space="preserve">, we find this argument, </w:t>
      </w:r>
      <w:r w:rsidR="00B23F56">
        <w:t>too</w:t>
      </w:r>
      <w:r>
        <w:t>, fails to rise to the level of proving a violation of the Code or our Regulations.  As UGIES’ witness McCormick testified, because brokers get paid by charging fees or building a fee into a volumetric rate, the suggestion that a broker was not necessary was aimed at saving Green Hills the additional fees</w:t>
      </w:r>
      <w:r w:rsidR="00BB6ACC">
        <w:t>, not fraudulently misleading the Complainant into contracting with UGIES</w:t>
      </w:r>
      <w:r>
        <w:t>.  Tr.</w:t>
      </w:r>
      <w:r w:rsidR="00BB6ACC">
        <w:t> </w:t>
      </w:r>
      <w:r>
        <w:t>at</w:t>
      </w:r>
      <w:r w:rsidR="00BB6ACC">
        <w:t> </w:t>
      </w:r>
      <w:r w:rsidR="003A7DCE">
        <w:t xml:space="preserve">37, </w:t>
      </w:r>
      <w:r>
        <w:t>45-46.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1139"/>
    <w:rsid w:val="00001267"/>
    <w:rsid w:val="0000167F"/>
    <w:rsid w:val="00002F2A"/>
    <w:rsid w:val="00004394"/>
    <w:rsid w:val="000043BA"/>
    <w:rsid w:val="00006102"/>
    <w:rsid w:val="000063E9"/>
    <w:rsid w:val="00007241"/>
    <w:rsid w:val="000074DC"/>
    <w:rsid w:val="00010322"/>
    <w:rsid w:val="0001099D"/>
    <w:rsid w:val="00011216"/>
    <w:rsid w:val="0001230A"/>
    <w:rsid w:val="000123D6"/>
    <w:rsid w:val="00012797"/>
    <w:rsid w:val="00012A1D"/>
    <w:rsid w:val="0001306C"/>
    <w:rsid w:val="00013EB9"/>
    <w:rsid w:val="0001411C"/>
    <w:rsid w:val="000148F5"/>
    <w:rsid w:val="000155FB"/>
    <w:rsid w:val="00015969"/>
    <w:rsid w:val="00015A01"/>
    <w:rsid w:val="00016329"/>
    <w:rsid w:val="00016515"/>
    <w:rsid w:val="0001668E"/>
    <w:rsid w:val="00016CE0"/>
    <w:rsid w:val="00017033"/>
    <w:rsid w:val="000178AA"/>
    <w:rsid w:val="0002062C"/>
    <w:rsid w:val="00020809"/>
    <w:rsid w:val="00020CD8"/>
    <w:rsid w:val="00020E43"/>
    <w:rsid w:val="00020F8F"/>
    <w:rsid w:val="000210CE"/>
    <w:rsid w:val="00022799"/>
    <w:rsid w:val="00023546"/>
    <w:rsid w:val="00024987"/>
    <w:rsid w:val="00024DD1"/>
    <w:rsid w:val="00025686"/>
    <w:rsid w:val="0002585B"/>
    <w:rsid w:val="00025B28"/>
    <w:rsid w:val="000261D5"/>
    <w:rsid w:val="00026E4B"/>
    <w:rsid w:val="0002723A"/>
    <w:rsid w:val="0002744F"/>
    <w:rsid w:val="00027A80"/>
    <w:rsid w:val="00027F6F"/>
    <w:rsid w:val="000310BE"/>
    <w:rsid w:val="00031B9F"/>
    <w:rsid w:val="00031E93"/>
    <w:rsid w:val="00033543"/>
    <w:rsid w:val="00033F79"/>
    <w:rsid w:val="0003479F"/>
    <w:rsid w:val="00035845"/>
    <w:rsid w:val="000365C0"/>
    <w:rsid w:val="000378DC"/>
    <w:rsid w:val="0004043C"/>
    <w:rsid w:val="000405AC"/>
    <w:rsid w:val="000416A2"/>
    <w:rsid w:val="0004437C"/>
    <w:rsid w:val="000450BE"/>
    <w:rsid w:val="0004789B"/>
    <w:rsid w:val="000510D0"/>
    <w:rsid w:val="000510FD"/>
    <w:rsid w:val="000520F7"/>
    <w:rsid w:val="00052478"/>
    <w:rsid w:val="00052A0E"/>
    <w:rsid w:val="00053715"/>
    <w:rsid w:val="00053CED"/>
    <w:rsid w:val="000551F0"/>
    <w:rsid w:val="000552C4"/>
    <w:rsid w:val="0005544D"/>
    <w:rsid w:val="000566B1"/>
    <w:rsid w:val="00057057"/>
    <w:rsid w:val="00057DAB"/>
    <w:rsid w:val="000604A3"/>
    <w:rsid w:val="000610F9"/>
    <w:rsid w:val="00061850"/>
    <w:rsid w:val="000629CD"/>
    <w:rsid w:val="000633AA"/>
    <w:rsid w:val="000634BD"/>
    <w:rsid w:val="00064980"/>
    <w:rsid w:val="00065DB6"/>
    <w:rsid w:val="00065E95"/>
    <w:rsid w:val="00067181"/>
    <w:rsid w:val="000673D1"/>
    <w:rsid w:val="00070B22"/>
    <w:rsid w:val="00070FF8"/>
    <w:rsid w:val="00070FFD"/>
    <w:rsid w:val="00071B8D"/>
    <w:rsid w:val="00072883"/>
    <w:rsid w:val="00073515"/>
    <w:rsid w:val="00073540"/>
    <w:rsid w:val="000735A0"/>
    <w:rsid w:val="00073C25"/>
    <w:rsid w:val="00074135"/>
    <w:rsid w:val="00074255"/>
    <w:rsid w:val="000749BF"/>
    <w:rsid w:val="00075161"/>
    <w:rsid w:val="000757B0"/>
    <w:rsid w:val="00075BE9"/>
    <w:rsid w:val="0007661D"/>
    <w:rsid w:val="00076E28"/>
    <w:rsid w:val="00077066"/>
    <w:rsid w:val="00077B31"/>
    <w:rsid w:val="00077CBB"/>
    <w:rsid w:val="00080BE7"/>
    <w:rsid w:val="000830C7"/>
    <w:rsid w:val="0008328F"/>
    <w:rsid w:val="00083943"/>
    <w:rsid w:val="0008445E"/>
    <w:rsid w:val="00084A43"/>
    <w:rsid w:val="00085271"/>
    <w:rsid w:val="00085FFB"/>
    <w:rsid w:val="00086411"/>
    <w:rsid w:val="00086A57"/>
    <w:rsid w:val="00086D0B"/>
    <w:rsid w:val="0008768F"/>
    <w:rsid w:val="00087D18"/>
    <w:rsid w:val="00087E3B"/>
    <w:rsid w:val="000905A7"/>
    <w:rsid w:val="00091A97"/>
    <w:rsid w:val="0009207F"/>
    <w:rsid w:val="00092ABD"/>
    <w:rsid w:val="0009319F"/>
    <w:rsid w:val="000938C5"/>
    <w:rsid w:val="00093F82"/>
    <w:rsid w:val="00095BA9"/>
    <w:rsid w:val="00096187"/>
    <w:rsid w:val="000966DC"/>
    <w:rsid w:val="0009781B"/>
    <w:rsid w:val="000A056C"/>
    <w:rsid w:val="000A07F9"/>
    <w:rsid w:val="000A09FF"/>
    <w:rsid w:val="000A2F11"/>
    <w:rsid w:val="000A35F4"/>
    <w:rsid w:val="000A37E1"/>
    <w:rsid w:val="000A39CF"/>
    <w:rsid w:val="000A3B60"/>
    <w:rsid w:val="000A5BF7"/>
    <w:rsid w:val="000A770A"/>
    <w:rsid w:val="000A7F96"/>
    <w:rsid w:val="000B03F9"/>
    <w:rsid w:val="000B23F4"/>
    <w:rsid w:val="000B2A5C"/>
    <w:rsid w:val="000B2B80"/>
    <w:rsid w:val="000B3146"/>
    <w:rsid w:val="000B3FB4"/>
    <w:rsid w:val="000B432E"/>
    <w:rsid w:val="000B4744"/>
    <w:rsid w:val="000B4F29"/>
    <w:rsid w:val="000B5487"/>
    <w:rsid w:val="000B5DF8"/>
    <w:rsid w:val="000B63A8"/>
    <w:rsid w:val="000B67C9"/>
    <w:rsid w:val="000B7985"/>
    <w:rsid w:val="000C0E37"/>
    <w:rsid w:val="000C1267"/>
    <w:rsid w:val="000C170C"/>
    <w:rsid w:val="000C17F5"/>
    <w:rsid w:val="000C2A2F"/>
    <w:rsid w:val="000C50C4"/>
    <w:rsid w:val="000C51BF"/>
    <w:rsid w:val="000C5CA8"/>
    <w:rsid w:val="000C5FB9"/>
    <w:rsid w:val="000C7383"/>
    <w:rsid w:val="000C742F"/>
    <w:rsid w:val="000C7ACA"/>
    <w:rsid w:val="000D0D75"/>
    <w:rsid w:val="000D1A34"/>
    <w:rsid w:val="000D40AA"/>
    <w:rsid w:val="000D74C4"/>
    <w:rsid w:val="000E0050"/>
    <w:rsid w:val="000E0225"/>
    <w:rsid w:val="000E1684"/>
    <w:rsid w:val="000E1CF4"/>
    <w:rsid w:val="000E27BB"/>
    <w:rsid w:val="000E3FDA"/>
    <w:rsid w:val="000E4BED"/>
    <w:rsid w:val="000F2540"/>
    <w:rsid w:val="000F292B"/>
    <w:rsid w:val="000F34FC"/>
    <w:rsid w:val="000F3505"/>
    <w:rsid w:val="000F35A0"/>
    <w:rsid w:val="000F3750"/>
    <w:rsid w:val="000F4144"/>
    <w:rsid w:val="000F452C"/>
    <w:rsid w:val="000F4AA3"/>
    <w:rsid w:val="000F6034"/>
    <w:rsid w:val="000F689F"/>
    <w:rsid w:val="000F6D5A"/>
    <w:rsid w:val="000F7180"/>
    <w:rsid w:val="000F748E"/>
    <w:rsid w:val="0010013C"/>
    <w:rsid w:val="001006AF"/>
    <w:rsid w:val="001006F0"/>
    <w:rsid w:val="00100BF3"/>
    <w:rsid w:val="001013A1"/>
    <w:rsid w:val="00101745"/>
    <w:rsid w:val="00102738"/>
    <w:rsid w:val="0010357F"/>
    <w:rsid w:val="00103A52"/>
    <w:rsid w:val="00104952"/>
    <w:rsid w:val="00105084"/>
    <w:rsid w:val="00105104"/>
    <w:rsid w:val="00105193"/>
    <w:rsid w:val="00106537"/>
    <w:rsid w:val="00106BB1"/>
    <w:rsid w:val="00106BF9"/>
    <w:rsid w:val="00107316"/>
    <w:rsid w:val="00107338"/>
    <w:rsid w:val="00110301"/>
    <w:rsid w:val="0011244B"/>
    <w:rsid w:val="00112861"/>
    <w:rsid w:val="0011361B"/>
    <w:rsid w:val="00113B62"/>
    <w:rsid w:val="001146C7"/>
    <w:rsid w:val="00114D80"/>
    <w:rsid w:val="00115446"/>
    <w:rsid w:val="00115FD9"/>
    <w:rsid w:val="00116644"/>
    <w:rsid w:val="00116D79"/>
    <w:rsid w:val="00117099"/>
    <w:rsid w:val="0012019D"/>
    <w:rsid w:val="0012058D"/>
    <w:rsid w:val="00120A27"/>
    <w:rsid w:val="00120DA2"/>
    <w:rsid w:val="001222DD"/>
    <w:rsid w:val="00124A50"/>
    <w:rsid w:val="00124E2B"/>
    <w:rsid w:val="001258CC"/>
    <w:rsid w:val="001259FC"/>
    <w:rsid w:val="0012697D"/>
    <w:rsid w:val="00127BCC"/>
    <w:rsid w:val="00127C7C"/>
    <w:rsid w:val="00131B43"/>
    <w:rsid w:val="00132429"/>
    <w:rsid w:val="00132ACB"/>
    <w:rsid w:val="00133878"/>
    <w:rsid w:val="001339EE"/>
    <w:rsid w:val="0013479A"/>
    <w:rsid w:val="00135861"/>
    <w:rsid w:val="001358CC"/>
    <w:rsid w:val="00135E8A"/>
    <w:rsid w:val="00135FAF"/>
    <w:rsid w:val="00136229"/>
    <w:rsid w:val="00136593"/>
    <w:rsid w:val="001377DE"/>
    <w:rsid w:val="00137A60"/>
    <w:rsid w:val="00140CD4"/>
    <w:rsid w:val="00141882"/>
    <w:rsid w:val="0014191F"/>
    <w:rsid w:val="00141DF0"/>
    <w:rsid w:val="0014205C"/>
    <w:rsid w:val="001426CE"/>
    <w:rsid w:val="00143689"/>
    <w:rsid w:val="00143EC9"/>
    <w:rsid w:val="00143F43"/>
    <w:rsid w:val="00144166"/>
    <w:rsid w:val="00144FDB"/>
    <w:rsid w:val="00145959"/>
    <w:rsid w:val="0014664F"/>
    <w:rsid w:val="00146983"/>
    <w:rsid w:val="00147415"/>
    <w:rsid w:val="00147D7F"/>
    <w:rsid w:val="00150989"/>
    <w:rsid w:val="001522EE"/>
    <w:rsid w:val="00152CE0"/>
    <w:rsid w:val="0015344F"/>
    <w:rsid w:val="0015431C"/>
    <w:rsid w:val="0015621A"/>
    <w:rsid w:val="001562DD"/>
    <w:rsid w:val="0015662E"/>
    <w:rsid w:val="001572C5"/>
    <w:rsid w:val="00157C2F"/>
    <w:rsid w:val="0016005F"/>
    <w:rsid w:val="0016020F"/>
    <w:rsid w:val="001606BC"/>
    <w:rsid w:val="00161FCC"/>
    <w:rsid w:val="00162A24"/>
    <w:rsid w:val="00163AA3"/>
    <w:rsid w:val="00164715"/>
    <w:rsid w:val="00164C7D"/>
    <w:rsid w:val="00164C98"/>
    <w:rsid w:val="00165AB4"/>
    <w:rsid w:val="00165AED"/>
    <w:rsid w:val="001679F1"/>
    <w:rsid w:val="001701B3"/>
    <w:rsid w:val="001718CA"/>
    <w:rsid w:val="001741CB"/>
    <w:rsid w:val="00175EA0"/>
    <w:rsid w:val="0017726C"/>
    <w:rsid w:val="00177A43"/>
    <w:rsid w:val="00181033"/>
    <w:rsid w:val="001811B8"/>
    <w:rsid w:val="00181A3D"/>
    <w:rsid w:val="001827DB"/>
    <w:rsid w:val="00183D96"/>
    <w:rsid w:val="00184A65"/>
    <w:rsid w:val="0018533E"/>
    <w:rsid w:val="00185B5E"/>
    <w:rsid w:val="00186887"/>
    <w:rsid w:val="00187782"/>
    <w:rsid w:val="00187DC4"/>
    <w:rsid w:val="00190374"/>
    <w:rsid w:val="001903F3"/>
    <w:rsid w:val="0019214E"/>
    <w:rsid w:val="0019318F"/>
    <w:rsid w:val="00193EF0"/>
    <w:rsid w:val="0019489C"/>
    <w:rsid w:val="00195F8B"/>
    <w:rsid w:val="001967CA"/>
    <w:rsid w:val="00197920"/>
    <w:rsid w:val="00197C2F"/>
    <w:rsid w:val="00197F3D"/>
    <w:rsid w:val="001A0516"/>
    <w:rsid w:val="001A0557"/>
    <w:rsid w:val="001A101C"/>
    <w:rsid w:val="001A1AD3"/>
    <w:rsid w:val="001A3201"/>
    <w:rsid w:val="001A3F04"/>
    <w:rsid w:val="001A4A0C"/>
    <w:rsid w:val="001A4D90"/>
    <w:rsid w:val="001A4FC3"/>
    <w:rsid w:val="001A5756"/>
    <w:rsid w:val="001A75AA"/>
    <w:rsid w:val="001B020D"/>
    <w:rsid w:val="001B2295"/>
    <w:rsid w:val="001B26AC"/>
    <w:rsid w:val="001B2E4F"/>
    <w:rsid w:val="001B423C"/>
    <w:rsid w:val="001B731F"/>
    <w:rsid w:val="001B7A05"/>
    <w:rsid w:val="001B7BCB"/>
    <w:rsid w:val="001C1550"/>
    <w:rsid w:val="001C2A7F"/>
    <w:rsid w:val="001C3318"/>
    <w:rsid w:val="001C3929"/>
    <w:rsid w:val="001C3D75"/>
    <w:rsid w:val="001C4C52"/>
    <w:rsid w:val="001C53B1"/>
    <w:rsid w:val="001C6BCE"/>
    <w:rsid w:val="001C6D24"/>
    <w:rsid w:val="001C7DBD"/>
    <w:rsid w:val="001C7E91"/>
    <w:rsid w:val="001C7F88"/>
    <w:rsid w:val="001D01F1"/>
    <w:rsid w:val="001D02A2"/>
    <w:rsid w:val="001D252C"/>
    <w:rsid w:val="001D2979"/>
    <w:rsid w:val="001D2BAD"/>
    <w:rsid w:val="001D2D99"/>
    <w:rsid w:val="001D3E13"/>
    <w:rsid w:val="001D491F"/>
    <w:rsid w:val="001D5419"/>
    <w:rsid w:val="001D573E"/>
    <w:rsid w:val="001D6F93"/>
    <w:rsid w:val="001D70A6"/>
    <w:rsid w:val="001D7137"/>
    <w:rsid w:val="001E05C6"/>
    <w:rsid w:val="001E0B29"/>
    <w:rsid w:val="001E0D4B"/>
    <w:rsid w:val="001E1790"/>
    <w:rsid w:val="001E19BC"/>
    <w:rsid w:val="001E2C3E"/>
    <w:rsid w:val="001E2CFB"/>
    <w:rsid w:val="001E2E27"/>
    <w:rsid w:val="001E2FEE"/>
    <w:rsid w:val="001E3574"/>
    <w:rsid w:val="001E3FBF"/>
    <w:rsid w:val="001E4181"/>
    <w:rsid w:val="001E4225"/>
    <w:rsid w:val="001E4A7C"/>
    <w:rsid w:val="001E5393"/>
    <w:rsid w:val="001E54DA"/>
    <w:rsid w:val="001E6158"/>
    <w:rsid w:val="001F0488"/>
    <w:rsid w:val="001F12A5"/>
    <w:rsid w:val="001F3675"/>
    <w:rsid w:val="001F470A"/>
    <w:rsid w:val="001F55D5"/>
    <w:rsid w:val="001F5B0F"/>
    <w:rsid w:val="001F5E98"/>
    <w:rsid w:val="001F606C"/>
    <w:rsid w:val="001F63AA"/>
    <w:rsid w:val="001F68E6"/>
    <w:rsid w:val="001F739E"/>
    <w:rsid w:val="001F75D6"/>
    <w:rsid w:val="001F765A"/>
    <w:rsid w:val="001F79C6"/>
    <w:rsid w:val="001F7B55"/>
    <w:rsid w:val="001F7BA3"/>
    <w:rsid w:val="001F7CBD"/>
    <w:rsid w:val="00200705"/>
    <w:rsid w:val="00201A5B"/>
    <w:rsid w:val="002026AB"/>
    <w:rsid w:val="00203345"/>
    <w:rsid w:val="00203702"/>
    <w:rsid w:val="00203A08"/>
    <w:rsid w:val="00203F27"/>
    <w:rsid w:val="002048E6"/>
    <w:rsid w:val="0020502B"/>
    <w:rsid w:val="00205242"/>
    <w:rsid w:val="00205344"/>
    <w:rsid w:val="00205983"/>
    <w:rsid w:val="002061DA"/>
    <w:rsid w:val="00206269"/>
    <w:rsid w:val="002063AE"/>
    <w:rsid w:val="00206877"/>
    <w:rsid w:val="00206D03"/>
    <w:rsid w:val="00207453"/>
    <w:rsid w:val="00210868"/>
    <w:rsid w:val="0021121F"/>
    <w:rsid w:val="002133B2"/>
    <w:rsid w:val="00213B95"/>
    <w:rsid w:val="002161A1"/>
    <w:rsid w:val="00216AE8"/>
    <w:rsid w:val="00217165"/>
    <w:rsid w:val="00217213"/>
    <w:rsid w:val="00217C4E"/>
    <w:rsid w:val="00221AE4"/>
    <w:rsid w:val="002227E9"/>
    <w:rsid w:val="002242F7"/>
    <w:rsid w:val="00224394"/>
    <w:rsid w:val="002258C4"/>
    <w:rsid w:val="00225A51"/>
    <w:rsid w:val="00225BD2"/>
    <w:rsid w:val="00225DEC"/>
    <w:rsid w:val="00226A3E"/>
    <w:rsid w:val="00227D76"/>
    <w:rsid w:val="0023024F"/>
    <w:rsid w:val="00230396"/>
    <w:rsid w:val="0023097E"/>
    <w:rsid w:val="00230BAB"/>
    <w:rsid w:val="00231579"/>
    <w:rsid w:val="002326E8"/>
    <w:rsid w:val="002329E9"/>
    <w:rsid w:val="00232A03"/>
    <w:rsid w:val="00233B86"/>
    <w:rsid w:val="0023535F"/>
    <w:rsid w:val="0023707D"/>
    <w:rsid w:val="0023714A"/>
    <w:rsid w:val="00237A2B"/>
    <w:rsid w:val="00237CE3"/>
    <w:rsid w:val="0024023C"/>
    <w:rsid w:val="00240FAE"/>
    <w:rsid w:val="002431F5"/>
    <w:rsid w:val="00243CC9"/>
    <w:rsid w:val="00243D48"/>
    <w:rsid w:val="002450F3"/>
    <w:rsid w:val="0024588E"/>
    <w:rsid w:val="00246294"/>
    <w:rsid w:val="002469C9"/>
    <w:rsid w:val="00246C00"/>
    <w:rsid w:val="00247332"/>
    <w:rsid w:val="002473E7"/>
    <w:rsid w:val="00252313"/>
    <w:rsid w:val="00252D00"/>
    <w:rsid w:val="00253CC7"/>
    <w:rsid w:val="0025590A"/>
    <w:rsid w:val="0025592A"/>
    <w:rsid w:val="002564D7"/>
    <w:rsid w:val="00256A4C"/>
    <w:rsid w:val="0025718D"/>
    <w:rsid w:val="002572E5"/>
    <w:rsid w:val="00260374"/>
    <w:rsid w:val="002624F3"/>
    <w:rsid w:val="002631AF"/>
    <w:rsid w:val="0026419F"/>
    <w:rsid w:val="00264A87"/>
    <w:rsid w:val="00264ABB"/>
    <w:rsid w:val="002652DF"/>
    <w:rsid w:val="00265BD8"/>
    <w:rsid w:val="002676E6"/>
    <w:rsid w:val="00270DA6"/>
    <w:rsid w:val="00271DBF"/>
    <w:rsid w:val="00271E53"/>
    <w:rsid w:val="002723CB"/>
    <w:rsid w:val="002724ED"/>
    <w:rsid w:val="002724F5"/>
    <w:rsid w:val="00272DB6"/>
    <w:rsid w:val="00273123"/>
    <w:rsid w:val="00273450"/>
    <w:rsid w:val="00274EC0"/>
    <w:rsid w:val="00275FE5"/>
    <w:rsid w:val="002762CB"/>
    <w:rsid w:val="0027682A"/>
    <w:rsid w:val="002770D8"/>
    <w:rsid w:val="0028157C"/>
    <w:rsid w:val="00282019"/>
    <w:rsid w:val="002838E3"/>
    <w:rsid w:val="00283B73"/>
    <w:rsid w:val="002842BC"/>
    <w:rsid w:val="00284573"/>
    <w:rsid w:val="002848F6"/>
    <w:rsid w:val="002854BF"/>
    <w:rsid w:val="0028580D"/>
    <w:rsid w:val="00285856"/>
    <w:rsid w:val="00287528"/>
    <w:rsid w:val="00287BE6"/>
    <w:rsid w:val="00287D5A"/>
    <w:rsid w:val="002914E5"/>
    <w:rsid w:val="002916E5"/>
    <w:rsid w:val="002919FB"/>
    <w:rsid w:val="00293ACD"/>
    <w:rsid w:val="002950D1"/>
    <w:rsid w:val="0029586B"/>
    <w:rsid w:val="00296477"/>
    <w:rsid w:val="00296493"/>
    <w:rsid w:val="00297CD9"/>
    <w:rsid w:val="00297DC9"/>
    <w:rsid w:val="002A0E7C"/>
    <w:rsid w:val="002A0E82"/>
    <w:rsid w:val="002A0FE5"/>
    <w:rsid w:val="002A3A6E"/>
    <w:rsid w:val="002A3AC8"/>
    <w:rsid w:val="002A4BA7"/>
    <w:rsid w:val="002A5399"/>
    <w:rsid w:val="002A5A92"/>
    <w:rsid w:val="002A6842"/>
    <w:rsid w:val="002A6C4E"/>
    <w:rsid w:val="002A740E"/>
    <w:rsid w:val="002B0089"/>
    <w:rsid w:val="002B0FCE"/>
    <w:rsid w:val="002B158E"/>
    <w:rsid w:val="002B2D9D"/>
    <w:rsid w:val="002B3076"/>
    <w:rsid w:val="002B31AD"/>
    <w:rsid w:val="002B3382"/>
    <w:rsid w:val="002B3767"/>
    <w:rsid w:val="002B3EB6"/>
    <w:rsid w:val="002B4B0D"/>
    <w:rsid w:val="002B5078"/>
    <w:rsid w:val="002B61D4"/>
    <w:rsid w:val="002B684A"/>
    <w:rsid w:val="002C011D"/>
    <w:rsid w:val="002C076D"/>
    <w:rsid w:val="002C0E88"/>
    <w:rsid w:val="002C2703"/>
    <w:rsid w:val="002C2F02"/>
    <w:rsid w:val="002C4311"/>
    <w:rsid w:val="002D001B"/>
    <w:rsid w:val="002D08E2"/>
    <w:rsid w:val="002D0BD9"/>
    <w:rsid w:val="002D0C4F"/>
    <w:rsid w:val="002D20AC"/>
    <w:rsid w:val="002D28A3"/>
    <w:rsid w:val="002D33E8"/>
    <w:rsid w:val="002D3BF8"/>
    <w:rsid w:val="002D3DA8"/>
    <w:rsid w:val="002D4017"/>
    <w:rsid w:val="002D405A"/>
    <w:rsid w:val="002D49BF"/>
    <w:rsid w:val="002D4BD0"/>
    <w:rsid w:val="002D5216"/>
    <w:rsid w:val="002D547E"/>
    <w:rsid w:val="002D5C5B"/>
    <w:rsid w:val="002D650D"/>
    <w:rsid w:val="002D677B"/>
    <w:rsid w:val="002E00A3"/>
    <w:rsid w:val="002E00E6"/>
    <w:rsid w:val="002E0503"/>
    <w:rsid w:val="002E06ED"/>
    <w:rsid w:val="002E32B5"/>
    <w:rsid w:val="002E3A55"/>
    <w:rsid w:val="002E4908"/>
    <w:rsid w:val="002E5DE4"/>
    <w:rsid w:val="002E6F2D"/>
    <w:rsid w:val="002F0238"/>
    <w:rsid w:val="002F1316"/>
    <w:rsid w:val="002F1385"/>
    <w:rsid w:val="002F1A9A"/>
    <w:rsid w:val="002F3B92"/>
    <w:rsid w:val="002F4D5E"/>
    <w:rsid w:val="002F52AC"/>
    <w:rsid w:val="002F5552"/>
    <w:rsid w:val="002F568A"/>
    <w:rsid w:val="002F6563"/>
    <w:rsid w:val="00301405"/>
    <w:rsid w:val="003016A0"/>
    <w:rsid w:val="00301857"/>
    <w:rsid w:val="00302830"/>
    <w:rsid w:val="0030290D"/>
    <w:rsid w:val="00303915"/>
    <w:rsid w:val="00303DEF"/>
    <w:rsid w:val="00304ABF"/>
    <w:rsid w:val="00304E5F"/>
    <w:rsid w:val="00304FDA"/>
    <w:rsid w:val="0030502F"/>
    <w:rsid w:val="00305227"/>
    <w:rsid w:val="00305383"/>
    <w:rsid w:val="0030541E"/>
    <w:rsid w:val="003054A6"/>
    <w:rsid w:val="00305684"/>
    <w:rsid w:val="00305CBB"/>
    <w:rsid w:val="00305D58"/>
    <w:rsid w:val="00306216"/>
    <w:rsid w:val="00306411"/>
    <w:rsid w:val="003064CD"/>
    <w:rsid w:val="0030678F"/>
    <w:rsid w:val="003074B0"/>
    <w:rsid w:val="003077A3"/>
    <w:rsid w:val="00307831"/>
    <w:rsid w:val="00307B01"/>
    <w:rsid w:val="00310BC5"/>
    <w:rsid w:val="00310C39"/>
    <w:rsid w:val="00310CE1"/>
    <w:rsid w:val="00310D7E"/>
    <w:rsid w:val="0031278E"/>
    <w:rsid w:val="003160F1"/>
    <w:rsid w:val="00316BD7"/>
    <w:rsid w:val="00316BFA"/>
    <w:rsid w:val="003172C8"/>
    <w:rsid w:val="00320122"/>
    <w:rsid w:val="003214EA"/>
    <w:rsid w:val="00321B87"/>
    <w:rsid w:val="003227DE"/>
    <w:rsid w:val="00322A65"/>
    <w:rsid w:val="0032388C"/>
    <w:rsid w:val="00323A08"/>
    <w:rsid w:val="00323A60"/>
    <w:rsid w:val="00324791"/>
    <w:rsid w:val="00324B2C"/>
    <w:rsid w:val="00324E5B"/>
    <w:rsid w:val="00325440"/>
    <w:rsid w:val="0032579A"/>
    <w:rsid w:val="0032615A"/>
    <w:rsid w:val="00326A17"/>
    <w:rsid w:val="00327473"/>
    <w:rsid w:val="00327E03"/>
    <w:rsid w:val="00330392"/>
    <w:rsid w:val="00331CAA"/>
    <w:rsid w:val="0033406C"/>
    <w:rsid w:val="00335BFC"/>
    <w:rsid w:val="00335C0F"/>
    <w:rsid w:val="00337DFD"/>
    <w:rsid w:val="003408BA"/>
    <w:rsid w:val="00340991"/>
    <w:rsid w:val="003419DB"/>
    <w:rsid w:val="003430EC"/>
    <w:rsid w:val="00343419"/>
    <w:rsid w:val="00344064"/>
    <w:rsid w:val="00344581"/>
    <w:rsid w:val="0034532C"/>
    <w:rsid w:val="0034562E"/>
    <w:rsid w:val="003458AF"/>
    <w:rsid w:val="003459E2"/>
    <w:rsid w:val="00345D04"/>
    <w:rsid w:val="003460E6"/>
    <w:rsid w:val="00346288"/>
    <w:rsid w:val="003475A0"/>
    <w:rsid w:val="00347B03"/>
    <w:rsid w:val="00350131"/>
    <w:rsid w:val="00350442"/>
    <w:rsid w:val="003506D7"/>
    <w:rsid w:val="00352BC7"/>
    <w:rsid w:val="00352C2E"/>
    <w:rsid w:val="00353800"/>
    <w:rsid w:val="00353B12"/>
    <w:rsid w:val="00353BBC"/>
    <w:rsid w:val="0035474E"/>
    <w:rsid w:val="00354EEE"/>
    <w:rsid w:val="00357B6E"/>
    <w:rsid w:val="00357D9A"/>
    <w:rsid w:val="00357E74"/>
    <w:rsid w:val="00360ED1"/>
    <w:rsid w:val="00362839"/>
    <w:rsid w:val="00362AC9"/>
    <w:rsid w:val="00362C7D"/>
    <w:rsid w:val="00362F77"/>
    <w:rsid w:val="003631E5"/>
    <w:rsid w:val="003640CD"/>
    <w:rsid w:val="00364146"/>
    <w:rsid w:val="00365CCC"/>
    <w:rsid w:val="003669C8"/>
    <w:rsid w:val="00366C32"/>
    <w:rsid w:val="0036706C"/>
    <w:rsid w:val="0037005D"/>
    <w:rsid w:val="00370193"/>
    <w:rsid w:val="00370414"/>
    <w:rsid w:val="003704B1"/>
    <w:rsid w:val="003708CD"/>
    <w:rsid w:val="00371228"/>
    <w:rsid w:val="003736E1"/>
    <w:rsid w:val="003742CF"/>
    <w:rsid w:val="003742D4"/>
    <w:rsid w:val="0037692B"/>
    <w:rsid w:val="00381C7A"/>
    <w:rsid w:val="003821D6"/>
    <w:rsid w:val="00383CF0"/>
    <w:rsid w:val="00385570"/>
    <w:rsid w:val="003871D3"/>
    <w:rsid w:val="00387A01"/>
    <w:rsid w:val="0039007A"/>
    <w:rsid w:val="00390FB3"/>
    <w:rsid w:val="00391B6F"/>
    <w:rsid w:val="00391E59"/>
    <w:rsid w:val="00392B85"/>
    <w:rsid w:val="003934A5"/>
    <w:rsid w:val="003943C4"/>
    <w:rsid w:val="00394491"/>
    <w:rsid w:val="00394901"/>
    <w:rsid w:val="00394EBF"/>
    <w:rsid w:val="003950AE"/>
    <w:rsid w:val="00395DD7"/>
    <w:rsid w:val="0039641D"/>
    <w:rsid w:val="00397937"/>
    <w:rsid w:val="00397DA0"/>
    <w:rsid w:val="003A0A8E"/>
    <w:rsid w:val="003A0C1E"/>
    <w:rsid w:val="003A1ABF"/>
    <w:rsid w:val="003A243B"/>
    <w:rsid w:val="003A2FF8"/>
    <w:rsid w:val="003A50AE"/>
    <w:rsid w:val="003A52F0"/>
    <w:rsid w:val="003A5385"/>
    <w:rsid w:val="003A54C7"/>
    <w:rsid w:val="003A610C"/>
    <w:rsid w:val="003A76DB"/>
    <w:rsid w:val="003A7DCE"/>
    <w:rsid w:val="003A7E75"/>
    <w:rsid w:val="003B03A6"/>
    <w:rsid w:val="003B1BB4"/>
    <w:rsid w:val="003B221D"/>
    <w:rsid w:val="003B2F87"/>
    <w:rsid w:val="003B3893"/>
    <w:rsid w:val="003B3ABE"/>
    <w:rsid w:val="003B3CEA"/>
    <w:rsid w:val="003B3E5F"/>
    <w:rsid w:val="003B3F15"/>
    <w:rsid w:val="003B561F"/>
    <w:rsid w:val="003B5F78"/>
    <w:rsid w:val="003B6D2E"/>
    <w:rsid w:val="003B7738"/>
    <w:rsid w:val="003B7B99"/>
    <w:rsid w:val="003C042A"/>
    <w:rsid w:val="003C0F72"/>
    <w:rsid w:val="003C1B86"/>
    <w:rsid w:val="003C31AF"/>
    <w:rsid w:val="003C384E"/>
    <w:rsid w:val="003C4355"/>
    <w:rsid w:val="003C6CE7"/>
    <w:rsid w:val="003C729B"/>
    <w:rsid w:val="003D1D46"/>
    <w:rsid w:val="003D2426"/>
    <w:rsid w:val="003D269B"/>
    <w:rsid w:val="003D4638"/>
    <w:rsid w:val="003D4A89"/>
    <w:rsid w:val="003D508B"/>
    <w:rsid w:val="003D539E"/>
    <w:rsid w:val="003D6E02"/>
    <w:rsid w:val="003D6ECA"/>
    <w:rsid w:val="003D70DF"/>
    <w:rsid w:val="003D7279"/>
    <w:rsid w:val="003D7416"/>
    <w:rsid w:val="003D7B3D"/>
    <w:rsid w:val="003D7B97"/>
    <w:rsid w:val="003D7CDF"/>
    <w:rsid w:val="003E05BE"/>
    <w:rsid w:val="003E07E5"/>
    <w:rsid w:val="003E0C89"/>
    <w:rsid w:val="003E10E3"/>
    <w:rsid w:val="003E22D4"/>
    <w:rsid w:val="003E2B94"/>
    <w:rsid w:val="003E36EB"/>
    <w:rsid w:val="003E3836"/>
    <w:rsid w:val="003E4CD9"/>
    <w:rsid w:val="003E6368"/>
    <w:rsid w:val="003E73BC"/>
    <w:rsid w:val="003F01CB"/>
    <w:rsid w:val="003F07AF"/>
    <w:rsid w:val="003F0F6C"/>
    <w:rsid w:val="003F15C6"/>
    <w:rsid w:val="003F1C7C"/>
    <w:rsid w:val="003F1CD9"/>
    <w:rsid w:val="003F21E1"/>
    <w:rsid w:val="003F24E3"/>
    <w:rsid w:val="003F27D1"/>
    <w:rsid w:val="003F287E"/>
    <w:rsid w:val="003F3939"/>
    <w:rsid w:val="003F4635"/>
    <w:rsid w:val="003F5BA8"/>
    <w:rsid w:val="003F6B9D"/>
    <w:rsid w:val="003F70EA"/>
    <w:rsid w:val="003F7E44"/>
    <w:rsid w:val="0040060E"/>
    <w:rsid w:val="004023F4"/>
    <w:rsid w:val="00402479"/>
    <w:rsid w:val="00402A7D"/>
    <w:rsid w:val="00402DEF"/>
    <w:rsid w:val="00404C2C"/>
    <w:rsid w:val="0040555E"/>
    <w:rsid w:val="00406C01"/>
    <w:rsid w:val="00406EED"/>
    <w:rsid w:val="00410766"/>
    <w:rsid w:val="00411FED"/>
    <w:rsid w:val="004120D1"/>
    <w:rsid w:val="004140BA"/>
    <w:rsid w:val="004144EB"/>
    <w:rsid w:val="004144EE"/>
    <w:rsid w:val="004146BE"/>
    <w:rsid w:val="00414855"/>
    <w:rsid w:val="004152F4"/>
    <w:rsid w:val="00415460"/>
    <w:rsid w:val="00415483"/>
    <w:rsid w:val="00415974"/>
    <w:rsid w:val="00415A5E"/>
    <w:rsid w:val="004169D5"/>
    <w:rsid w:val="00420902"/>
    <w:rsid w:val="00421514"/>
    <w:rsid w:val="00421E3B"/>
    <w:rsid w:val="004246D3"/>
    <w:rsid w:val="00427697"/>
    <w:rsid w:val="00430570"/>
    <w:rsid w:val="004305ED"/>
    <w:rsid w:val="00431621"/>
    <w:rsid w:val="00431F78"/>
    <w:rsid w:val="004321EA"/>
    <w:rsid w:val="00432723"/>
    <w:rsid w:val="0043392B"/>
    <w:rsid w:val="00434DD9"/>
    <w:rsid w:val="00435582"/>
    <w:rsid w:val="00436553"/>
    <w:rsid w:val="004368D0"/>
    <w:rsid w:val="00436D82"/>
    <w:rsid w:val="0044114D"/>
    <w:rsid w:val="004415D8"/>
    <w:rsid w:val="004415FA"/>
    <w:rsid w:val="00441920"/>
    <w:rsid w:val="00442945"/>
    <w:rsid w:val="00444669"/>
    <w:rsid w:val="004449BA"/>
    <w:rsid w:val="00445117"/>
    <w:rsid w:val="0044605C"/>
    <w:rsid w:val="0044707B"/>
    <w:rsid w:val="004470A5"/>
    <w:rsid w:val="00447374"/>
    <w:rsid w:val="00447A41"/>
    <w:rsid w:val="004505E7"/>
    <w:rsid w:val="00450EDE"/>
    <w:rsid w:val="00450F68"/>
    <w:rsid w:val="00450FDA"/>
    <w:rsid w:val="0045114C"/>
    <w:rsid w:val="0045134D"/>
    <w:rsid w:val="00451DD3"/>
    <w:rsid w:val="004521FD"/>
    <w:rsid w:val="00452B3B"/>
    <w:rsid w:val="00455C99"/>
    <w:rsid w:val="00456E0B"/>
    <w:rsid w:val="004572B4"/>
    <w:rsid w:val="00457386"/>
    <w:rsid w:val="004609B4"/>
    <w:rsid w:val="00460A50"/>
    <w:rsid w:val="00461E0C"/>
    <w:rsid w:val="004622AF"/>
    <w:rsid w:val="00462AA4"/>
    <w:rsid w:val="00463CE6"/>
    <w:rsid w:val="004715B6"/>
    <w:rsid w:val="004719E2"/>
    <w:rsid w:val="00472578"/>
    <w:rsid w:val="00472BEC"/>
    <w:rsid w:val="00472D66"/>
    <w:rsid w:val="00473028"/>
    <w:rsid w:val="0047307A"/>
    <w:rsid w:val="004731C2"/>
    <w:rsid w:val="004736FC"/>
    <w:rsid w:val="00473CA5"/>
    <w:rsid w:val="00474F36"/>
    <w:rsid w:val="00474FC8"/>
    <w:rsid w:val="00475B65"/>
    <w:rsid w:val="00475BF0"/>
    <w:rsid w:val="00475C82"/>
    <w:rsid w:val="004761B9"/>
    <w:rsid w:val="004765BE"/>
    <w:rsid w:val="00476C9C"/>
    <w:rsid w:val="00477363"/>
    <w:rsid w:val="00477BFC"/>
    <w:rsid w:val="0048026B"/>
    <w:rsid w:val="00483A85"/>
    <w:rsid w:val="00486163"/>
    <w:rsid w:val="0048747D"/>
    <w:rsid w:val="00487688"/>
    <w:rsid w:val="00492432"/>
    <w:rsid w:val="0049291E"/>
    <w:rsid w:val="00492AE2"/>
    <w:rsid w:val="004938FA"/>
    <w:rsid w:val="004943EA"/>
    <w:rsid w:val="004949D0"/>
    <w:rsid w:val="00496914"/>
    <w:rsid w:val="00496D3B"/>
    <w:rsid w:val="0049771B"/>
    <w:rsid w:val="0049798B"/>
    <w:rsid w:val="00497BCA"/>
    <w:rsid w:val="004A0CC8"/>
    <w:rsid w:val="004A1DE4"/>
    <w:rsid w:val="004A2A28"/>
    <w:rsid w:val="004A3500"/>
    <w:rsid w:val="004A37F3"/>
    <w:rsid w:val="004A41B7"/>
    <w:rsid w:val="004A5066"/>
    <w:rsid w:val="004A555B"/>
    <w:rsid w:val="004A572B"/>
    <w:rsid w:val="004A6496"/>
    <w:rsid w:val="004A75A3"/>
    <w:rsid w:val="004A77D7"/>
    <w:rsid w:val="004A7831"/>
    <w:rsid w:val="004B14C4"/>
    <w:rsid w:val="004B2D94"/>
    <w:rsid w:val="004B30C3"/>
    <w:rsid w:val="004B441B"/>
    <w:rsid w:val="004B533D"/>
    <w:rsid w:val="004B6D02"/>
    <w:rsid w:val="004B7C1D"/>
    <w:rsid w:val="004C09C9"/>
    <w:rsid w:val="004C0F4E"/>
    <w:rsid w:val="004C141E"/>
    <w:rsid w:val="004C1702"/>
    <w:rsid w:val="004C39E2"/>
    <w:rsid w:val="004C40E8"/>
    <w:rsid w:val="004C4AA1"/>
    <w:rsid w:val="004C4F45"/>
    <w:rsid w:val="004C54A0"/>
    <w:rsid w:val="004C5F6F"/>
    <w:rsid w:val="004C6AF4"/>
    <w:rsid w:val="004C749A"/>
    <w:rsid w:val="004D08F5"/>
    <w:rsid w:val="004D10E7"/>
    <w:rsid w:val="004D1308"/>
    <w:rsid w:val="004D1BE6"/>
    <w:rsid w:val="004D34E8"/>
    <w:rsid w:val="004D362A"/>
    <w:rsid w:val="004D5A16"/>
    <w:rsid w:val="004D5B29"/>
    <w:rsid w:val="004D5E02"/>
    <w:rsid w:val="004D75D8"/>
    <w:rsid w:val="004D7F3B"/>
    <w:rsid w:val="004E05E7"/>
    <w:rsid w:val="004E250D"/>
    <w:rsid w:val="004E2DD2"/>
    <w:rsid w:val="004E2E50"/>
    <w:rsid w:val="004E2F35"/>
    <w:rsid w:val="004E3204"/>
    <w:rsid w:val="004E3FFF"/>
    <w:rsid w:val="004E58C3"/>
    <w:rsid w:val="004E61BF"/>
    <w:rsid w:val="004E62D6"/>
    <w:rsid w:val="004E754E"/>
    <w:rsid w:val="004E75A8"/>
    <w:rsid w:val="004E79BD"/>
    <w:rsid w:val="004F06C2"/>
    <w:rsid w:val="004F0820"/>
    <w:rsid w:val="004F0A5C"/>
    <w:rsid w:val="004F2383"/>
    <w:rsid w:val="004F5854"/>
    <w:rsid w:val="004F77DA"/>
    <w:rsid w:val="004F7DAF"/>
    <w:rsid w:val="005009E2"/>
    <w:rsid w:val="00500EDA"/>
    <w:rsid w:val="00502D50"/>
    <w:rsid w:val="005035AC"/>
    <w:rsid w:val="00503968"/>
    <w:rsid w:val="00503A81"/>
    <w:rsid w:val="00503BBD"/>
    <w:rsid w:val="00503E65"/>
    <w:rsid w:val="00504444"/>
    <w:rsid w:val="00504D5D"/>
    <w:rsid w:val="005050AC"/>
    <w:rsid w:val="005055F8"/>
    <w:rsid w:val="00505BA0"/>
    <w:rsid w:val="00505D5E"/>
    <w:rsid w:val="00505E50"/>
    <w:rsid w:val="00510147"/>
    <w:rsid w:val="00511418"/>
    <w:rsid w:val="00511BF3"/>
    <w:rsid w:val="00512B8C"/>
    <w:rsid w:val="00512F03"/>
    <w:rsid w:val="00514988"/>
    <w:rsid w:val="00514F5F"/>
    <w:rsid w:val="00515110"/>
    <w:rsid w:val="005154BC"/>
    <w:rsid w:val="005166AF"/>
    <w:rsid w:val="00517839"/>
    <w:rsid w:val="00523193"/>
    <w:rsid w:val="00523347"/>
    <w:rsid w:val="00523D34"/>
    <w:rsid w:val="00524898"/>
    <w:rsid w:val="00525C1D"/>
    <w:rsid w:val="00525DBB"/>
    <w:rsid w:val="005260EB"/>
    <w:rsid w:val="005262C2"/>
    <w:rsid w:val="00526AD5"/>
    <w:rsid w:val="00526AD9"/>
    <w:rsid w:val="0052732D"/>
    <w:rsid w:val="00527A20"/>
    <w:rsid w:val="005300F6"/>
    <w:rsid w:val="00530F5B"/>
    <w:rsid w:val="005310AE"/>
    <w:rsid w:val="005311B2"/>
    <w:rsid w:val="005315C0"/>
    <w:rsid w:val="005318B9"/>
    <w:rsid w:val="00531E07"/>
    <w:rsid w:val="0053205B"/>
    <w:rsid w:val="005321F4"/>
    <w:rsid w:val="005332F5"/>
    <w:rsid w:val="00533503"/>
    <w:rsid w:val="00533CE6"/>
    <w:rsid w:val="005349EE"/>
    <w:rsid w:val="00534A1D"/>
    <w:rsid w:val="00535439"/>
    <w:rsid w:val="00540F72"/>
    <w:rsid w:val="0054255F"/>
    <w:rsid w:val="00543C5A"/>
    <w:rsid w:val="00544BA0"/>
    <w:rsid w:val="00545FA2"/>
    <w:rsid w:val="00545FB5"/>
    <w:rsid w:val="00551BEE"/>
    <w:rsid w:val="00552D6D"/>
    <w:rsid w:val="00552F70"/>
    <w:rsid w:val="00552FA5"/>
    <w:rsid w:val="005542F5"/>
    <w:rsid w:val="0055430E"/>
    <w:rsid w:val="00554CD4"/>
    <w:rsid w:val="00555069"/>
    <w:rsid w:val="00555CA0"/>
    <w:rsid w:val="00557E26"/>
    <w:rsid w:val="00557F3F"/>
    <w:rsid w:val="00560E96"/>
    <w:rsid w:val="005616FC"/>
    <w:rsid w:val="0056333D"/>
    <w:rsid w:val="005644F4"/>
    <w:rsid w:val="0056564F"/>
    <w:rsid w:val="005673FC"/>
    <w:rsid w:val="00567CCE"/>
    <w:rsid w:val="00575664"/>
    <w:rsid w:val="0057705A"/>
    <w:rsid w:val="005774D8"/>
    <w:rsid w:val="005801B8"/>
    <w:rsid w:val="005804F5"/>
    <w:rsid w:val="0058254F"/>
    <w:rsid w:val="005825DC"/>
    <w:rsid w:val="0058604C"/>
    <w:rsid w:val="00586D9C"/>
    <w:rsid w:val="00586DBE"/>
    <w:rsid w:val="00587811"/>
    <w:rsid w:val="00590A8E"/>
    <w:rsid w:val="00590E23"/>
    <w:rsid w:val="00591953"/>
    <w:rsid w:val="005921ED"/>
    <w:rsid w:val="00592CAB"/>
    <w:rsid w:val="00593628"/>
    <w:rsid w:val="005947CD"/>
    <w:rsid w:val="00594E5C"/>
    <w:rsid w:val="0059500A"/>
    <w:rsid w:val="00595EF7"/>
    <w:rsid w:val="005975E2"/>
    <w:rsid w:val="0059792E"/>
    <w:rsid w:val="005A08BE"/>
    <w:rsid w:val="005A1765"/>
    <w:rsid w:val="005A199F"/>
    <w:rsid w:val="005A1D87"/>
    <w:rsid w:val="005A2E32"/>
    <w:rsid w:val="005A4358"/>
    <w:rsid w:val="005A4947"/>
    <w:rsid w:val="005A5AAB"/>
    <w:rsid w:val="005A5F10"/>
    <w:rsid w:val="005A632A"/>
    <w:rsid w:val="005A6378"/>
    <w:rsid w:val="005A69E2"/>
    <w:rsid w:val="005A7032"/>
    <w:rsid w:val="005A7BEB"/>
    <w:rsid w:val="005B01F2"/>
    <w:rsid w:val="005B3D7C"/>
    <w:rsid w:val="005B492D"/>
    <w:rsid w:val="005B5378"/>
    <w:rsid w:val="005B5A86"/>
    <w:rsid w:val="005B5F54"/>
    <w:rsid w:val="005B71B8"/>
    <w:rsid w:val="005B7E2A"/>
    <w:rsid w:val="005C0844"/>
    <w:rsid w:val="005C14B5"/>
    <w:rsid w:val="005C394F"/>
    <w:rsid w:val="005C4FC5"/>
    <w:rsid w:val="005C5364"/>
    <w:rsid w:val="005C6304"/>
    <w:rsid w:val="005C7489"/>
    <w:rsid w:val="005D090E"/>
    <w:rsid w:val="005D099E"/>
    <w:rsid w:val="005D1916"/>
    <w:rsid w:val="005D2540"/>
    <w:rsid w:val="005D2D6D"/>
    <w:rsid w:val="005D40C7"/>
    <w:rsid w:val="005D4382"/>
    <w:rsid w:val="005D44F8"/>
    <w:rsid w:val="005D4B47"/>
    <w:rsid w:val="005D57C1"/>
    <w:rsid w:val="005D5B48"/>
    <w:rsid w:val="005D60FF"/>
    <w:rsid w:val="005D6922"/>
    <w:rsid w:val="005D75C3"/>
    <w:rsid w:val="005D765E"/>
    <w:rsid w:val="005D7857"/>
    <w:rsid w:val="005D7D09"/>
    <w:rsid w:val="005E0270"/>
    <w:rsid w:val="005E07E5"/>
    <w:rsid w:val="005E0C51"/>
    <w:rsid w:val="005E0D7E"/>
    <w:rsid w:val="005E2CFC"/>
    <w:rsid w:val="005E56CB"/>
    <w:rsid w:val="005E67ED"/>
    <w:rsid w:val="005E6E8C"/>
    <w:rsid w:val="005E7B86"/>
    <w:rsid w:val="005F10BC"/>
    <w:rsid w:val="005F178B"/>
    <w:rsid w:val="005F2E90"/>
    <w:rsid w:val="005F3BCB"/>
    <w:rsid w:val="005F43FA"/>
    <w:rsid w:val="005F4A9E"/>
    <w:rsid w:val="005F4C5B"/>
    <w:rsid w:val="005F4E8C"/>
    <w:rsid w:val="005F5031"/>
    <w:rsid w:val="005F5373"/>
    <w:rsid w:val="005F5398"/>
    <w:rsid w:val="005F6740"/>
    <w:rsid w:val="005F7940"/>
    <w:rsid w:val="006000EA"/>
    <w:rsid w:val="00600271"/>
    <w:rsid w:val="00601030"/>
    <w:rsid w:val="006015C3"/>
    <w:rsid w:val="0060192A"/>
    <w:rsid w:val="00604B46"/>
    <w:rsid w:val="00604FAC"/>
    <w:rsid w:val="00605962"/>
    <w:rsid w:val="006059BE"/>
    <w:rsid w:val="006072C6"/>
    <w:rsid w:val="00607554"/>
    <w:rsid w:val="00607CD1"/>
    <w:rsid w:val="00610CFC"/>
    <w:rsid w:val="0061179C"/>
    <w:rsid w:val="00612CD5"/>
    <w:rsid w:val="006130F6"/>
    <w:rsid w:val="0061331D"/>
    <w:rsid w:val="00613C23"/>
    <w:rsid w:val="006152B9"/>
    <w:rsid w:val="006158BA"/>
    <w:rsid w:val="00615E2C"/>
    <w:rsid w:val="00617175"/>
    <w:rsid w:val="006171FD"/>
    <w:rsid w:val="006172CD"/>
    <w:rsid w:val="00620620"/>
    <w:rsid w:val="00620645"/>
    <w:rsid w:val="006216D9"/>
    <w:rsid w:val="00621E1D"/>
    <w:rsid w:val="00621F3C"/>
    <w:rsid w:val="00622BA1"/>
    <w:rsid w:val="00623C44"/>
    <w:rsid w:val="00624171"/>
    <w:rsid w:val="006258C1"/>
    <w:rsid w:val="00625C7F"/>
    <w:rsid w:val="00625F05"/>
    <w:rsid w:val="006301EB"/>
    <w:rsid w:val="00630C3B"/>
    <w:rsid w:val="00631505"/>
    <w:rsid w:val="00631E14"/>
    <w:rsid w:val="006327F5"/>
    <w:rsid w:val="006327FE"/>
    <w:rsid w:val="0063491D"/>
    <w:rsid w:val="00635172"/>
    <w:rsid w:val="00636298"/>
    <w:rsid w:val="006368C7"/>
    <w:rsid w:val="00636ECE"/>
    <w:rsid w:val="0064026B"/>
    <w:rsid w:val="00640D08"/>
    <w:rsid w:val="00641F1F"/>
    <w:rsid w:val="00642706"/>
    <w:rsid w:val="00642A13"/>
    <w:rsid w:val="00642A8F"/>
    <w:rsid w:val="00642E8F"/>
    <w:rsid w:val="006437DA"/>
    <w:rsid w:val="00643836"/>
    <w:rsid w:val="00643ECB"/>
    <w:rsid w:val="0064401B"/>
    <w:rsid w:val="0064422C"/>
    <w:rsid w:val="00645170"/>
    <w:rsid w:val="00645391"/>
    <w:rsid w:val="0064584C"/>
    <w:rsid w:val="0064743F"/>
    <w:rsid w:val="00647665"/>
    <w:rsid w:val="00647F6E"/>
    <w:rsid w:val="00650288"/>
    <w:rsid w:val="006521DC"/>
    <w:rsid w:val="0065242B"/>
    <w:rsid w:val="00652638"/>
    <w:rsid w:val="0065458B"/>
    <w:rsid w:val="00654A2F"/>
    <w:rsid w:val="00654ECC"/>
    <w:rsid w:val="00655A5B"/>
    <w:rsid w:val="00655AC4"/>
    <w:rsid w:val="00655DDC"/>
    <w:rsid w:val="0065703A"/>
    <w:rsid w:val="0065707C"/>
    <w:rsid w:val="00660C81"/>
    <w:rsid w:val="00662719"/>
    <w:rsid w:val="00662E16"/>
    <w:rsid w:val="00662E83"/>
    <w:rsid w:val="00663E95"/>
    <w:rsid w:val="00664263"/>
    <w:rsid w:val="00664F45"/>
    <w:rsid w:val="00666BF3"/>
    <w:rsid w:val="006706A5"/>
    <w:rsid w:val="006709E7"/>
    <w:rsid w:val="0067116A"/>
    <w:rsid w:val="0067172A"/>
    <w:rsid w:val="00671D61"/>
    <w:rsid w:val="00672851"/>
    <w:rsid w:val="00673B03"/>
    <w:rsid w:val="006746E9"/>
    <w:rsid w:val="006751AD"/>
    <w:rsid w:val="00676853"/>
    <w:rsid w:val="00676F22"/>
    <w:rsid w:val="00677076"/>
    <w:rsid w:val="0067741C"/>
    <w:rsid w:val="00680204"/>
    <w:rsid w:val="00680324"/>
    <w:rsid w:val="006811E0"/>
    <w:rsid w:val="0068197D"/>
    <w:rsid w:val="00682D32"/>
    <w:rsid w:val="00683377"/>
    <w:rsid w:val="0068375B"/>
    <w:rsid w:val="00685438"/>
    <w:rsid w:val="00685C47"/>
    <w:rsid w:val="00686195"/>
    <w:rsid w:val="00686FE9"/>
    <w:rsid w:val="0068734F"/>
    <w:rsid w:val="006873CB"/>
    <w:rsid w:val="006877D1"/>
    <w:rsid w:val="006878D9"/>
    <w:rsid w:val="00690974"/>
    <w:rsid w:val="00690B33"/>
    <w:rsid w:val="00690F25"/>
    <w:rsid w:val="00692A05"/>
    <w:rsid w:val="006935F0"/>
    <w:rsid w:val="00693910"/>
    <w:rsid w:val="00694333"/>
    <w:rsid w:val="00694551"/>
    <w:rsid w:val="00694B21"/>
    <w:rsid w:val="00695654"/>
    <w:rsid w:val="006963AB"/>
    <w:rsid w:val="006A0550"/>
    <w:rsid w:val="006A0B82"/>
    <w:rsid w:val="006A16AB"/>
    <w:rsid w:val="006A20F1"/>
    <w:rsid w:val="006A29BE"/>
    <w:rsid w:val="006A2B40"/>
    <w:rsid w:val="006A527D"/>
    <w:rsid w:val="006A5B62"/>
    <w:rsid w:val="006A67DC"/>
    <w:rsid w:val="006A695D"/>
    <w:rsid w:val="006A757F"/>
    <w:rsid w:val="006A780B"/>
    <w:rsid w:val="006B075F"/>
    <w:rsid w:val="006B0A91"/>
    <w:rsid w:val="006B1632"/>
    <w:rsid w:val="006B247F"/>
    <w:rsid w:val="006B2691"/>
    <w:rsid w:val="006B460D"/>
    <w:rsid w:val="006B5FB9"/>
    <w:rsid w:val="006B63F2"/>
    <w:rsid w:val="006C0719"/>
    <w:rsid w:val="006C0C15"/>
    <w:rsid w:val="006C11F4"/>
    <w:rsid w:val="006C3399"/>
    <w:rsid w:val="006C56A5"/>
    <w:rsid w:val="006C5BFF"/>
    <w:rsid w:val="006C5D46"/>
    <w:rsid w:val="006C5DAF"/>
    <w:rsid w:val="006C77BF"/>
    <w:rsid w:val="006D0207"/>
    <w:rsid w:val="006D04EE"/>
    <w:rsid w:val="006D3110"/>
    <w:rsid w:val="006D3169"/>
    <w:rsid w:val="006D4294"/>
    <w:rsid w:val="006D6913"/>
    <w:rsid w:val="006D6E56"/>
    <w:rsid w:val="006E0ACD"/>
    <w:rsid w:val="006E0D62"/>
    <w:rsid w:val="006E0E1A"/>
    <w:rsid w:val="006E14B3"/>
    <w:rsid w:val="006E1C86"/>
    <w:rsid w:val="006E270D"/>
    <w:rsid w:val="006E3304"/>
    <w:rsid w:val="006E3624"/>
    <w:rsid w:val="006E3777"/>
    <w:rsid w:val="006E431C"/>
    <w:rsid w:val="006E50F1"/>
    <w:rsid w:val="006E716B"/>
    <w:rsid w:val="006E75C1"/>
    <w:rsid w:val="006F1076"/>
    <w:rsid w:val="006F133A"/>
    <w:rsid w:val="006F1A23"/>
    <w:rsid w:val="006F1DE7"/>
    <w:rsid w:val="006F1E4B"/>
    <w:rsid w:val="006F32C7"/>
    <w:rsid w:val="006F381F"/>
    <w:rsid w:val="006F3B0F"/>
    <w:rsid w:val="006F4482"/>
    <w:rsid w:val="006F4A23"/>
    <w:rsid w:val="006F4C0F"/>
    <w:rsid w:val="006F54B7"/>
    <w:rsid w:val="006F54FA"/>
    <w:rsid w:val="006F5674"/>
    <w:rsid w:val="006F5F45"/>
    <w:rsid w:val="00700664"/>
    <w:rsid w:val="0070183E"/>
    <w:rsid w:val="0070190A"/>
    <w:rsid w:val="00701FAC"/>
    <w:rsid w:val="00702EF7"/>
    <w:rsid w:val="007031BF"/>
    <w:rsid w:val="0070324F"/>
    <w:rsid w:val="00703DA2"/>
    <w:rsid w:val="00704A66"/>
    <w:rsid w:val="007050C7"/>
    <w:rsid w:val="007056DA"/>
    <w:rsid w:val="00706691"/>
    <w:rsid w:val="00706BAB"/>
    <w:rsid w:val="007078B7"/>
    <w:rsid w:val="0071020E"/>
    <w:rsid w:val="007109BC"/>
    <w:rsid w:val="00710EAE"/>
    <w:rsid w:val="00711A13"/>
    <w:rsid w:val="007132B5"/>
    <w:rsid w:val="00714A84"/>
    <w:rsid w:val="00715D19"/>
    <w:rsid w:val="0071619B"/>
    <w:rsid w:val="00716DBB"/>
    <w:rsid w:val="00717887"/>
    <w:rsid w:val="00717AA6"/>
    <w:rsid w:val="007207FD"/>
    <w:rsid w:val="00721551"/>
    <w:rsid w:val="0072235F"/>
    <w:rsid w:val="00722C25"/>
    <w:rsid w:val="00724505"/>
    <w:rsid w:val="0072487D"/>
    <w:rsid w:val="0072643C"/>
    <w:rsid w:val="00727163"/>
    <w:rsid w:val="00730AC7"/>
    <w:rsid w:val="0073142B"/>
    <w:rsid w:val="00731CEA"/>
    <w:rsid w:val="00733D05"/>
    <w:rsid w:val="00733D0F"/>
    <w:rsid w:val="00734A7F"/>
    <w:rsid w:val="00735260"/>
    <w:rsid w:val="007357F0"/>
    <w:rsid w:val="00737F05"/>
    <w:rsid w:val="007431F5"/>
    <w:rsid w:val="00744120"/>
    <w:rsid w:val="00745908"/>
    <w:rsid w:val="0074764A"/>
    <w:rsid w:val="007477F4"/>
    <w:rsid w:val="0075282E"/>
    <w:rsid w:val="00752F02"/>
    <w:rsid w:val="00754AB5"/>
    <w:rsid w:val="00755C2C"/>
    <w:rsid w:val="00755CA9"/>
    <w:rsid w:val="0075617D"/>
    <w:rsid w:val="00756930"/>
    <w:rsid w:val="00756B7B"/>
    <w:rsid w:val="00756FD8"/>
    <w:rsid w:val="00757C4B"/>
    <w:rsid w:val="00761B0B"/>
    <w:rsid w:val="0076287C"/>
    <w:rsid w:val="007631E0"/>
    <w:rsid w:val="00764153"/>
    <w:rsid w:val="00765781"/>
    <w:rsid w:val="00766353"/>
    <w:rsid w:val="0076653C"/>
    <w:rsid w:val="007714B1"/>
    <w:rsid w:val="007717D2"/>
    <w:rsid w:val="00771A9F"/>
    <w:rsid w:val="00771F21"/>
    <w:rsid w:val="00774681"/>
    <w:rsid w:val="00774B3D"/>
    <w:rsid w:val="00774DE4"/>
    <w:rsid w:val="00776960"/>
    <w:rsid w:val="0077761E"/>
    <w:rsid w:val="007777AF"/>
    <w:rsid w:val="00780296"/>
    <w:rsid w:val="00780972"/>
    <w:rsid w:val="00781D9D"/>
    <w:rsid w:val="007821F6"/>
    <w:rsid w:val="00782DB4"/>
    <w:rsid w:val="00782F4A"/>
    <w:rsid w:val="00786E8E"/>
    <w:rsid w:val="007873C3"/>
    <w:rsid w:val="00787B2C"/>
    <w:rsid w:val="00787D24"/>
    <w:rsid w:val="007903C1"/>
    <w:rsid w:val="0079143A"/>
    <w:rsid w:val="007915C2"/>
    <w:rsid w:val="00791813"/>
    <w:rsid w:val="00793F29"/>
    <w:rsid w:val="007945F6"/>
    <w:rsid w:val="00794DE7"/>
    <w:rsid w:val="00797759"/>
    <w:rsid w:val="007A0E89"/>
    <w:rsid w:val="007A1DC5"/>
    <w:rsid w:val="007A20AD"/>
    <w:rsid w:val="007A374D"/>
    <w:rsid w:val="007A56A7"/>
    <w:rsid w:val="007A5D05"/>
    <w:rsid w:val="007A7331"/>
    <w:rsid w:val="007A7415"/>
    <w:rsid w:val="007B0CB0"/>
    <w:rsid w:val="007B1085"/>
    <w:rsid w:val="007B245A"/>
    <w:rsid w:val="007B3372"/>
    <w:rsid w:val="007B3749"/>
    <w:rsid w:val="007B3A86"/>
    <w:rsid w:val="007B3DF4"/>
    <w:rsid w:val="007B4689"/>
    <w:rsid w:val="007B4823"/>
    <w:rsid w:val="007B4E8A"/>
    <w:rsid w:val="007B54ED"/>
    <w:rsid w:val="007B555E"/>
    <w:rsid w:val="007B5969"/>
    <w:rsid w:val="007B6F8A"/>
    <w:rsid w:val="007C0279"/>
    <w:rsid w:val="007C0CEC"/>
    <w:rsid w:val="007C17CC"/>
    <w:rsid w:val="007C2A81"/>
    <w:rsid w:val="007C2B78"/>
    <w:rsid w:val="007C2EBE"/>
    <w:rsid w:val="007C31CC"/>
    <w:rsid w:val="007C35E2"/>
    <w:rsid w:val="007C37F1"/>
    <w:rsid w:val="007C3E46"/>
    <w:rsid w:val="007C5B2A"/>
    <w:rsid w:val="007C62F5"/>
    <w:rsid w:val="007D0869"/>
    <w:rsid w:val="007D0E00"/>
    <w:rsid w:val="007D112D"/>
    <w:rsid w:val="007D1913"/>
    <w:rsid w:val="007D298C"/>
    <w:rsid w:val="007D3420"/>
    <w:rsid w:val="007D4C62"/>
    <w:rsid w:val="007D5362"/>
    <w:rsid w:val="007D6C48"/>
    <w:rsid w:val="007D71F7"/>
    <w:rsid w:val="007D71FA"/>
    <w:rsid w:val="007D77F0"/>
    <w:rsid w:val="007E000F"/>
    <w:rsid w:val="007E156E"/>
    <w:rsid w:val="007E183F"/>
    <w:rsid w:val="007E2C46"/>
    <w:rsid w:val="007E2E70"/>
    <w:rsid w:val="007E30A9"/>
    <w:rsid w:val="007E3501"/>
    <w:rsid w:val="007E3BBC"/>
    <w:rsid w:val="007E4C7E"/>
    <w:rsid w:val="007E5E28"/>
    <w:rsid w:val="007E67E2"/>
    <w:rsid w:val="007E72CB"/>
    <w:rsid w:val="007E7953"/>
    <w:rsid w:val="007E7D04"/>
    <w:rsid w:val="007E7F92"/>
    <w:rsid w:val="007F1ABF"/>
    <w:rsid w:val="007F2956"/>
    <w:rsid w:val="007F2CB5"/>
    <w:rsid w:val="007F2E32"/>
    <w:rsid w:val="007F3D2A"/>
    <w:rsid w:val="007F4939"/>
    <w:rsid w:val="007F6285"/>
    <w:rsid w:val="007F682E"/>
    <w:rsid w:val="007F6A11"/>
    <w:rsid w:val="007F74EC"/>
    <w:rsid w:val="008002AA"/>
    <w:rsid w:val="008014C3"/>
    <w:rsid w:val="00802783"/>
    <w:rsid w:val="00803F05"/>
    <w:rsid w:val="00804AD7"/>
    <w:rsid w:val="00805434"/>
    <w:rsid w:val="00806C07"/>
    <w:rsid w:val="0081321A"/>
    <w:rsid w:val="00814A44"/>
    <w:rsid w:val="00814E45"/>
    <w:rsid w:val="00815A24"/>
    <w:rsid w:val="00820001"/>
    <w:rsid w:val="008239D0"/>
    <w:rsid w:val="00823AF1"/>
    <w:rsid w:val="008246E9"/>
    <w:rsid w:val="00824CEF"/>
    <w:rsid w:val="00824E89"/>
    <w:rsid w:val="00826480"/>
    <w:rsid w:val="008274CA"/>
    <w:rsid w:val="00830148"/>
    <w:rsid w:val="008316AD"/>
    <w:rsid w:val="00831855"/>
    <w:rsid w:val="0083371C"/>
    <w:rsid w:val="00834307"/>
    <w:rsid w:val="00834E56"/>
    <w:rsid w:val="00835315"/>
    <w:rsid w:val="00835AEB"/>
    <w:rsid w:val="0083732D"/>
    <w:rsid w:val="00837E03"/>
    <w:rsid w:val="00840003"/>
    <w:rsid w:val="00840D0F"/>
    <w:rsid w:val="00842120"/>
    <w:rsid w:val="00842809"/>
    <w:rsid w:val="00842A84"/>
    <w:rsid w:val="00842E66"/>
    <w:rsid w:val="00842FDE"/>
    <w:rsid w:val="00843A89"/>
    <w:rsid w:val="00844049"/>
    <w:rsid w:val="008445D4"/>
    <w:rsid w:val="008446F1"/>
    <w:rsid w:val="00845FC6"/>
    <w:rsid w:val="00846649"/>
    <w:rsid w:val="00846A60"/>
    <w:rsid w:val="00846FF0"/>
    <w:rsid w:val="00847E9A"/>
    <w:rsid w:val="00852A09"/>
    <w:rsid w:val="00852CA4"/>
    <w:rsid w:val="00853EB6"/>
    <w:rsid w:val="00854B56"/>
    <w:rsid w:val="0085728C"/>
    <w:rsid w:val="008611A4"/>
    <w:rsid w:val="00861FD7"/>
    <w:rsid w:val="0086363F"/>
    <w:rsid w:val="00863BA3"/>
    <w:rsid w:val="00864226"/>
    <w:rsid w:val="0086455B"/>
    <w:rsid w:val="00864DB3"/>
    <w:rsid w:val="00865B4A"/>
    <w:rsid w:val="00865E17"/>
    <w:rsid w:val="008664AC"/>
    <w:rsid w:val="00866766"/>
    <w:rsid w:val="00866D13"/>
    <w:rsid w:val="008671DC"/>
    <w:rsid w:val="008678A4"/>
    <w:rsid w:val="008678C2"/>
    <w:rsid w:val="008707C2"/>
    <w:rsid w:val="008741EA"/>
    <w:rsid w:val="00874350"/>
    <w:rsid w:val="008754DA"/>
    <w:rsid w:val="00875BC6"/>
    <w:rsid w:val="00876346"/>
    <w:rsid w:val="00876965"/>
    <w:rsid w:val="00880101"/>
    <w:rsid w:val="0088013C"/>
    <w:rsid w:val="008801A2"/>
    <w:rsid w:val="00880F2C"/>
    <w:rsid w:val="00881210"/>
    <w:rsid w:val="00881882"/>
    <w:rsid w:val="00882284"/>
    <w:rsid w:val="008824B6"/>
    <w:rsid w:val="00882AC7"/>
    <w:rsid w:val="008832C5"/>
    <w:rsid w:val="00884452"/>
    <w:rsid w:val="00886014"/>
    <w:rsid w:val="00886BAB"/>
    <w:rsid w:val="008876A5"/>
    <w:rsid w:val="00887D29"/>
    <w:rsid w:val="008905D7"/>
    <w:rsid w:val="00890EDB"/>
    <w:rsid w:val="008921DC"/>
    <w:rsid w:val="00892DB0"/>
    <w:rsid w:val="008931E4"/>
    <w:rsid w:val="00893B7E"/>
    <w:rsid w:val="00893FA3"/>
    <w:rsid w:val="00894F4D"/>
    <w:rsid w:val="00895B87"/>
    <w:rsid w:val="00895F32"/>
    <w:rsid w:val="00895F57"/>
    <w:rsid w:val="008960B7"/>
    <w:rsid w:val="008962F2"/>
    <w:rsid w:val="00896511"/>
    <w:rsid w:val="008975E7"/>
    <w:rsid w:val="008A0297"/>
    <w:rsid w:val="008A067A"/>
    <w:rsid w:val="008A08D2"/>
    <w:rsid w:val="008A0DE1"/>
    <w:rsid w:val="008A109E"/>
    <w:rsid w:val="008A2E7B"/>
    <w:rsid w:val="008A4004"/>
    <w:rsid w:val="008A58C3"/>
    <w:rsid w:val="008A6BF1"/>
    <w:rsid w:val="008A7600"/>
    <w:rsid w:val="008B13E7"/>
    <w:rsid w:val="008B1727"/>
    <w:rsid w:val="008B1ABF"/>
    <w:rsid w:val="008B1D85"/>
    <w:rsid w:val="008B2D32"/>
    <w:rsid w:val="008B38B1"/>
    <w:rsid w:val="008B3920"/>
    <w:rsid w:val="008B3CD2"/>
    <w:rsid w:val="008B4224"/>
    <w:rsid w:val="008B4229"/>
    <w:rsid w:val="008B478A"/>
    <w:rsid w:val="008B5B9D"/>
    <w:rsid w:val="008B602D"/>
    <w:rsid w:val="008B6AB2"/>
    <w:rsid w:val="008B6F16"/>
    <w:rsid w:val="008C01FE"/>
    <w:rsid w:val="008C0618"/>
    <w:rsid w:val="008C15E8"/>
    <w:rsid w:val="008C2B6F"/>
    <w:rsid w:val="008C465E"/>
    <w:rsid w:val="008C4752"/>
    <w:rsid w:val="008C4CE4"/>
    <w:rsid w:val="008C551F"/>
    <w:rsid w:val="008C554B"/>
    <w:rsid w:val="008C5F2C"/>
    <w:rsid w:val="008C73D6"/>
    <w:rsid w:val="008D0C62"/>
    <w:rsid w:val="008D1C6C"/>
    <w:rsid w:val="008D275D"/>
    <w:rsid w:val="008D2CD6"/>
    <w:rsid w:val="008D3565"/>
    <w:rsid w:val="008D40B9"/>
    <w:rsid w:val="008D4939"/>
    <w:rsid w:val="008D542A"/>
    <w:rsid w:val="008D6E6F"/>
    <w:rsid w:val="008D726D"/>
    <w:rsid w:val="008E0981"/>
    <w:rsid w:val="008E162D"/>
    <w:rsid w:val="008E30AD"/>
    <w:rsid w:val="008E3CAD"/>
    <w:rsid w:val="008E3D60"/>
    <w:rsid w:val="008E5670"/>
    <w:rsid w:val="008E5916"/>
    <w:rsid w:val="008E5F6C"/>
    <w:rsid w:val="008E7390"/>
    <w:rsid w:val="008F05C2"/>
    <w:rsid w:val="008F1A58"/>
    <w:rsid w:val="008F1AF0"/>
    <w:rsid w:val="008F1F00"/>
    <w:rsid w:val="008F2382"/>
    <w:rsid w:val="008F2BA7"/>
    <w:rsid w:val="008F37EB"/>
    <w:rsid w:val="008F38C8"/>
    <w:rsid w:val="008F396B"/>
    <w:rsid w:val="008F3BA8"/>
    <w:rsid w:val="008F42BB"/>
    <w:rsid w:val="008F4320"/>
    <w:rsid w:val="008F47D1"/>
    <w:rsid w:val="008F6BC5"/>
    <w:rsid w:val="008F6C87"/>
    <w:rsid w:val="008F749A"/>
    <w:rsid w:val="008F79AE"/>
    <w:rsid w:val="009000CA"/>
    <w:rsid w:val="009005AB"/>
    <w:rsid w:val="0090192D"/>
    <w:rsid w:val="00905434"/>
    <w:rsid w:val="00905C39"/>
    <w:rsid w:val="00905C9B"/>
    <w:rsid w:val="00905FD8"/>
    <w:rsid w:val="009072F6"/>
    <w:rsid w:val="00907620"/>
    <w:rsid w:val="00907660"/>
    <w:rsid w:val="00907697"/>
    <w:rsid w:val="00910052"/>
    <w:rsid w:val="00910275"/>
    <w:rsid w:val="00910311"/>
    <w:rsid w:val="00910AE4"/>
    <w:rsid w:val="009113AE"/>
    <w:rsid w:val="009114A1"/>
    <w:rsid w:val="00912262"/>
    <w:rsid w:val="00914E96"/>
    <w:rsid w:val="009152F2"/>
    <w:rsid w:val="00920BD4"/>
    <w:rsid w:val="00920F55"/>
    <w:rsid w:val="009219AD"/>
    <w:rsid w:val="00921F3C"/>
    <w:rsid w:val="009231DE"/>
    <w:rsid w:val="009235F4"/>
    <w:rsid w:val="009243B3"/>
    <w:rsid w:val="00924AEA"/>
    <w:rsid w:val="00924F4A"/>
    <w:rsid w:val="00925159"/>
    <w:rsid w:val="00925961"/>
    <w:rsid w:val="009259EF"/>
    <w:rsid w:val="00925F8B"/>
    <w:rsid w:val="009260A3"/>
    <w:rsid w:val="009273A0"/>
    <w:rsid w:val="00927529"/>
    <w:rsid w:val="00927675"/>
    <w:rsid w:val="00927725"/>
    <w:rsid w:val="00927DC4"/>
    <w:rsid w:val="009304FE"/>
    <w:rsid w:val="00930782"/>
    <w:rsid w:val="009310F0"/>
    <w:rsid w:val="009321A5"/>
    <w:rsid w:val="0093237C"/>
    <w:rsid w:val="0093422B"/>
    <w:rsid w:val="00934AA2"/>
    <w:rsid w:val="00934BDE"/>
    <w:rsid w:val="00934D92"/>
    <w:rsid w:val="00935660"/>
    <w:rsid w:val="0093570A"/>
    <w:rsid w:val="009363C8"/>
    <w:rsid w:val="00936EC8"/>
    <w:rsid w:val="0094101F"/>
    <w:rsid w:val="0094128D"/>
    <w:rsid w:val="00941CFB"/>
    <w:rsid w:val="00943ADD"/>
    <w:rsid w:val="00943F6E"/>
    <w:rsid w:val="00944BF1"/>
    <w:rsid w:val="00944CF4"/>
    <w:rsid w:val="00944D1A"/>
    <w:rsid w:val="00945828"/>
    <w:rsid w:val="00945D59"/>
    <w:rsid w:val="00946E1E"/>
    <w:rsid w:val="009477BA"/>
    <w:rsid w:val="00947F9D"/>
    <w:rsid w:val="00951D24"/>
    <w:rsid w:val="00952049"/>
    <w:rsid w:val="00952B2E"/>
    <w:rsid w:val="00953BC2"/>
    <w:rsid w:val="00953F13"/>
    <w:rsid w:val="009547F7"/>
    <w:rsid w:val="0095487C"/>
    <w:rsid w:val="009565E3"/>
    <w:rsid w:val="00956972"/>
    <w:rsid w:val="009572B3"/>
    <w:rsid w:val="0095737A"/>
    <w:rsid w:val="00961E91"/>
    <w:rsid w:val="00961FE6"/>
    <w:rsid w:val="009623E5"/>
    <w:rsid w:val="0096368A"/>
    <w:rsid w:val="00966516"/>
    <w:rsid w:val="0096670F"/>
    <w:rsid w:val="00966A01"/>
    <w:rsid w:val="009720AE"/>
    <w:rsid w:val="0097271A"/>
    <w:rsid w:val="00974568"/>
    <w:rsid w:val="00974C44"/>
    <w:rsid w:val="00977973"/>
    <w:rsid w:val="00977C5D"/>
    <w:rsid w:val="0098068B"/>
    <w:rsid w:val="00980D3F"/>
    <w:rsid w:val="00980E18"/>
    <w:rsid w:val="00981F79"/>
    <w:rsid w:val="009834E9"/>
    <w:rsid w:val="009836E9"/>
    <w:rsid w:val="00983BC6"/>
    <w:rsid w:val="00983C47"/>
    <w:rsid w:val="009850EF"/>
    <w:rsid w:val="0098682A"/>
    <w:rsid w:val="009868FC"/>
    <w:rsid w:val="00986B36"/>
    <w:rsid w:val="00987295"/>
    <w:rsid w:val="00987D6F"/>
    <w:rsid w:val="00990F6F"/>
    <w:rsid w:val="0099107A"/>
    <w:rsid w:val="00991A16"/>
    <w:rsid w:val="009920D5"/>
    <w:rsid w:val="009926A1"/>
    <w:rsid w:val="00992AC8"/>
    <w:rsid w:val="00992D0E"/>
    <w:rsid w:val="009939E6"/>
    <w:rsid w:val="00993BEE"/>
    <w:rsid w:val="00995287"/>
    <w:rsid w:val="009957BC"/>
    <w:rsid w:val="009961EE"/>
    <w:rsid w:val="009974C4"/>
    <w:rsid w:val="009A0BF1"/>
    <w:rsid w:val="009A0E4A"/>
    <w:rsid w:val="009A3F78"/>
    <w:rsid w:val="009A43AF"/>
    <w:rsid w:val="009A4877"/>
    <w:rsid w:val="009A6C41"/>
    <w:rsid w:val="009B0086"/>
    <w:rsid w:val="009B1FB6"/>
    <w:rsid w:val="009B259F"/>
    <w:rsid w:val="009B34E6"/>
    <w:rsid w:val="009B4E8F"/>
    <w:rsid w:val="009B5F8C"/>
    <w:rsid w:val="009B6159"/>
    <w:rsid w:val="009B7B80"/>
    <w:rsid w:val="009B7FCB"/>
    <w:rsid w:val="009C07DF"/>
    <w:rsid w:val="009C0E2E"/>
    <w:rsid w:val="009C190C"/>
    <w:rsid w:val="009C22A6"/>
    <w:rsid w:val="009C2436"/>
    <w:rsid w:val="009C3134"/>
    <w:rsid w:val="009C3A87"/>
    <w:rsid w:val="009C49D6"/>
    <w:rsid w:val="009C596F"/>
    <w:rsid w:val="009C6378"/>
    <w:rsid w:val="009C79CB"/>
    <w:rsid w:val="009D21D0"/>
    <w:rsid w:val="009D2FBA"/>
    <w:rsid w:val="009D34B9"/>
    <w:rsid w:val="009D351E"/>
    <w:rsid w:val="009D6DCE"/>
    <w:rsid w:val="009D7787"/>
    <w:rsid w:val="009D7B65"/>
    <w:rsid w:val="009E02C9"/>
    <w:rsid w:val="009E0E3C"/>
    <w:rsid w:val="009E24BA"/>
    <w:rsid w:val="009E2A96"/>
    <w:rsid w:val="009E3597"/>
    <w:rsid w:val="009E39DC"/>
    <w:rsid w:val="009E5645"/>
    <w:rsid w:val="009E56B4"/>
    <w:rsid w:val="009E5D11"/>
    <w:rsid w:val="009E6E80"/>
    <w:rsid w:val="009E7953"/>
    <w:rsid w:val="009F0C99"/>
    <w:rsid w:val="009F11F6"/>
    <w:rsid w:val="009F1492"/>
    <w:rsid w:val="009F1558"/>
    <w:rsid w:val="009F21C1"/>
    <w:rsid w:val="009F2690"/>
    <w:rsid w:val="009F3276"/>
    <w:rsid w:val="009F3BB1"/>
    <w:rsid w:val="009F43C3"/>
    <w:rsid w:val="009F465A"/>
    <w:rsid w:val="009F4EFC"/>
    <w:rsid w:val="009F7A56"/>
    <w:rsid w:val="00A00704"/>
    <w:rsid w:val="00A00BD3"/>
    <w:rsid w:val="00A013C6"/>
    <w:rsid w:val="00A020B4"/>
    <w:rsid w:val="00A043FE"/>
    <w:rsid w:val="00A04DF0"/>
    <w:rsid w:val="00A05916"/>
    <w:rsid w:val="00A05AA6"/>
    <w:rsid w:val="00A05CC7"/>
    <w:rsid w:val="00A05CDC"/>
    <w:rsid w:val="00A06192"/>
    <w:rsid w:val="00A06639"/>
    <w:rsid w:val="00A06FDB"/>
    <w:rsid w:val="00A07065"/>
    <w:rsid w:val="00A073EF"/>
    <w:rsid w:val="00A07A6A"/>
    <w:rsid w:val="00A07DED"/>
    <w:rsid w:val="00A07FC9"/>
    <w:rsid w:val="00A11861"/>
    <w:rsid w:val="00A11C29"/>
    <w:rsid w:val="00A1266A"/>
    <w:rsid w:val="00A13260"/>
    <w:rsid w:val="00A13608"/>
    <w:rsid w:val="00A1389B"/>
    <w:rsid w:val="00A1622A"/>
    <w:rsid w:val="00A16EEB"/>
    <w:rsid w:val="00A20D7E"/>
    <w:rsid w:val="00A2114F"/>
    <w:rsid w:val="00A21193"/>
    <w:rsid w:val="00A2216E"/>
    <w:rsid w:val="00A22D28"/>
    <w:rsid w:val="00A22F5A"/>
    <w:rsid w:val="00A2370B"/>
    <w:rsid w:val="00A23F13"/>
    <w:rsid w:val="00A24A40"/>
    <w:rsid w:val="00A254DD"/>
    <w:rsid w:val="00A27A18"/>
    <w:rsid w:val="00A27ACC"/>
    <w:rsid w:val="00A27C20"/>
    <w:rsid w:val="00A30EA6"/>
    <w:rsid w:val="00A31406"/>
    <w:rsid w:val="00A31523"/>
    <w:rsid w:val="00A31536"/>
    <w:rsid w:val="00A33D86"/>
    <w:rsid w:val="00A346FE"/>
    <w:rsid w:val="00A34920"/>
    <w:rsid w:val="00A36E14"/>
    <w:rsid w:val="00A40446"/>
    <w:rsid w:val="00A41988"/>
    <w:rsid w:val="00A42AA4"/>
    <w:rsid w:val="00A433AF"/>
    <w:rsid w:val="00A4347E"/>
    <w:rsid w:val="00A437BB"/>
    <w:rsid w:val="00A440C8"/>
    <w:rsid w:val="00A45E9D"/>
    <w:rsid w:val="00A46C9F"/>
    <w:rsid w:val="00A4704C"/>
    <w:rsid w:val="00A4716C"/>
    <w:rsid w:val="00A47535"/>
    <w:rsid w:val="00A50F0B"/>
    <w:rsid w:val="00A5127C"/>
    <w:rsid w:val="00A525F5"/>
    <w:rsid w:val="00A5273A"/>
    <w:rsid w:val="00A52978"/>
    <w:rsid w:val="00A53130"/>
    <w:rsid w:val="00A5412B"/>
    <w:rsid w:val="00A54500"/>
    <w:rsid w:val="00A546C5"/>
    <w:rsid w:val="00A573A6"/>
    <w:rsid w:val="00A57780"/>
    <w:rsid w:val="00A57C4A"/>
    <w:rsid w:val="00A6042C"/>
    <w:rsid w:val="00A60B7E"/>
    <w:rsid w:val="00A6165D"/>
    <w:rsid w:val="00A64735"/>
    <w:rsid w:val="00A65C63"/>
    <w:rsid w:val="00A664A2"/>
    <w:rsid w:val="00A66ABD"/>
    <w:rsid w:val="00A66B50"/>
    <w:rsid w:val="00A66D18"/>
    <w:rsid w:val="00A677A8"/>
    <w:rsid w:val="00A70B90"/>
    <w:rsid w:val="00A70E2F"/>
    <w:rsid w:val="00A71393"/>
    <w:rsid w:val="00A71720"/>
    <w:rsid w:val="00A7322E"/>
    <w:rsid w:val="00A747F4"/>
    <w:rsid w:val="00A77072"/>
    <w:rsid w:val="00A778F9"/>
    <w:rsid w:val="00A80F52"/>
    <w:rsid w:val="00A81BA0"/>
    <w:rsid w:val="00A82079"/>
    <w:rsid w:val="00A82732"/>
    <w:rsid w:val="00A830FA"/>
    <w:rsid w:val="00A8366C"/>
    <w:rsid w:val="00A84ECB"/>
    <w:rsid w:val="00A8510A"/>
    <w:rsid w:val="00A851D7"/>
    <w:rsid w:val="00A85226"/>
    <w:rsid w:val="00A860D4"/>
    <w:rsid w:val="00A86CE3"/>
    <w:rsid w:val="00A874F3"/>
    <w:rsid w:val="00A87BC8"/>
    <w:rsid w:val="00A87CBD"/>
    <w:rsid w:val="00A910BC"/>
    <w:rsid w:val="00A92240"/>
    <w:rsid w:val="00A94058"/>
    <w:rsid w:val="00A944A8"/>
    <w:rsid w:val="00A973D1"/>
    <w:rsid w:val="00AA01D8"/>
    <w:rsid w:val="00AA0388"/>
    <w:rsid w:val="00AA1C62"/>
    <w:rsid w:val="00AA2682"/>
    <w:rsid w:val="00AA3DEA"/>
    <w:rsid w:val="00AA3F17"/>
    <w:rsid w:val="00AA4898"/>
    <w:rsid w:val="00AA57B7"/>
    <w:rsid w:val="00AA5C5A"/>
    <w:rsid w:val="00AB1C24"/>
    <w:rsid w:val="00AB21B5"/>
    <w:rsid w:val="00AB2C4F"/>
    <w:rsid w:val="00AB3001"/>
    <w:rsid w:val="00AB437E"/>
    <w:rsid w:val="00AB4778"/>
    <w:rsid w:val="00AB4F4F"/>
    <w:rsid w:val="00AB5ABD"/>
    <w:rsid w:val="00AB5F73"/>
    <w:rsid w:val="00AB6968"/>
    <w:rsid w:val="00AB699B"/>
    <w:rsid w:val="00AB6B35"/>
    <w:rsid w:val="00AB6BB7"/>
    <w:rsid w:val="00AC04C3"/>
    <w:rsid w:val="00AC07BB"/>
    <w:rsid w:val="00AC113A"/>
    <w:rsid w:val="00AC1FB3"/>
    <w:rsid w:val="00AC2919"/>
    <w:rsid w:val="00AC2F74"/>
    <w:rsid w:val="00AC33FD"/>
    <w:rsid w:val="00AC3473"/>
    <w:rsid w:val="00AC44BA"/>
    <w:rsid w:val="00AC44D7"/>
    <w:rsid w:val="00AC4746"/>
    <w:rsid w:val="00AC5FB9"/>
    <w:rsid w:val="00AC7204"/>
    <w:rsid w:val="00AC7ED1"/>
    <w:rsid w:val="00AD07F3"/>
    <w:rsid w:val="00AD1159"/>
    <w:rsid w:val="00AD1BF9"/>
    <w:rsid w:val="00AD2369"/>
    <w:rsid w:val="00AD3BCB"/>
    <w:rsid w:val="00AD43A3"/>
    <w:rsid w:val="00AD4485"/>
    <w:rsid w:val="00AD5C38"/>
    <w:rsid w:val="00AD6935"/>
    <w:rsid w:val="00AD6E90"/>
    <w:rsid w:val="00AE2D37"/>
    <w:rsid w:val="00AE2D7B"/>
    <w:rsid w:val="00AE305E"/>
    <w:rsid w:val="00AE32BE"/>
    <w:rsid w:val="00AE3667"/>
    <w:rsid w:val="00AE3EE8"/>
    <w:rsid w:val="00AE589C"/>
    <w:rsid w:val="00AE5F4C"/>
    <w:rsid w:val="00AE63CC"/>
    <w:rsid w:val="00AE655A"/>
    <w:rsid w:val="00AE7F8B"/>
    <w:rsid w:val="00AF0AC1"/>
    <w:rsid w:val="00AF15D1"/>
    <w:rsid w:val="00AF16AA"/>
    <w:rsid w:val="00AF1AB5"/>
    <w:rsid w:val="00AF1F4E"/>
    <w:rsid w:val="00AF32B6"/>
    <w:rsid w:val="00AF4511"/>
    <w:rsid w:val="00AF4CD0"/>
    <w:rsid w:val="00AF4E66"/>
    <w:rsid w:val="00AF56AF"/>
    <w:rsid w:val="00AF6869"/>
    <w:rsid w:val="00AF6DD9"/>
    <w:rsid w:val="00AF781E"/>
    <w:rsid w:val="00B0023A"/>
    <w:rsid w:val="00B002DE"/>
    <w:rsid w:val="00B011C9"/>
    <w:rsid w:val="00B020FE"/>
    <w:rsid w:val="00B03703"/>
    <w:rsid w:val="00B03854"/>
    <w:rsid w:val="00B05067"/>
    <w:rsid w:val="00B05BB9"/>
    <w:rsid w:val="00B05C76"/>
    <w:rsid w:val="00B05F40"/>
    <w:rsid w:val="00B06471"/>
    <w:rsid w:val="00B07E37"/>
    <w:rsid w:val="00B10CEB"/>
    <w:rsid w:val="00B10F4E"/>
    <w:rsid w:val="00B11775"/>
    <w:rsid w:val="00B11E5B"/>
    <w:rsid w:val="00B146AF"/>
    <w:rsid w:val="00B148A4"/>
    <w:rsid w:val="00B14F38"/>
    <w:rsid w:val="00B1511A"/>
    <w:rsid w:val="00B152A9"/>
    <w:rsid w:val="00B1556B"/>
    <w:rsid w:val="00B15D08"/>
    <w:rsid w:val="00B16C25"/>
    <w:rsid w:val="00B17C81"/>
    <w:rsid w:val="00B20655"/>
    <w:rsid w:val="00B20AC4"/>
    <w:rsid w:val="00B21832"/>
    <w:rsid w:val="00B2259A"/>
    <w:rsid w:val="00B22809"/>
    <w:rsid w:val="00B23F56"/>
    <w:rsid w:val="00B2631A"/>
    <w:rsid w:val="00B26502"/>
    <w:rsid w:val="00B265B1"/>
    <w:rsid w:val="00B303F0"/>
    <w:rsid w:val="00B31164"/>
    <w:rsid w:val="00B312A4"/>
    <w:rsid w:val="00B32D74"/>
    <w:rsid w:val="00B32F53"/>
    <w:rsid w:val="00B34952"/>
    <w:rsid w:val="00B3533C"/>
    <w:rsid w:val="00B35695"/>
    <w:rsid w:val="00B35D17"/>
    <w:rsid w:val="00B36506"/>
    <w:rsid w:val="00B40231"/>
    <w:rsid w:val="00B40C7A"/>
    <w:rsid w:val="00B419E0"/>
    <w:rsid w:val="00B4266C"/>
    <w:rsid w:val="00B42686"/>
    <w:rsid w:val="00B42F5F"/>
    <w:rsid w:val="00B44516"/>
    <w:rsid w:val="00B45338"/>
    <w:rsid w:val="00B453B1"/>
    <w:rsid w:val="00B45F44"/>
    <w:rsid w:val="00B47925"/>
    <w:rsid w:val="00B47C68"/>
    <w:rsid w:val="00B506EB"/>
    <w:rsid w:val="00B508E9"/>
    <w:rsid w:val="00B51B80"/>
    <w:rsid w:val="00B51BDE"/>
    <w:rsid w:val="00B52B1B"/>
    <w:rsid w:val="00B531EE"/>
    <w:rsid w:val="00B531F1"/>
    <w:rsid w:val="00B534AD"/>
    <w:rsid w:val="00B555ED"/>
    <w:rsid w:val="00B56E5D"/>
    <w:rsid w:val="00B60969"/>
    <w:rsid w:val="00B6106F"/>
    <w:rsid w:val="00B6173F"/>
    <w:rsid w:val="00B64617"/>
    <w:rsid w:val="00B64C58"/>
    <w:rsid w:val="00B676DC"/>
    <w:rsid w:val="00B700D0"/>
    <w:rsid w:val="00B70517"/>
    <w:rsid w:val="00B7181E"/>
    <w:rsid w:val="00B7212F"/>
    <w:rsid w:val="00B721B6"/>
    <w:rsid w:val="00B72809"/>
    <w:rsid w:val="00B751FF"/>
    <w:rsid w:val="00B75BB3"/>
    <w:rsid w:val="00B75E37"/>
    <w:rsid w:val="00B75FC9"/>
    <w:rsid w:val="00B771A9"/>
    <w:rsid w:val="00B77961"/>
    <w:rsid w:val="00B8045B"/>
    <w:rsid w:val="00B80D03"/>
    <w:rsid w:val="00B81952"/>
    <w:rsid w:val="00B82F88"/>
    <w:rsid w:val="00B83FC6"/>
    <w:rsid w:val="00B84B02"/>
    <w:rsid w:val="00B87722"/>
    <w:rsid w:val="00B87CF5"/>
    <w:rsid w:val="00B910D7"/>
    <w:rsid w:val="00B9185F"/>
    <w:rsid w:val="00B918B1"/>
    <w:rsid w:val="00B922DE"/>
    <w:rsid w:val="00B92C3F"/>
    <w:rsid w:val="00B92D56"/>
    <w:rsid w:val="00B93967"/>
    <w:rsid w:val="00B94920"/>
    <w:rsid w:val="00B95A7D"/>
    <w:rsid w:val="00B96A3D"/>
    <w:rsid w:val="00BA26FE"/>
    <w:rsid w:val="00BA40D4"/>
    <w:rsid w:val="00BA4EA6"/>
    <w:rsid w:val="00BA657A"/>
    <w:rsid w:val="00BA723D"/>
    <w:rsid w:val="00BA7BB4"/>
    <w:rsid w:val="00BB034D"/>
    <w:rsid w:val="00BB0434"/>
    <w:rsid w:val="00BB0611"/>
    <w:rsid w:val="00BB1CCC"/>
    <w:rsid w:val="00BB1D6C"/>
    <w:rsid w:val="00BB25C7"/>
    <w:rsid w:val="00BB276B"/>
    <w:rsid w:val="00BB2E66"/>
    <w:rsid w:val="00BB2F66"/>
    <w:rsid w:val="00BB354F"/>
    <w:rsid w:val="00BB36A8"/>
    <w:rsid w:val="00BB41BD"/>
    <w:rsid w:val="00BB46F7"/>
    <w:rsid w:val="00BB47B3"/>
    <w:rsid w:val="00BB4825"/>
    <w:rsid w:val="00BB4F94"/>
    <w:rsid w:val="00BB5B0A"/>
    <w:rsid w:val="00BB5CB3"/>
    <w:rsid w:val="00BB5CDD"/>
    <w:rsid w:val="00BB5DE9"/>
    <w:rsid w:val="00BB6ACC"/>
    <w:rsid w:val="00BB700A"/>
    <w:rsid w:val="00BC0183"/>
    <w:rsid w:val="00BC108B"/>
    <w:rsid w:val="00BC12B6"/>
    <w:rsid w:val="00BC207B"/>
    <w:rsid w:val="00BC22A6"/>
    <w:rsid w:val="00BC283F"/>
    <w:rsid w:val="00BC2DCC"/>
    <w:rsid w:val="00BC321A"/>
    <w:rsid w:val="00BC387F"/>
    <w:rsid w:val="00BC4999"/>
    <w:rsid w:val="00BC5C7E"/>
    <w:rsid w:val="00BC60E3"/>
    <w:rsid w:val="00BC7CAF"/>
    <w:rsid w:val="00BD114E"/>
    <w:rsid w:val="00BD139C"/>
    <w:rsid w:val="00BD1E93"/>
    <w:rsid w:val="00BD2684"/>
    <w:rsid w:val="00BD273B"/>
    <w:rsid w:val="00BD27A4"/>
    <w:rsid w:val="00BD57A1"/>
    <w:rsid w:val="00BD57BE"/>
    <w:rsid w:val="00BD74CA"/>
    <w:rsid w:val="00BD7790"/>
    <w:rsid w:val="00BE1981"/>
    <w:rsid w:val="00BE1985"/>
    <w:rsid w:val="00BE1B63"/>
    <w:rsid w:val="00BE26EB"/>
    <w:rsid w:val="00BE2DFC"/>
    <w:rsid w:val="00BE36B8"/>
    <w:rsid w:val="00BE37E1"/>
    <w:rsid w:val="00BE3875"/>
    <w:rsid w:val="00BE3F29"/>
    <w:rsid w:val="00BE4E3B"/>
    <w:rsid w:val="00BE689F"/>
    <w:rsid w:val="00BE6BBF"/>
    <w:rsid w:val="00BE6D4E"/>
    <w:rsid w:val="00BE7C36"/>
    <w:rsid w:val="00BF06E1"/>
    <w:rsid w:val="00BF12D8"/>
    <w:rsid w:val="00BF185D"/>
    <w:rsid w:val="00BF2CF9"/>
    <w:rsid w:val="00BF335C"/>
    <w:rsid w:val="00BF422A"/>
    <w:rsid w:val="00BF48C1"/>
    <w:rsid w:val="00BF5828"/>
    <w:rsid w:val="00C00570"/>
    <w:rsid w:val="00C00AE5"/>
    <w:rsid w:val="00C00CE1"/>
    <w:rsid w:val="00C030B3"/>
    <w:rsid w:val="00C03981"/>
    <w:rsid w:val="00C03A4C"/>
    <w:rsid w:val="00C03D40"/>
    <w:rsid w:val="00C03E6B"/>
    <w:rsid w:val="00C03F51"/>
    <w:rsid w:val="00C04218"/>
    <w:rsid w:val="00C05103"/>
    <w:rsid w:val="00C0525B"/>
    <w:rsid w:val="00C0599A"/>
    <w:rsid w:val="00C0704F"/>
    <w:rsid w:val="00C07844"/>
    <w:rsid w:val="00C100FF"/>
    <w:rsid w:val="00C110E5"/>
    <w:rsid w:val="00C1118B"/>
    <w:rsid w:val="00C1369E"/>
    <w:rsid w:val="00C139C2"/>
    <w:rsid w:val="00C13ED1"/>
    <w:rsid w:val="00C1408E"/>
    <w:rsid w:val="00C14801"/>
    <w:rsid w:val="00C14D24"/>
    <w:rsid w:val="00C15225"/>
    <w:rsid w:val="00C16966"/>
    <w:rsid w:val="00C16BFE"/>
    <w:rsid w:val="00C16E50"/>
    <w:rsid w:val="00C1742E"/>
    <w:rsid w:val="00C17E4E"/>
    <w:rsid w:val="00C20E8B"/>
    <w:rsid w:val="00C21677"/>
    <w:rsid w:val="00C23C75"/>
    <w:rsid w:val="00C25EB9"/>
    <w:rsid w:val="00C26422"/>
    <w:rsid w:val="00C26866"/>
    <w:rsid w:val="00C26C7C"/>
    <w:rsid w:val="00C27327"/>
    <w:rsid w:val="00C27535"/>
    <w:rsid w:val="00C2775E"/>
    <w:rsid w:val="00C32484"/>
    <w:rsid w:val="00C3269F"/>
    <w:rsid w:val="00C34494"/>
    <w:rsid w:val="00C349D2"/>
    <w:rsid w:val="00C36114"/>
    <w:rsid w:val="00C363DB"/>
    <w:rsid w:val="00C41F4A"/>
    <w:rsid w:val="00C42CFC"/>
    <w:rsid w:val="00C43468"/>
    <w:rsid w:val="00C44D0D"/>
    <w:rsid w:val="00C45358"/>
    <w:rsid w:val="00C45513"/>
    <w:rsid w:val="00C45969"/>
    <w:rsid w:val="00C4609E"/>
    <w:rsid w:val="00C46175"/>
    <w:rsid w:val="00C46521"/>
    <w:rsid w:val="00C4681F"/>
    <w:rsid w:val="00C4799E"/>
    <w:rsid w:val="00C47C78"/>
    <w:rsid w:val="00C50841"/>
    <w:rsid w:val="00C50E87"/>
    <w:rsid w:val="00C51391"/>
    <w:rsid w:val="00C52998"/>
    <w:rsid w:val="00C538C5"/>
    <w:rsid w:val="00C53D36"/>
    <w:rsid w:val="00C549F7"/>
    <w:rsid w:val="00C56224"/>
    <w:rsid w:val="00C56BAE"/>
    <w:rsid w:val="00C56CDC"/>
    <w:rsid w:val="00C57286"/>
    <w:rsid w:val="00C60807"/>
    <w:rsid w:val="00C6107C"/>
    <w:rsid w:val="00C61779"/>
    <w:rsid w:val="00C61FD1"/>
    <w:rsid w:val="00C621F1"/>
    <w:rsid w:val="00C62588"/>
    <w:rsid w:val="00C62CC0"/>
    <w:rsid w:val="00C64521"/>
    <w:rsid w:val="00C648FC"/>
    <w:rsid w:val="00C655AE"/>
    <w:rsid w:val="00C65E9D"/>
    <w:rsid w:val="00C6685D"/>
    <w:rsid w:val="00C70179"/>
    <w:rsid w:val="00C70185"/>
    <w:rsid w:val="00C70497"/>
    <w:rsid w:val="00C704B8"/>
    <w:rsid w:val="00C70B3A"/>
    <w:rsid w:val="00C71332"/>
    <w:rsid w:val="00C71C62"/>
    <w:rsid w:val="00C71F72"/>
    <w:rsid w:val="00C7227E"/>
    <w:rsid w:val="00C726B8"/>
    <w:rsid w:val="00C74BED"/>
    <w:rsid w:val="00C74E95"/>
    <w:rsid w:val="00C752DE"/>
    <w:rsid w:val="00C809A2"/>
    <w:rsid w:val="00C81097"/>
    <w:rsid w:val="00C81704"/>
    <w:rsid w:val="00C82D75"/>
    <w:rsid w:val="00C837CC"/>
    <w:rsid w:val="00C83D49"/>
    <w:rsid w:val="00C840A0"/>
    <w:rsid w:val="00C84DCE"/>
    <w:rsid w:val="00C869F3"/>
    <w:rsid w:val="00C86F0C"/>
    <w:rsid w:val="00C87880"/>
    <w:rsid w:val="00C90511"/>
    <w:rsid w:val="00C9104E"/>
    <w:rsid w:val="00C918DF"/>
    <w:rsid w:val="00C91D65"/>
    <w:rsid w:val="00C93939"/>
    <w:rsid w:val="00C93DC0"/>
    <w:rsid w:val="00C945C2"/>
    <w:rsid w:val="00C96BC5"/>
    <w:rsid w:val="00C97BC9"/>
    <w:rsid w:val="00C97D76"/>
    <w:rsid w:val="00CA00C1"/>
    <w:rsid w:val="00CA1710"/>
    <w:rsid w:val="00CA1972"/>
    <w:rsid w:val="00CA1ABC"/>
    <w:rsid w:val="00CA1C47"/>
    <w:rsid w:val="00CA1E09"/>
    <w:rsid w:val="00CA28A9"/>
    <w:rsid w:val="00CA3612"/>
    <w:rsid w:val="00CA372D"/>
    <w:rsid w:val="00CA3C2D"/>
    <w:rsid w:val="00CA4026"/>
    <w:rsid w:val="00CA4637"/>
    <w:rsid w:val="00CA4C2D"/>
    <w:rsid w:val="00CA5B53"/>
    <w:rsid w:val="00CA63A8"/>
    <w:rsid w:val="00CA6536"/>
    <w:rsid w:val="00CA6B73"/>
    <w:rsid w:val="00CA6BAF"/>
    <w:rsid w:val="00CB064F"/>
    <w:rsid w:val="00CB0B66"/>
    <w:rsid w:val="00CB1CC9"/>
    <w:rsid w:val="00CB3197"/>
    <w:rsid w:val="00CB389F"/>
    <w:rsid w:val="00CB406E"/>
    <w:rsid w:val="00CB5982"/>
    <w:rsid w:val="00CB6336"/>
    <w:rsid w:val="00CB6432"/>
    <w:rsid w:val="00CB6E78"/>
    <w:rsid w:val="00CB7DF0"/>
    <w:rsid w:val="00CC14C4"/>
    <w:rsid w:val="00CC1F9E"/>
    <w:rsid w:val="00CC280A"/>
    <w:rsid w:val="00CC29A9"/>
    <w:rsid w:val="00CC546C"/>
    <w:rsid w:val="00CC54C3"/>
    <w:rsid w:val="00CC5812"/>
    <w:rsid w:val="00CC65D0"/>
    <w:rsid w:val="00CC6BD1"/>
    <w:rsid w:val="00CC714E"/>
    <w:rsid w:val="00CD0360"/>
    <w:rsid w:val="00CD1C84"/>
    <w:rsid w:val="00CD32A8"/>
    <w:rsid w:val="00CD53E5"/>
    <w:rsid w:val="00CD57AA"/>
    <w:rsid w:val="00CD5D7F"/>
    <w:rsid w:val="00CD7494"/>
    <w:rsid w:val="00CD7578"/>
    <w:rsid w:val="00CD7D3D"/>
    <w:rsid w:val="00CD7F9D"/>
    <w:rsid w:val="00CE15B3"/>
    <w:rsid w:val="00CE186F"/>
    <w:rsid w:val="00CE1E14"/>
    <w:rsid w:val="00CE200F"/>
    <w:rsid w:val="00CE23AA"/>
    <w:rsid w:val="00CE3041"/>
    <w:rsid w:val="00CE3475"/>
    <w:rsid w:val="00CE4799"/>
    <w:rsid w:val="00CE55DA"/>
    <w:rsid w:val="00CE5DB6"/>
    <w:rsid w:val="00CE6615"/>
    <w:rsid w:val="00CE6674"/>
    <w:rsid w:val="00CE680F"/>
    <w:rsid w:val="00CE69C0"/>
    <w:rsid w:val="00CE715A"/>
    <w:rsid w:val="00CF0604"/>
    <w:rsid w:val="00CF0BAF"/>
    <w:rsid w:val="00CF170C"/>
    <w:rsid w:val="00CF1884"/>
    <w:rsid w:val="00CF20BB"/>
    <w:rsid w:val="00CF28B4"/>
    <w:rsid w:val="00CF2DE3"/>
    <w:rsid w:val="00CF2E68"/>
    <w:rsid w:val="00CF303B"/>
    <w:rsid w:val="00CF30D7"/>
    <w:rsid w:val="00CF361F"/>
    <w:rsid w:val="00CF464C"/>
    <w:rsid w:val="00CF56F3"/>
    <w:rsid w:val="00CF5BE7"/>
    <w:rsid w:val="00CF69FF"/>
    <w:rsid w:val="00D00619"/>
    <w:rsid w:val="00D023DE"/>
    <w:rsid w:val="00D025A0"/>
    <w:rsid w:val="00D04516"/>
    <w:rsid w:val="00D04F78"/>
    <w:rsid w:val="00D05704"/>
    <w:rsid w:val="00D0593C"/>
    <w:rsid w:val="00D05DE9"/>
    <w:rsid w:val="00D05FC3"/>
    <w:rsid w:val="00D07274"/>
    <w:rsid w:val="00D07918"/>
    <w:rsid w:val="00D07E21"/>
    <w:rsid w:val="00D12493"/>
    <w:rsid w:val="00D14EF9"/>
    <w:rsid w:val="00D16E30"/>
    <w:rsid w:val="00D16FDD"/>
    <w:rsid w:val="00D1737C"/>
    <w:rsid w:val="00D201F0"/>
    <w:rsid w:val="00D20F50"/>
    <w:rsid w:val="00D21282"/>
    <w:rsid w:val="00D2155F"/>
    <w:rsid w:val="00D233EE"/>
    <w:rsid w:val="00D2377A"/>
    <w:rsid w:val="00D23D51"/>
    <w:rsid w:val="00D25376"/>
    <w:rsid w:val="00D2685E"/>
    <w:rsid w:val="00D26FD4"/>
    <w:rsid w:val="00D27632"/>
    <w:rsid w:val="00D304BF"/>
    <w:rsid w:val="00D3052E"/>
    <w:rsid w:val="00D307F8"/>
    <w:rsid w:val="00D30E85"/>
    <w:rsid w:val="00D31C7D"/>
    <w:rsid w:val="00D325CD"/>
    <w:rsid w:val="00D33BAD"/>
    <w:rsid w:val="00D33E7B"/>
    <w:rsid w:val="00D33F3E"/>
    <w:rsid w:val="00D3501F"/>
    <w:rsid w:val="00D35133"/>
    <w:rsid w:val="00D36224"/>
    <w:rsid w:val="00D413C7"/>
    <w:rsid w:val="00D416AA"/>
    <w:rsid w:val="00D41A37"/>
    <w:rsid w:val="00D42052"/>
    <w:rsid w:val="00D42FCD"/>
    <w:rsid w:val="00D432B7"/>
    <w:rsid w:val="00D45752"/>
    <w:rsid w:val="00D4595E"/>
    <w:rsid w:val="00D46D7A"/>
    <w:rsid w:val="00D50742"/>
    <w:rsid w:val="00D50EE4"/>
    <w:rsid w:val="00D51431"/>
    <w:rsid w:val="00D52077"/>
    <w:rsid w:val="00D5282C"/>
    <w:rsid w:val="00D540B2"/>
    <w:rsid w:val="00D54834"/>
    <w:rsid w:val="00D5492C"/>
    <w:rsid w:val="00D55262"/>
    <w:rsid w:val="00D556A2"/>
    <w:rsid w:val="00D55FDF"/>
    <w:rsid w:val="00D5673B"/>
    <w:rsid w:val="00D56769"/>
    <w:rsid w:val="00D56AC2"/>
    <w:rsid w:val="00D56F3D"/>
    <w:rsid w:val="00D57D9C"/>
    <w:rsid w:val="00D62021"/>
    <w:rsid w:val="00D62A41"/>
    <w:rsid w:val="00D63483"/>
    <w:rsid w:val="00D63FC0"/>
    <w:rsid w:val="00D65037"/>
    <w:rsid w:val="00D655F2"/>
    <w:rsid w:val="00D663A4"/>
    <w:rsid w:val="00D66661"/>
    <w:rsid w:val="00D704C7"/>
    <w:rsid w:val="00D706AC"/>
    <w:rsid w:val="00D70B7A"/>
    <w:rsid w:val="00D7208D"/>
    <w:rsid w:val="00D722A6"/>
    <w:rsid w:val="00D7327B"/>
    <w:rsid w:val="00D733A8"/>
    <w:rsid w:val="00D74376"/>
    <w:rsid w:val="00D74447"/>
    <w:rsid w:val="00D7499D"/>
    <w:rsid w:val="00D75B68"/>
    <w:rsid w:val="00D75DD0"/>
    <w:rsid w:val="00D75F69"/>
    <w:rsid w:val="00D76810"/>
    <w:rsid w:val="00D76EF3"/>
    <w:rsid w:val="00D81042"/>
    <w:rsid w:val="00D81263"/>
    <w:rsid w:val="00D8200D"/>
    <w:rsid w:val="00D833BF"/>
    <w:rsid w:val="00D83927"/>
    <w:rsid w:val="00D8402B"/>
    <w:rsid w:val="00D84DAA"/>
    <w:rsid w:val="00D851DA"/>
    <w:rsid w:val="00D85E86"/>
    <w:rsid w:val="00D860B0"/>
    <w:rsid w:val="00D867A5"/>
    <w:rsid w:val="00D86ACE"/>
    <w:rsid w:val="00D90427"/>
    <w:rsid w:val="00D93A22"/>
    <w:rsid w:val="00D944D1"/>
    <w:rsid w:val="00D954F4"/>
    <w:rsid w:val="00D958DD"/>
    <w:rsid w:val="00D964B5"/>
    <w:rsid w:val="00DA2AA8"/>
    <w:rsid w:val="00DA3675"/>
    <w:rsid w:val="00DA3CDB"/>
    <w:rsid w:val="00DA5CB5"/>
    <w:rsid w:val="00DA7199"/>
    <w:rsid w:val="00DA7304"/>
    <w:rsid w:val="00DA7DD9"/>
    <w:rsid w:val="00DB0749"/>
    <w:rsid w:val="00DB07BF"/>
    <w:rsid w:val="00DB0953"/>
    <w:rsid w:val="00DB1124"/>
    <w:rsid w:val="00DB363C"/>
    <w:rsid w:val="00DB56B4"/>
    <w:rsid w:val="00DB714A"/>
    <w:rsid w:val="00DB7A7C"/>
    <w:rsid w:val="00DC0448"/>
    <w:rsid w:val="00DC07A5"/>
    <w:rsid w:val="00DC0B14"/>
    <w:rsid w:val="00DC0FAB"/>
    <w:rsid w:val="00DC134F"/>
    <w:rsid w:val="00DC21EF"/>
    <w:rsid w:val="00DC2DC4"/>
    <w:rsid w:val="00DC2E86"/>
    <w:rsid w:val="00DC4F0E"/>
    <w:rsid w:val="00DC5691"/>
    <w:rsid w:val="00DC5F21"/>
    <w:rsid w:val="00DC6174"/>
    <w:rsid w:val="00DC742C"/>
    <w:rsid w:val="00DD0028"/>
    <w:rsid w:val="00DD009F"/>
    <w:rsid w:val="00DD0EEF"/>
    <w:rsid w:val="00DD0FE1"/>
    <w:rsid w:val="00DD3C61"/>
    <w:rsid w:val="00DD461A"/>
    <w:rsid w:val="00DD479B"/>
    <w:rsid w:val="00DD4AD2"/>
    <w:rsid w:val="00DD4CA6"/>
    <w:rsid w:val="00DD58FD"/>
    <w:rsid w:val="00DD5E3C"/>
    <w:rsid w:val="00DD5F64"/>
    <w:rsid w:val="00DD6697"/>
    <w:rsid w:val="00DD7963"/>
    <w:rsid w:val="00DD7E95"/>
    <w:rsid w:val="00DE06E8"/>
    <w:rsid w:val="00DE0C7E"/>
    <w:rsid w:val="00DE1030"/>
    <w:rsid w:val="00DE167F"/>
    <w:rsid w:val="00DE177E"/>
    <w:rsid w:val="00DE1F57"/>
    <w:rsid w:val="00DE2507"/>
    <w:rsid w:val="00DE2A20"/>
    <w:rsid w:val="00DE3207"/>
    <w:rsid w:val="00DE5045"/>
    <w:rsid w:val="00DE5D05"/>
    <w:rsid w:val="00DE5E2D"/>
    <w:rsid w:val="00DE63C9"/>
    <w:rsid w:val="00DE6C06"/>
    <w:rsid w:val="00DE6CE8"/>
    <w:rsid w:val="00DE6D44"/>
    <w:rsid w:val="00DE6DAB"/>
    <w:rsid w:val="00DE7AB3"/>
    <w:rsid w:val="00DF0036"/>
    <w:rsid w:val="00DF009D"/>
    <w:rsid w:val="00DF02B7"/>
    <w:rsid w:val="00DF0724"/>
    <w:rsid w:val="00DF2C28"/>
    <w:rsid w:val="00DF2F96"/>
    <w:rsid w:val="00DF4141"/>
    <w:rsid w:val="00DF48CA"/>
    <w:rsid w:val="00DF4AA9"/>
    <w:rsid w:val="00DF624C"/>
    <w:rsid w:val="00DF7AAA"/>
    <w:rsid w:val="00E0107E"/>
    <w:rsid w:val="00E04FA5"/>
    <w:rsid w:val="00E05801"/>
    <w:rsid w:val="00E05C7D"/>
    <w:rsid w:val="00E06113"/>
    <w:rsid w:val="00E064FC"/>
    <w:rsid w:val="00E06526"/>
    <w:rsid w:val="00E1053D"/>
    <w:rsid w:val="00E10996"/>
    <w:rsid w:val="00E11730"/>
    <w:rsid w:val="00E12301"/>
    <w:rsid w:val="00E12633"/>
    <w:rsid w:val="00E12E16"/>
    <w:rsid w:val="00E13CEA"/>
    <w:rsid w:val="00E14272"/>
    <w:rsid w:val="00E1555C"/>
    <w:rsid w:val="00E1648B"/>
    <w:rsid w:val="00E16A9D"/>
    <w:rsid w:val="00E1786B"/>
    <w:rsid w:val="00E20E2A"/>
    <w:rsid w:val="00E240F1"/>
    <w:rsid w:val="00E24C6A"/>
    <w:rsid w:val="00E25274"/>
    <w:rsid w:val="00E253EB"/>
    <w:rsid w:val="00E260D8"/>
    <w:rsid w:val="00E26111"/>
    <w:rsid w:val="00E266C1"/>
    <w:rsid w:val="00E26BB3"/>
    <w:rsid w:val="00E26C7A"/>
    <w:rsid w:val="00E26E0C"/>
    <w:rsid w:val="00E27DF4"/>
    <w:rsid w:val="00E3013E"/>
    <w:rsid w:val="00E302B8"/>
    <w:rsid w:val="00E31C44"/>
    <w:rsid w:val="00E31E59"/>
    <w:rsid w:val="00E32452"/>
    <w:rsid w:val="00E32C14"/>
    <w:rsid w:val="00E32EB4"/>
    <w:rsid w:val="00E337C7"/>
    <w:rsid w:val="00E340C9"/>
    <w:rsid w:val="00E34401"/>
    <w:rsid w:val="00E345FE"/>
    <w:rsid w:val="00E34738"/>
    <w:rsid w:val="00E35500"/>
    <w:rsid w:val="00E360FB"/>
    <w:rsid w:val="00E36E6B"/>
    <w:rsid w:val="00E37300"/>
    <w:rsid w:val="00E37357"/>
    <w:rsid w:val="00E375EE"/>
    <w:rsid w:val="00E37A09"/>
    <w:rsid w:val="00E405F3"/>
    <w:rsid w:val="00E40E74"/>
    <w:rsid w:val="00E41106"/>
    <w:rsid w:val="00E412C8"/>
    <w:rsid w:val="00E417FF"/>
    <w:rsid w:val="00E41E44"/>
    <w:rsid w:val="00E42464"/>
    <w:rsid w:val="00E42D48"/>
    <w:rsid w:val="00E44040"/>
    <w:rsid w:val="00E445C1"/>
    <w:rsid w:val="00E44678"/>
    <w:rsid w:val="00E44B09"/>
    <w:rsid w:val="00E45501"/>
    <w:rsid w:val="00E4620B"/>
    <w:rsid w:val="00E46C3A"/>
    <w:rsid w:val="00E4787B"/>
    <w:rsid w:val="00E501E9"/>
    <w:rsid w:val="00E50882"/>
    <w:rsid w:val="00E511F3"/>
    <w:rsid w:val="00E513C2"/>
    <w:rsid w:val="00E53865"/>
    <w:rsid w:val="00E54B68"/>
    <w:rsid w:val="00E54F24"/>
    <w:rsid w:val="00E565EA"/>
    <w:rsid w:val="00E5737B"/>
    <w:rsid w:val="00E574E0"/>
    <w:rsid w:val="00E57614"/>
    <w:rsid w:val="00E576A7"/>
    <w:rsid w:val="00E57997"/>
    <w:rsid w:val="00E57D45"/>
    <w:rsid w:val="00E614A7"/>
    <w:rsid w:val="00E61A27"/>
    <w:rsid w:val="00E62BE3"/>
    <w:rsid w:val="00E63A60"/>
    <w:rsid w:val="00E6407B"/>
    <w:rsid w:val="00E64097"/>
    <w:rsid w:val="00E64DB9"/>
    <w:rsid w:val="00E65EBC"/>
    <w:rsid w:val="00E6625E"/>
    <w:rsid w:val="00E718F9"/>
    <w:rsid w:val="00E72017"/>
    <w:rsid w:val="00E72273"/>
    <w:rsid w:val="00E7297F"/>
    <w:rsid w:val="00E73C65"/>
    <w:rsid w:val="00E741A1"/>
    <w:rsid w:val="00E750DE"/>
    <w:rsid w:val="00E76D98"/>
    <w:rsid w:val="00E772D8"/>
    <w:rsid w:val="00E77ADD"/>
    <w:rsid w:val="00E80362"/>
    <w:rsid w:val="00E81E3D"/>
    <w:rsid w:val="00E849FB"/>
    <w:rsid w:val="00E85D60"/>
    <w:rsid w:val="00E86337"/>
    <w:rsid w:val="00E86EAE"/>
    <w:rsid w:val="00E90E95"/>
    <w:rsid w:val="00E9272A"/>
    <w:rsid w:val="00E931FD"/>
    <w:rsid w:val="00E933A5"/>
    <w:rsid w:val="00E93FDD"/>
    <w:rsid w:val="00E9423B"/>
    <w:rsid w:val="00E95165"/>
    <w:rsid w:val="00E966E3"/>
    <w:rsid w:val="00E968B2"/>
    <w:rsid w:val="00E97688"/>
    <w:rsid w:val="00E97AB9"/>
    <w:rsid w:val="00E97BC1"/>
    <w:rsid w:val="00E97E10"/>
    <w:rsid w:val="00EA0055"/>
    <w:rsid w:val="00EA0459"/>
    <w:rsid w:val="00EA086B"/>
    <w:rsid w:val="00EA0F74"/>
    <w:rsid w:val="00EA139A"/>
    <w:rsid w:val="00EA1B47"/>
    <w:rsid w:val="00EA3112"/>
    <w:rsid w:val="00EA3924"/>
    <w:rsid w:val="00EA4755"/>
    <w:rsid w:val="00EA4EBA"/>
    <w:rsid w:val="00EA50E2"/>
    <w:rsid w:val="00EA5AC9"/>
    <w:rsid w:val="00EA7014"/>
    <w:rsid w:val="00EB118C"/>
    <w:rsid w:val="00EB265A"/>
    <w:rsid w:val="00EB28D6"/>
    <w:rsid w:val="00EB3425"/>
    <w:rsid w:val="00EB3F2D"/>
    <w:rsid w:val="00EB41FD"/>
    <w:rsid w:val="00EB4A69"/>
    <w:rsid w:val="00EB52D7"/>
    <w:rsid w:val="00EB5838"/>
    <w:rsid w:val="00EB5DBD"/>
    <w:rsid w:val="00EB5F4B"/>
    <w:rsid w:val="00EB6BBD"/>
    <w:rsid w:val="00EC0F12"/>
    <w:rsid w:val="00EC0FE8"/>
    <w:rsid w:val="00EC14CF"/>
    <w:rsid w:val="00EC2209"/>
    <w:rsid w:val="00EC252D"/>
    <w:rsid w:val="00EC46A8"/>
    <w:rsid w:val="00EC4AB0"/>
    <w:rsid w:val="00EC4D1C"/>
    <w:rsid w:val="00EC5038"/>
    <w:rsid w:val="00EC56D6"/>
    <w:rsid w:val="00EC5EF0"/>
    <w:rsid w:val="00EC65B8"/>
    <w:rsid w:val="00EC73B4"/>
    <w:rsid w:val="00EC7C22"/>
    <w:rsid w:val="00ED075D"/>
    <w:rsid w:val="00ED08E4"/>
    <w:rsid w:val="00ED0A4E"/>
    <w:rsid w:val="00ED0D64"/>
    <w:rsid w:val="00ED114C"/>
    <w:rsid w:val="00ED1308"/>
    <w:rsid w:val="00ED3390"/>
    <w:rsid w:val="00ED343D"/>
    <w:rsid w:val="00ED6100"/>
    <w:rsid w:val="00ED619E"/>
    <w:rsid w:val="00ED6EB2"/>
    <w:rsid w:val="00ED75C7"/>
    <w:rsid w:val="00ED785A"/>
    <w:rsid w:val="00ED7F27"/>
    <w:rsid w:val="00EE05FE"/>
    <w:rsid w:val="00EE0EF8"/>
    <w:rsid w:val="00EE1FEB"/>
    <w:rsid w:val="00EE21F4"/>
    <w:rsid w:val="00EE36CE"/>
    <w:rsid w:val="00EE5238"/>
    <w:rsid w:val="00EE7D50"/>
    <w:rsid w:val="00EF0212"/>
    <w:rsid w:val="00EF0F4B"/>
    <w:rsid w:val="00EF1579"/>
    <w:rsid w:val="00EF1B33"/>
    <w:rsid w:val="00EF1D7B"/>
    <w:rsid w:val="00EF1F73"/>
    <w:rsid w:val="00EF237A"/>
    <w:rsid w:val="00EF4C8D"/>
    <w:rsid w:val="00EF782F"/>
    <w:rsid w:val="00EF7CD6"/>
    <w:rsid w:val="00F00AA8"/>
    <w:rsid w:val="00F00AC4"/>
    <w:rsid w:val="00F01974"/>
    <w:rsid w:val="00F02ACE"/>
    <w:rsid w:val="00F0433E"/>
    <w:rsid w:val="00F058FD"/>
    <w:rsid w:val="00F05C39"/>
    <w:rsid w:val="00F07424"/>
    <w:rsid w:val="00F0744C"/>
    <w:rsid w:val="00F07D5F"/>
    <w:rsid w:val="00F1261A"/>
    <w:rsid w:val="00F12658"/>
    <w:rsid w:val="00F13F30"/>
    <w:rsid w:val="00F147F9"/>
    <w:rsid w:val="00F1487B"/>
    <w:rsid w:val="00F1501A"/>
    <w:rsid w:val="00F15951"/>
    <w:rsid w:val="00F15AA1"/>
    <w:rsid w:val="00F1605C"/>
    <w:rsid w:val="00F167EB"/>
    <w:rsid w:val="00F177E3"/>
    <w:rsid w:val="00F206E4"/>
    <w:rsid w:val="00F21E0D"/>
    <w:rsid w:val="00F229F0"/>
    <w:rsid w:val="00F23D1F"/>
    <w:rsid w:val="00F24526"/>
    <w:rsid w:val="00F24C1C"/>
    <w:rsid w:val="00F26148"/>
    <w:rsid w:val="00F303DA"/>
    <w:rsid w:val="00F30B2E"/>
    <w:rsid w:val="00F322CA"/>
    <w:rsid w:val="00F32D74"/>
    <w:rsid w:val="00F332CF"/>
    <w:rsid w:val="00F357EB"/>
    <w:rsid w:val="00F35911"/>
    <w:rsid w:val="00F35E63"/>
    <w:rsid w:val="00F3684A"/>
    <w:rsid w:val="00F4053C"/>
    <w:rsid w:val="00F409F0"/>
    <w:rsid w:val="00F40A17"/>
    <w:rsid w:val="00F40D89"/>
    <w:rsid w:val="00F41CC2"/>
    <w:rsid w:val="00F43676"/>
    <w:rsid w:val="00F438D7"/>
    <w:rsid w:val="00F458CA"/>
    <w:rsid w:val="00F45C6F"/>
    <w:rsid w:val="00F50C10"/>
    <w:rsid w:val="00F523EA"/>
    <w:rsid w:val="00F52A26"/>
    <w:rsid w:val="00F52BEF"/>
    <w:rsid w:val="00F52C7E"/>
    <w:rsid w:val="00F54CAE"/>
    <w:rsid w:val="00F553FC"/>
    <w:rsid w:val="00F55971"/>
    <w:rsid w:val="00F55A78"/>
    <w:rsid w:val="00F55BED"/>
    <w:rsid w:val="00F5729E"/>
    <w:rsid w:val="00F57956"/>
    <w:rsid w:val="00F57C1F"/>
    <w:rsid w:val="00F62062"/>
    <w:rsid w:val="00F6284B"/>
    <w:rsid w:val="00F6348A"/>
    <w:rsid w:val="00F641B2"/>
    <w:rsid w:val="00F64418"/>
    <w:rsid w:val="00F65036"/>
    <w:rsid w:val="00F65147"/>
    <w:rsid w:val="00F652BB"/>
    <w:rsid w:val="00F65F24"/>
    <w:rsid w:val="00F663E4"/>
    <w:rsid w:val="00F66AF2"/>
    <w:rsid w:val="00F67658"/>
    <w:rsid w:val="00F701D2"/>
    <w:rsid w:val="00F70645"/>
    <w:rsid w:val="00F706D6"/>
    <w:rsid w:val="00F71034"/>
    <w:rsid w:val="00F71504"/>
    <w:rsid w:val="00F73479"/>
    <w:rsid w:val="00F7384B"/>
    <w:rsid w:val="00F73CE8"/>
    <w:rsid w:val="00F74E8F"/>
    <w:rsid w:val="00F76466"/>
    <w:rsid w:val="00F77FFA"/>
    <w:rsid w:val="00F8012C"/>
    <w:rsid w:val="00F8097F"/>
    <w:rsid w:val="00F82012"/>
    <w:rsid w:val="00F854D3"/>
    <w:rsid w:val="00F86F8A"/>
    <w:rsid w:val="00F87100"/>
    <w:rsid w:val="00F900D2"/>
    <w:rsid w:val="00F910BD"/>
    <w:rsid w:val="00F911B8"/>
    <w:rsid w:val="00F93027"/>
    <w:rsid w:val="00F944C5"/>
    <w:rsid w:val="00F945B3"/>
    <w:rsid w:val="00F96208"/>
    <w:rsid w:val="00F96664"/>
    <w:rsid w:val="00F974B1"/>
    <w:rsid w:val="00F97807"/>
    <w:rsid w:val="00FA0A47"/>
    <w:rsid w:val="00FA13C6"/>
    <w:rsid w:val="00FA1E4A"/>
    <w:rsid w:val="00FA2C64"/>
    <w:rsid w:val="00FA338C"/>
    <w:rsid w:val="00FA3B85"/>
    <w:rsid w:val="00FA4F12"/>
    <w:rsid w:val="00FA52F1"/>
    <w:rsid w:val="00FB0722"/>
    <w:rsid w:val="00FB1D58"/>
    <w:rsid w:val="00FB1DDB"/>
    <w:rsid w:val="00FB1E8D"/>
    <w:rsid w:val="00FB2000"/>
    <w:rsid w:val="00FB2808"/>
    <w:rsid w:val="00FB2916"/>
    <w:rsid w:val="00FB37EA"/>
    <w:rsid w:val="00FB3CF4"/>
    <w:rsid w:val="00FB574E"/>
    <w:rsid w:val="00FB65AC"/>
    <w:rsid w:val="00FB6C98"/>
    <w:rsid w:val="00FB6CD4"/>
    <w:rsid w:val="00FB7E12"/>
    <w:rsid w:val="00FC02B7"/>
    <w:rsid w:val="00FC18D3"/>
    <w:rsid w:val="00FC2513"/>
    <w:rsid w:val="00FC31DB"/>
    <w:rsid w:val="00FC3EFD"/>
    <w:rsid w:val="00FC4BD9"/>
    <w:rsid w:val="00FC4D9A"/>
    <w:rsid w:val="00FC501B"/>
    <w:rsid w:val="00FC5D3C"/>
    <w:rsid w:val="00FC660E"/>
    <w:rsid w:val="00FC6B1B"/>
    <w:rsid w:val="00FC70FA"/>
    <w:rsid w:val="00FC71E8"/>
    <w:rsid w:val="00FC776E"/>
    <w:rsid w:val="00FD0122"/>
    <w:rsid w:val="00FD1E2A"/>
    <w:rsid w:val="00FD2521"/>
    <w:rsid w:val="00FD2B91"/>
    <w:rsid w:val="00FD3549"/>
    <w:rsid w:val="00FD497B"/>
    <w:rsid w:val="00FD57AC"/>
    <w:rsid w:val="00FD5BB3"/>
    <w:rsid w:val="00FD7BF5"/>
    <w:rsid w:val="00FE0478"/>
    <w:rsid w:val="00FE0C89"/>
    <w:rsid w:val="00FE2984"/>
    <w:rsid w:val="00FE29E1"/>
    <w:rsid w:val="00FE3446"/>
    <w:rsid w:val="00FE4072"/>
    <w:rsid w:val="00FE4202"/>
    <w:rsid w:val="00FE4393"/>
    <w:rsid w:val="00FE5E6D"/>
    <w:rsid w:val="00FE602C"/>
    <w:rsid w:val="00FE718A"/>
    <w:rsid w:val="00FF0555"/>
    <w:rsid w:val="00FF056A"/>
    <w:rsid w:val="00FF1256"/>
    <w:rsid w:val="00FF296D"/>
    <w:rsid w:val="00FF47DF"/>
    <w:rsid w:val="00FF4A2A"/>
    <w:rsid w:val="00FF4F7F"/>
    <w:rsid w:val="00FF5F97"/>
    <w:rsid w:val="00FF64D2"/>
    <w:rsid w:val="00FF7084"/>
    <w:rsid w:val="00FF7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autoRedefine/>
    <w:uiPriority w:val="99"/>
    <w:qFormat/>
    <w:rsid w:val="0094128D"/>
    <w:pPr>
      <w:keepNext/>
      <w:keepLines/>
      <w:tabs>
        <w:tab w:val="left" w:pos="720"/>
      </w:tabs>
    </w:pPr>
    <w:rPr>
      <w:sz w:val="26"/>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94128D"/>
    <w:rPr>
      <w:sz w:val="26"/>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paragraph" w:styleId="BodyText2">
    <w:name w:val="Body Text 2"/>
    <w:basedOn w:val="Normal"/>
    <w:link w:val="BodyText2Char"/>
    <w:uiPriority w:val="99"/>
    <w:unhideWhenUsed/>
    <w:rsid w:val="004169D5"/>
    <w:pPr>
      <w:spacing w:after="120" w:line="480" w:lineRule="auto"/>
    </w:pPr>
  </w:style>
  <w:style w:type="character" w:customStyle="1" w:styleId="BodyText2Char">
    <w:name w:val="Body Text 2 Char"/>
    <w:basedOn w:val="DefaultParagraphFont"/>
    <w:link w:val="BodyText2"/>
    <w:uiPriority w:val="99"/>
    <w:rsid w:val="004169D5"/>
    <w:rPr>
      <w:sz w:val="24"/>
      <w:szCs w:val="24"/>
    </w:rPr>
  </w:style>
  <w:style w:type="paragraph" w:customStyle="1" w:styleId="IndentDouble">
    <w:name w:val="Indent Double"/>
    <w:basedOn w:val="Normal"/>
    <w:next w:val="BodyText"/>
    <w:rsid w:val="004169D5"/>
    <w:pPr>
      <w:spacing w:after="240"/>
      <w:ind w:left="2160" w:right="2160"/>
      <w:jc w:val="both"/>
    </w:pPr>
  </w:style>
  <w:style w:type="paragraph" w:customStyle="1" w:styleId="IndentSingle">
    <w:name w:val="Indent Single"/>
    <w:basedOn w:val="Normal"/>
    <w:next w:val="BodyText"/>
    <w:rsid w:val="004169D5"/>
    <w:pPr>
      <w:spacing w:after="240"/>
      <w:ind w:left="1440" w:right="1440"/>
      <w:jc w:val="both"/>
    </w:pPr>
  </w:style>
  <w:style w:type="paragraph" w:styleId="BalloonText">
    <w:name w:val="Balloon Text"/>
    <w:basedOn w:val="Normal"/>
    <w:link w:val="BalloonTextChar"/>
    <w:rsid w:val="00284573"/>
    <w:rPr>
      <w:rFonts w:ascii="Tahoma" w:hAnsi="Tahoma" w:cs="Tahoma"/>
      <w:sz w:val="16"/>
      <w:szCs w:val="16"/>
    </w:rPr>
  </w:style>
  <w:style w:type="character" w:customStyle="1" w:styleId="BalloonTextChar">
    <w:name w:val="Balloon Text Char"/>
    <w:basedOn w:val="DefaultParagraphFont"/>
    <w:link w:val="BalloonText"/>
    <w:rsid w:val="00284573"/>
    <w:rPr>
      <w:rFonts w:ascii="Tahoma" w:hAnsi="Tahoma" w:cs="Tahoma"/>
      <w:sz w:val="16"/>
      <w:szCs w:val="16"/>
    </w:rPr>
  </w:style>
  <w:style w:type="paragraph" w:styleId="NormalWeb">
    <w:name w:val="Normal (Web)"/>
    <w:basedOn w:val="Normal"/>
    <w:uiPriority w:val="99"/>
    <w:unhideWhenUsed/>
    <w:rsid w:val="00DD0FE1"/>
    <w:pPr>
      <w:spacing w:before="100" w:beforeAutospacing="1" w:after="100" w:afterAutospacing="1"/>
    </w:pPr>
  </w:style>
  <w:style w:type="character" w:styleId="CommentReference">
    <w:name w:val="annotation reference"/>
    <w:basedOn w:val="DefaultParagraphFont"/>
    <w:rsid w:val="003742D4"/>
    <w:rPr>
      <w:sz w:val="16"/>
      <w:szCs w:val="16"/>
    </w:rPr>
  </w:style>
  <w:style w:type="paragraph" w:styleId="CommentText">
    <w:name w:val="annotation text"/>
    <w:basedOn w:val="Normal"/>
    <w:link w:val="CommentTextChar"/>
    <w:rsid w:val="003742D4"/>
    <w:rPr>
      <w:sz w:val="20"/>
      <w:szCs w:val="20"/>
    </w:rPr>
  </w:style>
  <w:style w:type="character" w:customStyle="1" w:styleId="CommentTextChar">
    <w:name w:val="Comment Text Char"/>
    <w:basedOn w:val="DefaultParagraphFont"/>
    <w:link w:val="CommentText"/>
    <w:rsid w:val="003742D4"/>
  </w:style>
  <w:style w:type="paragraph" w:styleId="CommentSubject">
    <w:name w:val="annotation subject"/>
    <w:basedOn w:val="CommentText"/>
    <w:next w:val="CommentText"/>
    <w:link w:val="CommentSubjectChar"/>
    <w:rsid w:val="003742D4"/>
    <w:rPr>
      <w:b/>
      <w:bCs/>
    </w:rPr>
  </w:style>
  <w:style w:type="character" w:customStyle="1" w:styleId="CommentSubjectChar">
    <w:name w:val="Comment Subject Char"/>
    <w:basedOn w:val="CommentTextChar"/>
    <w:link w:val="CommentSubject"/>
    <w:rsid w:val="003742D4"/>
    <w:rPr>
      <w:b/>
      <w:bCs/>
    </w:rPr>
  </w:style>
  <w:style w:type="character" w:styleId="Emphasis">
    <w:name w:val="Emphasis"/>
    <w:basedOn w:val="DefaultParagraphFont"/>
    <w:qFormat/>
    <w:rsid w:val="00B16C25"/>
    <w:rPr>
      <w:i/>
      <w:iCs/>
    </w:rPr>
  </w:style>
  <w:style w:type="paragraph" w:styleId="Header">
    <w:name w:val="header"/>
    <w:basedOn w:val="Normal"/>
    <w:link w:val="HeaderChar"/>
    <w:rsid w:val="00084A43"/>
    <w:pPr>
      <w:tabs>
        <w:tab w:val="center" w:pos="4680"/>
        <w:tab w:val="right" w:pos="9360"/>
      </w:tabs>
    </w:pPr>
  </w:style>
  <w:style w:type="character" w:customStyle="1" w:styleId="HeaderChar">
    <w:name w:val="Header Char"/>
    <w:basedOn w:val="DefaultParagraphFont"/>
    <w:link w:val="Header"/>
    <w:rsid w:val="00084A43"/>
    <w:rPr>
      <w:sz w:val="24"/>
      <w:szCs w:val="24"/>
    </w:rPr>
  </w:style>
  <w:style w:type="paragraph" w:styleId="Revision">
    <w:name w:val="Revision"/>
    <w:hidden/>
    <w:uiPriority w:val="99"/>
    <w:semiHidden/>
    <w:rsid w:val="001259FC"/>
    <w:rPr>
      <w:sz w:val="24"/>
      <w:szCs w:val="24"/>
    </w:rPr>
  </w:style>
  <w:style w:type="paragraph" w:styleId="ListParagraph">
    <w:name w:val="List Paragraph"/>
    <w:basedOn w:val="Normal"/>
    <w:uiPriority w:val="34"/>
    <w:qFormat/>
    <w:rsid w:val="008664AC"/>
    <w:pPr>
      <w:ind w:left="720"/>
      <w:contextualSpacing/>
    </w:pPr>
  </w:style>
  <w:style w:type="paragraph" w:styleId="NormalIndent">
    <w:name w:val="Normal Indent"/>
    <w:basedOn w:val="Normal"/>
    <w:rsid w:val="008F6C87"/>
    <w:pPr>
      <w:ind w:left="720"/>
    </w:pPr>
  </w:style>
  <w:style w:type="paragraph" w:styleId="PlainText">
    <w:name w:val="Plain Text"/>
    <w:basedOn w:val="Normal"/>
    <w:link w:val="PlainTextChar"/>
    <w:uiPriority w:val="99"/>
    <w:unhideWhenUsed/>
    <w:rsid w:val="002D20A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D20AC"/>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autoRedefine/>
    <w:uiPriority w:val="99"/>
    <w:qFormat/>
    <w:rsid w:val="0094128D"/>
    <w:pPr>
      <w:keepNext/>
      <w:keepLines/>
      <w:tabs>
        <w:tab w:val="left" w:pos="720"/>
      </w:tabs>
    </w:pPr>
    <w:rPr>
      <w:sz w:val="26"/>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94128D"/>
    <w:rPr>
      <w:sz w:val="26"/>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paragraph" w:styleId="BodyText2">
    <w:name w:val="Body Text 2"/>
    <w:basedOn w:val="Normal"/>
    <w:link w:val="BodyText2Char"/>
    <w:uiPriority w:val="99"/>
    <w:unhideWhenUsed/>
    <w:rsid w:val="004169D5"/>
    <w:pPr>
      <w:spacing w:after="120" w:line="480" w:lineRule="auto"/>
    </w:pPr>
  </w:style>
  <w:style w:type="character" w:customStyle="1" w:styleId="BodyText2Char">
    <w:name w:val="Body Text 2 Char"/>
    <w:basedOn w:val="DefaultParagraphFont"/>
    <w:link w:val="BodyText2"/>
    <w:uiPriority w:val="99"/>
    <w:rsid w:val="004169D5"/>
    <w:rPr>
      <w:sz w:val="24"/>
      <w:szCs w:val="24"/>
    </w:rPr>
  </w:style>
  <w:style w:type="paragraph" w:customStyle="1" w:styleId="IndentDouble">
    <w:name w:val="Indent Double"/>
    <w:basedOn w:val="Normal"/>
    <w:next w:val="BodyText"/>
    <w:rsid w:val="004169D5"/>
    <w:pPr>
      <w:spacing w:after="240"/>
      <w:ind w:left="2160" w:right="2160"/>
      <w:jc w:val="both"/>
    </w:pPr>
  </w:style>
  <w:style w:type="paragraph" w:customStyle="1" w:styleId="IndentSingle">
    <w:name w:val="Indent Single"/>
    <w:basedOn w:val="Normal"/>
    <w:next w:val="BodyText"/>
    <w:rsid w:val="004169D5"/>
    <w:pPr>
      <w:spacing w:after="240"/>
      <w:ind w:left="1440" w:right="1440"/>
      <w:jc w:val="both"/>
    </w:pPr>
  </w:style>
  <w:style w:type="paragraph" w:styleId="BalloonText">
    <w:name w:val="Balloon Text"/>
    <w:basedOn w:val="Normal"/>
    <w:link w:val="BalloonTextChar"/>
    <w:rsid w:val="00284573"/>
    <w:rPr>
      <w:rFonts w:ascii="Tahoma" w:hAnsi="Tahoma" w:cs="Tahoma"/>
      <w:sz w:val="16"/>
      <w:szCs w:val="16"/>
    </w:rPr>
  </w:style>
  <w:style w:type="character" w:customStyle="1" w:styleId="BalloonTextChar">
    <w:name w:val="Balloon Text Char"/>
    <w:basedOn w:val="DefaultParagraphFont"/>
    <w:link w:val="BalloonText"/>
    <w:rsid w:val="00284573"/>
    <w:rPr>
      <w:rFonts w:ascii="Tahoma" w:hAnsi="Tahoma" w:cs="Tahoma"/>
      <w:sz w:val="16"/>
      <w:szCs w:val="16"/>
    </w:rPr>
  </w:style>
  <w:style w:type="paragraph" w:styleId="NormalWeb">
    <w:name w:val="Normal (Web)"/>
    <w:basedOn w:val="Normal"/>
    <w:uiPriority w:val="99"/>
    <w:unhideWhenUsed/>
    <w:rsid w:val="00DD0FE1"/>
    <w:pPr>
      <w:spacing w:before="100" w:beforeAutospacing="1" w:after="100" w:afterAutospacing="1"/>
    </w:pPr>
  </w:style>
  <w:style w:type="character" w:styleId="CommentReference">
    <w:name w:val="annotation reference"/>
    <w:basedOn w:val="DefaultParagraphFont"/>
    <w:rsid w:val="003742D4"/>
    <w:rPr>
      <w:sz w:val="16"/>
      <w:szCs w:val="16"/>
    </w:rPr>
  </w:style>
  <w:style w:type="paragraph" w:styleId="CommentText">
    <w:name w:val="annotation text"/>
    <w:basedOn w:val="Normal"/>
    <w:link w:val="CommentTextChar"/>
    <w:rsid w:val="003742D4"/>
    <w:rPr>
      <w:sz w:val="20"/>
      <w:szCs w:val="20"/>
    </w:rPr>
  </w:style>
  <w:style w:type="character" w:customStyle="1" w:styleId="CommentTextChar">
    <w:name w:val="Comment Text Char"/>
    <w:basedOn w:val="DefaultParagraphFont"/>
    <w:link w:val="CommentText"/>
    <w:rsid w:val="003742D4"/>
  </w:style>
  <w:style w:type="paragraph" w:styleId="CommentSubject">
    <w:name w:val="annotation subject"/>
    <w:basedOn w:val="CommentText"/>
    <w:next w:val="CommentText"/>
    <w:link w:val="CommentSubjectChar"/>
    <w:rsid w:val="003742D4"/>
    <w:rPr>
      <w:b/>
      <w:bCs/>
    </w:rPr>
  </w:style>
  <w:style w:type="character" w:customStyle="1" w:styleId="CommentSubjectChar">
    <w:name w:val="Comment Subject Char"/>
    <w:basedOn w:val="CommentTextChar"/>
    <w:link w:val="CommentSubject"/>
    <w:rsid w:val="003742D4"/>
    <w:rPr>
      <w:b/>
      <w:bCs/>
    </w:rPr>
  </w:style>
  <w:style w:type="character" w:styleId="Emphasis">
    <w:name w:val="Emphasis"/>
    <w:basedOn w:val="DefaultParagraphFont"/>
    <w:qFormat/>
    <w:rsid w:val="00B16C25"/>
    <w:rPr>
      <w:i/>
      <w:iCs/>
    </w:rPr>
  </w:style>
  <w:style w:type="paragraph" w:styleId="Header">
    <w:name w:val="header"/>
    <w:basedOn w:val="Normal"/>
    <w:link w:val="HeaderChar"/>
    <w:rsid w:val="00084A43"/>
    <w:pPr>
      <w:tabs>
        <w:tab w:val="center" w:pos="4680"/>
        <w:tab w:val="right" w:pos="9360"/>
      </w:tabs>
    </w:pPr>
  </w:style>
  <w:style w:type="character" w:customStyle="1" w:styleId="HeaderChar">
    <w:name w:val="Header Char"/>
    <w:basedOn w:val="DefaultParagraphFont"/>
    <w:link w:val="Header"/>
    <w:rsid w:val="00084A43"/>
    <w:rPr>
      <w:sz w:val="24"/>
      <w:szCs w:val="24"/>
    </w:rPr>
  </w:style>
  <w:style w:type="paragraph" w:styleId="Revision">
    <w:name w:val="Revision"/>
    <w:hidden/>
    <w:uiPriority w:val="99"/>
    <w:semiHidden/>
    <w:rsid w:val="001259FC"/>
    <w:rPr>
      <w:sz w:val="24"/>
      <w:szCs w:val="24"/>
    </w:rPr>
  </w:style>
  <w:style w:type="paragraph" w:styleId="ListParagraph">
    <w:name w:val="List Paragraph"/>
    <w:basedOn w:val="Normal"/>
    <w:uiPriority w:val="34"/>
    <w:qFormat/>
    <w:rsid w:val="008664AC"/>
    <w:pPr>
      <w:ind w:left="720"/>
      <w:contextualSpacing/>
    </w:pPr>
  </w:style>
  <w:style w:type="paragraph" w:styleId="NormalIndent">
    <w:name w:val="Normal Indent"/>
    <w:basedOn w:val="Normal"/>
    <w:rsid w:val="008F6C87"/>
    <w:pPr>
      <w:ind w:left="720"/>
    </w:pPr>
  </w:style>
  <w:style w:type="paragraph" w:styleId="PlainText">
    <w:name w:val="Plain Text"/>
    <w:basedOn w:val="Normal"/>
    <w:link w:val="PlainTextChar"/>
    <w:uiPriority w:val="99"/>
    <w:unhideWhenUsed/>
    <w:rsid w:val="002D20A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D20AC"/>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016370">
      <w:bodyDiv w:val="1"/>
      <w:marLeft w:val="0"/>
      <w:marRight w:val="0"/>
      <w:marTop w:val="0"/>
      <w:marBottom w:val="0"/>
      <w:divBdr>
        <w:top w:val="none" w:sz="0" w:space="0" w:color="auto"/>
        <w:left w:val="none" w:sz="0" w:space="0" w:color="auto"/>
        <w:bottom w:val="none" w:sz="0" w:space="0" w:color="auto"/>
        <w:right w:val="none" w:sz="0" w:space="0" w:color="auto"/>
      </w:divBdr>
      <w:divsChild>
        <w:div w:id="1850440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4730329">
      <w:bodyDiv w:val="1"/>
      <w:marLeft w:val="0"/>
      <w:marRight w:val="0"/>
      <w:marTop w:val="0"/>
      <w:marBottom w:val="0"/>
      <w:divBdr>
        <w:top w:val="none" w:sz="0" w:space="0" w:color="auto"/>
        <w:left w:val="none" w:sz="0" w:space="0" w:color="auto"/>
        <w:bottom w:val="none" w:sz="0" w:space="0" w:color="auto"/>
        <w:right w:val="none" w:sz="0" w:space="0" w:color="auto"/>
      </w:divBdr>
      <w:divsChild>
        <w:div w:id="105154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4617205">
      <w:bodyDiv w:val="1"/>
      <w:marLeft w:val="0"/>
      <w:marRight w:val="0"/>
      <w:marTop w:val="0"/>
      <w:marBottom w:val="0"/>
      <w:divBdr>
        <w:top w:val="none" w:sz="0" w:space="0" w:color="auto"/>
        <w:left w:val="none" w:sz="0" w:space="0" w:color="auto"/>
        <w:bottom w:val="none" w:sz="0" w:space="0" w:color="auto"/>
        <w:right w:val="none" w:sz="0" w:space="0" w:color="auto"/>
      </w:divBdr>
    </w:div>
    <w:div w:id="18401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686A5-7D1B-4855-BC68-9FDED7D5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6184</Words>
  <Characters>35254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2016-07-13T15:58:00Z</dcterms:created>
  <dcterms:modified xsi:type="dcterms:W3CDTF">2016-08-11T11:24:00Z</dcterms:modified>
</cp:coreProperties>
</file>