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A14" w:rsidRPr="004F5AC1" w:rsidRDefault="008A2A14">
      <w:pPr>
        <w:tabs>
          <w:tab w:val="center" w:pos="4680"/>
        </w:tabs>
        <w:jc w:val="both"/>
        <w:rPr>
          <w:b/>
          <w:sz w:val="24"/>
          <w:szCs w:val="24"/>
        </w:rPr>
      </w:pPr>
      <w:r w:rsidRPr="004F5AC1">
        <w:rPr>
          <w:sz w:val="24"/>
          <w:szCs w:val="24"/>
        </w:rPr>
        <w:tab/>
      </w:r>
      <w:r w:rsidRPr="004F5AC1">
        <w:rPr>
          <w:b/>
          <w:sz w:val="24"/>
          <w:szCs w:val="24"/>
        </w:rPr>
        <w:t>BEFORE THE</w:t>
      </w:r>
    </w:p>
    <w:p w:rsidR="008A2A14" w:rsidRPr="004F5AC1" w:rsidRDefault="008A2A14">
      <w:pPr>
        <w:tabs>
          <w:tab w:val="center" w:pos="4680"/>
        </w:tabs>
        <w:jc w:val="both"/>
        <w:rPr>
          <w:b/>
          <w:sz w:val="24"/>
          <w:szCs w:val="24"/>
        </w:rPr>
      </w:pPr>
      <w:r w:rsidRPr="004F5AC1">
        <w:rPr>
          <w:b/>
          <w:sz w:val="24"/>
          <w:szCs w:val="24"/>
        </w:rPr>
        <w:tab/>
      </w:r>
      <w:smartTag w:uri="urn:schemas-microsoft-com:office:smarttags" w:element="State">
        <w:smartTag w:uri="urn:schemas-microsoft-com:office:smarttags" w:element="place">
          <w:r w:rsidRPr="004F5AC1">
            <w:rPr>
              <w:b/>
              <w:sz w:val="24"/>
              <w:szCs w:val="24"/>
            </w:rPr>
            <w:t>PENNSYLVANIA</w:t>
          </w:r>
        </w:smartTag>
      </w:smartTag>
      <w:r w:rsidRPr="004F5AC1">
        <w:rPr>
          <w:b/>
          <w:sz w:val="24"/>
          <w:szCs w:val="24"/>
        </w:rPr>
        <w:t xml:space="preserve"> PUBLIC UTILITY COMMISSION</w:t>
      </w:r>
    </w:p>
    <w:p w:rsidR="00CC3C22" w:rsidRPr="004F5AC1" w:rsidRDefault="00CC3C22">
      <w:pPr>
        <w:tabs>
          <w:tab w:val="center" w:pos="4680"/>
        </w:tabs>
        <w:jc w:val="both"/>
        <w:rPr>
          <w:sz w:val="24"/>
          <w:szCs w:val="24"/>
        </w:rPr>
      </w:pPr>
    </w:p>
    <w:p w:rsidR="008A2A14" w:rsidRPr="004F5AC1" w:rsidRDefault="008A2A14">
      <w:pPr>
        <w:jc w:val="both"/>
        <w:rPr>
          <w:sz w:val="24"/>
          <w:szCs w:val="24"/>
        </w:rPr>
      </w:pPr>
    </w:p>
    <w:p w:rsidR="008A2A14" w:rsidRPr="004F5AC1" w:rsidRDefault="008A2A14">
      <w:pPr>
        <w:jc w:val="both"/>
        <w:rPr>
          <w:sz w:val="24"/>
          <w:szCs w:val="24"/>
        </w:rPr>
      </w:pPr>
    </w:p>
    <w:p w:rsidR="008A2A14" w:rsidRPr="004F5AC1" w:rsidRDefault="004B06A1">
      <w:pPr>
        <w:jc w:val="both"/>
        <w:rPr>
          <w:b/>
          <w:sz w:val="24"/>
          <w:szCs w:val="24"/>
        </w:rPr>
      </w:pPr>
      <w:r>
        <w:rPr>
          <w:sz w:val="24"/>
          <w:szCs w:val="24"/>
        </w:rPr>
        <w:t xml:space="preserve">Cynthia </w:t>
      </w:r>
      <w:proofErr w:type="spellStart"/>
      <w:r>
        <w:rPr>
          <w:sz w:val="24"/>
          <w:szCs w:val="24"/>
        </w:rPr>
        <w:t>Cawley</w:t>
      </w:r>
      <w:proofErr w:type="spellEnd"/>
      <w:r w:rsidR="00C26A28">
        <w:rPr>
          <w:sz w:val="24"/>
          <w:szCs w:val="24"/>
        </w:rPr>
        <w:tab/>
      </w:r>
      <w:r w:rsidR="00C26A28">
        <w:rPr>
          <w:sz w:val="24"/>
          <w:szCs w:val="24"/>
        </w:rPr>
        <w:tab/>
      </w:r>
      <w:r w:rsidR="00CC3C22" w:rsidRPr="004F5AC1">
        <w:rPr>
          <w:sz w:val="24"/>
          <w:szCs w:val="24"/>
        </w:rPr>
        <w:tab/>
      </w:r>
      <w:r w:rsidR="008A2A14" w:rsidRPr="004F5AC1">
        <w:rPr>
          <w:sz w:val="24"/>
          <w:szCs w:val="24"/>
        </w:rPr>
        <w:tab/>
      </w:r>
      <w:r w:rsidR="003D6796" w:rsidRPr="004F5AC1">
        <w:rPr>
          <w:sz w:val="24"/>
          <w:szCs w:val="24"/>
        </w:rPr>
        <w:tab/>
      </w:r>
      <w:r w:rsidR="008A2A14" w:rsidRPr="004F5AC1">
        <w:rPr>
          <w:b/>
          <w:sz w:val="24"/>
          <w:szCs w:val="24"/>
        </w:rPr>
        <w:t>:</w:t>
      </w:r>
    </w:p>
    <w:p w:rsidR="00A63BFD" w:rsidRPr="00A63BFD" w:rsidRDefault="00A63BFD">
      <w:pPr>
        <w:ind w:firstLine="720"/>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A63BFD">
        <w:rPr>
          <w:b/>
          <w:sz w:val="24"/>
          <w:szCs w:val="24"/>
        </w:rPr>
        <w:t>:</w:t>
      </w:r>
    </w:p>
    <w:p w:rsidR="008A2A14" w:rsidRPr="004F5AC1" w:rsidRDefault="008A2A14">
      <w:pPr>
        <w:ind w:firstLine="720"/>
        <w:jc w:val="both"/>
        <w:rPr>
          <w:sz w:val="24"/>
          <w:szCs w:val="24"/>
        </w:rPr>
      </w:pPr>
      <w:r w:rsidRPr="004F5AC1">
        <w:rPr>
          <w:sz w:val="24"/>
          <w:szCs w:val="24"/>
        </w:rPr>
        <w:t>v.</w:t>
      </w:r>
      <w:r w:rsidRPr="004F5AC1">
        <w:rPr>
          <w:sz w:val="24"/>
          <w:szCs w:val="24"/>
        </w:rPr>
        <w:tab/>
      </w:r>
      <w:r w:rsidRPr="004F5AC1">
        <w:rPr>
          <w:sz w:val="24"/>
          <w:szCs w:val="24"/>
        </w:rPr>
        <w:tab/>
      </w:r>
      <w:r w:rsidRPr="004F5AC1">
        <w:rPr>
          <w:sz w:val="24"/>
          <w:szCs w:val="24"/>
        </w:rPr>
        <w:tab/>
      </w:r>
      <w:r w:rsidRPr="004F5AC1">
        <w:rPr>
          <w:sz w:val="24"/>
          <w:szCs w:val="24"/>
        </w:rPr>
        <w:tab/>
      </w:r>
      <w:r w:rsidRPr="004F5AC1">
        <w:rPr>
          <w:sz w:val="24"/>
          <w:szCs w:val="24"/>
        </w:rPr>
        <w:tab/>
      </w:r>
      <w:r w:rsidR="003D6796" w:rsidRPr="004F5AC1">
        <w:rPr>
          <w:sz w:val="24"/>
          <w:szCs w:val="24"/>
        </w:rPr>
        <w:tab/>
      </w:r>
      <w:r w:rsidRPr="004F5AC1">
        <w:rPr>
          <w:b/>
          <w:sz w:val="24"/>
          <w:szCs w:val="24"/>
        </w:rPr>
        <w:t>:</w:t>
      </w:r>
      <w:r w:rsidRPr="004F5AC1">
        <w:rPr>
          <w:sz w:val="24"/>
          <w:szCs w:val="24"/>
        </w:rPr>
        <w:tab/>
      </w:r>
      <w:r w:rsidRPr="004F5AC1">
        <w:rPr>
          <w:sz w:val="24"/>
          <w:szCs w:val="24"/>
        </w:rPr>
        <w:tab/>
        <w:t>C-</w:t>
      </w:r>
      <w:r w:rsidR="00A63BFD">
        <w:rPr>
          <w:sz w:val="24"/>
          <w:szCs w:val="24"/>
        </w:rPr>
        <w:t>2016-25</w:t>
      </w:r>
      <w:r w:rsidR="004B06A1">
        <w:rPr>
          <w:sz w:val="24"/>
          <w:szCs w:val="24"/>
        </w:rPr>
        <w:t>44803</w:t>
      </w:r>
    </w:p>
    <w:p w:rsidR="008A2A14" w:rsidRPr="004F5AC1" w:rsidRDefault="008A2A14" w:rsidP="003D6796">
      <w:pPr>
        <w:ind w:left="720" w:firstLine="4320"/>
        <w:jc w:val="both"/>
        <w:rPr>
          <w:sz w:val="24"/>
          <w:szCs w:val="24"/>
        </w:rPr>
      </w:pPr>
      <w:r w:rsidRPr="004F5AC1">
        <w:rPr>
          <w:b/>
          <w:sz w:val="24"/>
          <w:szCs w:val="24"/>
        </w:rPr>
        <w:t>:</w:t>
      </w:r>
    </w:p>
    <w:p w:rsidR="008A2A14" w:rsidRPr="004F5AC1" w:rsidRDefault="00334D44">
      <w:pPr>
        <w:jc w:val="both"/>
        <w:rPr>
          <w:b/>
          <w:sz w:val="24"/>
          <w:szCs w:val="24"/>
        </w:rPr>
      </w:pPr>
      <w:r>
        <w:rPr>
          <w:sz w:val="24"/>
          <w:szCs w:val="24"/>
        </w:rPr>
        <w:t>Duquesne Light</w:t>
      </w:r>
      <w:r w:rsidR="000E468C">
        <w:rPr>
          <w:sz w:val="24"/>
          <w:szCs w:val="24"/>
        </w:rPr>
        <w:t xml:space="preserve"> Company</w:t>
      </w:r>
      <w:r w:rsidR="006B05A0">
        <w:rPr>
          <w:sz w:val="24"/>
          <w:szCs w:val="24"/>
        </w:rPr>
        <w:tab/>
      </w:r>
      <w:r w:rsidR="008A2A14" w:rsidRPr="004F5AC1">
        <w:rPr>
          <w:sz w:val="24"/>
          <w:szCs w:val="24"/>
        </w:rPr>
        <w:tab/>
      </w:r>
      <w:r>
        <w:rPr>
          <w:sz w:val="24"/>
          <w:szCs w:val="24"/>
        </w:rPr>
        <w:tab/>
      </w:r>
      <w:r w:rsidR="003D6796" w:rsidRPr="004F5AC1">
        <w:rPr>
          <w:sz w:val="24"/>
          <w:szCs w:val="24"/>
        </w:rPr>
        <w:tab/>
      </w:r>
      <w:r w:rsidR="008A2A14" w:rsidRPr="004F5AC1">
        <w:rPr>
          <w:b/>
          <w:sz w:val="24"/>
          <w:szCs w:val="24"/>
        </w:rPr>
        <w:t>:</w:t>
      </w:r>
    </w:p>
    <w:p w:rsidR="008A2A14" w:rsidRDefault="008A2A14">
      <w:pPr>
        <w:jc w:val="both"/>
        <w:rPr>
          <w:sz w:val="24"/>
          <w:szCs w:val="24"/>
        </w:rPr>
      </w:pPr>
    </w:p>
    <w:p w:rsidR="004822FE" w:rsidRDefault="004822FE">
      <w:pPr>
        <w:jc w:val="both"/>
        <w:rPr>
          <w:sz w:val="24"/>
          <w:szCs w:val="24"/>
        </w:rPr>
      </w:pPr>
    </w:p>
    <w:p w:rsidR="004F5AC1" w:rsidRPr="004F5AC1" w:rsidRDefault="004F5AC1">
      <w:pPr>
        <w:jc w:val="both"/>
        <w:rPr>
          <w:sz w:val="24"/>
          <w:szCs w:val="24"/>
        </w:rPr>
      </w:pPr>
    </w:p>
    <w:p w:rsidR="00AD4F10" w:rsidRPr="003146E7" w:rsidRDefault="00B56556" w:rsidP="004F5AC1">
      <w:pPr>
        <w:pStyle w:val="Heading1"/>
        <w:jc w:val="center"/>
        <w:rPr>
          <w:b/>
          <w:szCs w:val="24"/>
        </w:rPr>
      </w:pPr>
      <w:r w:rsidRPr="003146E7">
        <w:rPr>
          <w:b/>
          <w:szCs w:val="24"/>
        </w:rPr>
        <w:t>INITIAL DECISION</w:t>
      </w:r>
    </w:p>
    <w:p w:rsidR="003146E7" w:rsidRPr="003146E7" w:rsidRDefault="003146E7" w:rsidP="003146E7">
      <w:pPr>
        <w:jc w:val="center"/>
        <w:rPr>
          <w:b/>
          <w:sz w:val="24"/>
          <w:szCs w:val="24"/>
          <w:u w:val="single"/>
        </w:rPr>
      </w:pPr>
      <w:r w:rsidRPr="003146E7">
        <w:rPr>
          <w:b/>
          <w:sz w:val="24"/>
          <w:szCs w:val="24"/>
          <w:u w:val="single"/>
        </w:rPr>
        <w:t>GRANTING RESPONDENT’S PRELIMINARY OBJECTIONS</w:t>
      </w:r>
    </w:p>
    <w:p w:rsidR="00C26A28" w:rsidRPr="00C26A28" w:rsidRDefault="00C26A28" w:rsidP="00C26A28">
      <w:pPr>
        <w:pStyle w:val="Heading1"/>
        <w:jc w:val="center"/>
        <w:rPr>
          <w:szCs w:val="24"/>
        </w:rPr>
      </w:pPr>
    </w:p>
    <w:p w:rsidR="004F5AC1" w:rsidRPr="00AD4F10" w:rsidRDefault="004F5AC1" w:rsidP="00AD4F10">
      <w:pPr>
        <w:jc w:val="center"/>
        <w:rPr>
          <w:sz w:val="24"/>
          <w:szCs w:val="24"/>
        </w:rPr>
      </w:pPr>
    </w:p>
    <w:p w:rsidR="004F5AC1" w:rsidRPr="00183666" w:rsidRDefault="004F5AC1" w:rsidP="004F5AC1">
      <w:pPr>
        <w:jc w:val="center"/>
        <w:rPr>
          <w:sz w:val="24"/>
          <w:szCs w:val="24"/>
        </w:rPr>
      </w:pPr>
      <w:r w:rsidRPr="00183666">
        <w:rPr>
          <w:sz w:val="24"/>
          <w:szCs w:val="24"/>
        </w:rPr>
        <w:t>Before</w:t>
      </w:r>
    </w:p>
    <w:p w:rsidR="004F5AC1" w:rsidRPr="00183666" w:rsidRDefault="004F5AC1" w:rsidP="004F5AC1">
      <w:pPr>
        <w:jc w:val="center"/>
        <w:rPr>
          <w:sz w:val="24"/>
          <w:szCs w:val="24"/>
        </w:rPr>
      </w:pPr>
      <w:r w:rsidRPr="005C5AB6">
        <w:rPr>
          <w:sz w:val="24"/>
          <w:szCs w:val="24"/>
        </w:rPr>
        <w:t>Katrina L. Dunderdale</w:t>
      </w:r>
    </w:p>
    <w:p w:rsidR="004F5AC1" w:rsidRPr="00183666" w:rsidRDefault="004F5AC1" w:rsidP="004F5AC1">
      <w:pPr>
        <w:jc w:val="center"/>
        <w:rPr>
          <w:sz w:val="24"/>
          <w:szCs w:val="24"/>
        </w:rPr>
      </w:pPr>
      <w:r w:rsidRPr="00183666">
        <w:rPr>
          <w:sz w:val="24"/>
          <w:szCs w:val="24"/>
        </w:rPr>
        <w:t>Administrative Law Judge</w:t>
      </w:r>
    </w:p>
    <w:p w:rsidR="004F5AC1" w:rsidRDefault="004F5AC1" w:rsidP="004F5AC1">
      <w:pPr>
        <w:widowControl w:val="0"/>
        <w:autoSpaceDE w:val="0"/>
        <w:autoSpaceDN w:val="0"/>
        <w:adjustRightInd w:val="0"/>
        <w:spacing w:before="120" w:after="120" w:line="253" w:lineRule="exact"/>
        <w:rPr>
          <w:sz w:val="24"/>
          <w:szCs w:val="24"/>
        </w:rPr>
      </w:pPr>
    </w:p>
    <w:p w:rsidR="00252CC1" w:rsidRPr="00D34F31" w:rsidRDefault="00252CC1" w:rsidP="00252CC1">
      <w:pPr>
        <w:tabs>
          <w:tab w:val="center" w:pos="4680"/>
        </w:tabs>
        <w:suppressAutoHyphens/>
        <w:spacing w:line="360" w:lineRule="auto"/>
        <w:jc w:val="center"/>
        <w:rPr>
          <w:sz w:val="24"/>
          <w:szCs w:val="24"/>
          <w:u w:val="single"/>
        </w:rPr>
      </w:pPr>
      <w:r w:rsidRPr="00D34F31">
        <w:rPr>
          <w:sz w:val="24"/>
          <w:szCs w:val="24"/>
          <w:u w:val="single"/>
        </w:rPr>
        <w:t>INTRODUCTION</w:t>
      </w:r>
    </w:p>
    <w:p w:rsidR="00252CC1" w:rsidRDefault="00252CC1" w:rsidP="00252CC1">
      <w:pPr>
        <w:tabs>
          <w:tab w:val="center" w:pos="4680"/>
        </w:tabs>
        <w:suppressAutoHyphens/>
        <w:spacing w:line="360" w:lineRule="auto"/>
        <w:rPr>
          <w:sz w:val="24"/>
          <w:szCs w:val="24"/>
        </w:rPr>
      </w:pPr>
    </w:p>
    <w:p w:rsidR="00252CC1" w:rsidRPr="005E390C" w:rsidRDefault="00252CC1" w:rsidP="00252CC1">
      <w:pPr>
        <w:suppressAutoHyphens/>
        <w:spacing w:line="360" w:lineRule="auto"/>
        <w:rPr>
          <w:sz w:val="24"/>
          <w:szCs w:val="24"/>
        </w:rPr>
      </w:pPr>
      <w:r>
        <w:rPr>
          <w:sz w:val="24"/>
          <w:szCs w:val="24"/>
        </w:rPr>
        <w:tab/>
      </w:r>
      <w:r>
        <w:rPr>
          <w:sz w:val="24"/>
          <w:szCs w:val="24"/>
        </w:rPr>
        <w:tab/>
      </w:r>
      <w:r w:rsidRPr="005E390C">
        <w:rPr>
          <w:sz w:val="24"/>
          <w:szCs w:val="24"/>
        </w:rPr>
        <w:t>This In</w:t>
      </w:r>
      <w:r w:rsidR="00B56556" w:rsidRPr="005E390C">
        <w:rPr>
          <w:sz w:val="24"/>
          <w:szCs w:val="24"/>
        </w:rPr>
        <w:t>itial Decision</w:t>
      </w:r>
      <w:r w:rsidRPr="005E390C">
        <w:rPr>
          <w:sz w:val="24"/>
          <w:szCs w:val="24"/>
        </w:rPr>
        <w:t xml:space="preserve"> grants Duquesne Light Company’s Preliminary Objections due to </w:t>
      </w:r>
      <w:r w:rsidR="00960348" w:rsidRPr="005E390C">
        <w:rPr>
          <w:sz w:val="24"/>
          <w:szCs w:val="24"/>
        </w:rPr>
        <w:t>inclusion of scandalous or impertinent matter in the form of an erroneous prayer for relief and dismisses the formal complaint filed on April 21, 2016</w:t>
      </w:r>
      <w:r w:rsidR="00E90C7C">
        <w:rPr>
          <w:sz w:val="24"/>
          <w:szCs w:val="24"/>
        </w:rPr>
        <w:t>,</w:t>
      </w:r>
      <w:r w:rsidR="00960348" w:rsidRPr="005E390C">
        <w:rPr>
          <w:sz w:val="24"/>
          <w:szCs w:val="24"/>
        </w:rPr>
        <w:t xml:space="preserve"> in which Cynthia </w:t>
      </w:r>
      <w:proofErr w:type="spellStart"/>
      <w:r w:rsidR="00960348" w:rsidRPr="005E390C">
        <w:rPr>
          <w:sz w:val="24"/>
          <w:szCs w:val="24"/>
        </w:rPr>
        <w:t>Cawley</w:t>
      </w:r>
      <w:proofErr w:type="spellEnd"/>
      <w:r w:rsidR="00960348" w:rsidRPr="005E390C">
        <w:rPr>
          <w:sz w:val="24"/>
          <w:szCs w:val="24"/>
        </w:rPr>
        <w:t xml:space="preserve"> requested reimbursement for overcharges from 2000 to 2010 due to a meter </w:t>
      </w:r>
      <w:r w:rsidR="00A65F86" w:rsidRPr="005E390C">
        <w:rPr>
          <w:sz w:val="24"/>
          <w:szCs w:val="24"/>
        </w:rPr>
        <w:t>twist</w:t>
      </w:r>
      <w:r w:rsidR="00594D3A" w:rsidRPr="0041275E">
        <w:rPr>
          <w:rStyle w:val="FootnoteReference"/>
          <w:sz w:val="24"/>
          <w:szCs w:val="24"/>
          <w:vertAlign w:val="superscript"/>
        </w:rPr>
        <w:footnoteReference w:id="1"/>
      </w:r>
      <w:r w:rsidR="00960348" w:rsidRPr="005E390C">
        <w:rPr>
          <w:sz w:val="24"/>
          <w:szCs w:val="24"/>
        </w:rPr>
        <w:t xml:space="preserve"> discovered in 2015.  </w:t>
      </w:r>
    </w:p>
    <w:p w:rsidR="00252CC1" w:rsidRDefault="00252CC1" w:rsidP="004F5AC1">
      <w:pPr>
        <w:widowControl w:val="0"/>
        <w:autoSpaceDE w:val="0"/>
        <w:autoSpaceDN w:val="0"/>
        <w:adjustRightInd w:val="0"/>
        <w:spacing w:before="120" w:after="120" w:line="253" w:lineRule="exact"/>
        <w:rPr>
          <w:sz w:val="24"/>
          <w:szCs w:val="24"/>
        </w:rPr>
      </w:pPr>
    </w:p>
    <w:p w:rsidR="004F5AC1" w:rsidRPr="004F5AC1" w:rsidRDefault="004F5AC1" w:rsidP="004F5AC1">
      <w:pPr>
        <w:widowControl w:val="0"/>
        <w:autoSpaceDE w:val="0"/>
        <w:autoSpaceDN w:val="0"/>
        <w:adjustRightInd w:val="0"/>
        <w:spacing w:before="120" w:after="120" w:line="253" w:lineRule="exact"/>
        <w:jc w:val="center"/>
        <w:rPr>
          <w:color w:val="000000"/>
          <w:w w:val="106"/>
          <w:sz w:val="24"/>
          <w:szCs w:val="24"/>
          <w:u w:val="single"/>
        </w:rPr>
      </w:pPr>
      <w:r w:rsidRPr="004F5AC1">
        <w:rPr>
          <w:color w:val="000000"/>
          <w:w w:val="106"/>
          <w:sz w:val="24"/>
          <w:szCs w:val="24"/>
          <w:u w:val="single"/>
        </w:rPr>
        <w:t>HISTORY OF THE PROCEEDING</w:t>
      </w:r>
    </w:p>
    <w:p w:rsidR="00E71077" w:rsidRDefault="00E71077" w:rsidP="00E71077">
      <w:pPr>
        <w:widowControl w:val="0"/>
        <w:autoSpaceDE w:val="0"/>
        <w:autoSpaceDN w:val="0"/>
        <w:adjustRightInd w:val="0"/>
        <w:spacing w:line="360" w:lineRule="auto"/>
        <w:ind w:firstLine="720"/>
        <w:rPr>
          <w:color w:val="000000"/>
          <w:w w:val="107"/>
          <w:sz w:val="24"/>
          <w:szCs w:val="24"/>
        </w:rPr>
      </w:pPr>
    </w:p>
    <w:p w:rsidR="00A65F86" w:rsidRPr="005E390C" w:rsidRDefault="004F5AC1" w:rsidP="00C26A28">
      <w:pPr>
        <w:widowControl w:val="0"/>
        <w:autoSpaceDE w:val="0"/>
        <w:autoSpaceDN w:val="0"/>
        <w:adjustRightInd w:val="0"/>
        <w:spacing w:line="360" w:lineRule="auto"/>
        <w:ind w:firstLine="1440"/>
        <w:rPr>
          <w:color w:val="000000"/>
          <w:w w:val="107"/>
          <w:sz w:val="24"/>
          <w:szCs w:val="24"/>
        </w:rPr>
      </w:pPr>
      <w:r w:rsidRPr="005E390C">
        <w:rPr>
          <w:color w:val="000000"/>
          <w:w w:val="107"/>
          <w:sz w:val="24"/>
          <w:szCs w:val="24"/>
        </w:rPr>
        <w:t xml:space="preserve">On </w:t>
      </w:r>
      <w:r w:rsidR="00960348" w:rsidRPr="005E390C">
        <w:rPr>
          <w:color w:val="000000"/>
          <w:w w:val="107"/>
          <w:sz w:val="24"/>
          <w:szCs w:val="24"/>
        </w:rPr>
        <w:t>April 21</w:t>
      </w:r>
      <w:r w:rsidR="00A63BFD" w:rsidRPr="005E390C">
        <w:rPr>
          <w:color w:val="000000"/>
          <w:w w:val="107"/>
          <w:sz w:val="24"/>
          <w:szCs w:val="24"/>
        </w:rPr>
        <w:t>, 2016</w:t>
      </w:r>
      <w:r w:rsidR="00373601" w:rsidRPr="005E390C">
        <w:rPr>
          <w:color w:val="000000"/>
          <w:w w:val="107"/>
          <w:sz w:val="24"/>
          <w:szCs w:val="24"/>
        </w:rPr>
        <w:t xml:space="preserve">, </w:t>
      </w:r>
      <w:r w:rsidR="00960348" w:rsidRPr="005E390C">
        <w:rPr>
          <w:color w:val="000000"/>
          <w:w w:val="107"/>
          <w:sz w:val="24"/>
          <w:szCs w:val="24"/>
        </w:rPr>
        <w:t xml:space="preserve">Cynthia </w:t>
      </w:r>
      <w:proofErr w:type="spellStart"/>
      <w:r w:rsidR="00960348" w:rsidRPr="005E390C">
        <w:rPr>
          <w:color w:val="000000"/>
          <w:w w:val="107"/>
          <w:sz w:val="24"/>
          <w:szCs w:val="24"/>
        </w:rPr>
        <w:t>Cawley</w:t>
      </w:r>
      <w:proofErr w:type="spellEnd"/>
      <w:r w:rsidRPr="005E390C">
        <w:rPr>
          <w:color w:val="000000"/>
          <w:w w:val="107"/>
          <w:sz w:val="24"/>
          <w:szCs w:val="24"/>
        </w:rPr>
        <w:t xml:space="preserve"> (Complainant or </w:t>
      </w:r>
      <w:r w:rsidR="00960348" w:rsidRPr="005E390C">
        <w:rPr>
          <w:color w:val="000000"/>
          <w:w w:val="107"/>
          <w:sz w:val="24"/>
          <w:szCs w:val="24"/>
        </w:rPr>
        <w:t xml:space="preserve">Ms. </w:t>
      </w:r>
      <w:proofErr w:type="spellStart"/>
      <w:r w:rsidR="00960348" w:rsidRPr="005E390C">
        <w:rPr>
          <w:color w:val="000000"/>
          <w:w w:val="107"/>
          <w:sz w:val="24"/>
          <w:szCs w:val="24"/>
        </w:rPr>
        <w:t>Cawley</w:t>
      </w:r>
      <w:proofErr w:type="spellEnd"/>
      <w:r w:rsidRPr="005E390C">
        <w:rPr>
          <w:color w:val="000000"/>
          <w:w w:val="108"/>
          <w:sz w:val="24"/>
          <w:szCs w:val="24"/>
        </w:rPr>
        <w:t xml:space="preserve">) filed a </w:t>
      </w:r>
      <w:r w:rsidR="00373601" w:rsidRPr="005E390C">
        <w:rPr>
          <w:color w:val="000000"/>
          <w:w w:val="108"/>
          <w:sz w:val="24"/>
          <w:szCs w:val="24"/>
        </w:rPr>
        <w:t>f</w:t>
      </w:r>
      <w:r w:rsidRPr="005E390C">
        <w:rPr>
          <w:color w:val="000000"/>
          <w:w w:val="108"/>
          <w:sz w:val="24"/>
          <w:szCs w:val="24"/>
        </w:rPr>
        <w:t xml:space="preserve">ormal </w:t>
      </w:r>
      <w:r w:rsidR="00373601" w:rsidRPr="005E390C">
        <w:rPr>
          <w:color w:val="000000"/>
          <w:w w:val="108"/>
          <w:sz w:val="24"/>
          <w:szCs w:val="24"/>
        </w:rPr>
        <w:t>c</w:t>
      </w:r>
      <w:r w:rsidRPr="005E390C">
        <w:rPr>
          <w:color w:val="000000"/>
          <w:w w:val="108"/>
          <w:sz w:val="24"/>
          <w:szCs w:val="24"/>
        </w:rPr>
        <w:t xml:space="preserve">omplaint </w:t>
      </w:r>
      <w:r w:rsidR="00F85F4C" w:rsidRPr="005E390C">
        <w:rPr>
          <w:color w:val="000000"/>
          <w:w w:val="108"/>
          <w:sz w:val="24"/>
          <w:szCs w:val="24"/>
        </w:rPr>
        <w:t xml:space="preserve">with the Pennsylvania Public Utility Commission (Commission) </w:t>
      </w:r>
      <w:r w:rsidRPr="005E390C">
        <w:rPr>
          <w:color w:val="000000"/>
          <w:w w:val="108"/>
          <w:sz w:val="24"/>
          <w:szCs w:val="24"/>
        </w:rPr>
        <w:t xml:space="preserve">against </w:t>
      </w:r>
      <w:r w:rsidR="00373601" w:rsidRPr="005E390C">
        <w:rPr>
          <w:color w:val="000000"/>
          <w:w w:val="108"/>
          <w:sz w:val="24"/>
          <w:szCs w:val="24"/>
        </w:rPr>
        <w:t>Duquesne Light</w:t>
      </w:r>
      <w:r w:rsidR="000E468C" w:rsidRPr="005E390C">
        <w:rPr>
          <w:color w:val="000000"/>
          <w:w w:val="108"/>
          <w:sz w:val="24"/>
          <w:szCs w:val="24"/>
        </w:rPr>
        <w:t xml:space="preserve"> Company</w:t>
      </w:r>
      <w:r w:rsidR="00A63BFD" w:rsidRPr="005E390C">
        <w:rPr>
          <w:color w:val="000000"/>
          <w:w w:val="108"/>
          <w:sz w:val="24"/>
          <w:szCs w:val="24"/>
        </w:rPr>
        <w:t xml:space="preserve"> (Respondent </w:t>
      </w:r>
      <w:r w:rsidRPr="005E390C">
        <w:rPr>
          <w:color w:val="000000"/>
          <w:w w:val="108"/>
          <w:sz w:val="24"/>
          <w:szCs w:val="24"/>
        </w:rPr>
        <w:t xml:space="preserve">or </w:t>
      </w:r>
      <w:r w:rsidR="00373601" w:rsidRPr="005E390C">
        <w:rPr>
          <w:color w:val="000000"/>
          <w:w w:val="108"/>
          <w:sz w:val="24"/>
          <w:szCs w:val="24"/>
        </w:rPr>
        <w:t>DLC</w:t>
      </w:r>
      <w:r w:rsidRPr="005E390C">
        <w:rPr>
          <w:color w:val="000000"/>
          <w:w w:val="107"/>
          <w:sz w:val="24"/>
          <w:szCs w:val="24"/>
        </w:rPr>
        <w:t xml:space="preserve">) </w:t>
      </w:r>
      <w:r w:rsidR="00373601" w:rsidRPr="005E390C">
        <w:rPr>
          <w:color w:val="000000"/>
          <w:w w:val="107"/>
          <w:sz w:val="24"/>
          <w:szCs w:val="24"/>
        </w:rPr>
        <w:t xml:space="preserve">alleging Respondent </w:t>
      </w:r>
      <w:r w:rsidR="00A63BFD" w:rsidRPr="005E390C">
        <w:rPr>
          <w:color w:val="000000"/>
          <w:w w:val="107"/>
          <w:sz w:val="24"/>
          <w:szCs w:val="24"/>
        </w:rPr>
        <w:t xml:space="preserve">erred when it </w:t>
      </w:r>
      <w:r w:rsidR="00960348" w:rsidRPr="005E390C">
        <w:rPr>
          <w:color w:val="000000"/>
          <w:w w:val="107"/>
          <w:sz w:val="24"/>
          <w:szCs w:val="24"/>
        </w:rPr>
        <w:t xml:space="preserve">only reimbursed her for overcharges from 2010 to 2015 which resulted from a meter </w:t>
      </w:r>
      <w:r w:rsidR="00A65F86" w:rsidRPr="005E390C">
        <w:rPr>
          <w:color w:val="000000"/>
          <w:w w:val="107"/>
          <w:sz w:val="24"/>
          <w:szCs w:val="24"/>
        </w:rPr>
        <w:t>twist</w:t>
      </w:r>
      <w:r w:rsidR="00960348" w:rsidRPr="005E390C">
        <w:rPr>
          <w:color w:val="000000"/>
          <w:w w:val="107"/>
          <w:sz w:val="24"/>
          <w:szCs w:val="24"/>
        </w:rPr>
        <w:t xml:space="preserve"> that existed since she owned the property in 2000.  Complainant acknowledged</w:t>
      </w:r>
      <w:r w:rsidR="00A65F86" w:rsidRPr="005E390C">
        <w:rPr>
          <w:color w:val="000000"/>
          <w:w w:val="107"/>
          <w:sz w:val="24"/>
          <w:szCs w:val="24"/>
        </w:rPr>
        <w:t xml:space="preserve"> Respondent sent her </w:t>
      </w:r>
      <w:r w:rsidR="00960348" w:rsidRPr="005E390C">
        <w:rPr>
          <w:color w:val="000000"/>
          <w:w w:val="107"/>
          <w:sz w:val="24"/>
          <w:szCs w:val="24"/>
        </w:rPr>
        <w:t xml:space="preserve">a check for </w:t>
      </w:r>
      <w:r w:rsidR="00A65F86" w:rsidRPr="005E390C">
        <w:rPr>
          <w:color w:val="000000"/>
          <w:w w:val="107"/>
          <w:sz w:val="24"/>
          <w:szCs w:val="24"/>
        </w:rPr>
        <w:t>$986.46 in January 2016</w:t>
      </w:r>
      <w:r w:rsidR="00553D57">
        <w:rPr>
          <w:color w:val="000000"/>
          <w:w w:val="107"/>
          <w:sz w:val="24"/>
          <w:szCs w:val="24"/>
        </w:rPr>
        <w:t>,</w:t>
      </w:r>
      <w:r w:rsidR="00A65F86" w:rsidRPr="005E390C">
        <w:rPr>
          <w:color w:val="000000"/>
          <w:w w:val="107"/>
          <w:sz w:val="24"/>
          <w:szCs w:val="24"/>
        </w:rPr>
        <w:t xml:space="preserve"> which represented the overcharges incurred </w:t>
      </w:r>
      <w:r w:rsidR="00A65F86" w:rsidRPr="005E390C">
        <w:rPr>
          <w:color w:val="000000"/>
          <w:w w:val="107"/>
          <w:sz w:val="24"/>
          <w:szCs w:val="24"/>
        </w:rPr>
        <w:lastRenderedPageBreak/>
        <w:t xml:space="preserve">from 2010 to </w:t>
      </w:r>
      <w:r w:rsidR="00553D57">
        <w:rPr>
          <w:color w:val="000000"/>
          <w:w w:val="107"/>
          <w:sz w:val="24"/>
          <w:szCs w:val="24"/>
        </w:rPr>
        <w:t xml:space="preserve">when the meter twist was discovered in </w:t>
      </w:r>
      <w:r w:rsidR="00A65F86" w:rsidRPr="005E390C">
        <w:rPr>
          <w:color w:val="000000"/>
          <w:w w:val="107"/>
          <w:sz w:val="24"/>
          <w:szCs w:val="24"/>
        </w:rPr>
        <w:t>2015</w:t>
      </w:r>
      <w:r w:rsidR="00553D57">
        <w:rPr>
          <w:color w:val="000000"/>
          <w:w w:val="107"/>
          <w:sz w:val="24"/>
          <w:szCs w:val="24"/>
        </w:rPr>
        <w:t>,</w:t>
      </w:r>
      <w:r w:rsidR="00A65F86" w:rsidRPr="005E390C">
        <w:rPr>
          <w:color w:val="000000"/>
          <w:w w:val="107"/>
          <w:sz w:val="24"/>
          <w:szCs w:val="24"/>
        </w:rPr>
        <w:t xml:space="preserve"> but </w:t>
      </w:r>
      <w:r w:rsidR="00553D57">
        <w:rPr>
          <w:color w:val="000000"/>
          <w:w w:val="107"/>
          <w:sz w:val="24"/>
          <w:szCs w:val="24"/>
        </w:rPr>
        <w:t xml:space="preserve">Respondent </w:t>
      </w:r>
      <w:r w:rsidR="00A65F86" w:rsidRPr="005E390C">
        <w:rPr>
          <w:color w:val="000000"/>
          <w:w w:val="107"/>
          <w:sz w:val="24"/>
          <w:szCs w:val="24"/>
        </w:rPr>
        <w:t xml:space="preserve">refused to reimburse her back to the date she bought the property.  </w:t>
      </w:r>
    </w:p>
    <w:p w:rsidR="005D0A75" w:rsidRDefault="005D0A75" w:rsidP="00C26A28">
      <w:pPr>
        <w:widowControl w:val="0"/>
        <w:autoSpaceDE w:val="0"/>
        <w:autoSpaceDN w:val="0"/>
        <w:adjustRightInd w:val="0"/>
        <w:spacing w:line="360" w:lineRule="auto"/>
        <w:ind w:firstLine="1440"/>
        <w:rPr>
          <w:color w:val="000000"/>
          <w:w w:val="107"/>
          <w:sz w:val="24"/>
          <w:szCs w:val="24"/>
        </w:rPr>
      </w:pPr>
    </w:p>
    <w:p w:rsidR="004F5AC1" w:rsidRDefault="00960348"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June 1, 2016, Respondent filed an Answer in which DLC averred it reimbursed Complainant for the overcharges from 2015 back to 2010 but </w:t>
      </w:r>
      <w:r w:rsidR="00A65F86">
        <w:rPr>
          <w:color w:val="000000"/>
          <w:w w:val="107"/>
          <w:sz w:val="24"/>
          <w:szCs w:val="24"/>
        </w:rPr>
        <w:t xml:space="preserve">was prevented from paying her any additional overcharges occurring before 2010 pursuant to 66 </w:t>
      </w:r>
      <w:proofErr w:type="spellStart"/>
      <w:r w:rsidR="00A65F86">
        <w:rPr>
          <w:color w:val="000000"/>
          <w:w w:val="107"/>
          <w:sz w:val="24"/>
          <w:szCs w:val="24"/>
        </w:rPr>
        <w:t>Pa.C.S.A</w:t>
      </w:r>
      <w:proofErr w:type="spellEnd"/>
      <w:r w:rsidR="00A65F86">
        <w:rPr>
          <w:color w:val="000000"/>
          <w:w w:val="107"/>
          <w:sz w:val="24"/>
          <w:szCs w:val="24"/>
        </w:rPr>
        <w:t>. § 1312.</w:t>
      </w:r>
    </w:p>
    <w:p w:rsidR="00A65F86" w:rsidRDefault="00A65F86" w:rsidP="00C26A28">
      <w:pPr>
        <w:widowControl w:val="0"/>
        <w:autoSpaceDE w:val="0"/>
        <w:autoSpaceDN w:val="0"/>
        <w:adjustRightInd w:val="0"/>
        <w:spacing w:line="360" w:lineRule="auto"/>
        <w:ind w:firstLine="1440"/>
        <w:rPr>
          <w:color w:val="000000"/>
          <w:w w:val="107"/>
          <w:sz w:val="24"/>
          <w:szCs w:val="24"/>
        </w:rPr>
      </w:pPr>
    </w:p>
    <w:p w:rsidR="00A65F86" w:rsidRPr="004F5AC1" w:rsidRDefault="00A65F86" w:rsidP="00C26A28">
      <w:pPr>
        <w:widowControl w:val="0"/>
        <w:autoSpaceDE w:val="0"/>
        <w:autoSpaceDN w:val="0"/>
        <w:adjustRightInd w:val="0"/>
        <w:spacing w:line="360" w:lineRule="auto"/>
        <w:ind w:firstLine="1440"/>
        <w:rPr>
          <w:color w:val="000000"/>
          <w:w w:val="107"/>
          <w:sz w:val="24"/>
          <w:szCs w:val="24"/>
        </w:rPr>
      </w:pPr>
      <w:r>
        <w:rPr>
          <w:color w:val="000000"/>
          <w:w w:val="107"/>
          <w:sz w:val="24"/>
          <w:szCs w:val="24"/>
        </w:rPr>
        <w:t>On June 1, 2016, Respondent also filed Preliminary Objections against Complainant and sought dismissal of the entire formal complaint</w:t>
      </w:r>
      <w:r w:rsidR="00251F27">
        <w:rPr>
          <w:color w:val="000000"/>
          <w:w w:val="107"/>
          <w:sz w:val="24"/>
          <w:szCs w:val="24"/>
        </w:rPr>
        <w:t xml:space="preserve">.  Citing to 52 </w:t>
      </w:r>
      <w:proofErr w:type="spellStart"/>
      <w:r w:rsidR="00251F27">
        <w:rPr>
          <w:color w:val="000000"/>
          <w:w w:val="107"/>
          <w:sz w:val="24"/>
          <w:szCs w:val="24"/>
        </w:rPr>
        <w:t>Pa.Code</w:t>
      </w:r>
      <w:proofErr w:type="spellEnd"/>
      <w:r w:rsidR="00251F27">
        <w:rPr>
          <w:color w:val="000000"/>
          <w:w w:val="107"/>
          <w:sz w:val="24"/>
          <w:szCs w:val="24"/>
        </w:rPr>
        <w:t xml:space="preserve"> §</w:t>
      </w:r>
      <w:r w:rsidR="00D87EA0">
        <w:rPr>
          <w:color w:val="000000"/>
          <w:w w:val="107"/>
          <w:sz w:val="24"/>
          <w:szCs w:val="24"/>
        </w:rPr>
        <w:t> </w:t>
      </w:r>
      <w:r w:rsidR="00251F27">
        <w:rPr>
          <w:color w:val="000000"/>
          <w:w w:val="107"/>
          <w:sz w:val="24"/>
          <w:szCs w:val="24"/>
        </w:rPr>
        <w:t>5.101(a)(2), Respondent averred</w:t>
      </w:r>
      <w:r>
        <w:rPr>
          <w:color w:val="000000"/>
          <w:w w:val="107"/>
          <w:sz w:val="24"/>
          <w:szCs w:val="24"/>
        </w:rPr>
        <w:t xml:space="preserve"> </w:t>
      </w:r>
      <w:r w:rsidR="00251F27">
        <w:rPr>
          <w:color w:val="000000"/>
          <w:w w:val="107"/>
          <w:sz w:val="24"/>
          <w:szCs w:val="24"/>
        </w:rPr>
        <w:t xml:space="preserve">Complainant’s request for relief is impertinent and seeks a remedy beyond the scope of remedies the Commission is empowered to grant.  In addition, Respondent cited to 66 </w:t>
      </w:r>
      <w:proofErr w:type="spellStart"/>
      <w:r w:rsidR="00251F27">
        <w:rPr>
          <w:color w:val="000000"/>
          <w:w w:val="107"/>
          <w:sz w:val="24"/>
          <w:szCs w:val="24"/>
        </w:rPr>
        <w:t>Pa.C.S.A</w:t>
      </w:r>
      <w:proofErr w:type="spellEnd"/>
      <w:r w:rsidR="00251F27">
        <w:rPr>
          <w:color w:val="000000"/>
          <w:w w:val="107"/>
          <w:sz w:val="24"/>
          <w:szCs w:val="24"/>
        </w:rPr>
        <w:t>. § 1312 and averred this statute limits the Commission’s power to order refunds up to but not extending farther back than four years prior to the date of the filing of the complaint.</w:t>
      </w:r>
    </w:p>
    <w:p w:rsidR="00A65F86" w:rsidRDefault="00A65F86" w:rsidP="00F85F4C">
      <w:pPr>
        <w:widowControl w:val="0"/>
        <w:autoSpaceDE w:val="0"/>
        <w:autoSpaceDN w:val="0"/>
        <w:adjustRightInd w:val="0"/>
        <w:spacing w:line="360" w:lineRule="auto"/>
        <w:ind w:firstLine="1440"/>
        <w:rPr>
          <w:color w:val="000000"/>
          <w:w w:val="107"/>
          <w:sz w:val="24"/>
          <w:szCs w:val="24"/>
        </w:rPr>
      </w:pPr>
    </w:p>
    <w:p w:rsidR="000644EB" w:rsidRDefault="00C26A28" w:rsidP="001E0B1B">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Complainant </w:t>
      </w:r>
      <w:r w:rsidR="00625269">
        <w:rPr>
          <w:color w:val="000000"/>
          <w:w w:val="107"/>
          <w:sz w:val="24"/>
          <w:szCs w:val="24"/>
        </w:rPr>
        <w:t>did</w:t>
      </w:r>
      <w:r>
        <w:rPr>
          <w:color w:val="000000"/>
          <w:w w:val="107"/>
          <w:sz w:val="24"/>
          <w:szCs w:val="24"/>
        </w:rPr>
        <w:t xml:space="preserve"> not respond to </w:t>
      </w:r>
      <w:r w:rsidR="002607B3">
        <w:rPr>
          <w:color w:val="000000"/>
          <w:w w:val="107"/>
          <w:sz w:val="24"/>
          <w:szCs w:val="24"/>
        </w:rPr>
        <w:t>DLC’s</w:t>
      </w:r>
      <w:r>
        <w:rPr>
          <w:color w:val="000000"/>
          <w:w w:val="107"/>
          <w:sz w:val="24"/>
          <w:szCs w:val="24"/>
        </w:rPr>
        <w:t xml:space="preserve"> Preliminary Objections</w:t>
      </w:r>
      <w:r w:rsidR="00625269">
        <w:rPr>
          <w:color w:val="000000"/>
          <w:w w:val="107"/>
          <w:sz w:val="24"/>
          <w:szCs w:val="24"/>
        </w:rPr>
        <w:t xml:space="preserve"> and t</w:t>
      </w:r>
      <w:r>
        <w:rPr>
          <w:color w:val="000000"/>
          <w:w w:val="107"/>
          <w:sz w:val="24"/>
          <w:szCs w:val="24"/>
        </w:rPr>
        <w:t xml:space="preserve">his matter was assigned to the presiding officer on </w:t>
      </w:r>
      <w:r w:rsidR="00251F27">
        <w:rPr>
          <w:color w:val="000000"/>
          <w:w w:val="107"/>
          <w:sz w:val="24"/>
          <w:szCs w:val="24"/>
        </w:rPr>
        <w:t>July 13</w:t>
      </w:r>
      <w:r w:rsidR="006C4D18">
        <w:rPr>
          <w:color w:val="000000"/>
          <w:w w:val="107"/>
          <w:sz w:val="24"/>
          <w:szCs w:val="24"/>
        </w:rPr>
        <w:t>, 2016</w:t>
      </w:r>
      <w:r w:rsidR="00625269">
        <w:rPr>
          <w:color w:val="000000"/>
          <w:w w:val="107"/>
          <w:sz w:val="24"/>
          <w:szCs w:val="24"/>
        </w:rPr>
        <w:t>.  This matter is now</w:t>
      </w:r>
      <w:r>
        <w:rPr>
          <w:color w:val="000000"/>
          <w:w w:val="107"/>
          <w:sz w:val="24"/>
          <w:szCs w:val="24"/>
        </w:rPr>
        <w:t xml:space="preserve"> ripe for a final disposition on </w:t>
      </w:r>
      <w:r w:rsidR="002607B3">
        <w:rPr>
          <w:color w:val="000000"/>
          <w:w w:val="107"/>
          <w:sz w:val="24"/>
          <w:szCs w:val="24"/>
        </w:rPr>
        <w:t>Respondent’s</w:t>
      </w:r>
      <w:r>
        <w:rPr>
          <w:color w:val="000000"/>
          <w:w w:val="107"/>
          <w:sz w:val="24"/>
          <w:szCs w:val="24"/>
        </w:rPr>
        <w:t xml:space="preserve"> Preliminary Objections.</w:t>
      </w:r>
      <w:r w:rsidR="000644EB">
        <w:rPr>
          <w:color w:val="000000"/>
          <w:w w:val="107"/>
          <w:sz w:val="24"/>
          <w:szCs w:val="24"/>
        </w:rPr>
        <w:t xml:space="preserve">  </w:t>
      </w:r>
    </w:p>
    <w:p w:rsidR="002C7906" w:rsidRPr="00C95355" w:rsidRDefault="002C7906" w:rsidP="002C7906">
      <w:pPr>
        <w:pStyle w:val="ParaTab1"/>
        <w:tabs>
          <w:tab w:val="num" w:pos="0"/>
          <w:tab w:val="left" w:pos="2160"/>
        </w:tabs>
        <w:spacing w:line="360" w:lineRule="auto"/>
        <w:rPr>
          <w:rFonts w:ascii="Times New Roman" w:hAnsi="Times New Roman" w:cs="Times New Roman"/>
          <w:spacing w:val="-3"/>
        </w:rPr>
      </w:pPr>
    </w:p>
    <w:p w:rsidR="002C7906" w:rsidRPr="00FD1777" w:rsidRDefault="002C7906" w:rsidP="002C7906">
      <w:pPr>
        <w:spacing w:line="360" w:lineRule="auto"/>
        <w:jc w:val="center"/>
        <w:rPr>
          <w:sz w:val="24"/>
          <w:szCs w:val="24"/>
          <w:u w:val="single"/>
        </w:rPr>
      </w:pPr>
      <w:r w:rsidRPr="00FD1777">
        <w:rPr>
          <w:sz w:val="24"/>
          <w:szCs w:val="24"/>
          <w:u w:val="single"/>
        </w:rPr>
        <w:t>FINDINGS OF FACT</w:t>
      </w:r>
    </w:p>
    <w:p w:rsidR="002C7906" w:rsidRPr="00C95355" w:rsidRDefault="002C7906" w:rsidP="002C7906">
      <w:pPr>
        <w:pStyle w:val="ListParagraph"/>
        <w:spacing w:line="360" w:lineRule="auto"/>
        <w:ind w:left="0"/>
        <w:contextualSpacing w:val="0"/>
      </w:pPr>
    </w:p>
    <w:p w:rsidR="002C7906" w:rsidRPr="00C95355" w:rsidRDefault="002C7906" w:rsidP="002C7906">
      <w:pPr>
        <w:pStyle w:val="ListParagraph"/>
        <w:numPr>
          <w:ilvl w:val="0"/>
          <w:numId w:val="10"/>
        </w:numPr>
        <w:spacing w:line="360" w:lineRule="auto"/>
        <w:ind w:left="0" w:firstLine="1440"/>
      </w:pPr>
      <w:r>
        <w:t>C</w:t>
      </w:r>
      <w:r w:rsidRPr="00C95355">
        <w:t xml:space="preserve">omplainant </w:t>
      </w:r>
      <w:r>
        <w:t xml:space="preserve">is Cynthia </w:t>
      </w:r>
      <w:proofErr w:type="spellStart"/>
      <w:r>
        <w:t>Cawley</w:t>
      </w:r>
      <w:proofErr w:type="spellEnd"/>
      <w:r w:rsidRPr="00C95355">
        <w:t>.</w:t>
      </w:r>
    </w:p>
    <w:p w:rsidR="002C7906" w:rsidRPr="00C95355" w:rsidRDefault="002C7906" w:rsidP="002C7906">
      <w:pPr>
        <w:pStyle w:val="ListParagraph"/>
        <w:spacing w:line="360" w:lineRule="auto"/>
        <w:ind w:left="1440"/>
      </w:pPr>
    </w:p>
    <w:p w:rsidR="002C7906" w:rsidRPr="006723B9" w:rsidRDefault="002C7906" w:rsidP="002C7906">
      <w:pPr>
        <w:pStyle w:val="ListParagraph"/>
        <w:numPr>
          <w:ilvl w:val="0"/>
          <w:numId w:val="10"/>
        </w:numPr>
        <w:spacing w:line="360" w:lineRule="auto"/>
        <w:ind w:left="0" w:firstLine="1440"/>
      </w:pPr>
      <w:r>
        <w:rPr>
          <w:spacing w:val="-3"/>
        </w:rPr>
        <w:t>Respondent is Duquesne Light</w:t>
      </w:r>
      <w:r w:rsidRPr="00C95355">
        <w:rPr>
          <w:spacing w:val="-3"/>
        </w:rPr>
        <w:t xml:space="preserve"> Company.</w:t>
      </w:r>
    </w:p>
    <w:p w:rsidR="002C7906" w:rsidRDefault="002C7906" w:rsidP="00163436">
      <w:pPr>
        <w:pStyle w:val="ListParagraph"/>
        <w:spacing w:line="360" w:lineRule="auto"/>
      </w:pPr>
    </w:p>
    <w:p w:rsidR="002C7906" w:rsidRPr="00C95355" w:rsidRDefault="002C7906" w:rsidP="002C7906">
      <w:pPr>
        <w:pStyle w:val="ListParagraph"/>
        <w:numPr>
          <w:ilvl w:val="0"/>
          <w:numId w:val="10"/>
        </w:numPr>
        <w:spacing w:line="360" w:lineRule="auto"/>
        <w:ind w:left="0" w:firstLine="1440"/>
      </w:pPr>
      <w:r>
        <w:t>Complainant listed the service address on the formal complaint as 2018</w:t>
      </w:r>
      <w:r w:rsidR="00787442">
        <w:t> </w:t>
      </w:r>
      <w:bookmarkStart w:id="0" w:name="_GoBack"/>
      <w:bookmarkEnd w:id="0"/>
      <w:r>
        <w:t>Duncan Avenue, Pittsburgh, Pennsylvania 15236.</w:t>
      </w:r>
    </w:p>
    <w:p w:rsidR="002C7906" w:rsidRPr="00C95355" w:rsidRDefault="002C7906" w:rsidP="002C7906">
      <w:pPr>
        <w:pStyle w:val="ListParagraph"/>
      </w:pPr>
    </w:p>
    <w:p w:rsidR="002C7906" w:rsidRPr="00C95355" w:rsidRDefault="002C7906" w:rsidP="002C7906">
      <w:pPr>
        <w:pStyle w:val="ListParagraph"/>
        <w:numPr>
          <w:ilvl w:val="0"/>
          <w:numId w:val="10"/>
        </w:numPr>
        <w:spacing w:line="360" w:lineRule="auto"/>
        <w:ind w:left="0" w:firstLine="1440"/>
      </w:pPr>
      <w:r w:rsidRPr="00C95355">
        <w:lastRenderedPageBreak/>
        <w:t xml:space="preserve">On </w:t>
      </w:r>
      <w:r>
        <w:t>April 21, 2016</w:t>
      </w:r>
      <w:r w:rsidRPr="00C95355">
        <w:t xml:space="preserve">, </w:t>
      </w:r>
      <w:r>
        <w:t>Complainant filed a formal c</w:t>
      </w:r>
      <w:r w:rsidRPr="00C95355">
        <w:t xml:space="preserve">omplaint with the Commission against </w:t>
      </w:r>
      <w:r>
        <w:t>Duquesne Light.  C</w:t>
      </w:r>
      <w:r w:rsidRPr="00C95355">
        <w:t xml:space="preserve">omplainant </w:t>
      </w:r>
      <w:r>
        <w:t xml:space="preserve">alleged no violation of any Commission statute or regulation and admitted Duquesne Light paid her for overcharges due to a meter mix at the service address from date of discovery in 2015 until 2010.  Complainant </w:t>
      </w:r>
      <w:r w:rsidRPr="00C95355">
        <w:t xml:space="preserve">requested the Commission </w:t>
      </w:r>
      <w:r>
        <w:t>order Duquesne Light to pay her for overcharges paid from 2010 back to the date of the home’s construction in 2000.</w:t>
      </w:r>
    </w:p>
    <w:p w:rsidR="002C7906" w:rsidRPr="00C95355" w:rsidRDefault="002C7906" w:rsidP="00163436">
      <w:pPr>
        <w:pStyle w:val="ListParagraph"/>
        <w:spacing w:line="360" w:lineRule="auto"/>
      </w:pPr>
    </w:p>
    <w:p w:rsidR="002C7906" w:rsidRPr="00C95355" w:rsidRDefault="002C7906" w:rsidP="002C7906">
      <w:pPr>
        <w:pStyle w:val="ListParagraph"/>
        <w:numPr>
          <w:ilvl w:val="0"/>
          <w:numId w:val="10"/>
        </w:numPr>
        <w:spacing w:line="360" w:lineRule="auto"/>
        <w:ind w:left="0" w:firstLine="1440"/>
      </w:pPr>
      <w:r w:rsidRPr="00C95355">
        <w:t xml:space="preserve">On </w:t>
      </w:r>
      <w:r>
        <w:t>June 1, 2016</w:t>
      </w:r>
      <w:r w:rsidRPr="00C95355">
        <w:t xml:space="preserve">, </w:t>
      </w:r>
      <w:r>
        <w:t xml:space="preserve">Duquesne Light filed </w:t>
      </w:r>
      <w:r w:rsidRPr="00C95355">
        <w:t>an Answer.</w:t>
      </w:r>
    </w:p>
    <w:p w:rsidR="002C7906" w:rsidRPr="00C95355" w:rsidRDefault="002C7906" w:rsidP="00163436">
      <w:pPr>
        <w:pStyle w:val="ListParagraph"/>
        <w:spacing w:line="360" w:lineRule="auto"/>
      </w:pPr>
    </w:p>
    <w:p w:rsidR="002C7906" w:rsidRPr="00C95355" w:rsidRDefault="002C7906" w:rsidP="002C7906">
      <w:pPr>
        <w:pStyle w:val="ListParagraph"/>
        <w:numPr>
          <w:ilvl w:val="0"/>
          <w:numId w:val="10"/>
        </w:numPr>
        <w:spacing w:line="360" w:lineRule="auto"/>
        <w:ind w:left="0" w:firstLine="1440"/>
      </w:pPr>
      <w:r w:rsidRPr="00C95355">
        <w:t xml:space="preserve">Also on </w:t>
      </w:r>
      <w:r>
        <w:t>June 1, 2016</w:t>
      </w:r>
      <w:r w:rsidRPr="00C95355">
        <w:t xml:space="preserve">, </w:t>
      </w:r>
      <w:r>
        <w:t>Duquesne Light</w:t>
      </w:r>
      <w:r w:rsidRPr="00C95355">
        <w:t xml:space="preserve"> filed Preliminary Objections</w:t>
      </w:r>
      <w:r>
        <w:t xml:space="preserve"> with a Notice to Plead</w:t>
      </w:r>
      <w:r w:rsidRPr="00C95355">
        <w:t>.</w:t>
      </w:r>
    </w:p>
    <w:p w:rsidR="002C7906" w:rsidRPr="00C95355" w:rsidRDefault="002C7906" w:rsidP="00163436">
      <w:pPr>
        <w:pStyle w:val="ListParagraph"/>
        <w:spacing w:line="360" w:lineRule="auto"/>
      </w:pPr>
    </w:p>
    <w:p w:rsidR="002C7906" w:rsidRPr="00C95355" w:rsidRDefault="002C7906" w:rsidP="002C7906">
      <w:pPr>
        <w:pStyle w:val="ListParagraph"/>
        <w:numPr>
          <w:ilvl w:val="0"/>
          <w:numId w:val="10"/>
        </w:numPr>
        <w:spacing w:line="360" w:lineRule="auto"/>
        <w:ind w:left="0" w:firstLine="1440"/>
      </w:pPr>
      <w:r>
        <w:t>C</w:t>
      </w:r>
      <w:r w:rsidRPr="00C95355">
        <w:t>omplainant did not file</w:t>
      </w:r>
      <w:r>
        <w:t xml:space="preserve"> an </w:t>
      </w:r>
      <w:r w:rsidRPr="00C95355">
        <w:t xml:space="preserve">answer to </w:t>
      </w:r>
      <w:r>
        <w:t>Duquesne Light’s</w:t>
      </w:r>
      <w:r w:rsidRPr="00C95355">
        <w:t xml:space="preserve"> Preliminary Objections.  </w:t>
      </w:r>
    </w:p>
    <w:p w:rsidR="002C7906" w:rsidRPr="00C95355" w:rsidRDefault="002C7906" w:rsidP="002C7906">
      <w:pPr>
        <w:pStyle w:val="ListParagraph"/>
        <w:spacing w:line="360" w:lineRule="auto"/>
        <w:contextualSpacing w:val="0"/>
      </w:pPr>
    </w:p>
    <w:p w:rsidR="00FA1765" w:rsidRPr="008057D1" w:rsidRDefault="00FA1765" w:rsidP="00B43579">
      <w:pPr>
        <w:spacing w:line="360" w:lineRule="auto"/>
        <w:jc w:val="center"/>
        <w:rPr>
          <w:sz w:val="24"/>
          <w:szCs w:val="24"/>
          <w:u w:val="single"/>
        </w:rPr>
      </w:pPr>
      <w:r w:rsidRPr="008057D1">
        <w:rPr>
          <w:sz w:val="24"/>
          <w:szCs w:val="24"/>
          <w:u w:val="single"/>
        </w:rPr>
        <w:t>DISCUSSION</w:t>
      </w:r>
    </w:p>
    <w:p w:rsidR="00FA1765" w:rsidRDefault="00FA1765" w:rsidP="00B43579">
      <w:pPr>
        <w:spacing w:line="360" w:lineRule="auto"/>
        <w:rPr>
          <w:sz w:val="24"/>
          <w:szCs w:val="24"/>
        </w:rPr>
      </w:pPr>
    </w:p>
    <w:p w:rsidR="003E6752" w:rsidRDefault="002C7906" w:rsidP="003E6752">
      <w:pPr>
        <w:spacing w:line="360" w:lineRule="auto"/>
        <w:rPr>
          <w:sz w:val="24"/>
          <w:szCs w:val="24"/>
        </w:rPr>
      </w:pPr>
      <w:r>
        <w:tab/>
      </w:r>
      <w:r>
        <w:tab/>
      </w:r>
      <w:r w:rsidR="00B43579" w:rsidRPr="00B43579">
        <w:rPr>
          <w:sz w:val="24"/>
          <w:szCs w:val="24"/>
        </w:rPr>
        <w:t xml:space="preserve">The Commission’s Rules of Administrative Practice and Procedure permit the filing of Preliminary Motions.  52 </w:t>
      </w:r>
      <w:proofErr w:type="spellStart"/>
      <w:r w:rsidR="00B43579" w:rsidRPr="00B43579">
        <w:rPr>
          <w:sz w:val="24"/>
          <w:szCs w:val="24"/>
        </w:rPr>
        <w:t>Pa.Code</w:t>
      </w:r>
      <w:proofErr w:type="spellEnd"/>
      <w:r w:rsidR="00B43579" w:rsidRPr="00B43579">
        <w:rPr>
          <w:sz w:val="24"/>
          <w:szCs w:val="24"/>
        </w:rPr>
        <w:t xml:space="preserve"> §</w:t>
      </w:r>
      <w:r w:rsidR="00407B70">
        <w:rPr>
          <w:sz w:val="24"/>
          <w:szCs w:val="24"/>
        </w:rPr>
        <w:t xml:space="preserve"> </w:t>
      </w:r>
      <w:r w:rsidR="00B43579" w:rsidRPr="00B43579">
        <w:rPr>
          <w:sz w:val="24"/>
          <w:szCs w:val="24"/>
        </w:rPr>
        <w:t>5.101</w:t>
      </w:r>
      <w:r w:rsidR="00B43579">
        <w:rPr>
          <w:sz w:val="24"/>
          <w:szCs w:val="24"/>
        </w:rPr>
        <w:t xml:space="preserve"> and §</w:t>
      </w:r>
      <w:r w:rsidR="00407B70">
        <w:rPr>
          <w:sz w:val="24"/>
          <w:szCs w:val="24"/>
        </w:rPr>
        <w:t xml:space="preserve"> </w:t>
      </w:r>
      <w:r w:rsidR="00B43579" w:rsidRPr="00B43579">
        <w:rPr>
          <w:sz w:val="24"/>
          <w:szCs w:val="24"/>
        </w:rPr>
        <w:t>5.103.  Commission preliminary motion practice is similar to Pennsylvania civil practice respecting the filing of preliminary objections.</w:t>
      </w:r>
      <w:r w:rsidR="005D0C21" w:rsidRPr="003E68FB">
        <w:rPr>
          <w:rStyle w:val="FootnoteReference"/>
          <w:sz w:val="24"/>
          <w:szCs w:val="24"/>
          <w:vertAlign w:val="superscript"/>
        </w:rPr>
        <w:footnoteReference w:id="2"/>
      </w:r>
      <w:r w:rsidR="00B43579" w:rsidRPr="00B43579">
        <w:rPr>
          <w:sz w:val="24"/>
          <w:szCs w:val="24"/>
        </w:rPr>
        <w:t xml:space="preserve">  Commission regulations permit the filing of a preliminary motion questioning the jurisdiction of the Commission.</w:t>
      </w:r>
      <w:r w:rsidR="00163436" w:rsidRPr="00163436">
        <w:rPr>
          <w:rStyle w:val="FootnoteReference"/>
          <w:sz w:val="24"/>
          <w:szCs w:val="24"/>
          <w:vertAlign w:val="superscript"/>
        </w:rPr>
        <w:footnoteReference w:id="3"/>
      </w:r>
      <w:r w:rsidR="00B43579" w:rsidRPr="00B43579">
        <w:rPr>
          <w:sz w:val="24"/>
          <w:szCs w:val="24"/>
        </w:rPr>
        <w:t xml:space="preserve">  </w:t>
      </w:r>
      <w:r w:rsidR="003E6752" w:rsidRPr="002C7906">
        <w:rPr>
          <w:sz w:val="24"/>
          <w:szCs w:val="24"/>
        </w:rPr>
        <w:t xml:space="preserve">Specifically, Duquesne Light alleges it relies upon 52 </w:t>
      </w:r>
      <w:proofErr w:type="spellStart"/>
      <w:r w:rsidR="003E6752" w:rsidRPr="002C7906">
        <w:rPr>
          <w:sz w:val="24"/>
          <w:szCs w:val="24"/>
        </w:rPr>
        <w:t>Pa.Code</w:t>
      </w:r>
      <w:proofErr w:type="spellEnd"/>
      <w:r w:rsidR="003E6752" w:rsidRPr="002C7906">
        <w:rPr>
          <w:sz w:val="24"/>
          <w:szCs w:val="24"/>
        </w:rPr>
        <w:t xml:space="preserve"> § 5.101(a</w:t>
      </w:r>
      <w:proofErr w:type="gramStart"/>
      <w:r w:rsidR="003E6752" w:rsidRPr="002C7906">
        <w:rPr>
          <w:sz w:val="24"/>
          <w:szCs w:val="24"/>
        </w:rPr>
        <w:t>)(</w:t>
      </w:r>
      <w:proofErr w:type="gramEnd"/>
      <w:r w:rsidR="003E6752" w:rsidRPr="002C7906">
        <w:rPr>
          <w:sz w:val="24"/>
          <w:szCs w:val="24"/>
        </w:rPr>
        <w:t>2), which precludes the filing of a pleading which includes “scandalous or impertinent matter.”  Respondent avers Complainant’s prayer for relief is “impertinent”</w:t>
      </w:r>
      <w:r w:rsidR="00F74440" w:rsidRPr="00F74440">
        <w:rPr>
          <w:rStyle w:val="FootnoteReference"/>
          <w:sz w:val="24"/>
          <w:szCs w:val="24"/>
          <w:vertAlign w:val="superscript"/>
        </w:rPr>
        <w:footnoteReference w:id="4"/>
      </w:r>
      <w:r w:rsidR="003E6752" w:rsidRPr="002C7906">
        <w:rPr>
          <w:sz w:val="24"/>
          <w:szCs w:val="24"/>
        </w:rPr>
        <w:t xml:space="preserve"> because it exceeds </w:t>
      </w:r>
      <w:r w:rsidR="003E6752" w:rsidRPr="002C7906">
        <w:rPr>
          <w:sz w:val="24"/>
          <w:szCs w:val="24"/>
        </w:rPr>
        <w:lastRenderedPageBreak/>
        <w:t>the Commission’s powers,</w:t>
      </w:r>
      <w:r w:rsidR="00061984" w:rsidRPr="00061984">
        <w:rPr>
          <w:rStyle w:val="FootnoteReference"/>
          <w:sz w:val="24"/>
          <w:szCs w:val="24"/>
          <w:vertAlign w:val="superscript"/>
        </w:rPr>
        <w:footnoteReference w:id="5"/>
      </w:r>
      <w:r w:rsidR="003E6752" w:rsidRPr="00061984">
        <w:rPr>
          <w:sz w:val="24"/>
          <w:szCs w:val="24"/>
          <w:vertAlign w:val="superscript"/>
        </w:rPr>
        <w:t xml:space="preserve"> </w:t>
      </w:r>
      <w:r w:rsidR="003E6752" w:rsidRPr="002C7906">
        <w:rPr>
          <w:sz w:val="24"/>
          <w:szCs w:val="24"/>
        </w:rPr>
        <w:t xml:space="preserve">and therefore the prayer for relief should be stricken from the formal complaint.  Duquesne Light points out that the only relief sought by Complainant is this requested refund beyond the statute of limitations, and Complainant did not allege violation of any Commission statute or regulation.  </w:t>
      </w:r>
    </w:p>
    <w:p w:rsidR="00251F27" w:rsidRDefault="00251F27" w:rsidP="00B43579">
      <w:pPr>
        <w:spacing w:line="360" w:lineRule="auto"/>
        <w:rPr>
          <w:sz w:val="24"/>
          <w:szCs w:val="24"/>
        </w:rPr>
      </w:pPr>
    </w:p>
    <w:p w:rsidR="00E45375" w:rsidRDefault="00E45375" w:rsidP="00E45375">
      <w:pPr>
        <w:spacing w:line="360" w:lineRule="auto"/>
        <w:rPr>
          <w:sz w:val="24"/>
          <w:szCs w:val="24"/>
        </w:rPr>
      </w:pPr>
      <w:r>
        <w:rPr>
          <w:sz w:val="24"/>
          <w:szCs w:val="24"/>
        </w:rPr>
        <w:tab/>
      </w:r>
      <w:r>
        <w:rPr>
          <w:sz w:val="24"/>
          <w:szCs w:val="24"/>
        </w:rPr>
        <w:tab/>
      </w:r>
      <w:proofErr w:type="gramStart"/>
      <w:r w:rsidRPr="00273F16">
        <w:rPr>
          <w:sz w:val="24"/>
          <w:szCs w:val="24"/>
        </w:rPr>
        <w:t xml:space="preserve">Pursuant to Section 501 of the Code, 66 </w:t>
      </w:r>
      <w:proofErr w:type="spellStart"/>
      <w:r w:rsidRPr="00273F16">
        <w:rPr>
          <w:sz w:val="24"/>
          <w:szCs w:val="24"/>
        </w:rPr>
        <w:t>Pa.C.S.</w:t>
      </w:r>
      <w:r w:rsidR="007F420E">
        <w:rPr>
          <w:sz w:val="24"/>
          <w:szCs w:val="24"/>
        </w:rPr>
        <w:t>A</w:t>
      </w:r>
      <w:proofErr w:type="spellEnd"/>
      <w:r w:rsidR="007F420E">
        <w:rPr>
          <w:sz w:val="24"/>
          <w:szCs w:val="24"/>
        </w:rPr>
        <w:t>.</w:t>
      </w:r>
      <w:proofErr w:type="gramEnd"/>
      <w:r w:rsidRPr="00273F16">
        <w:rPr>
          <w:sz w:val="24"/>
          <w:szCs w:val="24"/>
        </w:rPr>
        <w:t xml:space="preserve"> §</w:t>
      </w:r>
      <w:r w:rsidR="009A33F9">
        <w:rPr>
          <w:sz w:val="24"/>
          <w:szCs w:val="24"/>
        </w:rPr>
        <w:t xml:space="preserve"> </w:t>
      </w:r>
      <w:r w:rsidRPr="00273F16">
        <w:rPr>
          <w:sz w:val="24"/>
          <w:szCs w:val="24"/>
        </w:rPr>
        <w:t xml:space="preserve">501, the Commission must “enforce, execute and carry out, by its regulations, orders or otherwise” all the provisions of the Code.  Section 701 of the Code, </w:t>
      </w:r>
      <w:proofErr w:type="gramStart"/>
      <w:r w:rsidRPr="00273F16">
        <w:rPr>
          <w:sz w:val="24"/>
          <w:szCs w:val="24"/>
        </w:rPr>
        <w:t xml:space="preserve">66 </w:t>
      </w:r>
      <w:proofErr w:type="spellStart"/>
      <w:r w:rsidRPr="00273F16">
        <w:rPr>
          <w:sz w:val="24"/>
          <w:szCs w:val="24"/>
        </w:rPr>
        <w:t>Pa.C.S.</w:t>
      </w:r>
      <w:r w:rsidR="007F420E">
        <w:rPr>
          <w:sz w:val="24"/>
          <w:szCs w:val="24"/>
        </w:rPr>
        <w:t>A</w:t>
      </w:r>
      <w:proofErr w:type="spellEnd"/>
      <w:proofErr w:type="gramEnd"/>
      <w:r w:rsidR="007F420E">
        <w:rPr>
          <w:sz w:val="24"/>
          <w:szCs w:val="24"/>
        </w:rPr>
        <w:t>.</w:t>
      </w:r>
      <w:r w:rsidRPr="00273F16">
        <w:rPr>
          <w:sz w:val="24"/>
          <w:szCs w:val="24"/>
        </w:rPr>
        <w:t xml:space="preserve"> §</w:t>
      </w:r>
      <w:r w:rsidR="009A33F9">
        <w:rPr>
          <w:sz w:val="24"/>
          <w:szCs w:val="24"/>
        </w:rPr>
        <w:t xml:space="preserve"> </w:t>
      </w:r>
      <w:r w:rsidRPr="00273F16">
        <w:rPr>
          <w:sz w:val="24"/>
          <w:szCs w:val="24"/>
        </w:rPr>
        <w:t>701, allows any person, having an interest in the subject matter, to file a formal complaint in writing with the Commission setting forth any act or thing done or omitted to be done by any public utility in violation, or claimed violation, of any law which the Commission has jurisdiction to administer.</w:t>
      </w:r>
      <w:r w:rsidR="00235A85" w:rsidRPr="00AF65B7">
        <w:rPr>
          <w:rStyle w:val="FootnoteReference"/>
          <w:sz w:val="24"/>
          <w:szCs w:val="24"/>
          <w:vertAlign w:val="superscript"/>
        </w:rPr>
        <w:footnoteReference w:id="6"/>
      </w:r>
      <w:r w:rsidRPr="00AF65B7">
        <w:rPr>
          <w:sz w:val="24"/>
          <w:szCs w:val="24"/>
          <w:vertAlign w:val="superscript"/>
        </w:rPr>
        <w:t xml:space="preserve"> </w:t>
      </w:r>
      <w:r w:rsidRPr="00273F16">
        <w:rPr>
          <w:sz w:val="24"/>
          <w:szCs w:val="24"/>
        </w:rPr>
        <w:t xml:space="preserve"> </w:t>
      </w:r>
      <w:r>
        <w:rPr>
          <w:sz w:val="24"/>
          <w:szCs w:val="24"/>
        </w:rPr>
        <w:t xml:space="preserve">  </w:t>
      </w:r>
    </w:p>
    <w:p w:rsidR="00E45375" w:rsidRPr="00B43579" w:rsidRDefault="00E45375" w:rsidP="00B43579">
      <w:pPr>
        <w:spacing w:line="360" w:lineRule="auto"/>
        <w:rPr>
          <w:sz w:val="24"/>
          <w:szCs w:val="24"/>
        </w:rPr>
      </w:pPr>
    </w:p>
    <w:p w:rsidR="00251F27" w:rsidRDefault="00B43579" w:rsidP="009326A5">
      <w:pPr>
        <w:spacing w:line="360" w:lineRule="auto"/>
        <w:rPr>
          <w:sz w:val="24"/>
          <w:szCs w:val="24"/>
        </w:rPr>
      </w:pPr>
      <w:r w:rsidRPr="00B43579">
        <w:rPr>
          <w:sz w:val="24"/>
          <w:szCs w:val="24"/>
        </w:rPr>
        <w:tab/>
      </w:r>
      <w:r w:rsidRPr="00B43579">
        <w:rPr>
          <w:sz w:val="24"/>
          <w:szCs w:val="24"/>
        </w:rPr>
        <w:tab/>
        <w:t xml:space="preserve">The Commission may “dismiss any complaint without a hearing if, in its opinion, a hearing is not necessary in the public </w:t>
      </w:r>
      <w:r>
        <w:rPr>
          <w:sz w:val="24"/>
          <w:szCs w:val="24"/>
        </w:rPr>
        <w:t xml:space="preserve">interest.”  </w:t>
      </w:r>
      <w:proofErr w:type="gramStart"/>
      <w:r>
        <w:rPr>
          <w:sz w:val="24"/>
          <w:szCs w:val="24"/>
        </w:rPr>
        <w:t xml:space="preserve">66 </w:t>
      </w:r>
      <w:proofErr w:type="spellStart"/>
      <w:r>
        <w:rPr>
          <w:sz w:val="24"/>
          <w:szCs w:val="24"/>
        </w:rPr>
        <w:t>Pa.C.S.</w:t>
      </w:r>
      <w:r w:rsidR="00E06C43">
        <w:rPr>
          <w:sz w:val="24"/>
          <w:szCs w:val="24"/>
        </w:rPr>
        <w:t>A</w:t>
      </w:r>
      <w:proofErr w:type="spellEnd"/>
      <w:r w:rsidR="00E06C43">
        <w:rPr>
          <w:sz w:val="24"/>
          <w:szCs w:val="24"/>
        </w:rPr>
        <w:t>.</w:t>
      </w:r>
      <w:proofErr w:type="gramEnd"/>
      <w:r>
        <w:rPr>
          <w:sz w:val="24"/>
          <w:szCs w:val="24"/>
        </w:rPr>
        <w:t xml:space="preserve"> §</w:t>
      </w:r>
      <w:r w:rsidR="0088567A">
        <w:rPr>
          <w:sz w:val="24"/>
          <w:szCs w:val="24"/>
        </w:rPr>
        <w:t xml:space="preserve"> </w:t>
      </w:r>
      <w:r>
        <w:rPr>
          <w:sz w:val="24"/>
          <w:szCs w:val="24"/>
        </w:rPr>
        <w:t xml:space="preserve">703(b); </w:t>
      </w:r>
      <w:r w:rsidR="009326A5">
        <w:rPr>
          <w:sz w:val="24"/>
          <w:szCs w:val="24"/>
        </w:rPr>
        <w:t xml:space="preserve">52 </w:t>
      </w:r>
      <w:proofErr w:type="spellStart"/>
      <w:r w:rsidR="009326A5">
        <w:rPr>
          <w:sz w:val="24"/>
          <w:szCs w:val="24"/>
        </w:rPr>
        <w:t>Pa.Code</w:t>
      </w:r>
      <w:proofErr w:type="spellEnd"/>
      <w:r w:rsidR="009326A5">
        <w:rPr>
          <w:sz w:val="24"/>
          <w:szCs w:val="24"/>
        </w:rPr>
        <w:t xml:space="preserve"> §</w:t>
      </w:r>
      <w:r w:rsidR="0088567A">
        <w:rPr>
          <w:sz w:val="24"/>
          <w:szCs w:val="24"/>
        </w:rPr>
        <w:t xml:space="preserve"> </w:t>
      </w:r>
      <w:r w:rsidR="009326A5">
        <w:rPr>
          <w:sz w:val="24"/>
          <w:szCs w:val="24"/>
        </w:rPr>
        <w:t xml:space="preserve">5.21(d).  </w:t>
      </w:r>
      <w:r w:rsidRPr="00B43579">
        <w:rPr>
          <w:sz w:val="24"/>
          <w:szCs w:val="24"/>
        </w:rPr>
        <w:t>Dismissing a complaint without a hearing is appropriate and in the public interest when there are no genuine questions of material fact</w:t>
      </w:r>
      <w:r w:rsidR="00E90C7C">
        <w:rPr>
          <w:sz w:val="24"/>
          <w:szCs w:val="24"/>
        </w:rPr>
        <w:t>,</w:t>
      </w:r>
      <w:r w:rsidRPr="00B43579">
        <w:rPr>
          <w:sz w:val="24"/>
          <w:szCs w:val="24"/>
        </w:rPr>
        <w:t xml:space="preserve"> and Respondent is entitled to judgment as a matter of law.</w:t>
      </w:r>
      <w:r w:rsidR="00235A85" w:rsidRPr="002D1C45">
        <w:rPr>
          <w:rStyle w:val="FootnoteReference"/>
          <w:sz w:val="24"/>
          <w:szCs w:val="24"/>
          <w:vertAlign w:val="superscript"/>
        </w:rPr>
        <w:footnoteReference w:id="7"/>
      </w:r>
      <w:r w:rsidRPr="00B43579">
        <w:rPr>
          <w:sz w:val="24"/>
          <w:szCs w:val="24"/>
        </w:rPr>
        <w:t xml:space="preserve">  </w:t>
      </w:r>
    </w:p>
    <w:p w:rsidR="00251F27" w:rsidRDefault="00251F27" w:rsidP="009326A5">
      <w:pPr>
        <w:spacing w:line="360" w:lineRule="auto"/>
        <w:rPr>
          <w:sz w:val="24"/>
          <w:szCs w:val="24"/>
        </w:rPr>
      </w:pPr>
    </w:p>
    <w:p w:rsidR="003B3329" w:rsidRDefault="009326A5" w:rsidP="00F82238">
      <w:pPr>
        <w:spacing w:line="360" w:lineRule="auto"/>
        <w:ind w:firstLine="1440"/>
        <w:rPr>
          <w:sz w:val="24"/>
          <w:szCs w:val="24"/>
        </w:rPr>
      </w:pPr>
      <w:r>
        <w:rPr>
          <w:sz w:val="24"/>
          <w:szCs w:val="24"/>
        </w:rPr>
        <w:t xml:space="preserve">The law clearly recognizes </w:t>
      </w:r>
      <w:r w:rsidRPr="00E45375">
        <w:rPr>
          <w:sz w:val="24"/>
          <w:szCs w:val="24"/>
        </w:rPr>
        <w:t xml:space="preserve">the </w:t>
      </w:r>
      <w:r>
        <w:rPr>
          <w:sz w:val="24"/>
          <w:szCs w:val="24"/>
        </w:rPr>
        <w:t>Commission</w:t>
      </w:r>
      <w:r w:rsidRPr="00E45375">
        <w:rPr>
          <w:sz w:val="24"/>
          <w:szCs w:val="24"/>
        </w:rPr>
        <w:t xml:space="preserve"> is not empowered to </w:t>
      </w:r>
      <w:r w:rsidR="00251F27">
        <w:rPr>
          <w:sz w:val="24"/>
          <w:szCs w:val="24"/>
        </w:rPr>
        <w:t>order a utility to refund excess monies paid by a customer more than four years prior to the filing of a formal complaint</w:t>
      </w:r>
      <w:r w:rsidRPr="00E45375">
        <w:rPr>
          <w:sz w:val="24"/>
          <w:szCs w:val="24"/>
        </w:rPr>
        <w:t>.</w:t>
      </w:r>
      <w:r w:rsidRPr="00B63B78">
        <w:rPr>
          <w:rStyle w:val="FootnoteReference"/>
          <w:sz w:val="24"/>
          <w:szCs w:val="24"/>
          <w:vertAlign w:val="superscript"/>
        </w:rPr>
        <w:footnoteReference w:id="8"/>
      </w:r>
      <w:r w:rsidR="00F82238">
        <w:rPr>
          <w:sz w:val="24"/>
          <w:szCs w:val="24"/>
        </w:rPr>
        <w:t xml:space="preserve">  </w:t>
      </w:r>
      <w:r w:rsidR="00651431">
        <w:rPr>
          <w:sz w:val="24"/>
          <w:szCs w:val="24"/>
        </w:rPr>
        <w:t>In this proceeding, Complainant requests</w:t>
      </w:r>
      <w:r>
        <w:rPr>
          <w:sz w:val="24"/>
          <w:szCs w:val="24"/>
        </w:rPr>
        <w:t xml:space="preserve"> </w:t>
      </w:r>
      <w:r w:rsidR="003B3329">
        <w:rPr>
          <w:sz w:val="24"/>
          <w:szCs w:val="24"/>
        </w:rPr>
        <w:t xml:space="preserve">reimbursement for the monies </w:t>
      </w:r>
      <w:r w:rsidR="00F82238">
        <w:rPr>
          <w:sz w:val="24"/>
          <w:szCs w:val="24"/>
        </w:rPr>
        <w:t>s</w:t>
      </w:r>
      <w:r w:rsidR="003B3329">
        <w:rPr>
          <w:sz w:val="24"/>
          <w:szCs w:val="24"/>
        </w:rPr>
        <w:t xml:space="preserve">he paid to </w:t>
      </w:r>
      <w:r w:rsidR="00F82238">
        <w:rPr>
          <w:sz w:val="24"/>
          <w:szCs w:val="24"/>
        </w:rPr>
        <w:t>DLC from 2000 to 2010</w:t>
      </w:r>
      <w:r w:rsidR="003B3329">
        <w:rPr>
          <w:sz w:val="24"/>
          <w:szCs w:val="24"/>
        </w:rPr>
        <w:t xml:space="preserve">.  </w:t>
      </w:r>
      <w:r w:rsidR="00F82238">
        <w:rPr>
          <w:sz w:val="24"/>
          <w:szCs w:val="24"/>
        </w:rPr>
        <w:t>Specifically she requests the Commission order DLC to pay her $2,959.38, which she represents would be the total amount owed for overcharges paid from the date she purchased the property in 2000 until the date the meter twist was discovered in 2015. Sh</w:t>
      </w:r>
      <w:r w:rsidR="003B3329">
        <w:rPr>
          <w:sz w:val="24"/>
          <w:szCs w:val="24"/>
        </w:rPr>
        <w:t xml:space="preserve">e also requests damages </w:t>
      </w:r>
      <w:r w:rsidR="00F82238">
        <w:rPr>
          <w:sz w:val="24"/>
          <w:szCs w:val="24"/>
        </w:rPr>
        <w:t xml:space="preserve">and reimbursement for her reasonable personal expenses such as </w:t>
      </w:r>
      <w:r w:rsidR="00F82238">
        <w:rPr>
          <w:sz w:val="24"/>
          <w:szCs w:val="24"/>
        </w:rPr>
        <w:lastRenderedPageBreak/>
        <w:t xml:space="preserve">postage and travel to hearings, in order </w:t>
      </w:r>
      <w:r w:rsidR="003B3329">
        <w:rPr>
          <w:sz w:val="24"/>
          <w:szCs w:val="24"/>
        </w:rPr>
        <w:t xml:space="preserve">to compensate </w:t>
      </w:r>
      <w:r w:rsidR="00F82238">
        <w:rPr>
          <w:sz w:val="24"/>
          <w:szCs w:val="24"/>
        </w:rPr>
        <w:t>her</w:t>
      </w:r>
      <w:r w:rsidR="003B3329">
        <w:rPr>
          <w:sz w:val="24"/>
          <w:szCs w:val="24"/>
        </w:rPr>
        <w:t xml:space="preserve"> for the time spent resolving the problem</w:t>
      </w:r>
      <w:r w:rsidR="00F82238">
        <w:rPr>
          <w:sz w:val="24"/>
          <w:szCs w:val="24"/>
        </w:rPr>
        <w:t xml:space="preserve">.  </w:t>
      </w:r>
      <w:r w:rsidR="003B3329">
        <w:rPr>
          <w:sz w:val="24"/>
          <w:szCs w:val="24"/>
        </w:rPr>
        <w:t xml:space="preserve">   </w:t>
      </w:r>
      <w:r>
        <w:rPr>
          <w:sz w:val="24"/>
          <w:szCs w:val="24"/>
        </w:rPr>
        <w:t xml:space="preserve"> </w:t>
      </w:r>
    </w:p>
    <w:p w:rsidR="003B3329" w:rsidRDefault="003B3329" w:rsidP="00651431">
      <w:pPr>
        <w:spacing w:line="360" w:lineRule="auto"/>
        <w:rPr>
          <w:sz w:val="24"/>
          <w:szCs w:val="24"/>
        </w:rPr>
      </w:pPr>
    </w:p>
    <w:p w:rsidR="00651431" w:rsidRDefault="00C8656B" w:rsidP="00381526">
      <w:pPr>
        <w:spacing w:line="360" w:lineRule="auto"/>
        <w:ind w:firstLine="1440"/>
        <w:rPr>
          <w:sz w:val="24"/>
          <w:szCs w:val="24"/>
        </w:rPr>
      </w:pPr>
      <w:r>
        <w:rPr>
          <w:sz w:val="24"/>
          <w:szCs w:val="24"/>
        </w:rPr>
        <w:t>First, it should be noted</w:t>
      </w:r>
      <w:r w:rsidR="00651431">
        <w:rPr>
          <w:sz w:val="24"/>
          <w:szCs w:val="24"/>
        </w:rPr>
        <w:t xml:space="preserve"> </w:t>
      </w:r>
      <w:r>
        <w:rPr>
          <w:color w:val="000000"/>
          <w:w w:val="107"/>
          <w:sz w:val="24"/>
          <w:szCs w:val="24"/>
        </w:rPr>
        <w:t xml:space="preserve">Respondent argues the Commission cannot exceed its jurisdiction pursuant to </w:t>
      </w:r>
      <w:r w:rsidRPr="002607B3">
        <w:rPr>
          <w:color w:val="000000"/>
          <w:w w:val="107"/>
          <w:sz w:val="24"/>
          <w:szCs w:val="24"/>
          <w:u w:val="single"/>
        </w:rPr>
        <w:t xml:space="preserve">City of Pittsburgh v. Pa. Pub. Util. </w:t>
      </w:r>
      <w:proofErr w:type="spellStart"/>
      <w:r w:rsidRPr="002607B3">
        <w:rPr>
          <w:color w:val="000000"/>
          <w:w w:val="107"/>
          <w:sz w:val="24"/>
          <w:szCs w:val="24"/>
          <w:u w:val="single"/>
        </w:rPr>
        <w:t>Comm’n</w:t>
      </w:r>
      <w:proofErr w:type="spellEnd"/>
      <w:r>
        <w:rPr>
          <w:color w:val="000000"/>
          <w:w w:val="107"/>
          <w:sz w:val="24"/>
          <w:szCs w:val="24"/>
        </w:rPr>
        <w:t xml:space="preserve">, 43 A.2d 348 (Pa. Super. 1945) and lacks jurisdiction to award damages, pursuant to </w:t>
      </w:r>
      <w:proofErr w:type="spellStart"/>
      <w:r w:rsidRPr="002607B3">
        <w:rPr>
          <w:color w:val="000000"/>
          <w:w w:val="107"/>
          <w:sz w:val="24"/>
          <w:szCs w:val="24"/>
          <w:u w:val="single"/>
        </w:rPr>
        <w:t>Poorbaugh</w:t>
      </w:r>
      <w:proofErr w:type="spellEnd"/>
      <w:r w:rsidRPr="002607B3">
        <w:rPr>
          <w:color w:val="000000"/>
          <w:w w:val="107"/>
          <w:sz w:val="24"/>
          <w:szCs w:val="24"/>
          <w:u w:val="single"/>
        </w:rPr>
        <w:t xml:space="preserve"> v. Pa. Pub. </w:t>
      </w:r>
      <w:proofErr w:type="gramStart"/>
      <w:r w:rsidRPr="002607B3">
        <w:rPr>
          <w:color w:val="000000"/>
          <w:w w:val="107"/>
          <w:sz w:val="24"/>
          <w:szCs w:val="24"/>
          <w:u w:val="single"/>
        </w:rPr>
        <w:t xml:space="preserve">Util. </w:t>
      </w:r>
      <w:proofErr w:type="spellStart"/>
      <w:r w:rsidRPr="002607B3">
        <w:rPr>
          <w:color w:val="000000"/>
          <w:w w:val="107"/>
          <w:sz w:val="24"/>
          <w:szCs w:val="24"/>
          <w:u w:val="single"/>
        </w:rPr>
        <w:t>Comm’n</w:t>
      </w:r>
      <w:proofErr w:type="spellEnd"/>
      <w:r>
        <w:rPr>
          <w:color w:val="000000"/>
          <w:w w:val="107"/>
          <w:sz w:val="24"/>
          <w:szCs w:val="24"/>
        </w:rPr>
        <w:t>, 666 A.2d 744 (</w:t>
      </w:r>
      <w:proofErr w:type="spellStart"/>
      <w:r>
        <w:rPr>
          <w:color w:val="000000"/>
          <w:w w:val="107"/>
          <w:sz w:val="24"/>
          <w:szCs w:val="24"/>
        </w:rPr>
        <w:t>Pa.Cmwlth</w:t>
      </w:r>
      <w:proofErr w:type="spellEnd"/>
      <w:r>
        <w:rPr>
          <w:color w:val="000000"/>
          <w:w w:val="107"/>
          <w:sz w:val="24"/>
          <w:szCs w:val="24"/>
        </w:rPr>
        <w:t>. 1995).</w:t>
      </w:r>
      <w:proofErr w:type="gramEnd"/>
      <w:r>
        <w:rPr>
          <w:color w:val="000000"/>
          <w:w w:val="107"/>
          <w:sz w:val="24"/>
          <w:szCs w:val="24"/>
        </w:rPr>
        <w:t xml:space="preserve">  </w:t>
      </w:r>
      <w:r>
        <w:rPr>
          <w:sz w:val="24"/>
          <w:szCs w:val="24"/>
        </w:rPr>
        <w:t xml:space="preserve">DLC is correct </w:t>
      </w:r>
      <w:r w:rsidR="009A33F9">
        <w:rPr>
          <w:sz w:val="24"/>
          <w:szCs w:val="24"/>
        </w:rPr>
        <w:t>–</w:t>
      </w:r>
      <w:r>
        <w:rPr>
          <w:sz w:val="24"/>
          <w:szCs w:val="24"/>
        </w:rPr>
        <w:t xml:space="preserve"> t</w:t>
      </w:r>
      <w:r w:rsidRPr="00B43579">
        <w:rPr>
          <w:sz w:val="24"/>
          <w:szCs w:val="24"/>
        </w:rPr>
        <w:t>he Commissio</w:t>
      </w:r>
      <w:r>
        <w:rPr>
          <w:sz w:val="24"/>
          <w:szCs w:val="24"/>
        </w:rPr>
        <w:t>n lacks jurisdiction over payment of monetary damages for financial losses suffered.  T</w:t>
      </w:r>
      <w:r w:rsidR="00651431" w:rsidRPr="00B43579">
        <w:rPr>
          <w:sz w:val="24"/>
          <w:szCs w:val="24"/>
        </w:rPr>
        <w:t xml:space="preserve">herefore, Respondent’s </w:t>
      </w:r>
      <w:r w:rsidR="00651431">
        <w:rPr>
          <w:sz w:val="24"/>
          <w:szCs w:val="24"/>
        </w:rPr>
        <w:t>Preliminary Objection</w:t>
      </w:r>
      <w:r w:rsidR="001705FD">
        <w:rPr>
          <w:sz w:val="24"/>
          <w:szCs w:val="24"/>
        </w:rPr>
        <w:t>s</w:t>
      </w:r>
      <w:r w:rsidR="00651431">
        <w:rPr>
          <w:sz w:val="24"/>
          <w:szCs w:val="24"/>
        </w:rPr>
        <w:t xml:space="preserve"> concerning the request for</w:t>
      </w:r>
      <w:r w:rsidR="00F82238">
        <w:rPr>
          <w:sz w:val="24"/>
          <w:szCs w:val="24"/>
        </w:rPr>
        <w:t xml:space="preserve"> unspecified </w:t>
      </w:r>
      <w:r w:rsidR="00651431">
        <w:rPr>
          <w:sz w:val="24"/>
          <w:szCs w:val="24"/>
        </w:rPr>
        <w:t xml:space="preserve">damages </w:t>
      </w:r>
      <w:r>
        <w:rPr>
          <w:sz w:val="24"/>
          <w:szCs w:val="24"/>
        </w:rPr>
        <w:t>will be</w:t>
      </w:r>
      <w:r w:rsidR="00651431">
        <w:rPr>
          <w:sz w:val="24"/>
          <w:szCs w:val="24"/>
        </w:rPr>
        <w:t xml:space="preserve"> granted</w:t>
      </w:r>
      <w:r w:rsidR="00E90C7C">
        <w:rPr>
          <w:sz w:val="24"/>
          <w:szCs w:val="24"/>
        </w:rPr>
        <w:t>,</w:t>
      </w:r>
      <w:r w:rsidR="00651431">
        <w:rPr>
          <w:sz w:val="24"/>
          <w:szCs w:val="24"/>
        </w:rPr>
        <w:t xml:space="preserve"> and </w:t>
      </w:r>
      <w:r w:rsidR="00F82238">
        <w:rPr>
          <w:sz w:val="24"/>
          <w:szCs w:val="24"/>
        </w:rPr>
        <w:t xml:space="preserve">Ms. </w:t>
      </w:r>
      <w:proofErr w:type="spellStart"/>
      <w:r w:rsidR="00F82238">
        <w:rPr>
          <w:sz w:val="24"/>
          <w:szCs w:val="24"/>
        </w:rPr>
        <w:t>Cawley’s</w:t>
      </w:r>
      <w:proofErr w:type="spellEnd"/>
      <w:r w:rsidR="00DA4945">
        <w:rPr>
          <w:sz w:val="24"/>
          <w:szCs w:val="24"/>
        </w:rPr>
        <w:t xml:space="preserve"> request for money damages</w:t>
      </w:r>
      <w:r w:rsidR="00651431" w:rsidRPr="00B43579">
        <w:rPr>
          <w:sz w:val="24"/>
          <w:szCs w:val="24"/>
        </w:rPr>
        <w:t xml:space="preserve"> </w:t>
      </w:r>
      <w:r>
        <w:rPr>
          <w:sz w:val="24"/>
          <w:szCs w:val="24"/>
        </w:rPr>
        <w:t>will be</w:t>
      </w:r>
      <w:r w:rsidR="00651431" w:rsidRPr="00B43579">
        <w:rPr>
          <w:sz w:val="24"/>
          <w:szCs w:val="24"/>
        </w:rPr>
        <w:t xml:space="preserve"> dismissed without hearing</w:t>
      </w:r>
      <w:r w:rsidR="00651431">
        <w:rPr>
          <w:sz w:val="24"/>
          <w:szCs w:val="24"/>
        </w:rPr>
        <w:t xml:space="preserve"> </w:t>
      </w:r>
      <w:r w:rsidR="00DA4945">
        <w:rPr>
          <w:sz w:val="24"/>
          <w:szCs w:val="24"/>
        </w:rPr>
        <w:t xml:space="preserve">because </w:t>
      </w:r>
      <w:r w:rsidR="00C52B7B">
        <w:rPr>
          <w:sz w:val="24"/>
          <w:szCs w:val="24"/>
        </w:rPr>
        <w:t>this request</w:t>
      </w:r>
      <w:r w:rsidR="00DA4945">
        <w:rPr>
          <w:sz w:val="24"/>
          <w:szCs w:val="24"/>
        </w:rPr>
        <w:t xml:space="preserve"> is beyond the scope of the Commission’s jurisdiction.  </w:t>
      </w:r>
    </w:p>
    <w:p w:rsidR="00DA4945" w:rsidRDefault="00DA4945" w:rsidP="00651431">
      <w:pPr>
        <w:spacing w:line="360" w:lineRule="auto"/>
        <w:rPr>
          <w:sz w:val="24"/>
          <w:szCs w:val="24"/>
        </w:rPr>
      </w:pPr>
    </w:p>
    <w:p w:rsidR="00037588" w:rsidRDefault="00DA4945" w:rsidP="00DA4945">
      <w:pPr>
        <w:spacing w:line="360" w:lineRule="auto"/>
        <w:rPr>
          <w:sz w:val="24"/>
          <w:szCs w:val="24"/>
        </w:rPr>
      </w:pPr>
      <w:r>
        <w:rPr>
          <w:sz w:val="24"/>
          <w:szCs w:val="24"/>
        </w:rPr>
        <w:tab/>
      </w:r>
      <w:r>
        <w:rPr>
          <w:sz w:val="24"/>
          <w:szCs w:val="24"/>
        </w:rPr>
        <w:tab/>
      </w:r>
      <w:r w:rsidR="00A7021A">
        <w:rPr>
          <w:sz w:val="24"/>
          <w:szCs w:val="24"/>
        </w:rPr>
        <w:t xml:space="preserve">In addition, the </w:t>
      </w:r>
      <w:r>
        <w:rPr>
          <w:sz w:val="24"/>
          <w:szCs w:val="24"/>
        </w:rPr>
        <w:t xml:space="preserve">Commission </w:t>
      </w:r>
      <w:r w:rsidR="00A7021A">
        <w:rPr>
          <w:sz w:val="24"/>
          <w:szCs w:val="24"/>
        </w:rPr>
        <w:t>lacks</w:t>
      </w:r>
      <w:r>
        <w:rPr>
          <w:sz w:val="24"/>
          <w:szCs w:val="24"/>
        </w:rPr>
        <w:t xml:space="preserve"> </w:t>
      </w:r>
      <w:r w:rsidR="00DC65D6">
        <w:rPr>
          <w:sz w:val="24"/>
          <w:szCs w:val="24"/>
        </w:rPr>
        <w:t xml:space="preserve">the authority to order a refund when a </w:t>
      </w:r>
      <w:r w:rsidR="00C52B7B">
        <w:rPr>
          <w:sz w:val="24"/>
          <w:szCs w:val="24"/>
        </w:rPr>
        <w:t xml:space="preserve">ratepayer </w:t>
      </w:r>
      <w:r w:rsidR="00A7021A">
        <w:rPr>
          <w:sz w:val="24"/>
          <w:szCs w:val="24"/>
        </w:rPr>
        <w:t>claim</w:t>
      </w:r>
      <w:r w:rsidR="00DC65D6">
        <w:rPr>
          <w:sz w:val="24"/>
          <w:szCs w:val="24"/>
        </w:rPr>
        <w:t xml:space="preserve">s </w:t>
      </w:r>
      <w:r w:rsidR="00A7021A">
        <w:rPr>
          <w:sz w:val="24"/>
          <w:szCs w:val="24"/>
        </w:rPr>
        <w:t xml:space="preserve">she is entitled to receive </w:t>
      </w:r>
      <w:r w:rsidR="00037588">
        <w:rPr>
          <w:sz w:val="24"/>
          <w:szCs w:val="24"/>
        </w:rPr>
        <w:t>a refund</w:t>
      </w:r>
      <w:r w:rsidR="00A7021A">
        <w:rPr>
          <w:sz w:val="24"/>
          <w:szCs w:val="24"/>
        </w:rPr>
        <w:t xml:space="preserve"> for funds </w:t>
      </w:r>
      <w:r w:rsidR="00037588">
        <w:rPr>
          <w:sz w:val="24"/>
          <w:szCs w:val="24"/>
        </w:rPr>
        <w:t>she paid</w:t>
      </w:r>
      <w:r w:rsidR="00A7021A">
        <w:rPr>
          <w:sz w:val="24"/>
          <w:szCs w:val="24"/>
        </w:rPr>
        <w:t xml:space="preserve"> earlier than the time limitations clearly enumerated in the statute.</w:t>
      </w:r>
      <w:r w:rsidR="00DC65D6" w:rsidRPr="00DC65D6">
        <w:rPr>
          <w:rStyle w:val="FootnoteReference"/>
          <w:sz w:val="24"/>
          <w:szCs w:val="24"/>
          <w:vertAlign w:val="superscript"/>
        </w:rPr>
        <w:footnoteReference w:id="9"/>
      </w:r>
      <w:r w:rsidR="00A7021A">
        <w:rPr>
          <w:sz w:val="24"/>
          <w:szCs w:val="24"/>
        </w:rPr>
        <w:t xml:space="preserve">  Complainant admits in her formal complaint that DLC </w:t>
      </w:r>
      <w:r w:rsidR="00D65992">
        <w:rPr>
          <w:sz w:val="24"/>
          <w:szCs w:val="24"/>
        </w:rPr>
        <w:t>refunded to</w:t>
      </w:r>
      <w:r w:rsidR="00A7021A">
        <w:rPr>
          <w:sz w:val="24"/>
          <w:szCs w:val="24"/>
        </w:rPr>
        <w:t xml:space="preserve"> her the overcharges from 2010 to 2015.  This refund paid by DLC is in excess of what the statute requires and exceeds the extent of the Commission’s powers in this type of a proceeding.  </w:t>
      </w:r>
    </w:p>
    <w:p w:rsidR="00037588" w:rsidRDefault="00037588" w:rsidP="00DA4945">
      <w:pPr>
        <w:spacing w:line="360" w:lineRule="auto"/>
        <w:rPr>
          <w:sz w:val="24"/>
          <w:szCs w:val="24"/>
        </w:rPr>
      </w:pPr>
    </w:p>
    <w:p w:rsidR="00C52B7B" w:rsidRDefault="00A7021A" w:rsidP="00037588">
      <w:pPr>
        <w:spacing w:line="360" w:lineRule="auto"/>
        <w:ind w:firstLine="1440"/>
        <w:rPr>
          <w:sz w:val="24"/>
          <w:szCs w:val="24"/>
        </w:rPr>
      </w:pPr>
      <w:r>
        <w:rPr>
          <w:sz w:val="24"/>
          <w:szCs w:val="24"/>
        </w:rPr>
        <w:t>The Commission has no authority to force DLC to pay more than f</w:t>
      </w:r>
      <w:r w:rsidR="00B26120">
        <w:rPr>
          <w:sz w:val="24"/>
          <w:szCs w:val="24"/>
        </w:rPr>
        <w:t>our</w:t>
      </w:r>
      <w:r>
        <w:rPr>
          <w:sz w:val="24"/>
          <w:szCs w:val="24"/>
        </w:rPr>
        <w:t xml:space="preserve"> years’ worth of overcharges.  DLC’s decision to pay Complainant </w:t>
      </w:r>
      <w:r w:rsidR="00B26120">
        <w:rPr>
          <w:sz w:val="24"/>
          <w:szCs w:val="24"/>
        </w:rPr>
        <w:t>five</w:t>
      </w:r>
      <w:r>
        <w:rPr>
          <w:sz w:val="24"/>
          <w:szCs w:val="24"/>
        </w:rPr>
        <w:t xml:space="preserve"> years’ worth of overcharges is </w:t>
      </w:r>
      <w:r w:rsidR="00D65992">
        <w:rPr>
          <w:sz w:val="24"/>
          <w:szCs w:val="24"/>
        </w:rPr>
        <w:t>a voluntary decision by the utility and is not required by the Commission’s statutes and regulations</w:t>
      </w:r>
      <w:r>
        <w:rPr>
          <w:sz w:val="24"/>
          <w:szCs w:val="24"/>
        </w:rPr>
        <w:t xml:space="preserve">.  Accordingly, </w:t>
      </w:r>
      <w:r w:rsidR="00C52B7B">
        <w:rPr>
          <w:sz w:val="24"/>
          <w:szCs w:val="24"/>
        </w:rPr>
        <w:t xml:space="preserve">the facts as alleged </w:t>
      </w:r>
      <w:r>
        <w:rPr>
          <w:sz w:val="24"/>
          <w:szCs w:val="24"/>
        </w:rPr>
        <w:t xml:space="preserve">by Complainant </w:t>
      </w:r>
      <w:r w:rsidR="00C52B7B">
        <w:rPr>
          <w:sz w:val="24"/>
          <w:szCs w:val="24"/>
        </w:rPr>
        <w:t>ar</w:t>
      </w:r>
      <w:r w:rsidR="00E45375">
        <w:rPr>
          <w:sz w:val="24"/>
          <w:szCs w:val="24"/>
        </w:rPr>
        <w:t xml:space="preserve">e </w:t>
      </w:r>
      <w:r>
        <w:rPr>
          <w:sz w:val="24"/>
          <w:szCs w:val="24"/>
        </w:rPr>
        <w:t>in</w:t>
      </w:r>
      <w:r w:rsidR="00E45375">
        <w:rPr>
          <w:sz w:val="24"/>
          <w:szCs w:val="24"/>
        </w:rPr>
        <w:t xml:space="preserve">sufficient to show </w:t>
      </w:r>
      <w:r w:rsidR="00DA4945">
        <w:rPr>
          <w:sz w:val="24"/>
          <w:szCs w:val="24"/>
        </w:rPr>
        <w:t>DLC</w:t>
      </w:r>
      <w:r w:rsidR="00E45375">
        <w:rPr>
          <w:sz w:val="24"/>
          <w:szCs w:val="24"/>
        </w:rPr>
        <w:t xml:space="preserve"> failed to</w:t>
      </w:r>
      <w:r w:rsidR="00DA4945">
        <w:rPr>
          <w:sz w:val="24"/>
          <w:szCs w:val="24"/>
        </w:rPr>
        <w:t xml:space="preserve"> furnish and maintain adequate </w:t>
      </w:r>
      <w:r w:rsidR="00E45375">
        <w:rPr>
          <w:sz w:val="24"/>
          <w:szCs w:val="24"/>
        </w:rPr>
        <w:t xml:space="preserve">and reasonable </w:t>
      </w:r>
      <w:r w:rsidR="00DA4945">
        <w:rPr>
          <w:sz w:val="24"/>
          <w:szCs w:val="24"/>
        </w:rPr>
        <w:t>c</w:t>
      </w:r>
      <w:r w:rsidR="00E45375">
        <w:rPr>
          <w:sz w:val="24"/>
          <w:szCs w:val="24"/>
        </w:rPr>
        <w:t>ustomer service</w:t>
      </w:r>
      <w:r>
        <w:rPr>
          <w:sz w:val="24"/>
          <w:szCs w:val="24"/>
        </w:rPr>
        <w:t xml:space="preserve"> when it reimbursed her for five years’ worth of overcharges resulting from a meter twist</w:t>
      </w:r>
      <w:r w:rsidR="00E45375">
        <w:rPr>
          <w:sz w:val="24"/>
          <w:szCs w:val="24"/>
        </w:rPr>
        <w:t xml:space="preserve">.  </w:t>
      </w:r>
    </w:p>
    <w:p w:rsidR="00C52B7B" w:rsidRDefault="00C52B7B" w:rsidP="00DA4945">
      <w:pPr>
        <w:spacing w:line="360" w:lineRule="auto"/>
        <w:rPr>
          <w:sz w:val="24"/>
          <w:szCs w:val="24"/>
        </w:rPr>
      </w:pPr>
    </w:p>
    <w:p w:rsidR="00806222" w:rsidRDefault="00B26120" w:rsidP="00C52B7B">
      <w:pPr>
        <w:spacing w:line="360" w:lineRule="auto"/>
        <w:ind w:firstLine="1440"/>
        <w:rPr>
          <w:sz w:val="24"/>
          <w:szCs w:val="24"/>
        </w:rPr>
      </w:pPr>
      <w:r>
        <w:rPr>
          <w:sz w:val="24"/>
          <w:szCs w:val="24"/>
        </w:rPr>
        <w:t>Here</w:t>
      </w:r>
      <w:r w:rsidR="00D32A26">
        <w:rPr>
          <w:sz w:val="24"/>
          <w:szCs w:val="24"/>
        </w:rPr>
        <w:t xml:space="preserve"> there </w:t>
      </w:r>
      <w:r>
        <w:rPr>
          <w:sz w:val="24"/>
          <w:szCs w:val="24"/>
        </w:rPr>
        <w:t xml:space="preserve">was </w:t>
      </w:r>
      <w:r w:rsidR="00A7021A" w:rsidRPr="00A7021A">
        <w:rPr>
          <w:sz w:val="24"/>
          <w:szCs w:val="24"/>
          <w:u w:val="single"/>
        </w:rPr>
        <w:t>no</w:t>
      </w:r>
      <w:r w:rsidR="00A7021A">
        <w:rPr>
          <w:sz w:val="24"/>
          <w:szCs w:val="24"/>
        </w:rPr>
        <w:t xml:space="preserve"> </w:t>
      </w:r>
      <w:r w:rsidR="00806222" w:rsidRPr="00A7021A">
        <w:rPr>
          <w:sz w:val="24"/>
          <w:szCs w:val="24"/>
        </w:rPr>
        <w:t>factual</w:t>
      </w:r>
      <w:r w:rsidR="00806222">
        <w:rPr>
          <w:sz w:val="24"/>
          <w:szCs w:val="24"/>
        </w:rPr>
        <w:t xml:space="preserve"> </w:t>
      </w:r>
      <w:r w:rsidR="00D32A26">
        <w:rPr>
          <w:sz w:val="24"/>
          <w:szCs w:val="24"/>
        </w:rPr>
        <w:t xml:space="preserve">dispute concerning </w:t>
      </w:r>
      <w:r w:rsidR="00806222">
        <w:rPr>
          <w:sz w:val="24"/>
          <w:szCs w:val="24"/>
        </w:rPr>
        <w:t xml:space="preserve">the </w:t>
      </w:r>
      <w:r w:rsidR="00DA4945">
        <w:rPr>
          <w:sz w:val="24"/>
          <w:szCs w:val="24"/>
        </w:rPr>
        <w:t xml:space="preserve">adequacy and/or </w:t>
      </w:r>
      <w:proofErr w:type="gramStart"/>
      <w:r w:rsidR="00DA4945">
        <w:rPr>
          <w:sz w:val="24"/>
          <w:szCs w:val="24"/>
        </w:rPr>
        <w:t>reasonableness  of</w:t>
      </w:r>
      <w:proofErr w:type="gramEnd"/>
      <w:r w:rsidR="00DA4945">
        <w:rPr>
          <w:sz w:val="24"/>
          <w:szCs w:val="24"/>
        </w:rPr>
        <w:t xml:space="preserve"> a</w:t>
      </w:r>
      <w:r w:rsidR="00806222">
        <w:rPr>
          <w:sz w:val="24"/>
          <w:szCs w:val="24"/>
        </w:rPr>
        <w:t xml:space="preserve"> public utility’s services</w:t>
      </w:r>
      <w:r>
        <w:rPr>
          <w:sz w:val="24"/>
          <w:szCs w:val="24"/>
        </w:rPr>
        <w:t xml:space="preserve"> because Complainant never alleged Respondent failed to find the meter twist earlier.  The entire proceeding must be dismissed for a failure to allege an issue </w:t>
      </w:r>
      <w:r>
        <w:rPr>
          <w:sz w:val="24"/>
          <w:szCs w:val="24"/>
        </w:rPr>
        <w:lastRenderedPageBreak/>
        <w:t xml:space="preserve">within </w:t>
      </w:r>
      <w:r w:rsidR="00317CD9">
        <w:rPr>
          <w:sz w:val="24"/>
          <w:szCs w:val="24"/>
        </w:rPr>
        <w:t>the Commission’s jurisdiction</w:t>
      </w:r>
      <w:r>
        <w:rPr>
          <w:sz w:val="24"/>
          <w:szCs w:val="24"/>
        </w:rPr>
        <w:t xml:space="preserve"> or to request relief within the Commission’s power to order.  I</w:t>
      </w:r>
      <w:r w:rsidR="00A7021A">
        <w:rPr>
          <w:sz w:val="24"/>
          <w:szCs w:val="24"/>
        </w:rPr>
        <w:t>t is in the public interest to prevent complaints from proceeding to hearing when the claim lacks any legal basis</w:t>
      </w:r>
      <w:r>
        <w:rPr>
          <w:sz w:val="24"/>
          <w:szCs w:val="24"/>
        </w:rPr>
        <w:t xml:space="preserve"> or includes a prayer for relief that cannot be granted</w:t>
      </w:r>
      <w:r w:rsidR="00317CD9">
        <w:rPr>
          <w:sz w:val="24"/>
          <w:szCs w:val="24"/>
        </w:rPr>
        <w:t xml:space="preserve">.  </w:t>
      </w:r>
    </w:p>
    <w:p w:rsidR="00E45375" w:rsidRDefault="00E45375" w:rsidP="00317CD9">
      <w:pPr>
        <w:spacing w:line="360" w:lineRule="auto"/>
        <w:ind w:firstLine="1440"/>
        <w:rPr>
          <w:sz w:val="24"/>
          <w:szCs w:val="24"/>
        </w:rPr>
      </w:pPr>
    </w:p>
    <w:p w:rsidR="0041302C" w:rsidRDefault="00DA4945" w:rsidP="00142CAE">
      <w:pPr>
        <w:widowControl w:val="0"/>
        <w:autoSpaceDE w:val="0"/>
        <w:autoSpaceDN w:val="0"/>
        <w:adjustRightInd w:val="0"/>
        <w:spacing w:line="360" w:lineRule="auto"/>
        <w:ind w:firstLine="1440"/>
        <w:rPr>
          <w:color w:val="000000"/>
          <w:w w:val="106"/>
          <w:sz w:val="24"/>
          <w:szCs w:val="24"/>
        </w:rPr>
      </w:pPr>
      <w:r>
        <w:rPr>
          <w:sz w:val="24"/>
          <w:szCs w:val="24"/>
        </w:rPr>
        <w:t>A</w:t>
      </w:r>
      <w:r w:rsidR="003C0A9A">
        <w:rPr>
          <w:color w:val="000000"/>
          <w:w w:val="106"/>
          <w:sz w:val="24"/>
          <w:szCs w:val="24"/>
        </w:rPr>
        <w:t xml:space="preserve">ccepting as true all well-pleaded facts in </w:t>
      </w:r>
      <w:r w:rsidR="00A7021A">
        <w:rPr>
          <w:color w:val="000000"/>
          <w:w w:val="106"/>
          <w:sz w:val="24"/>
          <w:szCs w:val="24"/>
        </w:rPr>
        <w:t xml:space="preserve">Ms. </w:t>
      </w:r>
      <w:proofErr w:type="spellStart"/>
      <w:r w:rsidR="00A7021A">
        <w:rPr>
          <w:color w:val="000000"/>
          <w:w w:val="106"/>
          <w:sz w:val="24"/>
          <w:szCs w:val="24"/>
        </w:rPr>
        <w:t>Cawley’s</w:t>
      </w:r>
      <w:proofErr w:type="spellEnd"/>
      <w:r w:rsidR="003C0A9A">
        <w:rPr>
          <w:color w:val="000000"/>
          <w:w w:val="106"/>
          <w:sz w:val="24"/>
          <w:szCs w:val="24"/>
        </w:rPr>
        <w:t xml:space="preserve"> complaint, I </w:t>
      </w:r>
      <w:r w:rsidR="00806222">
        <w:rPr>
          <w:color w:val="000000"/>
          <w:w w:val="106"/>
          <w:sz w:val="24"/>
          <w:szCs w:val="24"/>
        </w:rPr>
        <w:t xml:space="preserve">find </w:t>
      </w:r>
      <w:r w:rsidR="00A7021A">
        <w:rPr>
          <w:color w:val="000000"/>
          <w:w w:val="106"/>
          <w:sz w:val="24"/>
          <w:szCs w:val="24"/>
        </w:rPr>
        <w:t>s</w:t>
      </w:r>
      <w:r w:rsidR="00E45375">
        <w:rPr>
          <w:color w:val="000000"/>
          <w:w w:val="106"/>
          <w:sz w:val="24"/>
          <w:szCs w:val="24"/>
        </w:rPr>
        <w:t>he</w:t>
      </w:r>
      <w:r w:rsidR="003C0A9A">
        <w:rPr>
          <w:color w:val="000000"/>
          <w:w w:val="106"/>
          <w:sz w:val="24"/>
          <w:szCs w:val="24"/>
        </w:rPr>
        <w:t xml:space="preserve"> </w:t>
      </w:r>
      <w:r w:rsidR="00A7021A">
        <w:rPr>
          <w:color w:val="000000"/>
          <w:w w:val="106"/>
          <w:sz w:val="24"/>
          <w:szCs w:val="24"/>
        </w:rPr>
        <w:t xml:space="preserve">failed to </w:t>
      </w:r>
      <w:r w:rsidR="003C0A9A">
        <w:rPr>
          <w:color w:val="000000"/>
          <w:w w:val="106"/>
          <w:sz w:val="24"/>
          <w:szCs w:val="24"/>
        </w:rPr>
        <w:t xml:space="preserve">allege sufficient facts that, </w:t>
      </w:r>
      <w:r w:rsidR="003C0A9A" w:rsidRPr="00381526">
        <w:rPr>
          <w:color w:val="000000"/>
          <w:w w:val="106"/>
          <w:sz w:val="24"/>
          <w:szCs w:val="24"/>
          <w:u w:val="single"/>
        </w:rPr>
        <w:t>if proven</w:t>
      </w:r>
      <w:r w:rsidR="003C0A9A">
        <w:rPr>
          <w:color w:val="000000"/>
          <w:w w:val="106"/>
          <w:sz w:val="24"/>
          <w:szCs w:val="24"/>
        </w:rPr>
        <w:t xml:space="preserve">, </w:t>
      </w:r>
      <w:r w:rsidR="00C52B7B">
        <w:rPr>
          <w:color w:val="000000"/>
          <w:w w:val="106"/>
          <w:sz w:val="24"/>
          <w:szCs w:val="24"/>
        </w:rPr>
        <w:t>might</w:t>
      </w:r>
      <w:r w:rsidR="003C0A9A">
        <w:rPr>
          <w:color w:val="000000"/>
          <w:w w:val="106"/>
          <w:sz w:val="24"/>
          <w:szCs w:val="24"/>
        </w:rPr>
        <w:t xml:space="preserve"> justify </w:t>
      </w:r>
      <w:r w:rsidR="00142CAE">
        <w:rPr>
          <w:color w:val="000000"/>
          <w:w w:val="106"/>
          <w:sz w:val="24"/>
          <w:szCs w:val="24"/>
        </w:rPr>
        <w:t>the issuance of</w:t>
      </w:r>
      <w:r w:rsidR="00806222">
        <w:rPr>
          <w:color w:val="000000"/>
          <w:w w:val="106"/>
          <w:sz w:val="24"/>
          <w:szCs w:val="24"/>
        </w:rPr>
        <w:t xml:space="preserve"> an Initial Decision </w:t>
      </w:r>
      <w:r w:rsidR="00142CAE">
        <w:rPr>
          <w:color w:val="000000"/>
          <w:w w:val="106"/>
          <w:sz w:val="24"/>
          <w:szCs w:val="24"/>
        </w:rPr>
        <w:t xml:space="preserve">which finds </w:t>
      </w:r>
      <w:r>
        <w:rPr>
          <w:color w:val="000000"/>
          <w:w w:val="106"/>
          <w:sz w:val="24"/>
          <w:szCs w:val="24"/>
        </w:rPr>
        <w:t xml:space="preserve">DLC failed to provide adequate </w:t>
      </w:r>
      <w:r w:rsidR="00806222">
        <w:rPr>
          <w:color w:val="000000"/>
          <w:w w:val="106"/>
          <w:sz w:val="24"/>
          <w:szCs w:val="24"/>
        </w:rPr>
        <w:t xml:space="preserve">and reasonable </w:t>
      </w:r>
      <w:r w:rsidR="00142CAE">
        <w:rPr>
          <w:color w:val="000000"/>
          <w:w w:val="106"/>
          <w:sz w:val="24"/>
          <w:szCs w:val="24"/>
        </w:rPr>
        <w:t xml:space="preserve">electric </w:t>
      </w:r>
      <w:r w:rsidR="00381526">
        <w:rPr>
          <w:color w:val="000000"/>
          <w:w w:val="106"/>
          <w:sz w:val="24"/>
          <w:szCs w:val="24"/>
        </w:rPr>
        <w:t xml:space="preserve">service and failed to comply with </w:t>
      </w:r>
      <w:r w:rsidR="00651431">
        <w:rPr>
          <w:color w:val="000000"/>
          <w:w w:val="106"/>
          <w:sz w:val="24"/>
          <w:szCs w:val="24"/>
        </w:rPr>
        <w:t xml:space="preserve">66 </w:t>
      </w:r>
      <w:proofErr w:type="spellStart"/>
      <w:r w:rsidR="00651431">
        <w:rPr>
          <w:color w:val="000000"/>
          <w:w w:val="106"/>
          <w:sz w:val="24"/>
          <w:szCs w:val="24"/>
        </w:rPr>
        <w:t>Pa.C.S.A</w:t>
      </w:r>
      <w:proofErr w:type="spellEnd"/>
      <w:r w:rsidR="00651431">
        <w:rPr>
          <w:color w:val="000000"/>
          <w:w w:val="106"/>
          <w:sz w:val="24"/>
          <w:szCs w:val="24"/>
        </w:rPr>
        <w:t>. §</w:t>
      </w:r>
      <w:r w:rsidR="00BE7F63">
        <w:rPr>
          <w:color w:val="000000"/>
          <w:w w:val="106"/>
          <w:sz w:val="24"/>
          <w:szCs w:val="24"/>
        </w:rPr>
        <w:t xml:space="preserve"> </w:t>
      </w:r>
      <w:r w:rsidR="00651431">
        <w:rPr>
          <w:color w:val="000000"/>
          <w:w w:val="106"/>
          <w:sz w:val="24"/>
          <w:szCs w:val="24"/>
        </w:rPr>
        <w:t>1501</w:t>
      </w:r>
      <w:r w:rsidR="00806222">
        <w:rPr>
          <w:color w:val="000000"/>
          <w:w w:val="106"/>
          <w:sz w:val="24"/>
          <w:szCs w:val="24"/>
        </w:rPr>
        <w:t xml:space="preserve">.  </w:t>
      </w:r>
      <w:r w:rsidR="001C00E9">
        <w:rPr>
          <w:color w:val="000000"/>
          <w:w w:val="106"/>
          <w:sz w:val="24"/>
          <w:szCs w:val="24"/>
        </w:rPr>
        <w:t xml:space="preserve">Therefore, there is </w:t>
      </w:r>
      <w:r w:rsidR="00A7021A">
        <w:rPr>
          <w:color w:val="000000"/>
          <w:w w:val="106"/>
          <w:sz w:val="24"/>
          <w:szCs w:val="24"/>
        </w:rPr>
        <w:t>in</w:t>
      </w:r>
      <w:r w:rsidR="001C00E9">
        <w:rPr>
          <w:color w:val="000000"/>
          <w:w w:val="106"/>
          <w:sz w:val="24"/>
          <w:szCs w:val="24"/>
        </w:rPr>
        <w:t xml:space="preserve">sufficient basis to </w:t>
      </w:r>
      <w:r w:rsidR="00C52B7B">
        <w:rPr>
          <w:color w:val="000000"/>
          <w:w w:val="106"/>
          <w:sz w:val="24"/>
          <w:szCs w:val="24"/>
        </w:rPr>
        <w:t>provide</w:t>
      </w:r>
      <w:r w:rsidR="001C00E9">
        <w:rPr>
          <w:color w:val="000000"/>
          <w:w w:val="106"/>
          <w:sz w:val="24"/>
          <w:szCs w:val="24"/>
        </w:rPr>
        <w:t xml:space="preserve"> </w:t>
      </w:r>
      <w:r w:rsidR="00C52B7B">
        <w:rPr>
          <w:color w:val="000000"/>
          <w:w w:val="106"/>
          <w:sz w:val="24"/>
          <w:szCs w:val="24"/>
        </w:rPr>
        <w:t xml:space="preserve">an opportunity to Complainant </w:t>
      </w:r>
      <w:r w:rsidR="001C00E9">
        <w:rPr>
          <w:color w:val="000000"/>
          <w:w w:val="106"/>
          <w:sz w:val="24"/>
          <w:szCs w:val="24"/>
        </w:rPr>
        <w:t xml:space="preserve">to proceed with </w:t>
      </w:r>
      <w:r w:rsidR="00C52B7B">
        <w:rPr>
          <w:color w:val="000000"/>
          <w:w w:val="106"/>
          <w:sz w:val="24"/>
          <w:szCs w:val="24"/>
        </w:rPr>
        <w:t>the</w:t>
      </w:r>
      <w:r w:rsidR="001C00E9">
        <w:rPr>
          <w:color w:val="000000"/>
          <w:w w:val="106"/>
          <w:sz w:val="24"/>
          <w:szCs w:val="24"/>
        </w:rPr>
        <w:t xml:space="preserve"> complaint, and an opportunity to present evidence.</w:t>
      </w:r>
      <w:r w:rsidR="001F75E9">
        <w:rPr>
          <w:color w:val="000000"/>
          <w:w w:val="106"/>
          <w:sz w:val="24"/>
          <w:szCs w:val="24"/>
        </w:rPr>
        <w:t xml:space="preserve">  </w:t>
      </w:r>
      <w:r w:rsidR="00A7021A">
        <w:rPr>
          <w:color w:val="000000"/>
          <w:w w:val="106"/>
          <w:sz w:val="24"/>
          <w:szCs w:val="24"/>
        </w:rPr>
        <w:t>The formal</w:t>
      </w:r>
      <w:r w:rsidR="001F75E9">
        <w:rPr>
          <w:color w:val="000000"/>
          <w:w w:val="106"/>
          <w:sz w:val="24"/>
          <w:szCs w:val="24"/>
        </w:rPr>
        <w:t xml:space="preserve"> complaint is dismissed in the ordering paragraph</w:t>
      </w:r>
      <w:r w:rsidR="00A7021A">
        <w:rPr>
          <w:color w:val="000000"/>
          <w:w w:val="106"/>
          <w:sz w:val="24"/>
          <w:szCs w:val="24"/>
        </w:rPr>
        <w:t>s</w:t>
      </w:r>
      <w:r w:rsidR="001F75E9">
        <w:rPr>
          <w:color w:val="000000"/>
          <w:w w:val="106"/>
          <w:sz w:val="24"/>
          <w:szCs w:val="24"/>
        </w:rPr>
        <w:t xml:space="preserve"> below.</w:t>
      </w:r>
    </w:p>
    <w:p w:rsidR="001F7583" w:rsidRDefault="001F7583" w:rsidP="00FB2C03">
      <w:pPr>
        <w:spacing w:line="360" w:lineRule="auto"/>
        <w:rPr>
          <w:sz w:val="24"/>
          <w:szCs w:val="24"/>
        </w:rPr>
      </w:pPr>
    </w:p>
    <w:p w:rsidR="001F7583" w:rsidRDefault="001F7583" w:rsidP="00E93DE8">
      <w:pPr>
        <w:spacing w:line="360" w:lineRule="auto"/>
        <w:jc w:val="center"/>
        <w:rPr>
          <w:sz w:val="24"/>
          <w:szCs w:val="24"/>
        </w:rPr>
      </w:pPr>
      <w:r>
        <w:rPr>
          <w:sz w:val="24"/>
          <w:szCs w:val="24"/>
          <w:u w:val="single"/>
        </w:rPr>
        <w:t>CONCLUSIONS OF LAW</w:t>
      </w:r>
    </w:p>
    <w:p w:rsidR="001F7583" w:rsidRDefault="001F7583" w:rsidP="00FB2C03">
      <w:pPr>
        <w:spacing w:line="360" w:lineRule="auto"/>
        <w:rPr>
          <w:sz w:val="24"/>
          <w:szCs w:val="24"/>
        </w:rPr>
      </w:pPr>
    </w:p>
    <w:p w:rsidR="001F7583" w:rsidRDefault="00EA11E4" w:rsidP="00FB2C03">
      <w:pPr>
        <w:spacing w:line="360" w:lineRule="auto"/>
        <w:ind w:firstLine="1440"/>
        <w:rPr>
          <w:sz w:val="24"/>
          <w:szCs w:val="24"/>
        </w:rPr>
      </w:pPr>
      <w:r>
        <w:rPr>
          <w:sz w:val="24"/>
          <w:szCs w:val="24"/>
        </w:rPr>
        <w:t>1.</w:t>
      </w:r>
      <w:r>
        <w:rPr>
          <w:sz w:val="24"/>
          <w:szCs w:val="24"/>
        </w:rPr>
        <w:tab/>
      </w:r>
      <w:r w:rsidR="001F7583">
        <w:rPr>
          <w:sz w:val="24"/>
          <w:szCs w:val="24"/>
        </w:rPr>
        <w:t>The Commission has jurisdiction o</w:t>
      </w:r>
      <w:r w:rsidR="005D0C21">
        <w:rPr>
          <w:sz w:val="24"/>
          <w:szCs w:val="24"/>
        </w:rPr>
        <w:t xml:space="preserve">ver the parties to this dispute and </w:t>
      </w:r>
      <w:r w:rsidR="001F7583">
        <w:rPr>
          <w:sz w:val="24"/>
          <w:szCs w:val="24"/>
        </w:rPr>
        <w:t xml:space="preserve">over the subject matter of this dispute </w:t>
      </w:r>
      <w:r w:rsidR="003D61AD">
        <w:rPr>
          <w:sz w:val="24"/>
          <w:szCs w:val="24"/>
        </w:rPr>
        <w:t xml:space="preserve">to the extent </w:t>
      </w:r>
      <w:r>
        <w:rPr>
          <w:sz w:val="24"/>
          <w:szCs w:val="24"/>
        </w:rPr>
        <w:t>the complaint</w:t>
      </w:r>
      <w:r w:rsidR="001F7583">
        <w:rPr>
          <w:sz w:val="24"/>
          <w:szCs w:val="24"/>
        </w:rPr>
        <w:t xml:space="preserve"> involve</w:t>
      </w:r>
      <w:r w:rsidR="00B27948">
        <w:rPr>
          <w:sz w:val="24"/>
          <w:szCs w:val="24"/>
        </w:rPr>
        <w:t>s</w:t>
      </w:r>
      <w:r w:rsidR="001F7583">
        <w:rPr>
          <w:sz w:val="24"/>
          <w:szCs w:val="24"/>
        </w:rPr>
        <w:t xml:space="preserve"> </w:t>
      </w:r>
      <w:r w:rsidR="003D61AD">
        <w:rPr>
          <w:sz w:val="24"/>
          <w:szCs w:val="24"/>
        </w:rPr>
        <w:t xml:space="preserve">allegations of a failure by Respondent to provide </w:t>
      </w:r>
      <w:r w:rsidR="003D61AD">
        <w:rPr>
          <w:color w:val="000000"/>
          <w:w w:val="106"/>
          <w:sz w:val="24"/>
          <w:szCs w:val="24"/>
        </w:rPr>
        <w:t>adequate, efficient, safe and</w:t>
      </w:r>
      <w:r w:rsidR="00450AB9">
        <w:rPr>
          <w:color w:val="000000"/>
          <w:w w:val="106"/>
          <w:sz w:val="24"/>
          <w:szCs w:val="24"/>
        </w:rPr>
        <w:t xml:space="preserve"> reasonable </w:t>
      </w:r>
      <w:r w:rsidR="00955068">
        <w:rPr>
          <w:color w:val="000000"/>
          <w:w w:val="106"/>
          <w:sz w:val="24"/>
          <w:szCs w:val="24"/>
        </w:rPr>
        <w:t>electric</w:t>
      </w:r>
      <w:r w:rsidR="00450AB9">
        <w:rPr>
          <w:color w:val="000000"/>
          <w:w w:val="106"/>
          <w:sz w:val="24"/>
          <w:szCs w:val="24"/>
        </w:rPr>
        <w:t xml:space="preserve"> service </w:t>
      </w:r>
      <w:r w:rsidR="003D61AD">
        <w:rPr>
          <w:color w:val="000000"/>
          <w:w w:val="106"/>
          <w:sz w:val="24"/>
          <w:szCs w:val="24"/>
        </w:rPr>
        <w:t xml:space="preserve">pursuant to </w:t>
      </w:r>
      <w:r w:rsidR="00450AB9">
        <w:rPr>
          <w:color w:val="000000"/>
          <w:w w:val="106"/>
          <w:sz w:val="24"/>
          <w:szCs w:val="24"/>
        </w:rPr>
        <w:t>66</w:t>
      </w:r>
      <w:r w:rsidR="0022202D">
        <w:rPr>
          <w:color w:val="000000"/>
          <w:w w:val="106"/>
          <w:sz w:val="24"/>
          <w:szCs w:val="24"/>
        </w:rPr>
        <w:t> </w:t>
      </w:r>
      <w:proofErr w:type="spellStart"/>
      <w:r w:rsidR="00450AB9">
        <w:rPr>
          <w:color w:val="000000"/>
          <w:w w:val="106"/>
          <w:sz w:val="24"/>
          <w:szCs w:val="24"/>
        </w:rPr>
        <w:t>Pa.C.S.A</w:t>
      </w:r>
      <w:proofErr w:type="spellEnd"/>
      <w:r w:rsidR="00450AB9">
        <w:rPr>
          <w:color w:val="000000"/>
          <w:w w:val="106"/>
          <w:sz w:val="24"/>
          <w:szCs w:val="24"/>
        </w:rPr>
        <w:t>. §</w:t>
      </w:r>
      <w:r w:rsidR="00585752">
        <w:rPr>
          <w:color w:val="000000"/>
          <w:w w:val="106"/>
          <w:sz w:val="24"/>
          <w:szCs w:val="24"/>
        </w:rPr>
        <w:t xml:space="preserve"> </w:t>
      </w:r>
      <w:r w:rsidR="00450AB9">
        <w:rPr>
          <w:color w:val="000000"/>
          <w:w w:val="106"/>
          <w:sz w:val="24"/>
          <w:szCs w:val="24"/>
        </w:rPr>
        <w:t>1501.</w:t>
      </w:r>
    </w:p>
    <w:p w:rsidR="001F7583" w:rsidRDefault="001F7583" w:rsidP="00FB2C03">
      <w:pPr>
        <w:spacing w:line="360" w:lineRule="auto"/>
        <w:ind w:firstLine="1440"/>
        <w:rPr>
          <w:sz w:val="24"/>
          <w:szCs w:val="24"/>
        </w:rPr>
      </w:pPr>
    </w:p>
    <w:p w:rsidR="001F7583" w:rsidRDefault="005D0C21" w:rsidP="00FB2C03">
      <w:pPr>
        <w:spacing w:line="360" w:lineRule="auto"/>
        <w:ind w:firstLine="1440"/>
        <w:rPr>
          <w:sz w:val="24"/>
          <w:szCs w:val="24"/>
        </w:rPr>
      </w:pPr>
      <w:r>
        <w:rPr>
          <w:sz w:val="24"/>
          <w:szCs w:val="24"/>
        </w:rPr>
        <w:t>2</w:t>
      </w:r>
      <w:r w:rsidR="00DA4945">
        <w:rPr>
          <w:sz w:val="24"/>
          <w:szCs w:val="24"/>
        </w:rPr>
        <w:t>.</w:t>
      </w:r>
      <w:r w:rsidR="00DA4945">
        <w:rPr>
          <w:sz w:val="24"/>
          <w:szCs w:val="24"/>
        </w:rPr>
        <w:tab/>
      </w:r>
      <w:r w:rsidR="001F7583">
        <w:rPr>
          <w:sz w:val="24"/>
          <w:szCs w:val="24"/>
        </w:rPr>
        <w:t xml:space="preserve"> </w:t>
      </w:r>
      <w:r w:rsidR="00A7021A">
        <w:rPr>
          <w:sz w:val="24"/>
          <w:szCs w:val="24"/>
        </w:rPr>
        <w:t xml:space="preserve">The Commission does not have </w:t>
      </w:r>
      <w:r w:rsidR="00B26120">
        <w:rPr>
          <w:sz w:val="24"/>
          <w:szCs w:val="24"/>
        </w:rPr>
        <w:t>authority</w:t>
      </w:r>
      <w:r w:rsidR="00A7021A">
        <w:rPr>
          <w:sz w:val="24"/>
          <w:szCs w:val="24"/>
        </w:rPr>
        <w:t xml:space="preserve"> to order Duquesne Light Company to refund monies overpaid by Complainant more than four years prior to the filing of the formal complaint.  </w:t>
      </w:r>
      <w:proofErr w:type="gramStart"/>
      <w:r w:rsidR="00A7021A">
        <w:rPr>
          <w:sz w:val="24"/>
          <w:szCs w:val="24"/>
        </w:rPr>
        <w:t xml:space="preserve">66 </w:t>
      </w:r>
      <w:proofErr w:type="spellStart"/>
      <w:r w:rsidR="00A7021A">
        <w:rPr>
          <w:sz w:val="24"/>
          <w:szCs w:val="24"/>
        </w:rPr>
        <w:t>Pa.C.S.A</w:t>
      </w:r>
      <w:proofErr w:type="spellEnd"/>
      <w:r w:rsidR="00A7021A">
        <w:rPr>
          <w:sz w:val="24"/>
          <w:szCs w:val="24"/>
        </w:rPr>
        <w:t>.</w:t>
      </w:r>
      <w:proofErr w:type="gramEnd"/>
      <w:r w:rsidR="00A7021A">
        <w:rPr>
          <w:sz w:val="24"/>
          <w:szCs w:val="24"/>
        </w:rPr>
        <w:t xml:space="preserve"> §</w:t>
      </w:r>
      <w:r w:rsidR="00585752">
        <w:rPr>
          <w:sz w:val="24"/>
          <w:szCs w:val="24"/>
        </w:rPr>
        <w:t> </w:t>
      </w:r>
      <w:r w:rsidR="00A7021A">
        <w:rPr>
          <w:sz w:val="24"/>
          <w:szCs w:val="24"/>
        </w:rPr>
        <w:t>1312(a).</w:t>
      </w:r>
    </w:p>
    <w:p w:rsidR="003D61AD" w:rsidRDefault="003D61AD" w:rsidP="00FB2C03">
      <w:pPr>
        <w:spacing w:line="360" w:lineRule="auto"/>
        <w:ind w:firstLine="1440"/>
        <w:rPr>
          <w:sz w:val="24"/>
          <w:szCs w:val="24"/>
        </w:rPr>
      </w:pPr>
    </w:p>
    <w:p w:rsidR="003D61AD" w:rsidRDefault="005D0C21" w:rsidP="00FB2C03">
      <w:pPr>
        <w:spacing w:line="360" w:lineRule="auto"/>
        <w:ind w:firstLine="1440"/>
        <w:rPr>
          <w:sz w:val="24"/>
          <w:szCs w:val="24"/>
        </w:rPr>
      </w:pPr>
      <w:r>
        <w:rPr>
          <w:sz w:val="24"/>
          <w:szCs w:val="24"/>
        </w:rPr>
        <w:t>3</w:t>
      </w:r>
      <w:r w:rsidR="003D61AD">
        <w:rPr>
          <w:sz w:val="24"/>
          <w:szCs w:val="24"/>
        </w:rPr>
        <w:t>.</w:t>
      </w:r>
      <w:r w:rsidR="003D61AD">
        <w:rPr>
          <w:sz w:val="24"/>
          <w:szCs w:val="24"/>
        </w:rPr>
        <w:tab/>
        <w:t xml:space="preserve">The Commission does not have jurisdiction over the award of damages or a determination about any contractual obligation </w:t>
      </w:r>
      <w:r w:rsidR="00946644">
        <w:rPr>
          <w:sz w:val="24"/>
          <w:szCs w:val="24"/>
        </w:rPr>
        <w:t>between Respondent and C</w:t>
      </w:r>
      <w:r w:rsidR="003D61AD">
        <w:rPr>
          <w:sz w:val="24"/>
          <w:szCs w:val="24"/>
        </w:rPr>
        <w:t xml:space="preserve">omplainant.  </w:t>
      </w:r>
      <w:proofErr w:type="spellStart"/>
      <w:proofErr w:type="gramStart"/>
      <w:r w:rsidR="00FE03EA" w:rsidRPr="002607B3">
        <w:rPr>
          <w:color w:val="000000"/>
          <w:w w:val="107"/>
          <w:sz w:val="24"/>
          <w:szCs w:val="24"/>
          <w:u w:val="single"/>
        </w:rPr>
        <w:t>Poorbaugh</w:t>
      </w:r>
      <w:proofErr w:type="spellEnd"/>
      <w:r w:rsidR="00FE03EA" w:rsidRPr="002607B3">
        <w:rPr>
          <w:color w:val="000000"/>
          <w:w w:val="107"/>
          <w:sz w:val="24"/>
          <w:szCs w:val="24"/>
          <w:u w:val="single"/>
        </w:rPr>
        <w:t xml:space="preserve"> v. Pa. Pub.</w:t>
      </w:r>
      <w:proofErr w:type="gramEnd"/>
      <w:r w:rsidR="00FE03EA" w:rsidRPr="002607B3">
        <w:rPr>
          <w:color w:val="000000"/>
          <w:w w:val="107"/>
          <w:sz w:val="24"/>
          <w:szCs w:val="24"/>
          <w:u w:val="single"/>
        </w:rPr>
        <w:t xml:space="preserve"> </w:t>
      </w:r>
      <w:proofErr w:type="gramStart"/>
      <w:r w:rsidR="00FE03EA" w:rsidRPr="002607B3">
        <w:rPr>
          <w:color w:val="000000"/>
          <w:w w:val="107"/>
          <w:sz w:val="24"/>
          <w:szCs w:val="24"/>
          <w:u w:val="single"/>
        </w:rPr>
        <w:t xml:space="preserve">Util. </w:t>
      </w:r>
      <w:proofErr w:type="spellStart"/>
      <w:r w:rsidR="00FE03EA" w:rsidRPr="002607B3">
        <w:rPr>
          <w:color w:val="000000"/>
          <w:w w:val="107"/>
          <w:sz w:val="24"/>
          <w:szCs w:val="24"/>
          <w:u w:val="single"/>
        </w:rPr>
        <w:t>Comm’n</w:t>
      </w:r>
      <w:proofErr w:type="spellEnd"/>
      <w:r w:rsidR="00FE03EA">
        <w:rPr>
          <w:color w:val="000000"/>
          <w:w w:val="107"/>
          <w:sz w:val="24"/>
          <w:szCs w:val="24"/>
        </w:rPr>
        <w:t>, 666 A.2d 744 (</w:t>
      </w:r>
      <w:proofErr w:type="spellStart"/>
      <w:r w:rsidR="00FE03EA">
        <w:rPr>
          <w:color w:val="000000"/>
          <w:w w:val="107"/>
          <w:sz w:val="24"/>
          <w:szCs w:val="24"/>
        </w:rPr>
        <w:t>Pa.Cmwlth</w:t>
      </w:r>
      <w:proofErr w:type="spellEnd"/>
      <w:r w:rsidR="00FE03EA">
        <w:rPr>
          <w:color w:val="000000"/>
          <w:w w:val="107"/>
          <w:sz w:val="24"/>
          <w:szCs w:val="24"/>
        </w:rPr>
        <w:t>. 1995).</w:t>
      </w:r>
      <w:proofErr w:type="gramEnd"/>
    </w:p>
    <w:p w:rsidR="001F7583" w:rsidRDefault="001F7583" w:rsidP="003D61AD">
      <w:pPr>
        <w:spacing w:line="360" w:lineRule="auto"/>
        <w:rPr>
          <w:sz w:val="24"/>
          <w:szCs w:val="24"/>
        </w:rPr>
      </w:pPr>
    </w:p>
    <w:p w:rsidR="005D0C21" w:rsidRDefault="005D0C21" w:rsidP="003D61AD">
      <w:pPr>
        <w:spacing w:line="360" w:lineRule="auto"/>
        <w:rPr>
          <w:sz w:val="24"/>
          <w:szCs w:val="24"/>
        </w:rPr>
      </w:pPr>
      <w:r>
        <w:rPr>
          <w:sz w:val="24"/>
          <w:szCs w:val="24"/>
        </w:rPr>
        <w:tab/>
      </w:r>
      <w:r>
        <w:rPr>
          <w:sz w:val="24"/>
          <w:szCs w:val="24"/>
        </w:rPr>
        <w:tab/>
        <w:t>4</w:t>
      </w:r>
      <w:r w:rsidR="003D61AD">
        <w:rPr>
          <w:sz w:val="24"/>
          <w:szCs w:val="24"/>
        </w:rPr>
        <w:t>.</w:t>
      </w:r>
      <w:r w:rsidR="003D61AD">
        <w:rPr>
          <w:sz w:val="24"/>
          <w:szCs w:val="24"/>
        </w:rPr>
        <w:tab/>
      </w:r>
      <w:r w:rsidR="00A7021A">
        <w:rPr>
          <w:sz w:val="24"/>
          <w:szCs w:val="24"/>
        </w:rPr>
        <w:t>The formal complaint fails to raise a claim that, if proven, might show Respondent failed in some way to furnish and maintain adequate, efficient, safe and reasonable service.</w:t>
      </w:r>
    </w:p>
    <w:p w:rsidR="00C52B7B" w:rsidRDefault="00C52B7B" w:rsidP="00EA11E4">
      <w:pPr>
        <w:spacing w:line="360" w:lineRule="auto"/>
        <w:jc w:val="center"/>
        <w:rPr>
          <w:sz w:val="24"/>
          <w:szCs w:val="24"/>
          <w:u w:val="single"/>
        </w:rPr>
      </w:pPr>
    </w:p>
    <w:p w:rsidR="001F7583" w:rsidRDefault="001F7583" w:rsidP="00EA11E4">
      <w:pPr>
        <w:spacing w:line="360" w:lineRule="auto"/>
        <w:jc w:val="center"/>
        <w:rPr>
          <w:sz w:val="24"/>
          <w:szCs w:val="24"/>
          <w:u w:val="single"/>
        </w:rPr>
      </w:pPr>
      <w:r w:rsidRPr="00A91769">
        <w:rPr>
          <w:sz w:val="24"/>
          <w:szCs w:val="24"/>
          <w:u w:val="single"/>
        </w:rPr>
        <w:lastRenderedPageBreak/>
        <w:t>ORDER</w:t>
      </w:r>
    </w:p>
    <w:p w:rsidR="000F1577" w:rsidRDefault="000F1577" w:rsidP="00EA11E4">
      <w:pPr>
        <w:spacing w:line="360" w:lineRule="auto"/>
        <w:jc w:val="center"/>
        <w:rPr>
          <w:sz w:val="24"/>
          <w:szCs w:val="24"/>
        </w:rPr>
      </w:pPr>
    </w:p>
    <w:p w:rsidR="001F7583" w:rsidRDefault="001F7583" w:rsidP="00FB2C03">
      <w:pPr>
        <w:spacing w:line="360" w:lineRule="auto"/>
        <w:rPr>
          <w:sz w:val="24"/>
          <w:szCs w:val="24"/>
        </w:rPr>
      </w:pPr>
    </w:p>
    <w:p w:rsidR="001F7583" w:rsidRDefault="001F7583" w:rsidP="00FB2C03">
      <w:pPr>
        <w:spacing w:line="360" w:lineRule="auto"/>
        <w:rPr>
          <w:sz w:val="24"/>
          <w:szCs w:val="24"/>
        </w:rPr>
      </w:pPr>
      <w:r>
        <w:rPr>
          <w:sz w:val="24"/>
          <w:szCs w:val="24"/>
        </w:rPr>
        <w:tab/>
      </w:r>
      <w:r>
        <w:rPr>
          <w:sz w:val="24"/>
          <w:szCs w:val="24"/>
        </w:rPr>
        <w:tab/>
        <w:t>THEREFORE,</w:t>
      </w:r>
    </w:p>
    <w:p w:rsidR="001F7583" w:rsidRDefault="001F7583" w:rsidP="00FB2C03">
      <w:pPr>
        <w:spacing w:line="360" w:lineRule="auto"/>
        <w:rPr>
          <w:sz w:val="24"/>
          <w:szCs w:val="24"/>
        </w:rPr>
      </w:pPr>
    </w:p>
    <w:p w:rsidR="001F7583" w:rsidRDefault="001F7583" w:rsidP="00FB2C03">
      <w:pPr>
        <w:spacing w:line="360" w:lineRule="auto"/>
        <w:rPr>
          <w:sz w:val="24"/>
          <w:szCs w:val="24"/>
        </w:rPr>
      </w:pPr>
      <w:r>
        <w:rPr>
          <w:sz w:val="24"/>
          <w:szCs w:val="24"/>
        </w:rPr>
        <w:tab/>
      </w:r>
      <w:r>
        <w:rPr>
          <w:sz w:val="24"/>
          <w:szCs w:val="24"/>
        </w:rPr>
        <w:tab/>
        <w:t>IT IS ORDERED:</w:t>
      </w:r>
    </w:p>
    <w:p w:rsidR="001F7583" w:rsidRDefault="001F7583" w:rsidP="00FB2C03">
      <w:pPr>
        <w:spacing w:line="360" w:lineRule="auto"/>
        <w:rPr>
          <w:sz w:val="24"/>
          <w:szCs w:val="24"/>
        </w:rPr>
      </w:pPr>
    </w:p>
    <w:p w:rsidR="00F17575" w:rsidRDefault="001F7583" w:rsidP="005D0C21">
      <w:pPr>
        <w:spacing w:line="360" w:lineRule="auto"/>
        <w:rPr>
          <w:sz w:val="24"/>
          <w:szCs w:val="24"/>
        </w:rPr>
      </w:pPr>
      <w:r>
        <w:rPr>
          <w:sz w:val="24"/>
          <w:szCs w:val="24"/>
        </w:rPr>
        <w:tab/>
      </w:r>
      <w:r>
        <w:rPr>
          <w:sz w:val="24"/>
          <w:szCs w:val="24"/>
        </w:rPr>
        <w:tab/>
      </w:r>
      <w:r w:rsidR="00F17575">
        <w:rPr>
          <w:sz w:val="24"/>
          <w:szCs w:val="24"/>
        </w:rPr>
        <w:t>1.</w:t>
      </w:r>
      <w:r w:rsidR="00F17575">
        <w:rPr>
          <w:sz w:val="24"/>
          <w:szCs w:val="24"/>
        </w:rPr>
        <w:tab/>
      </w:r>
      <w:r>
        <w:rPr>
          <w:sz w:val="24"/>
          <w:szCs w:val="24"/>
        </w:rPr>
        <w:t>That</w:t>
      </w:r>
      <w:r w:rsidR="00946644">
        <w:rPr>
          <w:sz w:val="24"/>
          <w:szCs w:val="24"/>
        </w:rPr>
        <w:t xml:space="preserve"> the Preliminary Objection</w:t>
      </w:r>
      <w:r w:rsidR="00C52B7B">
        <w:rPr>
          <w:sz w:val="24"/>
          <w:szCs w:val="24"/>
        </w:rPr>
        <w:t>s</w:t>
      </w:r>
      <w:r w:rsidR="00C44410">
        <w:rPr>
          <w:sz w:val="24"/>
          <w:szCs w:val="24"/>
        </w:rPr>
        <w:t xml:space="preserve"> as filed by </w:t>
      </w:r>
      <w:r w:rsidR="00946644">
        <w:rPr>
          <w:sz w:val="24"/>
          <w:szCs w:val="24"/>
        </w:rPr>
        <w:t>Duquesne Light</w:t>
      </w:r>
      <w:r w:rsidR="00955068">
        <w:rPr>
          <w:sz w:val="24"/>
          <w:szCs w:val="24"/>
        </w:rPr>
        <w:t xml:space="preserve"> Company </w:t>
      </w:r>
      <w:r w:rsidR="00C52B7B">
        <w:rPr>
          <w:sz w:val="24"/>
          <w:szCs w:val="24"/>
        </w:rPr>
        <w:t>are granted</w:t>
      </w:r>
      <w:r w:rsidR="00C44410">
        <w:rPr>
          <w:sz w:val="24"/>
          <w:szCs w:val="24"/>
        </w:rPr>
        <w:t xml:space="preserve"> </w:t>
      </w:r>
      <w:r w:rsidR="00C52B7B">
        <w:rPr>
          <w:sz w:val="24"/>
          <w:szCs w:val="24"/>
        </w:rPr>
        <w:t>in that Complainant’s request for damages is dismissed</w:t>
      </w:r>
      <w:r w:rsidR="00450AB9">
        <w:rPr>
          <w:sz w:val="24"/>
          <w:szCs w:val="24"/>
        </w:rPr>
        <w:t xml:space="preserve">.  </w:t>
      </w:r>
    </w:p>
    <w:p w:rsidR="00F17575" w:rsidRDefault="00F17575" w:rsidP="00FB2C03">
      <w:pPr>
        <w:spacing w:line="360" w:lineRule="auto"/>
        <w:rPr>
          <w:sz w:val="24"/>
          <w:szCs w:val="24"/>
        </w:rPr>
      </w:pPr>
    </w:p>
    <w:p w:rsidR="00C44410" w:rsidRDefault="005D0C21" w:rsidP="00C44410">
      <w:pPr>
        <w:spacing w:line="360" w:lineRule="auto"/>
        <w:ind w:firstLine="1440"/>
        <w:rPr>
          <w:sz w:val="24"/>
          <w:szCs w:val="24"/>
        </w:rPr>
      </w:pPr>
      <w:r>
        <w:rPr>
          <w:sz w:val="24"/>
          <w:szCs w:val="24"/>
        </w:rPr>
        <w:t>2</w:t>
      </w:r>
      <w:r w:rsidR="00C44410">
        <w:rPr>
          <w:sz w:val="24"/>
          <w:szCs w:val="24"/>
        </w:rPr>
        <w:t>.</w:t>
      </w:r>
      <w:r w:rsidR="00946644">
        <w:rPr>
          <w:sz w:val="24"/>
          <w:szCs w:val="24"/>
        </w:rPr>
        <w:tab/>
        <w:t xml:space="preserve">That </w:t>
      </w:r>
      <w:r w:rsidR="00FE03EA">
        <w:rPr>
          <w:sz w:val="24"/>
          <w:szCs w:val="24"/>
        </w:rPr>
        <w:t xml:space="preserve">the Preliminary Objections as filed by Duquesne Light Company are granted in that Complainant’s request for a refund of overcharges, due to a meter twist which she paid more than four years before the date she filed her formal complaint, is dismissed.  </w:t>
      </w:r>
    </w:p>
    <w:p w:rsidR="00760128" w:rsidRDefault="00760128" w:rsidP="00C44410">
      <w:pPr>
        <w:spacing w:line="360" w:lineRule="auto"/>
        <w:ind w:firstLine="1440"/>
        <w:rPr>
          <w:sz w:val="24"/>
          <w:szCs w:val="24"/>
        </w:rPr>
      </w:pPr>
    </w:p>
    <w:p w:rsidR="00760128" w:rsidRDefault="00760128" w:rsidP="00C44410">
      <w:pPr>
        <w:spacing w:line="360" w:lineRule="auto"/>
        <w:ind w:firstLine="1440"/>
        <w:rPr>
          <w:sz w:val="24"/>
          <w:szCs w:val="24"/>
        </w:rPr>
      </w:pPr>
      <w:r>
        <w:rPr>
          <w:sz w:val="24"/>
          <w:szCs w:val="24"/>
        </w:rPr>
        <w:t>3.</w:t>
      </w:r>
      <w:r>
        <w:rPr>
          <w:sz w:val="24"/>
          <w:szCs w:val="24"/>
        </w:rPr>
        <w:tab/>
        <w:t>That Docket No. C-2016-2544803 shall be marked closed.</w:t>
      </w:r>
    </w:p>
    <w:p w:rsidR="00C44410" w:rsidRDefault="00C44410" w:rsidP="00FB2C03">
      <w:pPr>
        <w:spacing w:line="360" w:lineRule="auto"/>
        <w:rPr>
          <w:sz w:val="24"/>
          <w:szCs w:val="24"/>
        </w:rPr>
      </w:pPr>
    </w:p>
    <w:p w:rsidR="00751011" w:rsidRDefault="00751011" w:rsidP="00FB2C03">
      <w:pPr>
        <w:spacing w:line="360" w:lineRule="auto"/>
        <w:rPr>
          <w:sz w:val="24"/>
          <w:szCs w:val="24"/>
        </w:rPr>
      </w:pPr>
    </w:p>
    <w:p w:rsidR="00F867FF" w:rsidRPr="00463CC3" w:rsidRDefault="00F867FF" w:rsidP="00FB2C03">
      <w:pPr>
        <w:spacing w:line="360" w:lineRule="auto"/>
        <w:rPr>
          <w:sz w:val="24"/>
          <w:szCs w:val="24"/>
        </w:rPr>
      </w:pPr>
    </w:p>
    <w:p w:rsidR="00760128" w:rsidRDefault="008A2A14" w:rsidP="00760128">
      <w:r w:rsidRPr="00463CC3">
        <w:rPr>
          <w:sz w:val="24"/>
          <w:szCs w:val="24"/>
        </w:rPr>
        <w:t xml:space="preserve">Date:  </w:t>
      </w:r>
      <w:r w:rsidR="00FE03EA">
        <w:rPr>
          <w:sz w:val="24"/>
          <w:szCs w:val="24"/>
          <w:u w:val="single"/>
        </w:rPr>
        <w:t>July 28</w:t>
      </w:r>
      <w:r w:rsidR="001F75E9">
        <w:rPr>
          <w:sz w:val="24"/>
          <w:szCs w:val="24"/>
          <w:u w:val="single"/>
        </w:rPr>
        <w:t>, 2016</w:t>
      </w:r>
      <w:r w:rsidR="00955068">
        <w:rPr>
          <w:sz w:val="24"/>
          <w:szCs w:val="24"/>
        </w:rPr>
        <w:tab/>
      </w:r>
      <w:r w:rsidR="00CC3C22" w:rsidRPr="00463CC3">
        <w:rPr>
          <w:sz w:val="24"/>
          <w:szCs w:val="24"/>
        </w:rPr>
        <w:tab/>
      </w:r>
      <w:r w:rsidR="00CC3C22" w:rsidRPr="00463CC3">
        <w:rPr>
          <w:sz w:val="24"/>
          <w:szCs w:val="24"/>
        </w:rPr>
        <w:tab/>
      </w:r>
      <w:r w:rsidR="00CC3C22" w:rsidRPr="00463CC3">
        <w:rPr>
          <w:sz w:val="24"/>
          <w:szCs w:val="24"/>
        </w:rPr>
        <w:tab/>
      </w:r>
      <w:r w:rsidR="002F32E4">
        <w:rPr>
          <w:sz w:val="24"/>
          <w:szCs w:val="24"/>
        </w:rPr>
        <w:tab/>
      </w:r>
      <w:r w:rsidR="00760128">
        <w:rPr>
          <w:u w:val="single"/>
        </w:rPr>
        <w:tab/>
      </w:r>
      <w:r w:rsidR="00760128">
        <w:rPr>
          <w:u w:val="single"/>
        </w:rPr>
        <w:tab/>
      </w:r>
      <w:r w:rsidR="00760128" w:rsidRPr="00760128">
        <w:rPr>
          <w:sz w:val="24"/>
          <w:szCs w:val="24"/>
          <w:u w:val="single"/>
        </w:rPr>
        <w:t>/s/</w:t>
      </w:r>
      <w:r w:rsidR="00760128">
        <w:rPr>
          <w:u w:val="single"/>
        </w:rPr>
        <w:tab/>
      </w:r>
      <w:r w:rsidR="00760128">
        <w:rPr>
          <w:u w:val="single"/>
        </w:rPr>
        <w:tab/>
      </w:r>
      <w:r w:rsidR="00760128">
        <w:rPr>
          <w:u w:val="single"/>
        </w:rPr>
        <w:tab/>
      </w:r>
      <w:r w:rsidR="00760128">
        <w:rPr>
          <w:u w:val="single"/>
        </w:rPr>
        <w:tab/>
      </w:r>
    </w:p>
    <w:p w:rsidR="008A2A14" w:rsidRDefault="008A2A14" w:rsidP="00FB2C03">
      <w:pPr>
        <w:rPr>
          <w:sz w:val="24"/>
          <w:szCs w:val="24"/>
        </w:rPr>
      </w:pPr>
      <w:r w:rsidRPr="00463CC3">
        <w:rPr>
          <w:sz w:val="24"/>
          <w:szCs w:val="24"/>
        </w:rPr>
        <w:tab/>
      </w:r>
      <w:r w:rsidRPr="00463CC3">
        <w:rPr>
          <w:sz w:val="24"/>
          <w:szCs w:val="24"/>
        </w:rPr>
        <w:tab/>
      </w:r>
      <w:r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r>
      <w:r w:rsidR="003D6796" w:rsidRPr="00463CC3">
        <w:rPr>
          <w:sz w:val="24"/>
          <w:szCs w:val="24"/>
        </w:rPr>
        <w:tab/>
        <w:t>Katrina L. Dunderdale</w:t>
      </w:r>
    </w:p>
    <w:p w:rsidR="00BC6CEC" w:rsidRDefault="00463CC3" w:rsidP="00FE03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F32E4">
        <w:rPr>
          <w:sz w:val="24"/>
          <w:szCs w:val="24"/>
        </w:rPr>
        <w:tab/>
      </w:r>
      <w:r w:rsidR="008A2A14" w:rsidRPr="00463CC3">
        <w:rPr>
          <w:sz w:val="24"/>
          <w:szCs w:val="24"/>
        </w:rPr>
        <w:t>Administrative Law Judge</w:t>
      </w:r>
    </w:p>
    <w:p w:rsidR="00FE03EA" w:rsidRPr="004F5AC1" w:rsidRDefault="00FE03EA" w:rsidP="00FE03EA">
      <w:pPr>
        <w:rPr>
          <w:sz w:val="24"/>
          <w:szCs w:val="24"/>
        </w:rPr>
      </w:pPr>
    </w:p>
    <w:sectPr w:rsidR="00FE03EA" w:rsidRPr="004F5AC1" w:rsidSect="00A765EA">
      <w:footerReference w:type="default" r:id="rId9"/>
      <w:endnotePr>
        <w:numFmt w:val="decimal"/>
      </w:endnotePr>
      <w:pgSz w:w="12240" w:h="15840" w:code="1"/>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81D" w:rsidRDefault="00F2281D">
      <w:r>
        <w:separator/>
      </w:r>
    </w:p>
  </w:endnote>
  <w:endnote w:type="continuationSeparator" w:id="0">
    <w:p w:rsidR="00F2281D" w:rsidRDefault="00F2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732292"/>
      <w:docPartObj>
        <w:docPartGallery w:val="Page Numbers (Bottom of Page)"/>
        <w:docPartUnique/>
      </w:docPartObj>
    </w:sdtPr>
    <w:sdtEndPr>
      <w:rPr>
        <w:noProof/>
      </w:rPr>
    </w:sdtEndPr>
    <w:sdtContent>
      <w:p w:rsidR="00067502" w:rsidRPr="00407B70" w:rsidRDefault="00067502">
        <w:pPr>
          <w:pStyle w:val="Footer"/>
          <w:jc w:val="center"/>
        </w:pPr>
        <w:r w:rsidRPr="00407B70">
          <w:fldChar w:fldCharType="begin"/>
        </w:r>
        <w:r w:rsidRPr="00407B70">
          <w:instrText xml:space="preserve"> PAGE   \* MERGEFORMAT </w:instrText>
        </w:r>
        <w:r w:rsidRPr="00407B70">
          <w:fldChar w:fldCharType="separate"/>
        </w:r>
        <w:r w:rsidR="00787442">
          <w:rPr>
            <w:noProof/>
          </w:rPr>
          <w:t>2</w:t>
        </w:r>
        <w:r w:rsidRPr="00407B70">
          <w:rPr>
            <w:noProof/>
          </w:rPr>
          <w:fldChar w:fldCharType="end"/>
        </w:r>
      </w:p>
    </w:sdtContent>
  </w:sdt>
  <w:p w:rsidR="006825F2" w:rsidRDefault="006825F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81D" w:rsidRDefault="00F2281D">
      <w:r>
        <w:separator/>
      </w:r>
    </w:p>
  </w:footnote>
  <w:footnote w:type="continuationSeparator" w:id="0">
    <w:p w:rsidR="00F2281D" w:rsidRDefault="00F2281D">
      <w:r>
        <w:continuationSeparator/>
      </w:r>
    </w:p>
  </w:footnote>
  <w:footnote w:id="1">
    <w:p w:rsidR="00594D3A" w:rsidRPr="00594D3A" w:rsidRDefault="00594D3A">
      <w:pPr>
        <w:pStyle w:val="FootnoteText"/>
        <w:rPr>
          <w:vertAlign w:val="superscript"/>
        </w:rPr>
      </w:pPr>
      <w:r w:rsidRPr="00594D3A">
        <w:rPr>
          <w:rStyle w:val="FootnoteReference"/>
          <w:vertAlign w:val="superscript"/>
        </w:rPr>
        <w:footnoteRef/>
      </w:r>
      <w:r w:rsidRPr="00594D3A">
        <w:rPr>
          <w:vertAlign w:val="superscript"/>
        </w:rPr>
        <w:t xml:space="preserve"> </w:t>
      </w:r>
      <w:r>
        <w:rPr>
          <w:vertAlign w:val="superscript"/>
        </w:rPr>
        <w:tab/>
      </w:r>
      <w:r>
        <w:t>The “meter twist” mentioned by both parties refers to meters for Complainant and her neighbor which were incorrectly labeled (i.e., switched) by an unknown actor in or ar</w:t>
      </w:r>
      <w:r w:rsidR="00553D57">
        <w:t>o</w:t>
      </w:r>
      <w:r>
        <w:t>und the time of the new construction in 2000.</w:t>
      </w:r>
      <w:r w:rsidRPr="00594D3A">
        <w:rPr>
          <w:vertAlign w:val="superscript"/>
        </w:rPr>
        <w:tab/>
      </w:r>
    </w:p>
  </w:footnote>
  <w:footnote w:id="2">
    <w:p w:rsidR="005D0C21" w:rsidRDefault="005D0C21">
      <w:pPr>
        <w:pStyle w:val="FootnoteText"/>
      </w:pPr>
      <w:r w:rsidRPr="00821966">
        <w:rPr>
          <w:rStyle w:val="FootnoteReference"/>
          <w:vertAlign w:val="superscript"/>
        </w:rPr>
        <w:footnoteRef/>
      </w:r>
      <w:r w:rsidRPr="00821966">
        <w:rPr>
          <w:vertAlign w:val="superscript"/>
        </w:rPr>
        <w:t xml:space="preserve"> </w:t>
      </w:r>
      <w:r w:rsidRPr="005D0C21">
        <w:tab/>
      </w:r>
      <w:r w:rsidRPr="005D0C21">
        <w:rPr>
          <w:u w:val="single"/>
        </w:rPr>
        <w:t>Equitable Small Transportation Interveners v. Equitable Gas Company</w:t>
      </w:r>
      <w:r w:rsidRPr="005D0C21">
        <w:t xml:space="preserve">, 1994 Pa. PUC LEXIS 69, Docket No. </w:t>
      </w:r>
      <w:proofErr w:type="gramStart"/>
      <w:r w:rsidRPr="005D0C21">
        <w:t>C-00935435 (1994).</w:t>
      </w:r>
      <w:proofErr w:type="gramEnd"/>
      <w:r w:rsidRPr="005D0C21">
        <w:t xml:space="preserve">  </w:t>
      </w:r>
    </w:p>
    <w:p w:rsidR="002607B3" w:rsidRPr="005D0C21" w:rsidRDefault="002607B3">
      <w:pPr>
        <w:pStyle w:val="FootnoteText"/>
      </w:pPr>
    </w:p>
  </w:footnote>
  <w:footnote w:id="3">
    <w:p w:rsidR="00163436" w:rsidRPr="00163436" w:rsidRDefault="00163436">
      <w:pPr>
        <w:pStyle w:val="FootnoteText"/>
      </w:pPr>
      <w:r w:rsidRPr="00163436">
        <w:rPr>
          <w:rStyle w:val="FootnoteReference"/>
          <w:vertAlign w:val="superscript"/>
        </w:rPr>
        <w:footnoteRef/>
      </w:r>
      <w:r w:rsidRPr="00163436">
        <w:rPr>
          <w:vertAlign w:val="superscript"/>
        </w:rPr>
        <w:t xml:space="preserve"> </w:t>
      </w:r>
      <w:r>
        <w:rPr>
          <w:vertAlign w:val="superscript"/>
        </w:rPr>
        <w:tab/>
      </w:r>
      <w:r w:rsidRPr="00163436">
        <w:t xml:space="preserve">52 </w:t>
      </w:r>
      <w:proofErr w:type="spellStart"/>
      <w:r w:rsidRPr="00163436">
        <w:t>Pa.Code</w:t>
      </w:r>
      <w:proofErr w:type="spellEnd"/>
      <w:r w:rsidRPr="00163436">
        <w:t xml:space="preserve"> § 5.101(a</w:t>
      </w:r>
      <w:proofErr w:type="gramStart"/>
      <w:r w:rsidRPr="00163436">
        <w:t>)(</w:t>
      </w:r>
      <w:proofErr w:type="gramEnd"/>
      <w:r w:rsidRPr="00163436">
        <w:t>1).</w:t>
      </w:r>
    </w:p>
    <w:p w:rsidR="00163436" w:rsidRPr="00163436" w:rsidRDefault="00163436">
      <w:pPr>
        <w:pStyle w:val="FootnoteText"/>
        <w:rPr>
          <w:vertAlign w:val="superscript"/>
        </w:rPr>
      </w:pPr>
    </w:p>
  </w:footnote>
  <w:footnote w:id="4">
    <w:p w:rsidR="00F74440" w:rsidRDefault="00F74440">
      <w:pPr>
        <w:pStyle w:val="FootnoteText"/>
      </w:pPr>
      <w:r w:rsidRPr="00F74440">
        <w:rPr>
          <w:rStyle w:val="FootnoteReference"/>
          <w:vertAlign w:val="superscript"/>
        </w:rPr>
        <w:footnoteRef/>
      </w:r>
      <w:r>
        <w:t xml:space="preserve"> </w:t>
      </w:r>
      <w:r>
        <w:tab/>
        <w:t xml:space="preserve">Cited to, </w:t>
      </w:r>
      <w:proofErr w:type="spellStart"/>
      <w:r w:rsidRPr="00F74440">
        <w:rPr>
          <w:u w:val="single"/>
        </w:rPr>
        <w:t>Hudock</w:t>
      </w:r>
      <w:proofErr w:type="spellEnd"/>
      <w:r w:rsidRPr="00F74440">
        <w:rPr>
          <w:u w:val="single"/>
        </w:rPr>
        <w:t xml:space="preserve"> v. Donegal </w:t>
      </w:r>
      <w:proofErr w:type="spellStart"/>
      <w:r w:rsidRPr="00F74440">
        <w:rPr>
          <w:u w:val="single"/>
        </w:rPr>
        <w:t>Mut</w:t>
      </w:r>
      <w:proofErr w:type="spellEnd"/>
      <w:r w:rsidRPr="00F74440">
        <w:rPr>
          <w:u w:val="single"/>
        </w:rPr>
        <w:t xml:space="preserve">. </w:t>
      </w:r>
      <w:proofErr w:type="gramStart"/>
      <w:r w:rsidRPr="00F74440">
        <w:rPr>
          <w:u w:val="single"/>
        </w:rPr>
        <w:t>Ins. Co</w:t>
      </w:r>
      <w:r>
        <w:t>., 264 A.2d 688 (Pa. 1970).</w:t>
      </w:r>
      <w:proofErr w:type="gramEnd"/>
    </w:p>
    <w:p w:rsidR="00061984" w:rsidRDefault="00061984">
      <w:pPr>
        <w:pStyle w:val="FootnoteText"/>
      </w:pPr>
    </w:p>
  </w:footnote>
  <w:footnote w:id="5">
    <w:p w:rsidR="00061984" w:rsidRDefault="00061984">
      <w:pPr>
        <w:pStyle w:val="FootnoteText"/>
      </w:pPr>
      <w:r w:rsidRPr="00061984">
        <w:rPr>
          <w:rStyle w:val="FootnoteReference"/>
          <w:vertAlign w:val="superscript"/>
        </w:rPr>
        <w:footnoteRef/>
      </w:r>
      <w:r w:rsidRPr="00061984">
        <w:rPr>
          <w:vertAlign w:val="superscript"/>
        </w:rPr>
        <w:t xml:space="preserve"> </w:t>
      </w:r>
      <w:r>
        <w:rPr>
          <w:vertAlign w:val="superscript"/>
        </w:rPr>
        <w:tab/>
      </w:r>
      <w:r>
        <w:t xml:space="preserve">See </w:t>
      </w:r>
      <w:proofErr w:type="gramStart"/>
      <w:r>
        <w:t xml:space="preserve">66 </w:t>
      </w:r>
      <w:proofErr w:type="spellStart"/>
      <w:r>
        <w:t>Pa.C.S.A</w:t>
      </w:r>
      <w:proofErr w:type="spellEnd"/>
      <w:proofErr w:type="gramEnd"/>
      <w:r>
        <w:t>. §</w:t>
      </w:r>
      <w:r w:rsidR="00204096">
        <w:t xml:space="preserve"> </w:t>
      </w:r>
      <w:r>
        <w:t xml:space="preserve">1312; also </w:t>
      </w:r>
      <w:r w:rsidRPr="00204096">
        <w:rPr>
          <w:u w:val="single"/>
        </w:rPr>
        <w:t xml:space="preserve">United Tel. Co. of Pennsylvania v. Pa. Pub. </w:t>
      </w:r>
      <w:proofErr w:type="gramStart"/>
      <w:r w:rsidRPr="00204096">
        <w:rPr>
          <w:u w:val="single"/>
        </w:rPr>
        <w:t xml:space="preserve">Util. </w:t>
      </w:r>
      <w:proofErr w:type="spellStart"/>
      <w:r w:rsidRPr="00204096">
        <w:rPr>
          <w:u w:val="single"/>
        </w:rPr>
        <w:t>Comm’n</w:t>
      </w:r>
      <w:proofErr w:type="spellEnd"/>
      <w:r>
        <w:t>, 676 A.2d 1244</w:t>
      </w:r>
      <w:r w:rsidR="00B233D4">
        <w:t>, 1251</w:t>
      </w:r>
      <w:r>
        <w:t xml:space="preserve"> (</w:t>
      </w:r>
      <w:proofErr w:type="spellStart"/>
      <w:r>
        <w:t>Pa.Cmwlth</w:t>
      </w:r>
      <w:proofErr w:type="spellEnd"/>
      <w:r>
        <w:t>. 1996).</w:t>
      </w:r>
      <w:proofErr w:type="gramEnd"/>
    </w:p>
    <w:p w:rsidR="00061984" w:rsidRPr="00061984" w:rsidRDefault="00061984">
      <w:pPr>
        <w:pStyle w:val="FootnoteText"/>
      </w:pPr>
    </w:p>
  </w:footnote>
  <w:footnote w:id="6">
    <w:p w:rsidR="00235A85" w:rsidRDefault="00235A85">
      <w:pPr>
        <w:pStyle w:val="FootnoteText"/>
      </w:pPr>
      <w:r w:rsidRPr="00AF65B7">
        <w:rPr>
          <w:rStyle w:val="FootnoteReference"/>
          <w:vertAlign w:val="superscript"/>
        </w:rPr>
        <w:footnoteRef/>
      </w:r>
      <w:r w:rsidRPr="00AF65B7">
        <w:t xml:space="preserve"> </w:t>
      </w:r>
      <w:r w:rsidRPr="00235A85">
        <w:tab/>
      </w:r>
      <w:r w:rsidRPr="00235A85">
        <w:rPr>
          <w:i/>
        </w:rPr>
        <w:t>See also</w:t>
      </w:r>
      <w:r w:rsidRPr="00235A85">
        <w:t xml:space="preserve">, 52 </w:t>
      </w:r>
      <w:proofErr w:type="spellStart"/>
      <w:r w:rsidRPr="00235A85">
        <w:t>Pa</w:t>
      </w:r>
      <w:r w:rsidR="009A33F9">
        <w:t>.</w:t>
      </w:r>
      <w:r w:rsidRPr="00235A85">
        <w:t>Code</w:t>
      </w:r>
      <w:proofErr w:type="spellEnd"/>
      <w:r w:rsidRPr="00235A85">
        <w:t xml:space="preserve"> §</w:t>
      </w:r>
      <w:r w:rsidR="009A33F9">
        <w:t xml:space="preserve"> </w:t>
      </w:r>
      <w:r w:rsidRPr="00235A85">
        <w:t>5.21(a).</w:t>
      </w:r>
    </w:p>
    <w:p w:rsidR="00DC65D6" w:rsidRPr="00235A85" w:rsidRDefault="00DC65D6">
      <w:pPr>
        <w:pStyle w:val="FootnoteText"/>
      </w:pPr>
    </w:p>
  </w:footnote>
  <w:footnote w:id="7">
    <w:p w:rsidR="00235A85" w:rsidRDefault="00235A85">
      <w:pPr>
        <w:pStyle w:val="FootnoteText"/>
      </w:pPr>
      <w:r w:rsidRPr="002D1C45">
        <w:rPr>
          <w:rStyle w:val="FootnoteReference"/>
          <w:vertAlign w:val="superscript"/>
        </w:rPr>
        <w:footnoteRef/>
      </w:r>
      <w:r w:rsidRPr="002D1C45">
        <w:rPr>
          <w:vertAlign w:val="superscript"/>
        </w:rPr>
        <w:t xml:space="preserve"> </w:t>
      </w:r>
      <w:r w:rsidRPr="00235A85">
        <w:tab/>
      </w:r>
      <w:r w:rsidRPr="00235A85">
        <w:rPr>
          <w:u w:val="single"/>
        </w:rPr>
        <w:t>Lehigh Valley Power Comm. v. Pa. Pub</w:t>
      </w:r>
      <w:r w:rsidR="00124922">
        <w:rPr>
          <w:u w:val="single"/>
        </w:rPr>
        <w:t>.</w:t>
      </w:r>
      <w:r w:rsidRPr="00235A85">
        <w:rPr>
          <w:u w:val="single"/>
        </w:rPr>
        <w:t xml:space="preserve"> </w:t>
      </w:r>
      <w:proofErr w:type="gramStart"/>
      <w:r w:rsidRPr="00235A85">
        <w:rPr>
          <w:u w:val="single"/>
        </w:rPr>
        <w:t>Util</w:t>
      </w:r>
      <w:r w:rsidR="00124922">
        <w:rPr>
          <w:u w:val="single"/>
        </w:rPr>
        <w:t>.</w:t>
      </w:r>
      <w:r w:rsidRPr="00235A85">
        <w:rPr>
          <w:u w:val="single"/>
        </w:rPr>
        <w:t xml:space="preserve"> </w:t>
      </w:r>
      <w:proofErr w:type="spellStart"/>
      <w:r w:rsidRPr="00235A85">
        <w:rPr>
          <w:u w:val="single"/>
        </w:rPr>
        <w:t>Comm’n</w:t>
      </w:r>
      <w:proofErr w:type="spellEnd"/>
      <w:r w:rsidRPr="00235A85">
        <w:t>, 563 A.2d 548 (</w:t>
      </w:r>
      <w:proofErr w:type="spellStart"/>
      <w:r w:rsidRPr="00235A85">
        <w:t>Pa.C</w:t>
      </w:r>
      <w:r w:rsidR="00D949D3">
        <w:t>mwlth</w:t>
      </w:r>
      <w:proofErr w:type="spellEnd"/>
      <w:r w:rsidRPr="00235A85">
        <w:t xml:space="preserve">. 1989); </w:t>
      </w:r>
      <w:proofErr w:type="spellStart"/>
      <w:r w:rsidRPr="00235A85">
        <w:rPr>
          <w:u w:val="single"/>
        </w:rPr>
        <w:t>Edan</w:t>
      </w:r>
      <w:proofErr w:type="spellEnd"/>
      <w:r w:rsidRPr="00235A85">
        <w:rPr>
          <w:u w:val="single"/>
        </w:rPr>
        <w:t xml:space="preserve"> Transportation Corp. v. Pa. Pub</w:t>
      </w:r>
      <w:r w:rsidR="00124922">
        <w:rPr>
          <w:u w:val="single"/>
        </w:rPr>
        <w:t>.</w:t>
      </w:r>
      <w:proofErr w:type="gramEnd"/>
      <w:r w:rsidRPr="00235A85">
        <w:rPr>
          <w:u w:val="single"/>
        </w:rPr>
        <w:t xml:space="preserve"> </w:t>
      </w:r>
      <w:proofErr w:type="gramStart"/>
      <w:r w:rsidRPr="00235A85">
        <w:rPr>
          <w:u w:val="single"/>
        </w:rPr>
        <w:t>Util</w:t>
      </w:r>
      <w:r w:rsidR="00124922">
        <w:rPr>
          <w:u w:val="single"/>
        </w:rPr>
        <w:t>.</w:t>
      </w:r>
      <w:r w:rsidRPr="00235A85">
        <w:rPr>
          <w:u w:val="single"/>
        </w:rPr>
        <w:t xml:space="preserve"> </w:t>
      </w:r>
      <w:proofErr w:type="spellStart"/>
      <w:r w:rsidRPr="00235A85">
        <w:rPr>
          <w:u w:val="single"/>
        </w:rPr>
        <w:t>Comm’n</w:t>
      </w:r>
      <w:proofErr w:type="spellEnd"/>
      <w:r w:rsidRPr="00235A85">
        <w:t>, 623 A.2d 6 (</w:t>
      </w:r>
      <w:proofErr w:type="spellStart"/>
      <w:r w:rsidRPr="00235A85">
        <w:t>Pa.C</w:t>
      </w:r>
      <w:r w:rsidR="00D949D3">
        <w:t>mwlth</w:t>
      </w:r>
      <w:proofErr w:type="spellEnd"/>
      <w:r w:rsidRPr="00235A85">
        <w:t>. 1993).</w:t>
      </w:r>
      <w:proofErr w:type="gramEnd"/>
      <w:r w:rsidRPr="00235A85">
        <w:t xml:space="preserve">  </w:t>
      </w:r>
    </w:p>
    <w:p w:rsidR="009326A5" w:rsidRPr="00235A85" w:rsidRDefault="009326A5">
      <w:pPr>
        <w:pStyle w:val="FootnoteText"/>
      </w:pPr>
    </w:p>
  </w:footnote>
  <w:footnote w:id="8">
    <w:p w:rsidR="009326A5" w:rsidRPr="00235A85" w:rsidRDefault="009326A5" w:rsidP="009326A5">
      <w:pPr>
        <w:pStyle w:val="FootnoteText"/>
      </w:pPr>
      <w:r w:rsidRPr="00B75608">
        <w:rPr>
          <w:rStyle w:val="FootnoteReference"/>
          <w:vertAlign w:val="superscript"/>
        </w:rPr>
        <w:footnoteRef/>
      </w:r>
      <w:r w:rsidRPr="00B75608">
        <w:rPr>
          <w:vertAlign w:val="superscript"/>
        </w:rPr>
        <w:t xml:space="preserve"> </w:t>
      </w:r>
      <w:r w:rsidRPr="00235A85">
        <w:tab/>
      </w:r>
      <w:proofErr w:type="gramStart"/>
      <w:r w:rsidRPr="00235A85">
        <w:rPr>
          <w:i/>
        </w:rPr>
        <w:t>See</w:t>
      </w:r>
      <w:r w:rsidRPr="00235A85">
        <w:t>,</w:t>
      </w:r>
      <w:r w:rsidR="00251F27">
        <w:t xml:space="preserve"> </w:t>
      </w:r>
      <w:r w:rsidR="00251F27" w:rsidRPr="00251F27">
        <w:rPr>
          <w:u w:val="single"/>
        </w:rPr>
        <w:t>Emporium Water Co. v. Pa. Pub.</w:t>
      </w:r>
      <w:proofErr w:type="gramEnd"/>
      <w:r w:rsidR="00251F27" w:rsidRPr="00251F27">
        <w:rPr>
          <w:u w:val="single"/>
        </w:rPr>
        <w:t xml:space="preserve"> </w:t>
      </w:r>
      <w:proofErr w:type="gramStart"/>
      <w:r w:rsidR="00251F27" w:rsidRPr="00251F27">
        <w:rPr>
          <w:u w:val="single"/>
        </w:rPr>
        <w:t xml:space="preserve">Util. </w:t>
      </w:r>
      <w:proofErr w:type="spellStart"/>
      <w:r w:rsidR="00251F27" w:rsidRPr="00251F27">
        <w:rPr>
          <w:u w:val="single"/>
        </w:rPr>
        <w:t>Comm’n</w:t>
      </w:r>
      <w:proofErr w:type="spellEnd"/>
      <w:r w:rsidR="00251F27">
        <w:t>, 859 A.2d 20 (</w:t>
      </w:r>
      <w:proofErr w:type="spellStart"/>
      <w:r w:rsidR="00251F27">
        <w:t>Pa.C</w:t>
      </w:r>
      <w:r w:rsidR="00D949D3">
        <w:t>mwlth</w:t>
      </w:r>
      <w:proofErr w:type="spellEnd"/>
      <w:r w:rsidR="00251F27">
        <w:t>. 2004)</w:t>
      </w:r>
      <w:r w:rsidRPr="00235A85">
        <w:t>.</w:t>
      </w:r>
      <w:proofErr w:type="gramEnd"/>
    </w:p>
  </w:footnote>
  <w:footnote w:id="9">
    <w:p w:rsidR="00DC65D6" w:rsidRPr="00DC65D6" w:rsidRDefault="00DC65D6">
      <w:pPr>
        <w:pStyle w:val="FootnoteText"/>
      </w:pPr>
      <w:r w:rsidRPr="00DC65D6">
        <w:rPr>
          <w:rStyle w:val="FootnoteReference"/>
          <w:vertAlign w:val="superscript"/>
        </w:rPr>
        <w:footnoteRef/>
      </w:r>
      <w:r w:rsidRPr="00DC65D6">
        <w:rPr>
          <w:vertAlign w:val="superscript"/>
        </w:rPr>
        <w:t xml:space="preserve"> </w:t>
      </w:r>
      <w:r>
        <w:rPr>
          <w:vertAlign w:val="superscript"/>
        </w:rPr>
        <w:tab/>
      </w:r>
      <w:r>
        <w:t xml:space="preserve">See </w:t>
      </w:r>
      <w:proofErr w:type="gramStart"/>
      <w:r>
        <w:t xml:space="preserve">66 </w:t>
      </w:r>
      <w:proofErr w:type="spellStart"/>
      <w:r>
        <w:t>Pa.C.S.A</w:t>
      </w:r>
      <w:proofErr w:type="spellEnd"/>
      <w:proofErr w:type="gramEnd"/>
      <w:r>
        <w:t>. § 1312.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6F6"/>
    <w:multiLevelType w:val="hybridMultilevel"/>
    <w:tmpl w:val="5400EA98"/>
    <w:lvl w:ilvl="0" w:tplc="BBEE34D6">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67EC0"/>
    <w:multiLevelType w:val="hybridMultilevel"/>
    <w:tmpl w:val="B47CA454"/>
    <w:lvl w:ilvl="0" w:tplc="BA3C0B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93C435F"/>
    <w:multiLevelType w:val="singleLevel"/>
    <w:tmpl w:val="0409000F"/>
    <w:lvl w:ilvl="0">
      <w:start w:val="1"/>
      <w:numFmt w:val="decimal"/>
      <w:lvlText w:val="%1."/>
      <w:lvlJc w:val="left"/>
      <w:pPr>
        <w:tabs>
          <w:tab w:val="num" w:pos="720"/>
        </w:tabs>
        <w:ind w:left="720" w:hanging="360"/>
      </w:pPr>
      <w:rPr>
        <w:rFonts w:hint="default"/>
      </w:rPr>
    </w:lvl>
  </w:abstractNum>
  <w:abstractNum w:abstractNumId="4">
    <w:nsid w:val="1CB636FD"/>
    <w:multiLevelType w:val="hybridMultilevel"/>
    <w:tmpl w:val="6BD083B6"/>
    <w:lvl w:ilvl="0" w:tplc="2E96770C">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5EC1413"/>
    <w:multiLevelType w:val="hybridMultilevel"/>
    <w:tmpl w:val="1A3CF95A"/>
    <w:lvl w:ilvl="0" w:tplc="C7EC2F6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6DF220A"/>
    <w:multiLevelType w:val="hybridMultilevel"/>
    <w:tmpl w:val="3850C58E"/>
    <w:lvl w:ilvl="0" w:tplc="1040AFF8">
      <w:start w:val="3"/>
      <w:numFmt w:val="decimal"/>
      <w:lvlText w:val="%1."/>
      <w:lvlJc w:val="left"/>
      <w:pPr>
        <w:tabs>
          <w:tab w:val="num" w:pos="1710"/>
        </w:tabs>
        <w:ind w:left="1710" w:hanging="360"/>
      </w:pPr>
      <w:rPr>
        <w:rFonts w:hint="default"/>
        <w:sz w:val="20"/>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nsid w:val="52B82C7A"/>
    <w:multiLevelType w:val="hybridMultilevel"/>
    <w:tmpl w:val="D30299A8"/>
    <w:lvl w:ilvl="0" w:tplc="3BBE592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7CAF2A89"/>
    <w:multiLevelType w:val="hybridMultilevel"/>
    <w:tmpl w:val="124C3CD4"/>
    <w:lvl w:ilvl="0" w:tplc="F738D84C">
      <w:start w:val="1"/>
      <w:numFmt w:val="decimal"/>
      <w:lvlText w:val="%1."/>
      <w:lvlJc w:val="left"/>
      <w:pPr>
        <w:tabs>
          <w:tab w:val="num" w:pos="720"/>
        </w:tabs>
        <w:ind w:left="720" w:hanging="72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8"/>
  </w:num>
  <w:num w:numId="4">
    <w:abstractNumId w:val="5"/>
  </w:num>
  <w:num w:numId="5">
    <w:abstractNumId w:val="6"/>
  </w:num>
  <w:num w:numId="6">
    <w:abstractNumId w:val="7"/>
  </w:num>
  <w:num w:numId="7">
    <w:abstractNumId w:val="2"/>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EC"/>
    <w:rsid w:val="00005D97"/>
    <w:rsid w:val="00010630"/>
    <w:rsid w:val="00015AD8"/>
    <w:rsid w:val="00037588"/>
    <w:rsid w:val="00043B6D"/>
    <w:rsid w:val="000518D4"/>
    <w:rsid w:val="00056E8C"/>
    <w:rsid w:val="00061984"/>
    <w:rsid w:val="000644EB"/>
    <w:rsid w:val="00067502"/>
    <w:rsid w:val="00077527"/>
    <w:rsid w:val="00083AD6"/>
    <w:rsid w:val="00084531"/>
    <w:rsid w:val="000921D5"/>
    <w:rsid w:val="00096DEE"/>
    <w:rsid w:val="00097FE2"/>
    <w:rsid w:val="000E468C"/>
    <w:rsid w:val="000F1577"/>
    <w:rsid w:val="000F625C"/>
    <w:rsid w:val="0011220F"/>
    <w:rsid w:val="00120345"/>
    <w:rsid w:val="00124922"/>
    <w:rsid w:val="00141862"/>
    <w:rsid w:val="001418B9"/>
    <w:rsid w:val="0014193D"/>
    <w:rsid w:val="00142CAE"/>
    <w:rsid w:val="00152206"/>
    <w:rsid w:val="001544EE"/>
    <w:rsid w:val="00156B61"/>
    <w:rsid w:val="00156B69"/>
    <w:rsid w:val="00163436"/>
    <w:rsid w:val="0016771D"/>
    <w:rsid w:val="001705FD"/>
    <w:rsid w:val="00174FA4"/>
    <w:rsid w:val="0018172E"/>
    <w:rsid w:val="00181AE5"/>
    <w:rsid w:val="001A2615"/>
    <w:rsid w:val="001B2595"/>
    <w:rsid w:val="001B7E12"/>
    <w:rsid w:val="001C00E9"/>
    <w:rsid w:val="001D5D37"/>
    <w:rsid w:val="001D75A5"/>
    <w:rsid w:val="001E0B1B"/>
    <w:rsid w:val="001E5B3A"/>
    <w:rsid w:val="001E636C"/>
    <w:rsid w:val="001F7583"/>
    <w:rsid w:val="001F75E9"/>
    <w:rsid w:val="00204096"/>
    <w:rsid w:val="002058FF"/>
    <w:rsid w:val="00217B60"/>
    <w:rsid w:val="0022202D"/>
    <w:rsid w:val="00223923"/>
    <w:rsid w:val="0022539D"/>
    <w:rsid w:val="00226059"/>
    <w:rsid w:val="00235A85"/>
    <w:rsid w:val="00236455"/>
    <w:rsid w:val="00251F27"/>
    <w:rsid w:val="00252CC1"/>
    <w:rsid w:val="002607B3"/>
    <w:rsid w:val="00263774"/>
    <w:rsid w:val="00263CED"/>
    <w:rsid w:val="00275D87"/>
    <w:rsid w:val="00291C1D"/>
    <w:rsid w:val="002C1F09"/>
    <w:rsid w:val="002C7906"/>
    <w:rsid w:val="002D008B"/>
    <w:rsid w:val="002D1C45"/>
    <w:rsid w:val="002F2632"/>
    <w:rsid w:val="002F32E4"/>
    <w:rsid w:val="002F4A84"/>
    <w:rsid w:val="002F60D7"/>
    <w:rsid w:val="003146E7"/>
    <w:rsid w:val="00317CD9"/>
    <w:rsid w:val="00320186"/>
    <w:rsid w:val="00334D44"/>
    <w:rsid w:val="003376D6"/>
    <w:rsid w:val="003628EC"/>
    <w:rsid w:val="00372D81"/>
    <w:rsid w:val="00373601"/>
    <w:rsid w:val="00381526"/>
    <w:rsid w:val="00381D37"/>
    <w:rsid w:val="00383264"/>
    <w:rsid w:val="00384CE0"/>
    <w:rsid w:val="0038588B"/>
    <w:rsid w:val="003911C3"/>
    <w:rsid w:val="00396AAD"/>
    <w:rsid w:val="00396CB9"/>
    <w:rsid w:val="003A4B3C"/>
    <w:rsid w:val="003A65F1"/>
    <w:rsid w:val="003A782A"/>
    <w:rsid w:val="003B2B3E"/>
    <w:rsid w:val="003B3329"/>
    <w:rsid w:val="003C0A9A"/>
    <w:rsid w:val="003D509F"/>
    <w:rsid w:val="003D61AD"/>
    <w:rsid w:val="003D6796"/>
    <w:rsid w:val="003E6752"/>
    <w:rsid w:val="003E68FB"/>
    <w:rsid w:val="003F136C"/>
    <w:rsid w:val="00407B70"/>
    <w:rsid w:val="00411054"/>
    <w:rsid w:val="0041275E"/>
    <w:rsid w:val="0041302C"/>
    <w:rsid w:val="00446BE1"/>
    <w:rsid w:val="00450AB9"/>
    <w:rsid w:val="00463CC3"/>
    <w:rsid w:val="0046605E"/>
    <w:rsid w:val="00473C46"/>
    <w:rsid w:val="004765EE"/>
    <w:rsid w:val="0048059F"/>
    <w:rsid w:val="0048074B"/>
    <w:rsid w:val="004822FE"/>
    <w:rsid w:val="00487FFB"/>
    <w:rsid w:val="00491847"/>
    <w:rsid w:val="004A5C8F"/>
    <w:rsid w:val="004B06A1"/>
    <w:rsid w:val="004B2E45"/>
    <w:rsid w:val="004E679D"/>
    <w:rsid w:val="004F5AC1"/>
    <w:rsid w:val="005132FB"/>
    <w:rsid w:val="005175F4"/>
    <w:rsid w:val="00553D57"/>
    <w:rsid w:val="0055769D"/>
    <w:rsid w:val="005653CD"/>
    <w:rsid w:val="00572459"/>
    <w:rsid w:val="00580BB9"/>
    <w:rsid w:val="00585752"/>
    <w:rsid w:val="00585C98"/>
    <w:rsid w:val="00594D3A"/>
    <w:rsid w:val="00596D35"/>
    <w:rsid w:val="005D0A75"/>
    <w:rsid w:val="005D0C21"/>
    <w:rsid w:val="005D1011"/>
    <w:rsid w:val="005E390C"/>
    <w:rsid w:val="005F21B7"/>
    <w:rsid w:val="00604776"/>
    <w:rsid w:val="0061308A"/>
    <w:rsid w:val="006132EC"/>
    <w:rsid w:val="00625269"/>
    <w:rsid w:val="00630F7B"/>
    <w:rsid w:val="00633256"/>
    <w:rsid w:val="006343A9"/>
    <w:rsid w:val="00640CE6"/>
    <w:rsid w:val="00651431"/>
    <w:rsid w:val="00677BFE"/>
    <w:rsid w:val="006825F2"/>
    <w:rsid w:val="00693F48"/>
    <w:rsid w:val="006B03D6"/>
    <w:rsid w:val="006B05A0"/>
    <w:rsid w:val="006B316E"/>
    <w:rsid w:val="006C4D18"/>
    <w:rsid w:val="006E2656"/>
    <w:rsid w:val="00713B63"/>
    <w:rsid w:val="007221D4"/>
    <w:rsid w:val="00750B79"/>
    <w:rsid w:val="00751011"/>
    <w:rsid w:val="0075576A"/>
    <w:rsid w:val="00760128"/>
    <w:rsid w:val="00787442"/>
    <w:rsid w:val="00792F37"/>
    <w:rsid w:val="007979C1"/>
    <w:rsid w:val="007A4C4B"/>
    <w:rsid w:val="007A6573"/>
    <w:rsid w:val="007B2CC5"/>
    <w:rsid w:val="007C555F"/>
    <w:rsid w:val="007D2ADD"/>
    <w:rsid w:val="007E73B5"/>
    <w:rsid w:val="007F420E"/>
    <w:rsid w:val="00802D87"/>
    <w:rsid w:val="008057D1"/>
    <w:rsid w:val="00806222"/>
    <w:rsid w:val="00807C66"/>
    <w:rsid w:val="00810B64"/>
    <w:rsid w:val="00821966"/>
    <w:rsid w:val="0088567A"/>
    <w:rsid w:val="00897473"/>
    <w:rsid w:val="008A2A14"/>
    <w:rsid w:val="008A3F87"/>
    <w:rsid w:val="008B2488"/>
    <w:rsid w:val="008D406F"/>
    <w:rsid w:val="008F58FD"/>
    <w:rsid w:val="00902A6C"/>
    <w:rsid w:val="009033E3"/>
    <w:rsid w:val="009045B5"/>
    <w:rsid w:val="009100D9"/>
    <w:rsid w:val="00931362"/>
    <w:rsid w:val="009326A5"/>
    <w:rsid w:val="00934547"/>
    <w:rsid w:val="0093458E"/>
    <w:rsid w:val="00943667"/>
    <w:rsid w:val="00946644"/>
    <w:rsid w:val="009503B4"/>
    <w:rsid w:val="00955068"/>
    <w:rsid w:val="00960348"/>
    <w:rsid w:val="00960E73"/>
    <w:rsid w:val="00975818"/>
    <w:rsid w:val="00983BC8"/>
    <w:rsid w:val="009A33F9"/>
    <w:rsid w:val="009B0658"/>
    <w:rsid w:val="009B61FA"/>
    <w:rsid w:val="009B705E"/>
    <w:rsid w:val="00A02A0F"/>
    <w:rsid w:val="00A20B70"/>
    <w:rsid w:val="00A3654F"/>
    <w:rsid w:val="00A63BFD"/>
    <w:rsid w:val="00A65F86"/>
    <w:rsid w:val="00A7021A"/>
    <w:rsid w:val="00A73275"/>
    <w:rsid w:val="00A765EA"/>
    <w:rsid w:val="00A77196"/>
    <w:rsid w:val="00A910F1"/>
    <w:rsid w:val="00AB28A2"/>
    <w:rsid w:val="00AD3E00"/>
    <w:rsid w:val="00AD4F10"/>
    <w:rsid w:val="00AE325E"/>
    <w:rsid w:val="00AF0E66"/>
    <w:rsid w:val="00AF65B7"/>
    <w:rsid w:val="00AF772F"/>
    <w:rsid w:val="00B233D4"/>
    <w:rsid w:val="00B26120"/>
    <w:rsid w:val="00B27948"/>
    <w:rsid w:val="00B41714"/>
    <w:rsid w:val="00B43579"/>
    <w:rsid w:val="00B56556"/>
    <w:rsid w:val="00B63B78"/>
    <w:rsid w:val="00B64F22"/>
    <w:rsid w:val="00B7344A"/>
    <w:rsid w:val="00B75608"/>
    <w:rsid w:val="00BA1987"/>
    <w:rsid w:val="00BB2494"/>
    <w:rsid w:val="00BB3D1C"/>
    <w:rsid w:val="00BC41EA"/>
    <w:rsid w:val="00BC6CEC"/>
    <w:rsid w:val="00BE7F63"/>
    <w:rsid w:val="00C16CF8"/>
    <w:rsid w:val="00C2182E"/>
    <w:rsid w:val="00C26A28"/>
    <w:rsid w:val="00C44410"/>
    <w:rsid w:val="00C52B7B"/>
    <w:rsid w:val="00C56D9F"/>
    <w:rsid w:val="00C64803"/>
    <w:rsid w:val="00C73258"/>
    <w:rsid w:val="00C8656B"/>
    <w:rsid w:val="00C93DB1"/>
    <w:rsid w:val="00CA6BCC"/>
    <w:rsid w:val="00CB61E8"/>
    <w:rsid w:val="00CC3C22"/>
    <w:rsid w:val="00CC7BAC"/>
    <w:rsid w:val="00CE3159"/>
    <w:rsid w:val="00CE3A5D"/>
    <w:rsid w:val="00D153E7"/>
    <w:rsid w:val="00D16A63"/>
    <w:rsid w:val="00D17296"/>
    <w:rsid w:val="00D32A26"/>
    <w:rsid w:val="00D3463D"/>
    <w:rsid w:val="00D43D5A"/>
    <w:rsid w:val="00D45406"/>
    <w:rsid w:val="00D56BAC"/>
    <w:rsid w:val="00D61E67"/>
    <w:rsid w:val="00D65992"/>
    <w:rsid w:val="00D813B5"/>
    <w:rsid w:val="00D8715C"/>
    <w:rsid w:val="00D87EA0"/>
    <w:rsid w:val="00D949D3"/>
    <w:rsid w:val="00DA4945"/>
    <w:rsid w:val="00DC20BA"/>
    <w:rsid w:val="00DC65D6"/>
    <w:rsid w:val="00DD31C6"/>
    <w:rsid w:val="00DD65FE"/>
    <w:rsid w:val="00DE1C36"/>
    <w:rsid w:val="00DE566F"/>
    <w:rsid w:val="00DE6763"/>
    <w:rsid w:val="00E06C43"/>
    <w:rsid w:val="00E256FE"/>
    <w:rsid w:val="00E41885"/>
    <w:rsid w:val="00E43952"/>
    <w:rsid w:val="00E45375"/>
    <w:rsid w:val="00E4552C"/>
    <w:rsid w:val="00E54A6B"/>
    <w:rsid w:val="00E64674"/>
    <w:rsid w:val="00E67FB6"/>
    <w:rsid w:val="00E71077"/>
    <w:rsid w:val="00E714A3"/>
    <w:rsid w:val="00E90C7C"/>
    <w:rsid w:val="00E93DE8"/>
    <w:rsid w:val="00E94752"/>
    <w:rsid w:val="00E969D2"/>
    <w:rsid w:val="00EA11E4"/>
    <w:rsid w:val="00ED751B"/>
    <w:rsid w:val="00EF3DCD"/>
    <w:rsid w:val="00EF620A"/>
    <w:rsid w:val="00F117B1"/>
    <w:rsid w:val="00F155A7"/>
    <w:rsid w:val="00F17575"/>
    <w:rsid w:val="00F2281D"/>
    <w:rsid w:val="00F348F6"/>
    <w:rsid w:val="00F73D2D"/>
    <w:rsid w:val="00F74440"/>
    <w:rsid w:val="00F80D84"/>
    <w:rsid w:val="00F82238"/>
    <w:rsid w:val="00F85F4C"/>
    <w:rsid w:val="00F867FF"/>
    <w:rsid w:val="00F91936"/>
    <w:rsid w:val="00F97F67"/>
    <w:rsid w:val="00FA1765"/>
    <w:rsid w:val="00FA6671"/>
    <w:rsid w:val="00FB2C03"/>
    <w:rsid w:val="00FC19CF"/>
    <w:rsid w:val="00FC428D"/>
    <w:rsid w:val="00FD1777"/>
    <w:rsid w:val="00FE03EA"/>
    <w:rsid w:val="00FE108B"/>
    <w:rsid w:val="00FE11A2"/>
    <w:rsid w:val="00FE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semiHidden/>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7A6573"/>
  </w:style>
  <w:style w:type="paragraph" w:styleId="Header">
    <w:name w:val="header"/>
    <w:basedOn w:val="Normal"/>
    <w:rsid w:val="007C555F"/>
    <w:pPr>
      <w:tabs>
        <w:tab w:val="center" w:pos="4320"/>
        <w:tab w:val="right" w:pos="8640"/>
      </w:tabs>
    </w:pPr>
  </w:style>
  <w:style w:type="paragraph" w:styleId="FootnoteText">
    <w:name w:val="footnote text"/>
    <w:basedOn w:val="Normal"/>
    <w:semiHidden/>
    <w:rsid w:val="001F7583"/>
  </w:style>
  <w:style w:type="paragraph" w:styleId="BalloonText">
    <w:name w:val="Balloon Text"/>
    <w:basedOn w:val="Normal"/>
    <w:link w:val="BalloonTextChar"/>
    <w:rsid w:val="008057D1"/>
    <w:rPr>
      <w:rFonts w:ascii="Tahoma" w:hAnsi="Tahoma" w:cs="Tahoma"/>
      <w:sz w:val="16"/>
      <w:szCs w:val="16"/>
    </w:rPr>
  </w:style>
  <w:style w:type="character" w:customStyle="1" w:styleId="BalloonTextChar">
    <w:name w:val="Balloon Text Char"/>
    <w:basedOn w:val="DefaultParagraphFont"/>
    <w:link w:val="BalloonText"/>
    <w:rsid w:val="008057D1"/>
    <w:rPr>
      <w:rFonts w:ascii="Tahoma" w:hAnsi="Tahoma" w:cs="Tahoma"/>
      <w:sz w:val="16"/>
      <w:szCs w:val="16"/>
    </w:rPr>
  </w:style>
  <w:style w:type="character" w:customStyle="1" w:styleId="FooterChar">
    <w:name w:val="Footer Char"/>
    <w:basedOn w:val="DefaultParagraphFont"/>
    <w:link w:val="Footer"/>
    <w:uiPriority w:val="99"/>
    <w:rsid w:val="00067502"/>
  </w:style>
  <w:style w:type="paragraph" w:customStyle="1" w:styleId="ParaTab1">
    <w:name w:val="ParaTab 1"/>
    <w:rsid w:val="002C7906"/>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2C7906"/>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C8742-BF5D-4E26-9C85-2A06F8A15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29</cp:revision>
  <cp:lastPrinted>2016-07-28T12:56:00Z</cp:lastPrinted>
  <dcterms:created xsi:type="dcterms:W3CDTF">2016-07-28T12:31:00Z</dcterms:created>
  <dcterms:modified xsi:type="dcterms:W3CDTF">2016-08-11T15:47:00Z</dcterms:modified>
</cp:coreProperties>
</file>