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B8" w:rsidRDefault="00A42FB8" w:rsidP="00A42FB8">
      <w:pPr>
        <w:pStyle w:val="Title"/>
        <w:tabs>
          <w:tab w:val="clear" w:pos="360"/>
          <w:tab w:val="left" w:pos="0"/>
        </w:tabs>
        <w:spacing w:line="240" w:lineRule="auto"/>
      </w:pPr>
      <w:r>
        <w:t>BEFORE THE</w:t>
      </w:r>
    </w:p>
    <w:p w:rsidR="00A42FB8" w:rsidRDefault="00A42FB8" w:rsidP="00A42FB8">
      <w:pPr>
        <w:tabs>
          <w:tab w:val="left" w:pos="0"/>
        </w:tabs>
        <w:spacing w:before="0" w:after="0" w:line="240" w:lineRule="auto"/>
        <w:jc w:val="center"/>
        <w:rPr>
          <w:b/>
        </w:rPr>
      </w:pPr>
      <w:r>
        <w:rPr>
          <w:b/>
        </w:rPr>
        <w:t>PENNSYLVANIA PUBLIC UTILITY COMMISSION</w:t>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A83636" w:rsidP="00A42FB8">
      <w:pPr>
        <w:tabs>
          <w:tab w:val="left" w:pos="0"/>
          <w:tab w:val="left" w:pos="5040"/>
        </w:tabs>
        <w:spacing w:before="0" w:after="0" w:line="240" w:lineRule="auto"/>
        <w:jc w:val="both"/>
        <w:rPr>
          <w:b/>
        </w:rPr>
      </w:pPr>
      <w:r>
        <w:t>Lisa A. Martin</w:t>
      </w:r>
      <w:r w:rsidR="00A42FB8">
        <w:tab/>
      </w:r>
      <w:r w:rsidR="00A42FB8">
        <w:tab/>
        <w:t>:</w:t>
      </w:r>
    </w:p>
    <w:p w:rsidR="00A42FB8" w:rsidRPr="00560DC5" w:rsidRDefault="00A42FB8" w:rsidP="00A42FB8">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A42FB8" w:rsidRPr="003B279A" w:rsidRDefault="00A42FB8" w:rsidP="00A42FB8">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w:t>
      </w:r>
      <w:r w:rsidR="00A83636">
        <w:t>41801</w:t>
      </w:r>
    </w:p>
    <w:p w:rsidR="00A42FB8" w:rsidRPr="00560DC5" w:rsidRDefault="00A42FB8" w:rsidP="00A42FB8">
      <w:pPr>
        <w:tabs>
          <w:tab w:val="left" w:pos="0"/>
        </w:tabs>
        <w:spacing w:before="0" w:after="0" w:line="240" w:lineRule="auto"/>
        <w:jc w:val="both"/>
      </w:pPr>
      <w:r>
        <w:tab/>
      </w:r>
      <w:r>
        <w:tab/>
      </w:r>
      <w:r>
        <w:tab/>
      </w:r>
      <w:r>
        <w:tab/>
      </w:r>
      <w:r>
        <w:tab/>
      </w:r>
      <w:r>
        <w:tab/>
      </w:r>
      <w:r w:rsidRPr="00560DC5">
        <w:t>:</w:t>
      </w:r>
    </w:p>
    <w:p w:rsidR="00A42FB8" w:rsidRDefault="00A83636" w:rsidP="00A42FB8">
      <w:pPr>
        <w:tabs>
          <w:tab w:val="left" w:pos="0"/>
        </w:tabs>
        <w:spacing w:before="0" w:after="0" w:line="240" w:lineRule="auto"/>
        <w:jc w:val="both"/>
      </w:pPr>
      <w:r>
        <w:t>PECO Energy Company</w:t>
      </w:r>
      <w:r>
        <w:tab/>
      </w:r>
      <w:r>
        <w:tab/>
      </w:r>
      <w:r w:rsidR="00A42FB8">
        <w:tab/>
      </w:r>
      <w:r w:rsidR="00A42FB8">
        <w:tab/>
      </w:r>
      <w:r w:rsidR="00A42FB8" w:rsidRPr="00560DC5">
        <w:t>:</w:t>
      </w:r>
    </w:p>
    <w:p w:rsidR="00A42FB8" w:rsidRDefault="00A42FB8" w:rsidP="00A42FB8">
      <w:pPr>
        <w:tabs>
          <w:tab w:val="left" w:pos="0"/>
        </w:tabs>
        <w:spacing w:before="0" w:after="0" w:line="240" w:lineRule="auto"/>
        <w:jc w:val="both"/>
      </w:pPr>
      <w:r>
        <w:tab/>
      </w:r>
      <w:r>
        <w:tab/>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FB38C6" w:rsidRDefault="00DF41F5" w:rsidP="00A42FB8">
      <w:pPr>
        <w:spacing w:before="0" w:after="0" w:line="240" w:lineRule="auto"/>
        <w:jc w:val="center"/>
        <w:rPr>
          <w:b/>
          <w:u w:val="single"/>
        </w:rPr>
      </w:pPr>
      <w:r w:rsidRPr="004015D0">
        <w:rPr>
          <w:b/>
          <w:u w:val="single"/>
        </w:rPr>
        <w:t>INITIAL DECISION</w:t>
      </w:r>
      <w:r w:rsidR="00FB38C6">
        <w:rPr>
          <w:b/>
          <w:u w:val="single"/>
        </w:rPr>
        <w:t xml:space="preserve"> GRANTING RESPONDENT’S MOTION FOR </w:t>
      </w:r>
    </w:p>
    <w:p w:rsidR="00F50CE7" w:rsidRDefault="00FB38C6" w:rsidP="00A42FB8">
      <w:pPr>
        <w:spacing w:before="0" w:after="0" w:line="240" w:lineRule="auto"/>
        <w:jc w:val="center"/>
        <w:rPr>
          <w:b/>
          <w:u w:val="single"/>
        </w:rPr>
      </w:pPr>
      <w:r>
        <w:rPr>
          <w:b/>
          <w:u w:val="single"/>
        </w:rPr>
        <w:t>JUDGMENT ON THE PLEADINGS</w:t>
      </w:r>
    </w:p>
    <w:p w:rsidR="00A42FB8" w:rsidRPr="004015D0" w:rsidRDefault="00A42FB8" w:rsidP="00A42FB8">
      <w:pPr>
        <w:spacing w:before="0" w:after="0" w:line="240" w:lineRule="auto"/>
        <w:jc w:val="center"/>
        <w:rPr>
          <w:b/>
          <w:u w:val="single"/>
        </w:rPr>
      </w:pPr>
    </w:p>
    <w:p w:rsidR="004015D0" w:rsidRDefault="004015D0" w:rsidP="00A42FB8">
      <w:pPr>
        <w:spacing w:before="0" w:after="0" w:line="240" w:lineRule="auto"/>
        <w:jc w:val="center"/>
      </w:pPr>
    </w:p>
    <w:p w:rsidR="004015D0" w:rsidRDefault="004015D0" w:rsidP="00A42FB8">
      <w:pPr>
        <w:spacing w:before="0" w:after="0" w:line="240" w:lineRule="auto"/>
        <w:jc w:val="center"/>
      </w:pPr>
      <w:r>
        <w:t>Before</w:t>
      </w:r>
    </w:p>
    <w:p w:rsidR="004015D0" w:rsidRDefault="004015D0" w:rsidP="00A42FB8">
      <w:pPr>
        <w:spacing w:before="0" w:after="0" w:line="240" w:lineRule="auto"/>
        <w:jc w:val="center"/>
      </w:pPr>
      <w:r>
        <w:t>Mar</w:t>
      </w:r>
      <w:r w:rsidR="00A83636">
        <w:t>k A. Hoyer</w:t>
      </w:r>
    </w:p>
    <w:p w:rsidR="004015D0" w:rsidRDefault="00A83636" w:rsidP="00A55F14">
      <w:pPr>
        <w:spacing w:before="0" w:after="0" w:line="240" w:lineRule="auto"/>
        <w:jc w:val="center"/>
      </w:pPr>
      <w:r>
        <w:t xml:space="preserve">Deputy Chief </w:t>
      </w:r>
      <w:r w:rsidR="004015D0">
        <w:t>Administrative Law Judge</w:t>
      </w:r>
    </w:p>
    <w:p w:rsidR="004015D0" w:rsidRDefault="004015D0" w:rsidP="00A55F14">
      <w:pPr>
        <w:spacing w:before="0" w:after="0" w:line="240" w:lineRule="auto"/>
      </w:pPr>
    </w:p>
    <w:p w:rsidR="00A55F14" w:rsidRDefault="00A55F14" w:rsidP="00A55F14">
      <w:pPr>
        <w:spacing w:before="0" w:after="0" w:line="240" w:lineRule="auto"/>
      </w:pPr>
    </w:p>
    <w:p w:rsidR="00A42FB8" w:rsidRDefault="00DF41F5" w:rsidP="00A55F14">
      <w:pPr>
        <w:spacing w:before="0" w:after="0"/>
      </w:pPr>
      <w:r>
        <w:tab/>
      </w:r>
      <w:r w:rsidR="001323E1">
        <w:t xml:space="preserve">This formal </w:t>
      </w:r>
      <w:r>
        <w:t>complain</w:t>
      </w:r>
      <w:r w:rsidR="000964B9">
        <w:t xml:space="preserve">t against an electric </w:t>
      </w:r>
      <w:r>
        <w:t xml:space="preserve">utility is dismissed based on the doctrine of </w:t>
      </w:r>
      <w:r>
        <w:rPr>
          <w:i/>
        </w:rPr>
        <w:t>res judicata</w:t>
      </w:r>
      <w:r>
        <w:t xml:space="preserve">.  The issues raised </w:t>
      </w:r>
      <w:r w:rsidR="001323E1">
        <w:t xml:space="preserve">in this complaint </w:t>
      </w:r>
      <w:r>
        <w:t>have been adjudicated by the Commission in a prior order.</w:t>
      </w:r>
      <w:r w:rsidR="004015D0">
        <w:t xml:space="preserve">  </w:t>
      </w:r>
    </w:p>
    <w:p w:rsidR="000964B9" w:rsidRDefault="000964B9" w:rsidP="00A42FB8">
      <w:pPr>
        <w:spacing w:before="0" w:after="0"/>
      </w:pPr>
    </w:p>
    <w:p w:rsidR="00DF41F5" w:rsidRDefault="00DF41F5" w:rsidP="00A42FB8">
      <w:pPr>
        <w:spacing w:before="0" w:after="0"/>
        <w:jc w:val="center"/>
        <w:rPr>
          <w:u w:val="single"/>
        </w:rPr>
      </w:pPr>
      <w:r w:rsidRPr="008F21CD">
        <w:rPr>
          <w:u w:val="single"/>
        </w:rPr>
        <w:t>PROCEDURAL HISTORY</w:t>
      </w:r>
    </w:p>
    <w:p w:rsidR="00A42FB8" w:rsidRPr="008F21CD" w:rsidRDefault="00A42FB8" w:rsidP="00A42FB8">
      <w:pPr>
        <w:spacing w:before="0" w:after="0"/>
        <w:jc w:val="center"/>
        <w:rPr>
          <w:u w:val="single"/>
        </w:rPr>
      </w:pPr>
    </w:p>
    <w:p w:rsidR="00DF41F5" w:rsidRDefault="00DF41F5" w:rsidP="00A42FB8">
      <w:pPr>
        <w:spacing w:before="0" w:after="0"/>
      </w:pPr>
      <w:r>
        <w:tab/>
        <w:t xml:space="preserve">On </w:t>
      </w:r>
      <w:r w:rsidR="003717E7">
        <w:t xml:space="preserve">April 25, 2016, Lisa A. Martin </w:t>
      </w:r>
      <w:r>
        <w:t>(Complainant) filed a formal com</w:t>
      </w:r>
      <w:r w:rsidR="003717E7">
        <w:t>plaint against PECO Energy Company (PECO or Respondent)</w:t>
      </w:r>
      <w:r>
        <w:t xml:space="preserve">.  In her complaint she alleged the utility </w:t>
      </w:r>
      <w:r w:rsidR="003717E7">
        <w:t>is</w:t>
      </w:r>
      <w:r>
        <w:t xml:space="preserve"> threatening to terminate</w:t>
      </w:r>
      <w:r w:rsidR="00DB0545">
        <w:t xml:space="preserve"> her service</w:t>
      </w:r>
      <w:r w:rsidR="003717E7">
        <w:t xml:space="preserve"> or has already shut off her service.  She averred that PECO transferred a bill they had charged off in 2010 to her bill in 2013.  Ms. Martin also alleged there are incorrect charges on her bill.  She averred that PECO is charging her over $12,000 for electric service</w:t>
      </w:r>
      <w:r w:rsidR="009A2113">
        <w:t xml:space="preserve"> provided to</w:t>
      </w:r>
      <w:r w:rsidR="003717E7">
        <w:t xml:space="preserve"> a residence where she did not reside.  As relief, Ms. Martin requests that the balance </w:t>
      </w:r>
      <w:r w:rsidR="00600B19">
        <w:t>in</w:t>
      </w:r>
      <w:r w:rsidR="003717E7">
        <w:t xml:space="preserve"> excess of $12,000 be</w:t>
      </w:r>
      <w:r w:rsidR="00600B19">
        <w:t xml:space="preserve"> </w:t>
      </w:r>
      <w:r w:rsidR="00833D0F">
        <w:t>“</w:t>
      </w:r>
      <w:r w:rsidR="00600B19">
        <w:t>removed</w:t>
      </w:r>
      <w:r w:rsidR="00833D0F">
        <w:t>”</w:t>
      </w:r>
      <w:r w:rsidR="00600B19">
        <w:t xml:space="preserve"> because she did not reside at the service address.</w:t>
      </w:r>
    </w:p>
    <w:p w:rsidR="00A42FB8" w:rsidRDefault="00A42FB8" w:rsidP="00A42FB8">
      <w:pPr>
        <w:spacing w:before="0" w:after="0"/>
      </w:pPr>
    </w:p>
    <w:p w:rsidR="00A42FB8" w:rsidRDefault="008E26A0" w:rsidP="00A42FB8">
      <w:pPr>
        <w:spacing w:before="0" w:after="0"/>
      </w:pPr>
      <w:r>
        <w:lastRenderedPageBreak/>
        <w:tab/>
      </w:r>
      <w:r w:rsidR="00600B19">
        <w:t>PECO f</w:t>
      </w:r>
      <w:r>
        <w:t>iled an answer</w:t>
      </w:r>
      <w:r w:rsidR="00600B19">
        <w:t xml:space="preserve"> and new matter on April 29, 2016</w:t>
      </w:r>
      <w:r w:rsidR="00A16E39">
        <w:t xml:space="preserve"> with a notice to plead attached</w:t>
      </w:r>
      <w:r w:rsidR="009A2113">
        <w:t xml:space="preserve">.  </w:t>
      </w:r>
      <w:r w:rsidR="00511B59">
        <w:t xml:space="preserve">PECO averred </w:t>
      </w:r>
      <w:r w:rsidR="00511B59">
        <w:rPr>
          <w:i/>
        </w:rPr>
        <w:t>inter alia</w:t>
      </w:r>
      <w:r w:rsidR="00511B59">
        <w:t xml:space="preserve"> that the same parties to this proceeding, Ms. Martin and PECO, already litigated the issues raised in this complaint in a prior complaint proceeding.</w:t>
      </w:r>
      <w:r w:rsidR="00511B59">
        <w:rPr>
          <w:rStyle w:val="FootnoteReference"/>
        </w:rPr>
        <w:footnoteReference w:id="1"/>
      </w:r>
      <w:r w:rsidR="00833D0F">
        <w:t xml:space="preserve"> </w:t>
      </w:r>
      <w:r w:rsidR="00511B59">
        <w:t xml:space="preserve"> PECO attached a copy of the Commission’s Opinion</w:t>
      </w:r>
      <w:r w:rsidR="00A16E39">
        <w:t xml:space="preserve"> and Order to its answer and new matter as Exhibit 6.  </w:t>
      </w:r>
      <w:r w:rsidR="00600B19">
        <w:t xml:space="preserve"> </w:t>
      </w:r>
      <w:r w:rsidR="008C54E1">
        <w:t xml:space="preserve"> </w:t>
      </w:r>
    </w:p>
    <w:p w:rsidR="00A16E39" w:rsidRDefault="00A16E39" w:rsidP="00A42FB8">
      <w:pPr>
        <w:spacing w:before="0" w:after="0"/>
      </w:pPr>
    </w:p>
    <w:p w:rsidR="00461400" w:rsidRDefault="00A16E39" w:rsidP="00A42FB8">
      <w:pPr>
        <w:spacing w:before="0" w:after="0"/>
      </w:pPr>
      <w:r>
        <w:tab/>
        <w:t>Ms. Martin did not file a reply to</w:t>
      </w:r>
      <w:r w:rsidR="00461400">
        <w:t xml:space="preserve"> the new matter.  </w:t>
      </w:r>
    </w:p>
    <w:p w:rsidR="00461400" w:rsidRDefault="00461400" w:rsidP="00A42FB8">
      <w:pPr>
        <w:spacing w:before="0" w:after="0"/>
      </w:pPr>
    </w:p>
    <w:p w:rsidR="00461400" w:rsidRDefault="00461400" w:rsidP="00A42FB8">
      <w:pPr>
        <w:spacing w:before="0" w:after="0"/>
      </w:pPr>
      <w:r>
        <w:tab/>
      </w:r>
      <w:r w:rsidR="00F83872">
        <w:t xml:space="preserve">By hearing notice dated </w:t>
      </w:r>
      <w:r>
        <w:t xml:space="preserve">June 21, 2016, </w:t>
      </w:r>
      <w:r w:rsidR="00F83872">
        <w:t xml:space="preserve">the Commission scheduled an initial telephonic hearing for </w:t>
      </w:r>
      <w:r>
        <w:t>Friday, July 22, 2016 and assigned the</w:t>
      </w:r>
      <w:r w:rsidR="00F83872">
        <w:t xml:space="preserve"> matter to me for disposition.  I sent a prehearing order </w:t>
      </w:r>
      <w:r w:rsidR="00F15EE2">
        <w:t xml:space="preserve">on </w:t>
      </w:r>
      <w:r>
        <w:t xml:space="preserve">June 22, 2016, </w:t>
      </w:r>
      <w:r w:rsidR="00F83872">
        <w:t>which detailed pertinent procedures for the conduct of the hearing</w:t>
      </w:r>
      <w:r w:rsidR="00F15EE2">
        <w:t>.</w:t>
      </w:r>
      <w:r w:rsidR="00F83872">
        <w:t xml:space="preserve">  </w:t>
      </w:r>
    </w:p>
    <w:p w:rsidR="00461400" w:rsidRDefault="00461400" w:rsidP="00A42FB8">
      <w:pPr>
        <w:spacing w:before="0" w:after="0"/>
      </w:pPr>
    </w:p>
    <w:p w:rsidR="00461400" w:rsidRDefault="00461400" w:rsidP="00A42FB8">
      <w:pPr>
        <w:spacing w:before="0" w:after="0"/>
      </w:pPr>
      <w:r>
        <w:tab/>
        <w:t xml:space="preserve">On June 27, 2016, PECO filed a Motion for Judgment on the Pleadings requesting that the complaint be dismissed based on the doctrine of </w:t>
      </w:r>
      <w:r>
        <w:rPr>
          <w:i/>
        </w:rPr>
        <w:t>res judicata</w:t>
      </w:r>
      <w:r>
        <w:t xml:space="preserve">. The Motion included a notice to plead.  </w:t>
      </w:r>
      <w:r w:rsidR="00146B42">
        <w:t xml:space="preserve">Ms. Martin did not file an answer to the Motion.  </w:t>
      </w:r>
    </w:p>
    <w:p w:rsidR="00146B42" w:rsidRDefault="00146B42" w:rsidP="00A42FB8">
      <w:pPr>
        <w:spacing w:before="0" w:after="0"/>
      </w:pPr>
    </w:p>
    <w:p w:rsidR="000839D4" w:rsidRDefault="00146B42" w:rsidP="00A42FB8">
      <w:pPr>
        <w:spacing w:before="0" w:after="0"/>
      </w:pPr>
      <w:r>
        <w:tab/>
        <w:t xml:space="preserve">On July 21, 2016, the scheduled telephonic hearing was cancelled.  </w:t>
      </w:r>
    </w:p>
    <w:p w:rsidR="00A42FB8" w:rsidRDefault="00A42FB8" w:rsidP="00A42FB8">
      <w:pPr>
        <w:spacing w:before="0" w:after="0"/>
      </w:pPr>
    </w:p>
    <w:p w:rsidR="00FE214C" w:rsidRDefault="00FE214C" w:rsidP="00A42FB8">
      <w:pPr>
        <w:spacing w:before="0" w:after="0"/>
        <w:jc w:val="center"/>
        <w:rPr>
          <w:u w:val="single"/>
        </w:rPr>
      </w:pPr>
      <w:r w:rsidRPr="001D0BFF">
        <w:rPr>
          <w:u w:val="single"/>
        </w:rPr>
        <w:t>FINDINGS OF FACT</w:t>
      </w:r>
    </w:p>
    <w:p w:rsidR="00A42FB8" w:rsidRPr="001D0BFF" w:rsidRDefault="00A42FB8" w:rsidP="00A42FB8">
      <w:pPr>
        <w:spacing w:before="0" w:after="0"/>
        <w:jc w:val="center"/>
        <w:rPr>
          <w:u w:val="single"/>
        </w:rPr>
      </w:pPr>
    </w:p>
    <w:p w:rsidR="00FE214C" w:rsidRDefault="00146B42" w:rsidP="00CD420B">
      <w:pPr>
        <w:pStyle w:val="ListParagraph"/>
      </w:pPr>
      <w:r>
        <w:t>The Complainant is Lisa Martin</w:t>
      </w:r>
      <w:r w:rsidR="00FE214C">
        <w:t>.</w:t>
      </w:r>
    </w:p>
    <w:p w:rsidR="00A42FB8" w:rsidRDefault="00A42FB8" w:rsidP="00CD420B">
      <w:pPr>
        <w:spacing w:before="0" w:after="0"/>
        <w:ind w:left="720"/>
      </w:pPr>
    </w:p>
    <w:p w:rsidR="00FE214C" w:rsidRDefault="00C64BD5" w:rsidP="00CD420B">
      <w:pPr>
        <w:pStyle w:val="ListParagraph"/>
      </w:pPr>
      <w:r>
        <w:t xml:space="preserve">Respondent, </w:t>
      </w:r>
      <w:r w:rsidR="00146B42">
        <w:t xml:space="preserve">PECO Energy </w:t>
      </w:r>
      <w:r w:rsidR="00FE214C">
        <w:t>Company (</w:t>
      </w:r>
      <w:r w:rsidR="00146B42">
        <w:t>PECO</w:t>
      </w:r>
      <w:r w:rsidR="00FE214C">
        <w:t>) is a jurisdictional public utility.</w:t>
      </w:r>
    </w:p>
    <w:p w:rsidR="00A42FB8" w:rsidRDefault="00A42FB8" w:rsidP="00CD420B">
      <w:pPr>
        <w:spacing w:before="0" w:after="0"/>
        <w:ind w:left="720"/>
      </w:pPr>
    </w:p>
    <w:p w:rsidR="00FE214C" w:rsidRDefault="00FE214C" w:rsidP="00CD420B">
      <w:pPr>
        <w:pStyle w:val="ListParagraph"/>
      </w:pPr>
      <w:r>
        <w:t xml:space="preserve">On </w:t>
      </w:r>
      <w:r w:rsidR="00CA4F88">
        <w:t xml:space="preserve">December 19, 2013, an Opinion and Order </w:t>
      </w:r>
      <w:r w:rsidR="004D79A2">
        <w:t xml:space="preserve">was entered at Docket No. F-2013-2360697, wherein the Commission denied the Petition for Reconsideration filed by Ms. Martin in a prior complaint proceeding between Ms. Martin and PECO.  </w:t>
      </w:r>
    </w:p>
    <w:p w:rsidR="00FE214C" w:rsidRDefault="004B3C2D" w:rsidP="00CD420B">
      <w:pPr>
        <w:pStyle w:val="ListParagraph"/>
      </w:pPr>
      <w:r>
        <w:lastRenderedPageBreak/>
        <w:t xml:space="preserve">On April 13, 2013, Ms. Martin </w:t>
      </w:r>
      <w:r w:rsidR="0087017E">
        <w:t xml:space="preserve">had </w:t>
      </w:r>
      <w:r>
        <w:t>filed a complaint against PECO at Docket No. F-2013-2360697</w:t>
      </w:r>
      <w:r w:rsidR="0087017E">
        <w:t xml:space="preserve"> alleging improper billing and requesting that she not be held financially responsible for charges to a rear apartment unit at 242 Galena Road, Chalfont, Pennsylvania.  </w:t>
      </w:r>
    </w:p>
    <w:p w:rsidR="0087017E" w:rsidRDefault="0087017E" w:rsidP="0087017E">
      <w:pPr>
        <w:pStyle w:val="ListParagraph"/>
        <w:numPr>
          <w:ilvl w:val="0"/>
          <w:numId w:val="0"/>
        </w:numPr>
        <w:ind w:left="1440"/>
      </w:pPr>
    </w:p>
    <w:p w:rsidR="00BA206C" w:rsidRDefault="00FB38C6" w:rsidP="00FB38C6">
      <w:pPr>
        <w:pStyle w:val="ListParagraph"/>
      </w:pPr>
      <w:r>
        <w:t xml:space="preserve">In the prior complaint at Docket No. F-2013-2360697 filed by Ms. Martin against PECO she claimed there were incorrect charges on her bill, specifically that she was not responsible for $9,592.07 because she never had electric service in her name at </w:t>
      </w:r>
      <w:r w:rsidR="00BA206C">
        <w:t xml:space="preserve">242 New Galena Road (rear) and because in January 2010 she called PECO to inform them she had lost her house at 242 New Galena Road.  </w:t>
      </w:r>
    </w:p>
    <w:p w:rsidR="00BA206C" w:rsidRDefault="00BA206C" w:rsidP="00BA206C">
      <w:pPr>
        <w:spacing w:before="0" w:after="0"/>
      </w:pPr>
    </w:p>
    <w:p w:rsidR="00FB38C6" w:rsidRDefault="00FC27AD" w:rsidP="00FB38C6">
      <w:pPr>
        <w:pStyle w:val="ListParagraph"/>
      </w:pPr>
      <w:r>
        <w:t>The prior complaint at Docket No. F-2013-2360697 was denied and dismissed</w:t>
      </w:r>
      <w:r w:rsidR="00193CFC">
        <w:t xml:space="preserve"> in an Initial Dec</w:t>
      </w:r>
      <w:r w:rsidR="00B97C36">
        <w:t>i</w:t>
      </w:r>
      <w:r w:rsidR="00193CFC">
        <w:t xml:space="preserve">sion by </w:t>
      </w:r>
      <w:r w:rsidR="000266C3">
        <w:t>Administrative Law Judge Elizabeth H. Barnes</w:t>
      </w:r>
      <w:r w:rsidR="00193CFC">
        <w:t xml:space="preserve">.  </w:t>
      </w:r>
    </w:p>
    <w:p w:rsidR="00193CFC" w:rsidRDefault="00193CFC" w:rsidP="00BA206C">
      <w:pPr>
        <w:pStyle w:val="ListParagraph"/>
        <w:numPr>
          <w:ilvl w:val="0"/>
          <w:numId w:val="0"/>
        </w:numPr>
        <w:ind w:left="1440" w:right="1440"/>
      </w:pPr>
    </w:p>
    <w:p w:rsidR="00FE214C" w:rsidRDefault="00B97C36" w:rsidP="00CD420B">
      <w:pPr>
        <w:pStyle w:val="ListParagraph"/>
      </w:pPr>
      <w:r>
        <w:t xml:space="preserve">In the instant complaint filed by Ms. Martin at Docket No. C-2016-254180, she alleges “transferred a bill they (PECO) had charged off in 2010 then put it back on my bill 2013 accruing interest” and “charging me for electric @ a residence I did not reside in having the bill over $9,000.00 now over $12,000.00 after they charged it off.”  </w:t>
      </w:r>
    </w:p>
    <w:p w:rsidR="00C15072" w:rsidRDefault="00C15072" w:rsidP="00721CE3">
      <w:pPr>
        <w:spacing w:before="0" w:after="0"/>
        <w:ind w:left="720"/>
      </w:pPr>
    </w:p>
    <w:p w:rsidR="00FE214C" w:rsidRDefault="00BA206C" w:rsidP="00CD420B">
      <w:pPr>
        <w:pStyle w:val="ListParagraph"/>
      </w:pPr>
      <w:r>
        <w:t xml:space="preserve">On April 29, 2016, </w:t>
      </w:r>
      <w:r w:rsidR="00B97C36">
        <w:t xml:space="preserve">PECO filed an answer and new matter to this complaint with the Initial Decision of ALJ Barnes </w:t>
      </w:r>
      <w:r w:rsidR="005B35AD">
        <w:t xml:space="preserve">at Docket No. F-2013-2360697 </w:t>
      </w:r>
      <w:r w:rsidR="00B97C36">
        <w:t xml:space="preserve">attached thereto as well as the aforementioned Commission Opinion and Order denying reconsideration of ALJ Barnes’ Initial Decision.  </w:t>
      </w:r>
    </w:p>
    <w:p w:rsidR="00C15072" w:rsidRDefault="00C15072" w:rsidP="00721CE3">
      <w:pPr>
        <w:spacing w:before="0" w:after="0"/>
        <w:ind w:left="720"/>
      </w:pPr>
    </w:p>
    <w:p w:rsidR="00FE214C" w:rsidRDefault="00B97C36" w:rsidP="00CD420B">
      <w:pPr>
        <w:pStyle w:val="ListParagraph"/>
      </w:pPr>
      <w:r>
        <w:t xml:space="preserve">Ms. Martin did not answer the new matter.  </w:t>
      </w:r>
    </w:p>
    <w:p w:rsidR="00C15072" w:rsidRDefault="00C15072" w:rsidP="00721CE3">
      <w:pPr>
        <w:spacing w:before="0" w:after="0"/>
        <w:ind w:left="720"/>
      </w:pPr>
    </w:p>
    <w:p w:rsidR="001E0F42" w:rsidRDefault="001E0F42" w:rsidP="00A42FB8">
      <w:pPr>
        <w:spacing w:before="0" w:after="0"/>
        <w:jc w:val="center"/>
        <w:rPr>
          <w:u w:val="single"/>
        </w:rPr>
      </w:pPr>
      <w:r w:rsidRPr="003F1F5E">
        <w:rPr>
          <w:u w:val="single"/>
        </w:rPr>
        <w:t>DISCUSSION</w:t>
      </w:r>
    </w:p>
    <w:p w:rsidR="00C15072" w:rsidRPr="003F1F5E" w:rsidRDefault="00C15072" w:rsidP="00A42FB8">
      <w:pPr>
        <w:spacing w:before="0" w:after="0"/>
        <w:jc w:val="center"/>
        <w:rPr>
          <w:u w:val="single"/>
        </w:rPr>
      </w:pPr>
    </w:p>
    <w:p w:rsidR="001836DC" w:rsidRDefault="00E753F7" w:rsidP="00A42FB8">
      <w:pPr>
        <w:spacing w:before="0" w:after="0"/>
      </w:pPr>
      <w:r>
        <w:tab/>
      </w:r>
      <w:r w:rsidR="00A0360A">
        <w:t>T</w:t>
      </w:r>
      <w:r>
        <w:t xml:space="preserve">he Commission has held that </w:t>
      </w:r>
      <w:r w:rsidR="00647BEE">
        <w:t>the doctrine</w:t>
      </w:r>
      <w:r w:rsidR="00A0360A">
        <w:t xml:space="preserve"> of </w:t>
      </w:r>
      <w:r w:rsidR="00A0360A">
        <w:rPr>
          <w:i/>
        </w:rPr>
        <w:t>res judicata</w:t>
      </w:r>
      <w:r>
        <w:t xml:space="preserve"> is appropriately raised as an affirmative defense under the heading of “new matter” and can be disposed of in a motion to dismi</w:t>
      </w:r>
      <w:r w:rsidR="00F36DDA">
        <w:t>ss or a motion for summary judg</w:t>
      </w:r>
      <w:r>
        <w:t>ment.</w:t>
      </w:r>
      <w:r w:rsidR="00BA206C">
        <w:t xml:space="preserve">  </w:t>
      </w:r>
      <w:r w:rsidR="00AC5FAD" w:rsidRPr="00AC5FAD">
        <w:rPr>
          <w:i/>
        </w:rPr>
        <w:t>Cannon v. Verizon Pennsylvania LLC</w:t>
      </w:r>
      <w:r w:rsidR="00AC5FAD">
        <w:t>, Docket C-</w:t>
      </w:r>
      <w:r w:rsidR="00AC5FAD">
        <w:lastRenderedPageBreak/>
        <w:t xml:space="preserve">2013-2353818 (Opinion and Order entered March 6, 2014).  </w:t>
      </w:r>
      <w:r w:rsidR="00BA206C">
        <w:t xml:space="preserve">If it is determined that a moving party is entitled to a judgment as a matter of law, and there is no genuine issue of material fact, a motion for judgment on the pleadings or summary judgment will be granted.  52 </w:t>
      </w:r>
      <w:proofErr w:type="spellStart"/>
      <w:r w:rsidR="00BA206C">
        <w:t>Pa.Code</w:t>
      </w:r>
      <w:proofErr w:type="spellEnd"/>
      <w:r w:rsidR="00BA206C">
        <w:t xml:space="preserve"> § 5.102(d)(</w:t>
      </w:r>
      <w:r w:rsidR="00125364">
        <w:t>1</w:t>
      </w:r>
      <w:r w:rsidR="00BA206C">
        <w:t>)</w:t>
      </w:r>
      <w:r>
        <w:t xml:space="preserve">  Here, </w:t>
      </w:r>
      <w:r w:rsidR="00A0360A">
        <w:t>PECO</w:t>
      </w:r>
      <w:r>
        <w:t xml:space="preserve"> </w:t>
      </w:r>
      <w:r w:rsidR="00A0360A">
        <w:t xml:space="preserve">correctly </w:t>
      </w:r>
      <w:r>
        <w:t xml:space="preserve">raised the issue of </w:t>
      </w:r>
      <w:r w:rsidRPr="009267C6">
        <w:rPr>
          <w:i/>
        </w:rPr>
        <w:t>res judicata</w:t>
      </w:r>
      <w:r>
        <w:t xml:space="preserve"> in its </w:t>
      </w:r>
      <w:r w:rsidR="00A0360A">
        <w:t xml:space="preserve">new matter, </w:t>
      </w:r>
      <w:r w:rsidR="00862834">
        <w:t xml:space="preserve">then </w:t>
      </w:r>
      <w:r w:rsidR="00A0360A">
        <w:t xml:space="preserve">filed a motion for judgment on the pleadings after the time for answering the new matter expired, </w:t>
      </w:r>
      <w:r>
        <w:t xml:space="preserve">and </w:t>
      </w:r>
      <w:r w:rsidR="00862834">
        <w:t xml:space="preserve">now </w:t>
      </w:r>
      <w:r>
        <w:t xml:space="preserve">seeks dismissal based on </w:t>
      </w:r>
      <w:r w:rsidR="00F36DDA">
        <w:t xml:space="preserve">the doctrine of </w:t>
      </w:r>
      <w:r w:rsidR="00F36DDA" w:rsidRPr="009267C6">
        <w:rPr>
          <w:i/>
        </w:rPr>
        <w:t>res judicata</w:t>
      </w:r>
      <w:r w:rsidR="00F36DDA">
        <w:t xml:space="preserve">.  </w:t>
      </w:r>
    </w:p>
    <w:p w:rsidR="001836DC" w:rsidRDefault="001836DC" w:rsidP="00A42FB8">
      <w:pPr>
        <w:spacing w:before="0" w:after="0"/>
      </w:pPr>
    </w:p>
    <w:p w:rsidR="001836DC" w:rsidRDefault="001836DC" w:rsidP="001836DC">
      <w:pPr>
        <w:tabs>
          <w:tab w:val="clear" w:pos="1440"/>
        </w:tabs>
        <w:spacing w:before="0" w:after="0"/>
        <w:ind w:firstLine="1440"/>
        <w:rPr>
          <w:szCs w:val="24"/>
        </w:rPr>
      </w:pPr>
      <w:r w:rsidRPr="001836DC">
        <w:rPr>
          <w:szCs w:val="24"/>
        </w:rPr>
        <w:t xml:space="preserve">The Commission's Rules of Practice and Procedure at </w:t>
      </w:r>
      <w:hyperlink r:id="rId9" w:history="1">
        <w:r w:rsidRPr="001836DC">
          <w:rPr>
            <w:szCs w:val="24"/>
          </w:rPr>
          <w:t xml:space="preserve">52 </w:t>
        </w:r>
        <w:proofErr w:type="spellStart"/>
        <w:r w:rsidRPr="001836DC">
          <w:rPr>
            <w:szCs w:val="24"/>
          </w:rPr>
          <w:t>Pa.Code</w:t>
        </w:r>
        <w:proofErr w:type="spellEnd"/>
        <w:r w:rsidRPr="001836DC">
          <w:rPr>
            <w:szCs w:val="24"/>
          </w:rPr>
          <w:t xml:space="preserve"> § 5.102</w:t>
        </w:r>
      </w:hyperlink>
      <w:r w:rsidRPr="001836DC">
        <w:rPr>
          <w:szCs w:val="24"/>
        </w:rPr>
        <w:t xml:space="preserve"> govern </w:t>
      </w:r>
      <w:r w:rsidRPr="001836DC">
        <w:rPr>
          <w:bCs/>
          <w:szCs w:val="24"/>
        </w:rPr>
        <w:t>motions</w:t>
      </w:r>
      <w:r w:rsidRPr="001836DC">
        <w:rPr>
          <w:szCs w:val="24"/>
        </w:rPr>
        <w:t xml:space="preserve"> for </w:t>
      </w:r>
      <w:r w:rsidRPr="001836DC">
        <w:rPr>
          <w:bCs/>
          <w:szCs w:val="24"/>
        </w:rPr>
        <w:t>judgment</w:t>
      </w:r>
      <w:r w:rsidRPr="001836DC">
        <w:rPr>
          <w:szCs w:val="24"/>
        </w:rPr>
        <w:t xml:space="preserve"> on the </w:t>
      </w:r>
      <w:r w:rsidRPr="001836DC">
        <w:rPr>
          <w:bCs/>
          <w:szCs w:val="24"/>
        </w:rPr>
        <w:t>pleadings</w:t>
      </w:r>
      <w:r w:rsidRPr="001836DC">
        <w:rPr>
          <w:szCs w:val="24"/>
        </w:rPr>
        <w:t>.</w:t>
      </w:r>
      <w:r>
        <w:rPr>
          <w:szCs w:val="24"/>
        </w:rPr>
        <w:t xml:space="preserve">  </w:t>
      </w:r>
      <w:r w:rsidRPr="001836DC">
        <w:rPr>
          <w:szCs w:val="24"/>
        </w:rPr>
        <w:t>Generally, the moving party bears a heavy burden of showing that no genuine issue of material fact exists and that it is entitled to a judgment as a matter of law.</w:t>
      </w:r>
    </w:p>
    <w:p w:rsidR="001836DC" w:rsidRPr="001836DC" w:rsidRDefault="001836DC" w:rsidP="001836DC">
      <w:pPr>
        <w:tabs>
          <w:tab w:val="clear" w:pos="1440"/>
        </w:tabs>
        <w:spacing w:before="0" w:after="0"/>
        <w:ind w:firstLine="1440"/>
        <w:rPr>
          <w:szCs w:val="24"/>
        </w:rPr>
      </w:pPr>
      <w:r w:rsidRPr="001836DC">
        <w:rPr>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0" o:title=""/>
          </v:shape>
          <w:control r:id="rId11" w:name="DefaultOcxName" w:shapeid="_x0000_i1028"/>
        </w:object>
      </w:r>
    </w:p>
    <w:p w:rsidR="001836DC" w:rsidRDefault="001836DC" w:rsidP="001836DC">
      <w:pPr>
        <w:tabs>
          <w:tab w:val="clear" w:pos="1440"/>
        </w:tabs>
        <w:spacing w:before="0" w:after="0"/>
        <w:ind w:firstLine="1440"/>
        <w:rPr>
          <w:szCs w:val="24"/>
        </w:rPr>
      </w:pPr>
      <w:r w:rsidRPr="001836DC">
        <w:rPr>
          <w:szCs w:val="24"/>
        </w:rPr>
        <w:t>The Commission must view the record in the light most favorable to the non-moving party, giving that party the benefit of all reasonable inferences.</w:t>
      </w:r>
      <w:r>
        <w:rPr>
          <w:szCs w:val="24"/>
        </w:rPr>
        <w:t xml:space="preserve">  </w:t>
      </w:r>
      <w:hyperlink r:id="rId12" w:history="1">
        <w:proofErr w:type="gramStart"/>
        <w:r w:rsidRPr="001836DC">
          <w:rPr>
            <w:i/>
            <w:szCs w:val="24"/>
          </w:rPr>
          <w:t>First Mortgage Co. of Pennsylvania v.</w:t>
        </w:r>
        <w:r w:rsidR="00CF1671">
          <w:rPr>
            <w:i/>
            <w:szCs w:val="24"/>
          </w:rPr>
          <w:t xml:space="preserve"> </w:t>
        </w:r>
        <w:r w:rsidRPr="001836DC">
          <w:rPr>
            <w:i/>
            <w:szCs w:val="24"/>
          </w:rPr>
          <w:t>McCall</w:t>
        </w:r>
        <w:r w:rsidRPr="001836DC">
          <w:rPr>
            <w:szCs w:val="24"/>
          </w:rPr>
          <w:t>, 459 A.2d 406 (</w:t>
        </w:r>
        <w:proofErr w:type="spellStart"/>
        <w:r w:rsidRPr="001836DC">
          <w:rPr>
            <w:szCs w:val="24"/>
          </w:rPr>
          <w:t>Pa.Super</w:t>
        </w:r>
        <w:proofErr w:type="spellEnd"/>
        <w:r w:rsidRPr="001836DC">
          <w:rPr>
            <w:szCs w:val="24"/>
          </w:rPr>
          <w:t>. 1983)</w:t>
        </w:r>
      </w:hyperlink>
      <w:r w:rsidRPr="001836DC">
        <w:rPr>
          <w:szCs w:val="24"/>
        </w:rPr>
        <w:t xml:space="preserve">; </w:t>
      </w:r>
      <w:hyperlink r:id="rId13" w:history="1">
        <w:r w:rsidRPr="001836DC">
          <w:rPr>
            <w:i/>
            <w:szCs w:val="24"/>
          </w:rPr>
          <w:t xml:space="preserve">Mertz v. </w:t>
        </w:r>
        <w:proofErr w:type="spellStart"/>
        <w:r w:rsidRPr="001836DC">
          <w:rPr>
            <w:i/>
            <w:szCs w:val="24"/>
          </w:rPr>
          <w:t>Lakatos</w:t>
        </w:r>
        <w:proofErr w:type="spellEnd"/>
        <w:r w:rsidRPr="001836DC">
          <w:rPr>
            <w:szCs w:val="24"/>
          </w:rPr>
          <w:t>, 381 A.2d 497 (</w:t>
        </w:r>
        <w:proofErr w:type="spellStart"/>
        <w:r w:rsidRPr="001836DC">
          <w:rPr>
            <w:szCs w:val="24"/>
          </w:rPr>
          <w:t>Pa.Cmwlth</w:t>
        </w:r>
        <w:proofErr w:type="spellEnd"/>
        <w:r w:rsidRPr="001836DC">
          <w:rPr>
            <w:szCs w:val="24"/>
          </w:rPr>
          <w:t>. 1978)</w:t>
        </w:r>
      </w:hyperlink>
      <w:r>
        <w:rPr>
          <w:szCs w:val="24"/>
        </w:rPr>
        <w:t>.</w:t>
      </w:r>
      <w:proofErr w:type="gramEnd"/>
      <w:r>
        <w:rPr>
          <w:szCs w:val="24"/>
        </w:rPr>
        <w:t xml:space="preserve">  </w:t>
      </w:r>
      <w:r w:rsidRPr="001836DC">
        <w:rPr>
          <w:szCs w:val="24"/>
        </w:rPr>
        <w:t xml:space="preserve">It must accept as true all well pleaded statements of fact of the non-moving party and consider only those facts that the non-moving party specifically admits. </w:t>
      </w:r>
      <w:r w:rsidR="00CF1671">
        <w:rPr>
          <w:szCs w:val="24"/>
        </w:rPr>
        <w:t xml:space="preserve"> </w:t>
      </w:r>
      <w:hyperlink r:id="rId14" w:history="1">
        <w:proofErr w:type="spellStart"/>
        <w:proofErr w:type="gramStart"/>
        <w:r w:rsidRPr="001836DC">
          <w:rPr>
            <w:i/>
            <w:szCs w:val="24"/>
          </w:rPr>
          <w:t>Weik</w:t>
        </w:r>
        <w:proofErr w:type="spellEnd"/>
        <w:r w:rsidRPr="001836DC">
          <w:rPr>
            <w:i/>
            <w:szCs w:val="24"/>
          </w:rPr>
          <w:t xml:space="preserve"> v. Estate of Brown</w:t>
        </w:r>
        <w:r w:rsidRPr="001836DC">
          <w:rPr>
            <w:szCs w:val="24"/>
          </w:rPr>
          <w:t>, 794 A.2d 907 (</w:t>
        </w:r>
        <w:proofErr w:type="spellStart"/>
        <w:r w:rsidRPr="001836DC">
          <w:rPr>
            <w:szCs w:val="24"/>
          </w:rPr>
          <w:t>Pa.Super</w:t>
        </w:r>
        <w:proofErr w:type="spellEnd"/>
        <w:r w:rsidRPr="001836DC">
          <w:rPr>
            <w:szCs w:val="24"/>
          </w:rPr>
          <w:t>. 2002)</w:t>
        </w:r>
      </w:hyperlink>
      <w:r>
        <w:rPr>
          <w:szCs w:val="24"/>
        </w:rPr>
        <w:t>.</w:t>
      </w:r>
      <w:proofErr w:type="gramEnd"/>
      <w:r>
        <w:rPr>
          <w:szCs w:val="24"/>
        </w:rPr>
        <w:t xml:space="preserve">  </w:t>
      </w:r>
      <w:r w:rsidRPr="001836DC">
        <w:rPr>
          <w:szCs w:val="24"/>
        </w:rPr>
        <w:t xml:space="preserve">All doubts as to the existence of a genuine issue of material fact must be resolved against the moving party. </w:t>
      </w:r>
      <w:r w:rsidR="00CF1671">
        <w:rPr>
          <w:szCs w:val="24"/>
        </w:rPr>
        <w:t xml:space="preserve"> </w:t>
      </w:r>
      <w:hyperlink r:id="rId15" w:history="1">
        <w:proofErr w:type="gramStart"/>
        <w:r w:rsidRPr="001836DC">
          <w:rPr>
            <w:i/>
            <w:szCs w:val="24"/>
          </w:rPr>
          <w:t>Thomson Coal Company v. Pike Coal Company</w:t>
        </w:r>
        <w:r w:rsidRPr="001836DC">
          <w:rPr>
            <w:szCs w:val="24"/>
          </w:rPr>
          <w:t>, 412 A.2d 466 (Pa. 1979)</w:t>
        </w:r>
      </w:hyperlink>
      <w:r w:rsidRPr="001836DC">
        <w:rPr>
          <w:szCs w:val="24"/>
        </w:rPr>
        <w:t>.</w:t>
      </w:r>
      <w:proofErr w:type="gramEnd"/>
    </w:p>
    <w:p w:rsidR="001836DC" w:rsidRPr="001836DC" w:rsidRDefault="001836DC" w:rsidP="001836DC">
      <w:pPr>
        <w:tabs>
          <w:tab w:val="clear" w:pos="1440"/>
        </w:tabs>
        <w:spacing w:before="0" w:after="0"/>
        <w:ind w:firstLine="1440"/>
        <w:rPr>
          <w:szCs w:val="24"/>
        </w:rPr>
      </w:pPr>
    </w:p>
    <w:p w:rsidR="00503E16" w:rsidRDefault="001836DC" w:rsidP="00CB3EFA">
      <w:pPr>
        <w:tabs>
          <w:tab w:val="clear" w:pos="1440"/>
        </w:tabs>
        <w:spacing w:before="0" w:after="0"/>
        <w:ind w:firstLine="1440"/>
      </w:pPr>
      <w:r w:rsidRPr="001836DC">
        <w:rPr>
          <w:szCs w:val="24"/>
        </w:rPr>
        <w:t xml:space="preserve">The Commission will grant a </w:t>
      </w:r>
      <w:r w:rsidRPr="001836DC">
        <w:rPr>
          <w:bCs/>
          <w:szCs w:val="24"/>
        </w:rPr>
        <w:t>motion</w:t>
      </w:r>
      <w:r w:rsidRPr="001836DC">
        <w:rPr>
          <w:szCs w:val="24"/>
        </w:rPr>
        <w:t xml:space="preserve"> for </w:t>
      </w:r>
      <w:r w:rsidRPr="001836DC">
        <w:rPr>
          <w:bCs/>
          <w:szCs w:val="24"/>
        </w:rPr>
        <w:t>judgment</w:t>
      </w:r>
      <w:r w:rsidRPr="001836DC">
        <w:rPr>
          <w:szCs w:val="24"/>
        </w:rPr>
        <w:t xml:space="preserve"> on the </w:t>
      </w:r>
      <w:r w:rsidRPr="001836DC">
        <w:rPr>
          <w:bCs/>
          <w:szCs w:val="24"/>
        </w:rPr>
        <w:t>pleadings</w:t>
      </w:r>
      <w:r w:rsidRPr="001836DC">
        <w:rPr>
          <w:szCs w:val="24"/>
        </w:rPr>
        <w:t xml:space="preserve"> only if the pleadings show there is no genuine issue as to a material fact and that the moving party is entitled </w:t>
      </w:r>
      <w:r>
        <w:rPr>
          <w:szCs w:val="24"/>
        </w:rPr>
        <w:t xml:space="preserve">to judgment as a matter of law.  </w:t>
      </w:r>
      <w:r w:rsidRPr="001836DC">
        <w:rPr>
          <w:szCs w:val="24"/>
        </w:rPr>
        <w:t xml:space="preserve">Only in a case where the moving party's right to prevail is so clear that a trial would be a fruitless exercise should </w:t>
      </w:r>
      <w:r w:rsidRPr="001836DC">
        <w:rPr>
          <w:bCs/>
          <w:szCs w:val="24"/>
        </w:rPr>
        <w:t>judgment</w:t>
      </w:r>
      <w:r w:rsidRPr="001836DC">
        <w:rPr>
          <w:szCs w:val="24"/>
        </w:rPr>
        <w:t xml:space="preserve"> on the </w:t>
      </w:r>
      <w:r w:rsidRPr="001836DC">
        <w:rPr>
          <w:bCs/>
          <w:szCs w:val="24"/>
        </w:rPr>
        <w:t>pleadings</w:t>
      </w:r>
      <w:r w:rsidRPr="001836DC">
        <w:rPr>
          <w:szCs w:val="24"/>
        </w:rPr>
        <w:t xml:space="preserve"> be granted.</w:t>
      </w:r>
      <w:r>
        <w:rPr>
          <w:szCs w:val="24"/>
        </w:rPr>
        <w:t xml:space="preserve">  </w:t>
      </w:r>
      <w:hyperlink r:id="rId16" w:history="1">
        <w:proofErr w:type="gramStart"/>
        <w:r w:rsidRPr="001836DC">
          <w:rPr>
            <w:i/>
            <w:szCs w:val="24"/>
          </w:rPr>
          <w:t>Williams v. Lewis</w:t>
        </w:r>
        <w:r w:rsidRPr="001836DC">
          <w:rPr>
            <w:szCs w:val="24"/>
          </w:rPr>
          <w:t>, 466 A.2d 682 (</w:t>
        </w:r>
        <w:proofErr w:type="spellStart"/>
        <w:r w:rsidRPr="001836DC">
          <w:rPr>
            <w:szCs w:val="24"/>
          </w:rPr>
          <w:t>Pa.Super</w:t>
        </w:r>
        <w:proofErr w:type="spellEnd"/>
        <w:r w:rsidRPr="001836DC">
          <w:rPr>
            <w:szCs w:val="24"/>
          </w:rPr>
          <w:t>. 1983)</w:t>
        </w:r>
      </w:hyperlink>
      <w:r w:rsidRPr="001836DC">
        <w:rPr>
          <w:szCs w:val="24"/>
        </w:rPr>
        <w:t xml:space="preserve">; </w:t>
      </w:r>
      <w:r w:rsidRPr="001836DC">
        <w:rPr>
          <w:i/>
          <w:szCs w:val="24"/>
        </w:rPr>
        <w:t>Service Employees International Union, Local 69, AFL-CIO v.</w:t>
      </w:r>
      <w:proofErr w:type="gramEnd"/>
      <w:r w:rsidRPr="001836DC">
        <w:rPr>
          <w:i/>
          <w:szCs w:val="24"/>
        </w:rPr>
        <w:t xml:space="preserve"> The Peoples Natural Gas Company, d/b/a Dominion Peoples</w:t>
      </w:r>
      <w:r w:rsidRPr="001836DC">
        <w:rPr>
          <w:szCs w:val="24"/>
        </w:rPr>
        <w:t>, Docket No. C-20028539 (Opinion and Or</w:t>
      </w:r>
      <w:r>
        <w:rPr>
          <w:szCs w:val="24"/>
        </w:rPr>
        <w:t xml:space="preserve">der entered December 19, 2003).  </w:t>
      </w:r>
      <w:r w:rsidRPr="001836DC">
        <w:rPr>
          <w:bCs/>
          <w:szCs w:val="24"/>
        </w:rPr>
        <w:t>Judgment</w:t>
      </w:r>
      <w:r w:rsidRPr="001836DC">
        <w:rPr>
          <w:szCs w:val="24"/>
        </w:rPr>
        <w:t xml:space="preserve"> on the </w:t>
      </w:r>
      <w:r w:rsidRPr="001836DC">
        <w:rPr>
          <w:bCs/>
          <w:szCs w:val="24"/>
        </w:rPr>
        <w:t>pleadings</w:t>
      </w:r>
      <w:r w:rsidRPr="001836DC">
        <w:rPr>
          <w:szCs w:val="24"/>
        </w:rPr>
        <w:t xml:space="preserve"> should be entered only when the case is clear and free from doubt. </w:t>
      </w:r>
      <w:r w:rsidR="00CF1671">
        <w:rPr>
          <w:szCs w:val="24"/>
        </w:rPr>
        <w:t xml:space="preserve"> </w:t>
      </w:r>
      <w:hyperlink r:id="rId17" w:history="1">
        <w:proofErr w:type="gramStart"/>
        <w:r w:rsidRPr="001836DC">
          <w:rPr>
            <w:i/>
            <w:szCs w:val="24"/>
          </w:rPr>
          <w:t>Reuben v. O'Brien</w:t>
        </w:r>
        <w:r w:rsidRPr="001836DC">
          <w:rPr>
            <w:szCs w:val="24"/>
          </w:rPr>
          <w:t>, 496 A.2d 913 (</w:t>
        </w:r>
        <w:proofErr w:type="spellStart"/>
        <w:r w:rsidRPr="001836DC">
          <w:rPr>
            <w:szCs w:val="24"/>
          </w:rPr>
          <w:t>Pa.Super</w:t>
        </w:r>
        <w:proofErr w:type="spellEnd"/>
        <w:r w:rsidRPr="001836DC">
          <w:rPr>
            <w:szCs w:val="24"/>
          </w:rPr>
          <w:t xml:space="preserve"> 1985)</w:t>
        </w:r>
      </w:hyperlink>
      <w:r w:rsidRPr="001836DC">
        <w:rPr>
          <w:szCs w:val="24"/>
        </w:rPr>
        <w:t>.</w:t>
      </w:r>
      <w:proofErr w:type="gramEnd"/>
      <w:r w:rsidR="00CA34BE">
        <w:tab/>
      </w:r>
    </w:p>
    <w:p w:rsidR="00D21BB1" w:rsidRDefault="00D21BB1" w:rsidP="00A42FB8">
      <w:pPr>
        <w:spacing w:before="0" w:after="0"/>
      </w:pPr>
    </w:p>
    <w:p w:rsidR="00503E16" w:rsidRDefault="00503E16" w:rsidP="00A42FB8">
      <w:pPr>
        <w:spacing w:before="0" w:after="0"/>
        <w:ind w:firstLine="1440"/>
      </w:pPr>
      <w:r>
        <w:lastRenderedPageBreak/>
        <w:t xml:space="preserve">In order for the doctrine of </w:t>
      </w:r>
      <w:r>
        <w:rPr>
          <w:i/>
        </w:rPr>
        <w:t>res judicata</w:t>
      </w:r>
      <w:r>
        <w:t xml:space="preserve"> to bar a subsequent claim, several factors must be met:</w:t>
      </w:r>
    </w:p>
    <w:p w:rsidR="00503E16" w:rsidRDefault="00503E16" w:rsidP="00A42FB8">
      <w:pPr>
        <w:pStyle w:val="IndentedQuote"/>
      </w:pPr>
    </w:p>
    <w:p w:rsidR="00125364" w:rsidRPr="00AC5FAD" w:rsidRDefault="00503E16" w:rsidP="00AC5FAD">
      <w:pPr>
        <w:pStyle w:val="IndentedQuote"/>
        <w:ind w:left="1440" w:right="1350"/>
        <w:rPr>
          <w:i/>
        </w:rPr>
      </w:pPr>
      <w:r>
        <w:t xml:space="preserve">The doctrine of </w:t>
      </w:r>
      <w:r>
        <w:rPr>
          <w:i/>
        </w:rPr>
        <w:t>res judicata</w:t>
      </w:r>
      <w: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 identity of causes of action, (3) identity of persons and parties to the action, and (4) identity of the quality or capacity of the parties suing or sued.</w:t>
      </w:r>
      <w:r w:rsidR="00AC5FAD">
        <w:t xml:space="preserve">  </w:t>
      </w:r>
      <w:proofErr w:type="gramStart"/>
      <w:r w:rsidR="00125364" w:rsidRPr="00AC5FAD">
        <w:rPr>
          <w:i/>
        </w:rPr>
        <w:t xml:space="preserve">Reynolds v. PPL Electric Utilities Corp., </w:t>
      </w:r>
      <w:r w:rsidR="00125364" w:rsidRPr="00E42306">
        <w:t>PUC Docket No.</w:t>
      </w:r>
      <w:proofErr w:type="gramEnd"/>
      <w:r w:rsidR="00125364" w:rsidRPr="00E42306">
        <w:t xml:space="preserve"> C-2011-2255268 (Commission order entered January 5, 2012), slip op. at 4 (citing</w:t>
      </w:r>
      <w:r w:rsidR="00125364" w:rsidRPr="00AC5FAD">
        <w:rPr>
          <w:i/>
        </w:rPr>
        <w:t xml:space="preserve"> Day v. </w:t>
      </w:r>
      <w:proofErr w:type="spellStart"/>
      <w:r w:rsidR="00125364" w:rsidRPr="00AC5FAD">
        <w:rPr>
          <w:i/>
        </w:rPr>
        <w:t>Volkswagenwerk</w:t>
      </w:r>
      <w:proofErr w:type="spellEnd"/>
      <w:r w:rsidR="00125364" w:rsidRPr="00AC5FAD">
        <w:rPr>
          <w:i/>
        </w:rPr>
        <w:t xml:space="preserve"> </w:t>
      </w:r>
      <w:proofErr w:type="spellStart"/>
      <w:r w:rsidR="00125364" w:rsidRPr="00AC5FAD">
        <w:rPr>
          <w:i/>
        </w:rPr>
        <w:t>Aktiengesellschaft</w:t>
      </w:r>
      <w:proofErr w:type="spellEnd"/>
      <w:r w:rsidR="00125364" w:rsidRPr="00AC5FAD">
        <w:rPr>
          <w:i/>
        </w:rPr>
        <w:t xml:space="preserve">, </w:t>
      </w:r>
      <w:r w:rsidR="00125364" w:rsidRPr="00E42306">
        <w:t>464 A.2d 1313, 1316 (</w:t>
      </w:r>
      <w:proofErr w:type="spellStart"/>
      <w:r w:rsidR="00125364" w:rsidRPr="00E42306">
        <w:t>Pa.Super</w:t>
      </w:r>
      <w:proofErr w:type="spellEnd"/>
      <w:r w:rsidR="00125364" w:rsidRPr="00E42306">
        <w:t>. 1983).</w:t>
      </w:r>
    </w:p>
    <w:p w:rsidR="00125364" w:rsidRDefault="00125364" w:rsidP="00A42FB8">
      <w:pPr>
        <w:pStyle w:val="IndentedQuote"/>
        <w:ind w:left="1440" w:right="1350"/>
      </w:pPr>
    </w:p>
    <w:p w:rsidR="00503E16" w:rsidRDefault="00503E16" w:rsidP="00A42FB8">
      <w:pPr>
        <w:pStyle w:val="IndentedQuote"/>
        <w:ind w:left="1440" w:right="1350"/>
      </w:pPr>
    </w:p>
    <w:p w:rsidR="00503E16" w:rsidRDefault="00503E16" w:rsidP="00A42FB8">
      <w:pPr>
        <w:pStyle w:val="NoSpacing"/>
        <w:spacing w:line="360" w:lineRule="auto"/>
        <w:rPr>
          <w:sz w:val="24"/>
          <w:szCs w:val="24"/>
        </w:rPr>
      </w:pPr>
      <w:r>
        <w:rPr>
          <w:sz w:val="24"/>
          <w:szCs w:val="24"/>
        </w:rPr>
        <w:tab/>
      </w:r>
      <w:r>
        <w:rPr>
          <w:sz w:val="24"/>
          <w:szCs w:val="24"/>
        </w:rPr>
        <w:tab/>
        <w:t>In addition, Section 316 of the Public Utility Code, further prevents collateral attacks upon Commission orders:</w:t>
      </w:r>
    </w:p>
    <w:p w:rsidR="00503E16" w:rsidRDefault="00503E16" w:rsidP="00A42FB8">
      <w:pPr>
        <w:pStyle w:val="NoSpacing"/>
        <w:spacing w:line="360" w:lineRule="auto"/>
        <w:ind w:left="1440" w:right="1440"/>
        <w:rPr>
          <w:sz w:val="24"/>
          <w:szCs w:val="24"/>
        </w:rPr>
      </w:pPr>
    </w:p>
    <w:p w:rsidR="00503E16" w:rsidRDefault="00503E16" w:rsidP="00A42FB8">
      <w:pPr>
        <w:pStyle w:val="IndentedQuote"/>
        <w:ind w:left="1440" w:right="1440"/>
      </w:pPr>
      <w:r>
        <w:t xml:space="preserve">Whenever the commission shall make any rule, finding, determination or order, the same shall be </w:t>
      </w:r>
      <w:r w:rsidRPr="00CF1671">
        <w:rPr>
          <w:i/>
        </w:rPr>
        <w:t>prima facie</w:t>
      </w:r>
      <w:r>
        <w:t xml:space="preserve"> evidence of the facts found and shall remain conclusive upon all parties affected thereby, unless set aside, annulled or modified on judicial review.</w:t>
      </w:r>
    </w:p>
    <w:p w:rsidR="00503E16" w:rsidRDefault="00503E16" w:rsidP="00A42FB8">
      <w:pPr>
        <w:pStyle w:val="IndentedQuote"/>
        <w:ind w:left="1440" w:right="1440"/>
      </w:pPr>
    </w:p>
    <w:p w:rsidR="00125364" w:rsidRDefault="00125364" w:rsidP="00125364">
      <w:pPr>
        <w:pStyle w:val="IndentedQuote"/>
        <w:ind w:left="1440" w:right="1440" w:hanging="1440"/>
      </w:pPr>
      <w:proofErr w:type="gramStart"/>
      <w:r>
        <w:t xml:space="preserve">66 </w:t>
      </w:r>
      <w:proofErr w:type="spellStart"/>
      <w:r>
        <w:t>Pa.C.S</w:t>
      </w:r>
      <w:proofErr w:type="spellEnd"/>
      <w:r>
        <w:t>.</w:t>
      </w:r>
      <w:proofErr w:type="gramEnd"/>
      <w:r>
        <w:t xml:space="preserve"> § 316</w:t>
      </w:r>
      <w:r w:rsidR="00AC5FAD">
        <w:t>.</w:t>
      </w:r>
    </w:p>
    <w:p w:rsidR="00125364" w:rsidRDefault="00125364" w:rsidP="00AC5FAD">
      <w:pPr>
        <w:pStyle w:val="IndentedQuote"/>
        <w:spacing w:line="360" w:lineRule="auto"/>
        <w:ind w:left="1440" w:right="1440"/>
      </w:pPr>
    </w:p>
    <w:p w:rsidR="00F55375" w:rsidRDefault="00F14C8F" w:rsidP="00F55375">
      <w:pPr>
        <w:pStyle w:val="ListParagraph"/>
        <w:numPr>
          <w:ilvl w:val="0"/>
          <w:numId w:val="0"/>
        </w:numPr>
        <w:ind w:firstLine="1440"/>
      </w:pPr>
      <w:r>
        <w:t xml:space="preserve">It is clear that the current complaint filed by Ms. Martin against PECO involves the same issue she raised in a previous complaint against PECO at Docket No. </w:t>
      </w:r>
      <w:proofErr w:type="gramStart"/>
      <w:r>
        <w:t>F-2013-2360697.</w:t>
      </w:r>
      <w:proofErr w:type="gramEnd"/>
      <w:r>
        <w:t xml:space="preserve">  In the instant complaint filed against PECO by Ms. Martin at Docket No. C-2016-254180, she alleges “transferred a bill they (PECO) had charged off in 2010 then put it back on my bill 2013 accruing interest” and “charging me for electric @ a residence I did not reside in having the bill over $9,000.00 now over $12,000.00 after they charged it off.”  </w:t>
      </w:r>
    </w:p>
    <w:p w:rsidR="00F55375" w:rsidRDefault="00F55375" w:rsidP="00F55375">
      <w:pPr>
        <w:pStyle w:val="ListParagraph"/>
        <w:numPr>
          <w:ilvl w:val="0"/>
          <w:numId w:val="0"/>
        </w:numPr>
        <w:ind w:firstLine="1440"/>
      </w:pPr>
    </w:p>
    <w:p w:rsidR="00F14C8F" w:rsidRDefault="00F55375" w:rsidP="00F55375">
      <w:pPr>
        <w:pStyle w:val="ListParagraph"/>
        <w:numPr>
          <w:ilvl w:val="0"/>
          <w:numId w:val="0"/>
        </w:numPr>
        <w:ind w:firstLine="1440"/>
      </w:pPr>
      <w:proofErr w:type="gramStart"/>
      <w:r>
        <w:t>In the prior complaint at Docket No.</w:t>
      </w:r>
      <w:proofErr w:type="gramEnd"/>
      <w:r>
        <w:t xml:space="preserve"> F-2013-2360697 filed by Ms. Martin against PECO she claimed there were incorrect charges on her bill, specifically that she was not responsible for $9,592.07 because she never had electric service in her name at 242 New Galena Road (rear) and because in January 2010 she called PECO to inform them she had lost her house </w:t>
      </w:r>
      <w:r>
        <w:lastRenderedPageBreak/>
        <w:t xml:space="preserve">at 242 New Galena Road.  </w:t>
      </w:r>
      <w:proofErr w:type="gramStart"/>
      <w:r w:rsidR="00F14C8F">
        <w:t>The prior complaint at Docket No.</w:t>
      </w:r>
      <w:proofErr w:type="gramEnd"/>
      <w:r w:rsidR="00F14C8F">
        <w:t xml:space="preserve"> F-2013-2360697 was denied and dismissed in an Initial Decision by Administrative Law Judge Elizabeth H. Barnes.  ALJ Barnes determined Ms. Martin was responsible for the charged off balance in 2010, as follows:</w:t>
      </w:r>
    </w:p>
    <w:p w:rsidR="00F14C8F" w:rsidRDefault="00F14C8F" w:rsidP="00F14C8F">
      <w:pPr>
        <w:pStyle w:val="ListParagraph"/>
        <w:numPr>
          <w:ilvl w:val="0"/>
          <w:numId w:val="0"/>
        </w:numPr>
        <w:spacing w:line="240" w:lineRule="auto"/>
        <w:ind w:left="1440" w:right="1440"/>
      </w:pPr>
    </w:p>
    <w:p w:rsidR="00F14C8F" w:rsidRDefault="00F14C8F" w:rsidP="00F14C8F">
      <w:pPr>
        <w:pStyle w:val="ListParagraph"/>
        <w:numPr>
          <w:ilvl w:val="0"/>
          <w:numId w:val="0"/>
        </w:numPr>
        <w:spacing w:line="240" w:lineRule="auto"/>
        <w:ind w:left="1440" w:right="1440"/>
      </w:pPr>
      <w:r>
        <w:t xml:space="preserve">On October 7, 2010, there was a charge off in the amount of $9,592.07 from the account being finalized in May 2010.  </w:t>
      </w:r>
      <w:proofErr w:type="gramStart"/>
      <w:r>
        <w:t>N.T. 25.</w:t>
      </w:r>
      <w:proofErr w:type="gramEnd"/>
      <w:r>
        <w:t xml:space="preserve">  The entire amount in dispute is Customer Assistance Program (CAP) arrears which are not subject to a Commission-ordered payment arrangement.  </w:t>
      </w:r>
      <w:proofErr w:type="gramStart"/>
      <w:r>
        <w:t xml:space="preserve">66 </w:t>
      </w:r>
      <w:proofErr w:type="spellStart"/>
      <w:r>
        <w:t>Pa.C.S</w:t>
      </w:r>
      <w:proofErr w:type="spellEnd"/>
      <w:r>
        <w:t>.</w:t>
      </w:r>
      <w:proofErr w:type="gramEnd"/>
      <w:r>
        <w:t xml:space="preserve"> §1405(c).  </w:t>
      </w:r>
      <w:proofErr w:type="gramStart"/>
      <w:r>
        <w:t>N.T. 29.</w:t>
      </w:r>
      <w:proofErr w:type="gramEnd"/>
      <w:r>
        <w:t xml:space="preserve">  I find the amount of $9,592.07 to be appropriate because it includes $3,242.37 that was transferred to the account on November 2008 that came from the rear account that was not paid and because PECO discontinued service shortly after Complainant requested discontinuance in May 2010.  N.T. 30-32.  </w:t>
      </w:r>
      <w:proofErr w:type="gramStart"/>
      <w:r>
        <w:t>PECO Exhibit 5.</w:t>
      </w:r>
      <w:proofErr w:type="gramEnd"/>
      <w:r>
        <w:t xml:space="preserve">  It is reasonable that PECO believed Complainant was the responsible account holder for both the front and rear properties given the social security numbers and name of Lisa A. Martin are the same on the accounts for both units as well as for an account held by Complainant from November 3, 2005 through March 2, 2007 at 123 Mary Street, Doylestown, PA.  </w:t>
      </w:r>
      <w:proofErr w:type="gramStart"/>
      <w:r>
        <w:t>PECO Exhibit 3.</w:t>
      </w:r>
      <w:proofErr w:type="gramEnd"/>
      <w:r>
        <w:t xml:space="preserve">    </w:t>
      </w:r>
    </w:p>
    <w:p w:rsidR="00F14C8F" w:rsidRDefault="00F14C8F" w:rsidP="00F14C8F">
      <w:pPr>
        <w:pStyle w:val="ListParagraph"/>
        <w:numPr>
          <w:ilvl w:val="0"/>
          <w:numId w:val="0"/>
        </w:numPr>
        <w:ind w:firstLine="1440"/>
      </w:pPr>
      <w:r>
        <w:t xml:space="preserve">  </w:t>
      </w:r>
    </w:p>
    <w:p w:rsidR="00D21BB1" w:rsidRDefault="00F14C8F" w:rsidP="00A42FB8">
      <w:pPr>
        <w:spacing w:before="0" w:after="0"/>
      </w:pPr>
      <w:r>
        <w:tab/>
        <w:t xml:space="preserve">On December 19, 2013, the Commission entered an Opinion and Order at Docket No. </w:t>
      </w:r>
      <w:proofErr w:type="gramStart"/>
      <w:r>
        <w:t>F-2013-2360697, denying the Petition for Reconsideration filed by Ms. Martin.</w:t>
      </w:r>
      <w:proofErr w:type="gramEnd"/>
      <w:r>
        <w:t xml:space="preserve">  </w:t>
      </w:r>
    </w:p>
    <w:p w:rsidR="00993575" w:rsidRDefault="00993575" w:rsidP="00A42FB8">
      <w:pPr>
        <w:spacing w:before="0" w:after="0"/>
      </w:pPr>
    </w:p>
    <w:p w:rsidR="00605D6E" w:rsidRDefault="00605D6E" w:rsidP="00A42FB8">
      <w:pPr>
        <w:spacing w:before="0" w:after="0"/>
        <w:rPr>
          <w:color w:val="212121"/>
          <w:szCs w:val="24"/>
        </w:rPr>
      </w:pPr>
      <w:r>
        <w:tab/>
        <w:t xml:space="preserve">The four requirements necessary for the doctrine of </w:t>
      </w:r>
      <w:r w:rsidRPr="00605D6E">
        <w:rPr>
          <w:i/>
        </w:rPr>
        <w:t>r</w:t>
      </w:r>
      <w:r w:rsidRPr="00512CE2">
        <w:rPr>
          <w:i/>
          <w:color w:val="212121"/>
          <w:szCs w:val="24"/>
        </w:rPr>
        <w:t>es judicata</w:t>
      </w:r>
      <w:r>
        <w:rPr>
          <w:i/>
          <w:color w:val="212121"/>
          <w:szCs w:val="24"/>
        </w:rPr>
        <w:t xml:space="preserve"> </w:t>
      </w:r>
      <w:r>
        <w:rPr>
          <w:color w:val="212121"/>
          <w:szCs w:val="24"/>
        </w:rPr>
        <w:t>to apply are present here.  Ms. Martin and PECO were both parties in the prior complaint proceeding as well as in this proceeding.  The issue raised in this proceeding regarding the transfer of a balance was addressed in the prior complaint proceeding.</w:t>
      </w:r>
      <w:r w:rsidR="00F55375">
        <w:rPr>
          <w:color w:val="212121"/>
          <w:szCs w:val="24"/>
        </w:rPr>
        <w:t xml:space="preserve">  The causes of action are the same in each complaint proceeding.</w:t>
      </w:r>
    </w:p>
    <w:p w:rsidR="00605D6E" w:rsidRPr="00605D6E" w:rsidRDefault="00605D6E" w:rsidP="00A42FB8">
      <w:pPr>
        <w:spacing w:before="0" w:after="0"/>
      </w:pPr>
    </w:p>
    <w:p w:rsidR="00207878" w:rsidRDefault="00993575" w:rsidP="00512CE2">
      <w:pPr>
        <w:spacing w:before="0" w:after="0"/>
      </w:pPr>
      <w:r>
        <w:tab/>
        <w:t xml:space="preserve">Section 703 of the Public Utility Code, </w:t>
      </w:r>
      <w:proofErr w:type="gramStart"/>
      <w:r>
        <w:t xml:space="preserve">66 </w:t>
      </w:r>
      <w:proofErr w:type="spellStart"/>
      <w:r>
        <w:t>Pa.C.S</w:t>
      </w:r>
      <w:proofErr w:type="spellEnd"/>
      <w:proofErr w:type="gramEnd"/>
      <w:r>
        <w:t>. §703(b) provides that the Commission may dismiss any complaint without a hearing if, in its opinion, a hearing is not necessary in the public interest.  A hearing is not need</w:t>
      </w:r>
      <w:r w:rsidR="001E7CBD">
        <w:t>ed</w:t>
      </w:r>
      <w:r>
        <w:t xml:space="preserve"> here.  The issues presented in the instant complaint </w:t>
      </w:r>
      <w:r w:rsidR="00512CE2">
        <w:t xml:space="preserve">have all been litigated previously by Ms. Martin and PECO.  Therefore, PECO is entitled to judgment as a matter of law.  The Motion for Judgment on the Pleadings is granted and the instant complaint is dismissed in the ordering paragraphs to follow.   </w:t>
      </w:r>
      <w:r w:rsidR="0023662B">
        <w:tab/>
      </w:r>
    </w:p>
    <w:p w:rsidR="00C024E7" w:rsidRDefault="00C024E7" w:rsidP="00A42FB8">
      <w:pPr>
        <w:spacing w:before="0" w:after="0"/>
      </w:pPr>
    </w:p>
    <w:p w:rsidR="004826A4" w:rsidRPr="004826A4" w:rsidRDefault="004826A4" w:rsidP="00A42FB8">
      <w:pPr>
        <w:spacing w:before="0" w:after="0"/>
        <w:jc w:val="center"/>
        <w:rPr>
          <w:u w:val="single"/>
        </w:rPr>
      </w:pPr>
      <w:r w:rsidRPr="004826A4">
        <w:rPr>
          <w:u w:val="single"/>
        </w:rPr>
        <w:lastRenderedPageBreak/>
        <w:t>CONCLUSIONS OF LAW</w:t>
      </w:r>
    </w:p>
    <w:p w:rsidR="004826A4" w:rsidRDefault="004826A4" w:rsidP="00A42FB8">
      <w:pPr>
        <w:spacing w:before="0" w:after="0"/>
      </w:pPr>
    </w:p>
    <w:p w:rsidR="004826A4" w:rsidRDefault="004826A4" w:rsidP="00A42FB8">
      <w:pPr>
        <w:spacing w:before="0" w:after="0"/>
      </w:pPr>
      <w:r>
        <w:tab/>
        <w:t>1.</w:t>
      </w:r>
      <w:r>
        <w:tab/>
        <w:t>The Commission has jurisdiction over the parties and subject matter of this proceeding</w:t>
      </w:r>
      <w:r w:rsidR="00512CE2">
        <w:t xml:space="preserve">.  </w:t>
      </w:r>
      <w:proofErr w:type="gramStart"/>
      <w:r w:rsidR="00512CE2" w:rsidRPr="009341CC">
        <w:t xml:space="preserve">66 </w:t>
      </w:r>
      <w:proofErr w:type="spellStart"/>
      <w:r w:rsidR="00512CE2" w:rsidRPr="009341CC">
        <w:t>Pa.C.S</w:t>
      </w:r>
      <w:proofErr w:type="spellEnd"/>
      <w:r w:rsidR="00512CE2" w:rsidRPr="009341CC">
        <w:t>.</w:t>
      </w:r>
      <w:proofErr w:type="gramEnd"/>
      <w:r w:rsidR="00512CE2" w:rsidRPr="009341CC">
        <w:t xml:space="preserve"> §</w:t>
      </w:r>
      <w:r w:rsidR="00512CE2">
        <w:t xml:space="preserve"> </w:t>
      </w:r>
      <w:r w:rsidR="00512CE2" w:rsidRPr="009341CC">
        <w:t>701.</w:t>
      </w:r>
    </w:p>
    <w:p w:rsidR="00C024E7" w:rsidRDefault="00C024E7" w:rsidP="00A42FB8">
      <w:pPr>
        <w:spacing w:before="0" w:after="0"/>
      </w:pPr>
    </w:p>
    <w:p w:rsidR="004826A4" w:rsidRDefault="004826A4" w:rsidP="00A42FB8">
      <w:pPr>
        <w:spacing w:before="0" w:after="0"/>
      </w:pPr>
      <w:r>
        <w:tab/>
        <w:t>2.</w:t>
      </w:r>
      <w:r>
        <w:tab/>
      </w:r>
      <w:r w:rsidR="00512CE2">
        <w:t xml:space="preserve">PECO Energy Company correctly raised </w:t>
      </w:r>
      <w:r w:rsidR="00512CE2" w:rsidRPr="00605D6E">
        <w:rPr>
          <w:i/>
        </w:rPr>
        <w:t>r</w:t>
      </w:r>
      <w:r w:rsidR="00512CE2" w:rsidRPr="00512CE2">
        <w:rPr>
          <w:i/>
          <w:color w:val="212121"/>
          <w:szCs w:val="24"/>
        </w:rPr>
        <w:t>es judicata</w:t>
      </w:r>
      <w:r w:rsidR="00512CE2" w:rsidRPr="00512CE2">
        <w:rPr>
          <w:color w:val="212121"/>
          <w:szCs w:val="24"/>
        </w:rPr>
        <w:t xml:space="preserve"> </w:t>
      </w:r>
      <w:r w:rsidR="00512CE2">
        <w:rPr>
          <w:color w:val="212121"/>
          <w:szCs w:val="24"/>
        </w:rPr>
        <w:t xml:space="preserve">as an </w:t>
      </w:r>
      <w:r w:rsidR="00512CE2" w:rsidRPr="00512CE2">
        <w:rPr>
          <w:color w:val="212121"/>
          <w:szCs w:val="24"/>
        </w:rPr>
        <w:t xml:space="preserve">affirmative defense in new matter. </w:t>
      </w:r>
      <w:r w:rsidR="0092085F">
        <w:rPr>
          <w:color w:val="212121"/>
          <w:szCs w:val="24"/>
        </w:rPr>
        <w:t xml:space="preserve"> </w:t>
      </w:r>
      <w:proofErr w:type="spellStart"/>
      <w:r w:rsidR="00512CE2" w:rsidRPr="00512CE2">
        <w:rPr>
          <w:i/>
          <w:color w:val="212121"/>
          <w:szCs w:val="24"/>
        </w:rPr>
        <w:t>Wroblewski</w:t>
      </w:r>
      <w:proofErr w:type="spellEnd"/>
      <w:r w:rsidR="00512CE2" w:rsidRPr="00512CE2">
        <w:rPr>
          <w:i/>
          <w:color w:val="212121"/>
          <w:szCs w:val="24"/>
        </w:rPr>
        <w:t xml:space="preserve"> v. Pennsylvania Electric Company</w:t>
      </w:r>
      <w:r w:rsidR="00512CE2" w:rsidRPr="00512CE2">
        <w:rPr>
          <w:color w:val="212121"/>
          <w:szCs w:val="24"/>
        </w:rPr>
        <w:t>, Docket No. C-2008-2058385 (Opinion and Order entered May 15, 2009).</w:t>
      </w:r>
    </w:p>
    <w:p w:rsidR="00C024E7" w:rsidRDefault="00C024E7" w:rsidP="00A42FB8">
      <w:pPr>
        <w:spacing w:before="0" w:after="0"/>
      </w:pPr>
    </w:p>
    <w:p w:rsidR="004826A4" w:rsidRPr="00512CE2" w:rsidRDefault="004826A4" w:rsidP="00A42FB8">
      <w:pPr>
        <w:spacing w:before="0" w:after="0"/>
        <w:rPr>
          <w:szCs w:val="24"/>
        </w:rPr>
      </w:pPr>
      <w:r>
        <w:tab/>
        <w:t>3.</w:t>
      </w:r>
      <w:r>
        <w:tab/>
      </w:r>
      <w:r w:rsidR="00512CE2" w:rsidRPr="00512CE2">
        <w:rPr>
          <w:color w:val="212121"/>
          <w:szCs w:val="24"/>
        </w:rPr>
        <w:t>The Commission will grant a motion for judgment on the pleadings only if the pleadings show there is no genuine issue as to a material fact and that the moving party is entitled to judgment as a matter of l</w:t>
      </w:r>
      <w:r w:rsidR="0092085F">
        <w:rPr>
          <w:color w:val="212121"/>
          <w:szCs w:val="24"/>
        </w:rPr>
        <w:t xml:space="preserve">aw.  </w:t>
      </w:r>
      <w:hyperlink r:id="rId18" w:history="1">
        <w:proofErr w:type="gramStart"/>
        <w:r w:rsidR="00512CE2" w:rsidRPr="0092085F">
          <w:rPr>
            <w:i/>
            <w:szCs w:val="24"/>
          </w:rPr>
          <w:t>Williams v. Lewis</w:t>
        </w:r>
        <w:r w:rsidR="00512CE2" w:rsidRPr="0092085F">
          <w:rPr>
            <w:szCs w:val="24"/>
          </w:rPr>
          <w:t>, 466 A.2d 682 (</w:t>
        </w:r>
        <w:proofErr w:type="spellStart"/>
        <w:r w:rsidR="00512CE2" w:rsidRPr="0092085F">
          <w:rPr>
            <w:szCs w:val="24"/>
          </w:rPr>
          <w:t>Pa.Super</w:t>
        </w:r>
        <w:proofErr w:type="spellEnd"/>
        <w:r w:rsidR="00512CE2" w:rsidRPr="0092085F">
          <w:rPr>
            <w:szCs w:val="24"/>
          </w:rPr>
          <w:t>. 1983)</w:t>
        </w:r>
      </w:hyperlink>
      <w:r w:rsidR="00512CE2" w:rsidRPr="0092085F">
        <w:rPr>
          <w:szCs w:val="24"/>
        </w:rPr>
        <w:t xml:space="preserve">; </w:t>
      </w:r>
      <w:r w:rsidR="00512CE2" w:rsidRPr="0092085F">
        <w:rPr>
          <w:i/>
          <w:color w:val="212121"/>
          <w:szCs w:val="24"/>
        </w:rPr>
        <w:t>Service Employees International Union, Local 69, AFL-CIO v.</w:t>
      </w:r>
      <w:proofErr w:type="gramEnd"/>
      <w:r w:rsidR="00512CE2" w:rsidRPr="0092085F">
        <w:rPr>
          <w:i/>
          <w:color w:val="212121"/>
          <w:szCs w:val="24"/>
        </w:rPr>
        <w:t xml:space="preserve"> The Peoples Natural Gas Company, d/b/a Dominion Peoples</w:t>
      </w:r>
      <w:r w:rsidR="00512CE2" w:rsidRPr="00512CE2">
        <w:rPr>
          <w:color w:val="212121"/>
          <w:szCs w:val="24"/>
        </w:rPr>
        <w:t>, Docket No. C-20028539 (Opinion and Order entered December 19, 2003).</w:t>
      </w:r>
    </w:p>
    <w:p w:rsidR="00C024E7" w:rsidRDefault="00C024E7" w:rsidP="00A42FB8">
      <w:pPr>
        <w:spacing w:before="0" w:after="0"/>
      </w:pPr>
    </w:p>
    <w:p w:rsidR="004826A4" w:rsidRDefault="004826A4" w:rsidP="00A42FB8">
      <w:pPr>
        <w:spacing w:before="0" w:after="0"/>
      </w:pPr>
      <w:r>
        <w:tab/>
        <w:t>4.</w:t>
      </w:r>
      <w:r>
        <w:tab/>
        <w:t>In this matter, no material facts are in dispute</w:t>
      </w:r>
      <w:r w:rsidR="0092085F">
        <w:t xml:space="preserve"> and PECO Energy Company is entitled to judgment as a matter of law</w:t>
      </w:r>
      <w:r>
        <w:t>.</w:t>
      </w:r>
    </w:p>
    <w:p w:rsidR="00C024E7" w:rsidRDefault="00C024E7" w:rsidP="00A42FB8">
      <w:pPr>
        <w:spacing w:before="0" w:after="0"/>
      </w:pPr>
    </w:p>
    <w:p w:rsidR="004826A4" w:rsidRDefault="004826A4" w:rsidP="00A42FB8">
      <w:pPr>
        <w:spacing w:before="0" w:after="0"/>
      </w:pPr>
      <w:r>
        <w:tab/>
        <w:t>5.</w:t>
      </w:r>
      <w:r>
        <w:tab/>
        <w:t xml:space="preserve">The claim made in the complaint regarding </w:t>
      </w:r>
      <w:r w:rsidR="0092085F">
        <w:t xml:space="preserve">the transfer of a bill </w:t>
      </w:r>
      <w:r>
        <w:t xml:space="preserve">is barred by </w:t>
      </w:r>
      <w:r w:rsidR="0092085F">
        <w:t xml:space="preserve">the doctrine of </w:t>
      </w:r>
      <w:r w:rsidRPr="004826A4">
        <w:rPr>
          <w:i/>
        </w:rPr>
        <w:t>res judicata</w:t>
      </w:r>
      <w:r w:rsidR="00DD5CB3">
        <w:rPr>
          <w:i/>
        </w:rPr>
        <w:t>.</w:t>
      </w:r>
      <w:r w:rsidR="00DD5CB3" w:rsidRPr="00DD5CB3">
        <w:rPr>
          <w:i/>
        </w:rPr>
        <w:t xml:space="preserve"> </w:t>
      </w:r>
      <w:r w:rsidR="00FC3222">
        <w:rPr>
          <w:i/>
        </w:rPr>
        <w:t xml:space="preserve"> </w:t>
      </w:r>
      <w:proofErr w:type="gramStart"/>
      <w:r w:rsidR="00DD5CB3">
        <w:rPr>
          <w:i/>
        </w:rPr>
        <w:t>Reynolds v. PPL Electric Utilities Corp.</w:t>
      </w:r>
      <w:r w:rsidR="00DD5CB3">
        <w:t>, PUC Docket No.</w:t>
      </w:r>
      <w:proofErr w:type="gramEnd"/>
      <w:r w:rsidR="00DD5CB3">
        <w:t xml:space="preserve"> C-2011-2255268 (Commission order entered January 5, 2012), slip op. at 4 (citing </w:t>
      </w:r>
      <w:r w:rsidR="00DD5CB3">
        <w:rPr>
          <w:i/>
        </w:rPr>
        <w:t>Day v. Volkswagenwerk Aktiengesellschaft</w:t>
      </w:r>
      <w:r w:rsidR="00DD5CB3">
        <w:t>, 464 A.2d 1313, 1316 (Pa</w:t>
      </w:r>
      <w:r w:rsidR="00FF31BB">
        <w:t>.Super.</w:t>
      </w:r>
      <w:r w:rsidR="00DD5CB3">
        <w:t xml:space="preserve"> 1983).</w:t>
      </w:r>
      <w:r>
        <w:t xml:space="preserve"> </w:t>
      </w:r>
    </w:p>
    <w:p w:rsidR="004826A4" w:rsidRDefault="004826A4" w:rsidP="00A42FB8">
      <w:pPr>
        <w:spacing w:before="0" w:after="0"/>
      </w:pPr>
    </w:p>
    <w:p w:rsidR="004826A4" w:rsidRDefault="004826A4" w:rsidP="00A42FB8">
      <w:pPr>
        <w:spacing w:before="0" w:after="0"/>
      </w:pPr>
      <w:r>
        <w:tab/>
        <w:t>6.</w:t>
      </w:r>
      <w:r>
        <w:tab/>
        <w:t xml:space="preserve">A final valid judgment bars any future suit between the same parties on the same cause of action.  </w:t>
      </w:r>
      <w:r w:rsidRPr="00275DCE">
        <w:rPr>
          <w:i/>
        </w:rPr>
        <w:t>McCarthy v. Twp. of McCandless</w:t>
      </w:r>
      <w:r w:rsidR="00C024E7">
        <w:t>, 300 A.2d 815 (Pa.</w:t>
      </w:r>
      <w:r>
        <w:t xml:space="preserve">Cmwlth. 1973).  </w:t>
      </w:r>
    </w:p>
    <w:p w:rsidR="004826A4" w:rsidRDefault="004826A4" w:rsidP="00A42FB8">
      <w:pPr>
        <w:spacing w:before="0" w:after="0"/>
      </w:pPr>
    </w:p>
    <w:p w:rsidR="00846DFE" w:rsidRDefault="004826A4" w:rsidP="00A42FB8">
      <w:pPr>
        <w:spacing w:before="0" w:after="0"/>
      </w:pPr>
      <w:r>
        <w:tab/>
        <w:t>7.</w:t>
      </w:r>
      <w:r>
        <w:tab/>
        <w:t xml:space="preserve">Whenever the commission shall make any rule, finding, determination or order, the same shall be </w:t>
      </w:r>
      <w:r w:rsidRPr="00FC3222">
        <w:rPr>
          <w:i/>
        </w:rPr>
        <w:t>prima facie</w:t>
      </w:r>
      <w:r>
        <w:t xml:space="preserve"> evidence of the facts found and shall remain conclusive upon all parties affected thereby, unless set aside, annulled or modified on judicial review.  </w:t>
      </w:r>
      <w:proofErr w:type="gramStart"/>
      <w:r>
        <w:t>66 Pa.C.S.</w:t>
      </w:r>
      <w:proofErr w:type="gramEnd"/>
      <w:r>
        <w:t xml:space="preserve"> § 316.</w:t>
      </w:r>
    </w:p>
    <w:p w:rsidR="00E753F7" w:rsidRDefault="00275DCE" w:rsidP="00A42FB8">
      <w:pPr>
        <w:spacing w:before="0" w:after="0"/>
        <w:jc w:val="center"/>
        <w:rPr>
          <w:u w:val="single"/>
        </w:rPr>
      </w:pPr>
      <w:bookmarkStart w:id="0" w:name="_GoBack"/>
      <w:bookmarkEnd w:id="0"/>
      <w:r w:rsidRPr="009E4FFB">
        <w:rPr>
          <w:u w:val="single"/>
        </w:rPr>
        <w:lastRenderedPageBreak/>
        <w:t>ORDER</w:t>
      </w:r>
    </w:p>
    <w:p w:rsidR="00A42FB8" w:rsidRDefault="00A42FB8" w:rsidP="00A42FB8">
      <w:pPr>
        <w:spacing w:before="0" w:after="0"/>
        <w:jc w:val="center"/>
        <w:rPr>
          <w:u w:val="single"/>
        </w:rPr>
      </w:pPr>
    </w:p>
    <w:p w:rsidR="00A42FB8" w:rsidRPr="009E4FFB" w:rsidRDefault="00A42FB8" w:rsidP="00A42FB8">
      <w:pPr>
        <w:spacing w:before="0" w:after="0"/>
        <w:jc w:val="center"/>
        <w:rPr>
          <w:u w:val="single"/>
        </w:rPr>
      </w:pPr>
    </w:p>
    <w:p w:rsidR="00275DCE" w:rsidRDefault="006620D4" w:rsidP="00A42FB8">
      <w:pPr>
        <w:spacing w:before="0" w:after="0"/>
      </w:pPr>
      <w:r>
        <w:tab/>
      </w:r>
      <w:r w:rsidR="00275DCE">
        <w:t>THEREFORE</w:t>
      </w:r>
      <w:r w:rsidR="00A42FB8">
        <w:t>,</w:t>
      </w:r>
    </w:p>
    <w:p w:rsidR="00A42FB8" w:rsidRDefault="00A42FB8" w:rsidP="00A42FB8">
      <w:pPr>
        <w:spacing w:before="0" w:after="0"/>
      </w:pPr>
    </w:p>
    <w:p w:rsidR="00275DCE" w:rsidRDefault="006620D4" w:rsidP="00A42FB8">
      <w:pPr>
        <w:spacing w:before="0" w:after="0"/>
      </w:pPr>
      <w:r>
        <w:tab/>
      </w:r>
      <w:r w:rsidR="00275DCE">
        <w:t>IT IS ORDERED:</w:t>
      </w:r>
    </w:p>
    <w:p w:rsidR="006620D4" w:rsidRDefault="006620D4" w:rsidP="00A42FB8">
      <w:pPr>
        <w:spacing w:before="0" w:after="0"/>
      </w:pPr>
    </w:p>
    <w:p w:rsidR="00275DCE" w:rsidRDefault="00275DCE" w:rsidP="00A42FB8">
      <w:pPr>
        <w:spacing w:before="0" w:after="0"/>
      </w:pPr>
      <w:r>
        <w:tab/>
        <w:t>1.</w:t>
      </w:r>
      <w:r>
        <w:tab/>
        <w:t xml:space="preserve">That the formal complaint of </w:t>
      </w:r>
      <w:r w:rsidR="00DB5A66">
        <w:t xml:space="preserve">Lisa </w:t>
      </w:r>
      <w:r w:rsidR="00605D6E">
        <w:t xml:space="preserve">A. </w:t>
      </w:r>
      <w:r w:rsidR="00DB5A66">
        <w:t xml:space="preserve">Martin against PECO Energy Company </w:t>
      </w:r>
      <w:r w:rsidR="006620D4">
        <w:t>at Docket No. C-2016-25</w:t>
      </w:r>
      <w:r w:rsidR="00DB5A66">
        <w:t>41801</w:t>
      </w:r>
      <w:r w:rsidR="006620D4">
        <w:t xml:space="preserve"> </w:t>
      </w:r>
      <w:r>
        <w:t>is dismissed.</w:t>
      </w:r>
    </w:p>
    <w:p w:rsidR="00C024E7" w:rsidRDefault="00C024E7" w:rsidP="00A42FB8">
      <w:pPr>
        <w:spacing w:before="0" w:after="0"/>
      </w:pPr>
    </w:p>
    <w:p w:rsidR="00275DCE" w:rsidRDefault="00275DCE" w:rsidP="00A42FB8">
      <w:pPr>
        <w:spacing w:before="0" w:after="0"/>
      </w:pPr>
      <w:r>
        <w:tab/>
        <w:t>2.</w:t>
      </w:r>
      <w:r>
        <w:tab/>
        <w:t>That the Secretary mark the docket closed and discontinued.</w:t>
      </w:r>
    </w:p>
    <w:p w:rsidR="001E0F42" w:rsidRDefault="001E0F42" w:rsidP="00A42FB8">
      <w:pPr>
        <w:spacing w:before="0" w:after="0"/>
      </w:pPr>
      <w:r>
        <w:tab/>
      </w:r>
    </w:p>
    <w:p w:rsidR="00C024E7" w:rsidRDefault="00C024E7" w:rsidP="00A42FB8">
      <w:pPr>
        <w:spacing w:before="0" w:after="0"/>
      </w:pPr>
    </w:p>
    <w:p w:rsidR="007A3F35" w:rsidRPr="007A3F35" w:rsidRDefault="007A3F35" w:rsidP="007A3F35">
      <w:pPr>
        <w:tabs>
          <w:tab w:val="left" w:pos="0"/>
        </w:tabs>
        <w:spacing w:before="0" w:after="0" w:line="240" w:lineRule="auto"/>
        <w:jc w:val="both"/>
        <w:rPr>
          <w:szCs w:val="24"/>
          <w:u w:val="single"/>
        </w:rPr>
      </w:pPr>
      <w:r w:rsidRPr="007A3F35">
        <w:rPr>
          <w:szCs w:val="24"/>
        </w:rPr>
        <w:t xml:space="preserve">Date:  </w:t>
      </w:r>
      <w:r w:rsidR="00DB5A66">
        <w:rPr>
          <w:szCs w:val="24"/>
          <w:u w:val="single"/>
        </w:rPr>
        <w:t>August 2, 2016</w:t>
      </w:r>
      <w:r w:rsidRPr="007A3F35">
        <w:rPr>
          <w:szCs w:val="24"/>
        </w:rPr>
        <w:tab/>
      </w:r>
      <w:r w:rsidRPr="007A3F35">
        <w:rPr>
          <w:szCs w:val="24"/>
        </w:rPr>
        <w:tab/>
      </w:r>
      <w:r w:rsidRPr="007A3F35">
        <w:rPr>
          <w:szCs w:val="24"/>
        </w:rPr>
        <w:tab/>
      </w:r>
      <w:r w:rsidRPr="007A3F35">
        <w:rPr>
          <w:szCs w:val="24"/>
        </w:rPr>
        <w:tab/>
      </w:r>
      <w:r>
        <w:rPr>
          <w:szCs w:val="24"/>
        </w:rPr>
        <w:tab/>
      </w:r>
      <w:r w:rsidRPr="007A3F35">
        <w:rPr>
          <w:szCs w:val="24"/>
          <w:u w:val="single"/>
        </w:rPr>
        <w:tab/>
      </w:r>
      <w:r w:rsidRPr="007A3F35">
        <w:rPr>
          <w:szCs w:val="24"/>
          <w:u w:val="single"/>
        </w:rPr>
        <w:tab/>
        <w:t>/s/</w:t>
      </w:r>
      <w:r w:rsidRPr="007A3F35">
        <w:rPr>
          <w:szCs w:val="24"/>
          <w:u w:val="single"/>
        </w:rPr>
        <w:tab/>
      </w:r>
      <w:r w:rsidRPr="007A3F35">
        <w:rPr>
          <w:szCs w:val="24"/>
          <w:u w:val="single"/>
        </w:rPr>
        <w:tab/>
      </w:r>
      <w:r w:rsidRPr="007A3F35">
        <w:rPr>
          <w:szCs w:val="24"/>
          <w:u w:val="single"/>
        </w:rPr>
        <w:tab/>
      </w:r>
      <w:r w:rsidRPr="007A3F35">
        <w:rPr>
          <w:szCs w:val="24"/>
          <w:u w:val="single"/>
        </w:rPr>
        <w:tab/>
      </w:r>
    </w:p>
    <w:p w:rsidR="007A3F35" w:rsidRPr="007A3F35" w:rsidRDefault="007A3F35" w:rsidP="007A3F35">
      <w:pPr>
        <w:tabs>
          <w:tab w:val="left" w:pos="0"/>
        </w:tabs>
        <w:spacing w:before="0" w:after="0" w:line="240" w:lineRule="auto"/>
        <w:jc w:val="both"/>
        <w:rPr>
          <w:szCs w:val="24"/>
        </w:rPr>
      </w:pPr>
      <w:r w:rsidRPr="007A3F35">
        <w:rPr>
          <w:szCs w:val="24"/>
        </w:rPr>
        <w:tab/>
      </w:r>
      <w:r w:rsidRPr="007A3F35">
        <w:rPr>
          <w:szCs w:val="24"/>
        </w:rPr>
        <w:tab/>
      </w:r>
      <w:r w:rsidRPr="007A3F35">
        <w:rPr>
          <w:szCs w:val="24"/>
        </w:rPr>
        <w:tab/>
      </w:r>
      <w:r w:rsidRPr="007A3F35">
        <w:rPr>
          <w:szCs w:val="24"/>
        </w:rPr>
        <w:tab/>
      </w:r>
      <w:r w:rsidRPr="007A3F35">
        <w:rPr>
          <w:szCs w:val="24"/>
        </w:rPr>
        <w:tab/>
      </w:r>
      <w:r w:rsidRPr="007A3F35">
        <w:rPr>
          <w:szCs w:val="24"/>
        </w:rPr>
        <w:tab/>
        <w:t>Mar</w:t>
      </w:r>
      <w:r w:rsidR="00DB5A66">
        <w:rPr>
          <w:szCs w:val="24"/>
        </w:rPr>
        <w:t>k A. Hoyer</w:t>
      </w:r>
    </w:p>
    <w:p w:rsidR="007A3F35" w:rsidRPr="007A3F35" w:rsidRDefault="007A3F35" w:rsidP="007A3F35">
      <w:pPr>
        <w:tabs>
          <w:tab w:val="left" w:pos="0"/>
        </w:tabs>
        <w:spacing w:before="0" w:after="0" w:line="240" w:lineRule="auto"/>
        <w:jc w:val="both"/>
        <w:rPr>
          <w:szCs w:val="24"/>
        </w:rPr>
      </w:pPr>
      <w:r w:rsidRPr="007A3F35">
        <w:rPr>
          <w:szCs w:val="24"/>
        </w:rPr>
        <w:tab/>
      </w:r>
      <w:r w:rsidRPr="007A3F35">
        <w:rPr>
          <w:szCs w:val="24"/>
        </w:rPr>
        <w:tab/>
      </w:r>
      <w:r w:rsidRPr="007A3F35">
        <w:rPr>
          <w:szCs w:val="24"/>
        </w:rPr>
        <w:tab/>
      </w:r>
      <w:r w:rsidRPr="007A3F35">
        <w:rPr>
          <w:szCs w:val="24"/>
        </w:rPr>
        <w:tab/>
      </w:r>
      <w:r w:rsidRPr="007A3F35">
        <w:rPr>
          <w:szCs w:val="24"/>
        </w:rPr>
        <w:tab/>
      </w:r>
      <w:r w:rsidRPr="007A3F35">
        <w:rPr>
          <w:szCs w:val="24"/>
        </w:rPr>
        <w:tab/>
      </w:r>
      <w:r w:rsidR="00DB5A66">
        <w:rPr>
          <w:szCs w:val="24"/>
        </w:rPr>
        <w:t xml:space="preserve">Deputy Chief </w:t>
      </w:r>
      <w:r w:rsidRPr="007A3F35">
        <w:rPr>
          <w:szCs w:val="24"/>
        </w:rPr>
        <w:t>Administrative Law Judge</w:t>
      </w:r>
    </w:p>
    <w:p w:rsidR="00C024E7" w:rsidRPr="008C54E1" w:rsidRDefault="00C024E7" w:rsidP="00A42FB8">
      <w:pPr>
        <w:spacing w:before="0" w:after="0"/>
      </w:pPr>
    </w:p>
    <w:sectPr w:rsidR="00C024E7" w:rsidRPr="008C54E1" w:rsidSect="00C51596">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64" w:rsidRDefault="00125364" w:rsidP="00C51596">
      <w:pPr>
        <w:spacing w:before="0" w:after="0" w:line="240" w:lineRule="auto"/>
      </w:pPr>
      <w:r>
        <w:separator/>
      </w:r>
    </w:p>
  </w:endnote>
  <w:endnote w:type="continuationSeparator" w:id="0">
    <w:p w:rsidR="00125364" w:rsidRDefault="00125364" w:rsidP="00C515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97668"/>
      <w:docPartObj>
        <w:docPartGallery w:val="Page Numbers (Bottom of Page)"/>
        <w:docPartUnique/>
      </w:docPartObj>
    </w:sdtPr>
    <w:sdtEndPr>
      <w:rPr>
        <w:noProof/>
        <w:sz w:val="20"/>
      </w:rPr>
    </w:sdtEndPr>
    <w:sdtContent>
      <w:p w:rsidR="00125364" w:rsidRPr="00212EA2" w:rsidRDefault="00125364">
        <w:pPr>
          <w:pStyle w:val="Footer"/>
          <w:jc w:val="center"/>
          <w:rPr>
            <w:sz w:val="20"/>
          </w:rPr>
        </w:pPr>
        <w:r w:rsidRPr="00212EA2">
          <w:rPr>
            <w:sz w:val="20"/>
          </w:rPr>
          <w:fldChar w:fldCharType="begin"/>
        </w:r>
        <w:r w:rsidRPr="00212EA2">
          <w:rPr>
            <w:sz w:val="20"/>
          </w:rPr>
          <w:instrText xml:space="preserve"> PAGE   \* MERGEFORMAT </w:instrText>
        </w:r>
        <w:r w:rsidRPr="00212EA2">
          <w:rPr>
            <w:sz w:val="20"/>
          </w:rPr>
          <w:fldChar w:fldCharType="separate"/>
        </w:r>
        <w:r w:rsidR="00E42306">
          <w:rPr>
            <w:noProof/>
            <w:sz w:val="20"/>
          </w:rPr>
          <w:t>8</w:t>
        </w:r>
        <w:r w:rsidRPr="00212EA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64" w:rsidRDefault="00125364" w:rsidP="00C51596">
      <w:pPr>
        <w:spacing w:before="0" w:after="0" w:line="240" w:lineRule="auto"/>
      </w:pPr>
      <w:r>
        <w:separator/>
      </w:r>
    </w:p>
  </w:footnote>
  <w:footnote w:type="continuationSeparator" w:id="0">
    <w:p w:rsidR="00125364" w:rsidRDefault="00125364" w:rsidP="00C51596">
      <w:pPr>
        <w:spacing w:before="0" w:after="0" w:line="240" w:lineRule="auto"/>
      </w:pPr>
      <w:r>
        <w:continuationSeparator/>
      </w:r>
    </w:p>
  </w:footnote>
  <w:footnote w:id="1">
    <w:p w:rsidR="00125364" w:rsidRPr="00511B59" w:rsidRDefault="00125364" w:rsidP="00125364">
      <w:pPr>
        <w:pStyle w:val="FootnoteText"/>
      </w:pPr>
      <w:r>
        <w:rPr>
          <w:rStyle w:val="FootnoteReference"/>
        </w:rPr>
        <w:footnoteRef/>
      </w:r>
      <w:r>
        <w:t xml:space="preserve"> </w:t>
      </w:r>
      <w:r>
        <w:tab/>
        <w:t xml:space="preserve">Lisa A. Martin v. PECO, Docket No. F-2013-2360697 (Opinion and Order entered December 19,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89EA4"/>
    <w:lvl w:ilvl="0">
      <w:start w:val="1"/>
      <w:numFmt w:val="decimal"/>
      <w:lvlText w:val="%1."/>
      <w:lvlJc w:val="left"/>
      <w:pPr>
        <w:tabs>
          <w:tab w:val="num" w:pos="1800"/>
        </w:tabs>
        <w:ind w:left="1800" w:hanging="360"/>
      </w:pPr>
    </w:lvl>
  </w:abstractNum>
  <w:abstractNum w:abstractNumId="1">
    <w:nsid w:val="FFFFFF7D"/>
    <w:multiLevelType w:val="singleLevel"/>
    <w:tmpl w:val="3E663296"/>
    <w:lvl w:ilvl="0">
      <w:start w:val="1"/>
      <w:numFmt w:val="decimal"/>
      <w:lvlText w:val="%1."/>
      <w:lvlJc w:val="left"/>
      <w:pPr>
        <w:tabs>
          <w:tab w:val="num" w:pos="1440"/>
        </w:tabs>
        <w:ind w:left="1440" w:hanging="360"/>
      </w:pPr>
    </w:lvl>
  </w:abstractNum>
  <w:abstractNum w:abstractNumId="2">
    <w:nsid w:val="FFFFFF7E"/>
    <w:multiLevelType w:val="singleLevel"/>
    <w:tmpl w:val="9404E3F2"/>
    <w:lvl w:ilvl="0">
      <w:start w:val="1"/>
      <w:numFmt w:val="decimal"/>
      <w:lvlText w:val="%1."/>
      <w:lvlJc w:val="left"/>
      <w:pPr>
        <w:tabs>
          <w:tab w:val="num" w:pos="1080"/>
        </w:tabs>
        <w:ind w:left="1080" w:hanging="360"/>
      </w:pPr>
    </w:lvl>
  </w:abstractNum>
  <w:abstractNum w:abstractNumId="3">
    <w:nsid w:val="FFFFFF7F"/>
    <w:multiLevelType w:val="singleLevel"/>
    <w:tmpl w:val="881E4E92"/>
    <w:lvl w:ilvl="0">
      <w:start w:val="1"/>
      <w:numFmt w:val="decimal"/>
      <w:lvlText w:val="%1."/>
      <w:lvlJc w:val="left"/>
      <w:pPr>
        <w:tabs>
          <w:tab w:val="num" w:pos="720"/>
        </w:tabs>
        <w:ind w:left="720" w:hanging="360"/>
      </w:pPr>
    </w:lvl>
  </w:abstractNum>
  <w:abstractNum w:abstractNumId="4">
    <w:nsid w:val="FFFFFF80"/>
    <w:multiLevelType w:val="singleLevel"/>
    <w:tmpl w:val="9D0C66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EEA5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C09C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E8AD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88C3E"/>
    <w:lvl w:ilvl="0">
      <w:start w:val="1"/>
      <w:numFmt w:val="decimal"/>
      <w:lvlText w:val="%1."/>
      <w:lvlJc w:val="left"/>
      <w:pPr>
        <w:tabs>
          <w:tab w:val="num" w:pos="360"/>
        </w:tabs>
        <w:ind w:left="360" w:hanging="360"/>
      </w:pPr>
    </w:lvl>
  </w:abstractNum>
  <w:abstractNum w:abstractNumId="9">
    <w:nsid w:val="FFFFFF89"/>
    <w:multiLevelType w:val="singleLevel"/>
    <w:tmpl w:val="7212A644"/>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9913FD1"/>
    <w:multiLevelType w:val="hybridMultilevel"/>
    <w:tmpl w:val="DF3E0CB0"/>
    <w:lvl w:ilvl="0" w:tplc="FAD0A14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27"/>
  </w:num>
  <w:num w:numId="4">
    <w:abstractNumId w:val="31"/>
  </w:num>
  <w:num w:numId="5">
    <w:abstractNumId w:val="16"/>
  </w:num>
  <w:num w:numId="6">
    <w:abstractNumId w:val="14"/>
  </w:num>
  <w:num w:numId="7">
    <w:abstractNumId w:val="13"/>
  </w:num>
  <w:num w:numId="8">
    <w:abstractNumId w:val="30"/>
  </w:num>
  <w:num w:numId="9">
    <w:abstractNumId w:val="11"/>
  </w:num>
  <w:num w:numId="10">
    <w:abstractNumId w:val="24"/>
  </w:num>
  <w:num w:numId="11">
    <w:abstractNumId w:val="26"/>
  </w:num>
  <w:num w:numId="12">
    <w:abstractNumId w:val="20"/>
  </w:num>
  <w:num w:numId="13">
    <w:abstractNumId w:val="25"/>
  </w:num>
  <w:num w:numId="14">
    <w:abstractNumId w:val="28"/>
  </w:num>
  <w:num w:numId="15">
    <w:abstractNumId w:val="10"/>
  </w:num>
  <w:num w:numId="16">
    <w:abstractNumId w:val="23"/>
  </w:num>
  <w:num w:numId="17">
    <w:abstractNumId w:val="23"/>
  </w:num>
  <w:num w:numId="18">
    <w:abstractNumId w:val="15"/>
  </w:num>
  <w:num w:numId="19">
    <w:abstractNumId w:val="21"/>
  </w:num>
  <w:num w:numId="20">
    <w:abstractNumId w:val="32"/>
  </w:num>
  <w:num w:numId="21">
    <w:abstractNumId w:val="18"/>
  </w:num>
  <w:num w:numId="22">
    <w:abstractNumId w:val="12"/>
  </w:num>
  <w:num w:numId="23">
    <w:abstractNumId w:val="19"/>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E7"/>
    <w:rsid w:val="00004C37"/>
    <w:rsid w:val="000266C3"/>
    <w:rsid w:val="0005241F"/>
    <w:rsid w:val="000839D4"/>
    <w:rsid w:val="000964B9"/>
    <w:rsid w:val="000E3EDE"/>
    <w:rsid w:val="001059A0"/>
    <w:rsid w:val="00125364"/>
    <w:rsid w:val="001323E1"/>
    <w:rsid w:val="00146B42"/>
    <w:rsid w:val="00152169"/>
    <w:rsid w:val="0016673E"/>
    <w:rsid w:val="001836DC"/>
    <w:rsid w:val="00193CFC"/>
    <w:rsid w:val="001A21B6"/>
    <w:rsid w:val="001B1CBA"/>
    <w:rsid w:val="001B6154"/>
    <w:rsid w:val="001D0BFF"/>
    <w:rsid w:val="001D2587"/>
    <w:rsid w:val="001D2AF7"/>
    <w:rsid w:val="001E0F42"/>
    <w:rsid w:val="001E7CBD"/>
    <w:rsid w:val="00207878"/>
    <w:rsid w:val="00212EA2"/>
    <w:rsid w:val="00213167"/>
    <w:rsid w:val="0021784A"/>
    <w:rsid w:val="0023662B"/>
    <w:rsid w:val="00240BBF"/>
    <w:rsid w:val="002512F9"/>
    <w:rsid w:val="00274CFD"/>
    <w:rsid w:val="00275DCE"/>
    <w:rsid w:val="002B42A7"/>
    <w:rsid w:val="002E1EAB"/>
    <w:rsid w:val="003145FA"/>
    <w:rsid w:val="00352804"/>
    <w:rsid w:val="00367A41"/>
    <w:rsid w:val="003717E7"/>
    <w:rsid w:val="00374075"/>
    <w:rsid w:val="00380690"/>
    <w:rsid w:val="00384DF8"/>
    <w:rsid w:val="00391E86"/>
    <w:rsid w:val="00393C92"/>
    <w:rsid w:val="003C18C7"/>
    <w:rsid w:val="003E2278"/>
    <w:rsid w:val="003F06C9"/>
    <w:rsid w:val="003F1F5E"/>
    <w:rsid w:val="003F6B5B"/>
    <w:rsid w:val="004015D0"/>
    <w:rsid w:val="00427572"/>
    <w:rsid w:val="00450D64"/>
    <w:rsid w:val="00461400"/>
    <w:rsid w:val="004826A4"/>
    <w:rsid w:val="00486269"/>
    <w:rsid w:val="00495B6E"/>
    <w:rsid w:val="004B3C2D"/>
    <w:rsid w:val="004B4817"/>
    <w:rsid w:val="004D523C"/>
    <w:rsid w:val="004D79A2"/>
    <w:rsid w:val="00503E16"/>
    <w:rsid w:val="00511B59"/>
    <w:rsid w:val="00512CE2"/>
    <w:rsid w:val="005317A5"/>
    <w:rsid w:val="00534F75"/>
    <w:rsid w:val="00550C0E"/>
    <w:rsid w:val="005602DF"/>
    <w:rsid w:val="00567D35"/>
    <w:rsid w:val="0057364C"/>
    <w:rsid w:val="0058169A"/>
    <w:rsid w:val="0059130B"/>
    <w:rsid w:val="005A1C17"/>
    <w:rsid w:val="005A2ABA"/>
    <w:rsid w:val="005A4803"/>
    <w:rsid w:val="005B35AD"/>
    <w:rsid w:val="005E7B69"/>
    <w:rsid w:val="00600B19"/>
    <w:rsid w:val="00605D6E"/>
    <w:rsid w:val="006069AC"/>
    <w:rsid w:val="0061775F"/>
    <w:rsid w:val="006273DA"/>
    <w:rsid w:val="00641FF4"/>
    <w:rsid w:val="00647BEE"/>
    <w:rsid w:val="00651620"/>
    <w:rsid w:val="006620D4"/>
    <w:rsid w:val="006969B2"/>
    <w:rsid w:val="00696C0D"/>
    <w:rsid w:val="006C7EED"/>
    <w:rsid w:val="006D591F"/>
    <w:rsid w:val="006F0329"/>
    <w:rsid w:val="00700807"/>
    <w:rsid w:val="00712E58"/>
    <w:rsid w:val="007155EA"/>
    <w:rsid w:val="00721CE3"/>
    <w:rsid w:val="007429F3"/>
    <w:rsid w:val="0079206A"/>
    <w:rsid w:val="00792796"/>
    <w:rsid w:val="007A3F35"/>
    <w:rsid w:val="007E6779"/>
    <w:rsid w:val="00820B4C"/>
    <w:rsid w:val="00833D0F"/>
    <w:rsid w:val="00846DFE"/>
    <w:rsid w:val="008529D2"/>
    <w:rsid w:val="00862834"/>
    <w:rsid w:val="0087017E"/>
    <w:rsid w:val="00893999"/>
    <w:rsid w:val="00893F39"/>
    <w:rsid w:val="008A3DFF"/>
    <w:rsid w:val="008C232A"/>
    <w:rsid w:val="008C54E1"/>
    <w:rsid w:val="008E26A0"/>
    <w:rsid w:val="008F21CD"/>
    <w:rsid w:val="008F4565"/>
    <w:rsid w:val="0092085F"/>
    <w:rsid w:val="009267C6"/>
    <w:rsid w:val="009450D7"/>
    <w:rsid w:val="00993575"/>
    <w:rsid w:val="009A2113"/>
    <w:rsid w:val="009A3582"/>
    <w:rsid w:val="009B1CA3"/>
    <w:rsid w:val="009B5334"/>
    <w:rsid w:val="009B7766"/>
    <w:rsid w:val="009E4FFB"/>
    <w:rsid w:val="009F1D27"/>
    <w:rsid w:val="009F5106"/>
    <w:rsid w:val="009F6A3E"/>
    <w:rsid w:val="00A0360A"/>
    <w:rsid w:val="00A0620D"/>
    <w:rsid w:val="00A16E39"/>
    <w:rsid w:val="00A42FB8"/>
    <w:rsid w:val="00A47096"/>
    <w:rsid w:val="00A50FAA"/>
    <w:rsid w:val="00A55F14"/>
    <w:rsid w:val="00A738C8"/>
    <w:rsid w:val="00A75B19"/>
    <w:rsid w:val="00A83636"/>
    <w:rsid w:val="00A942CF"/>
    <w:rsid w:val="00AA2EC5"/>
    <w:rsid w:val="00AB3FBB"/>
    <w:rsid w:val="00AB4C73"/>
    <w:rsid w:val="00AC5FAD"/>
    <w:rsid w:val="00AE6F47"/>
    <w:rsid w:val="00AF2EC0"/>
    <w:rsid w:val="00AF2F7F"/>
    <w:rsid w:val="00B03227"/>
    <w:rsid w:val="00B77DCF"/>
    <w:rsid w:val="00B91E47"/>
    <w:rsid w:val="00B96FB7"/>
    <w:rsid w:val="00B97C36"/>
    <w:rsid w:val="00BA206C"/>
    <w:rsid w:val="00BB6CAB"/>
    <w:rsid w:val="00BC1297"/>
    <w:rsid w:val="00BC6B21"/>
    <w:rsid w:val="00BF2548"/>
    <w:rsid w:val="00BF321F"/>
    <w:rsid w:val="00C024E7"/>
    <w:rsid w:val="00C15072"/>
    <w:rsid w:val="00C4077C"/>
    <w:rsid w:val="00C459F2"/>
    <w:rsid w:val="00C51596"/>
    <w:rsid w:val="00C55480"/>
    <w:rsid w:val="00C64BD5"/>
    <w:rsid w:val="00C775D2"/>
    <w:rsid w:val="00C811EF"/>
    <w:rsid w:val="00C87E57"/>
    <w:rsid w:val="00C9193C"/>
    <w:rsid w:val="00C92DF5"/>
    <w:rsid w:val="00CA34BE"/>
    <w:rsid w:val="00CA4F88"/>
    <w:rsid w:val="00CB3EFA"/>
    <w:rsid w:val="00CD420B"/>
    <w:rsid w:val="00CD42D8"/>
    <w:rsid w:val="00CE57B4"/>
    <w:rsid w:val="00CF1671"/>
    <w:rsid w:val="00D01776"/>
    <w:rsid w:val="00D10FBF"/>
    <w:rsid w:val="00D21BB1"/>
    <w:rsid w:val="00DB0545"/>
    <w:rsid w:val="00DB5A66"/>
    <w:rsid w:val="00DD5C37"/>
    <w:rsid w:val="00DD5CB3"/>
    <w:rsid w:val="00DE3039"/>
    <w:rsid w:val="00DE7F31"/>
    <w:rsid w:val="00DF41F5"/>
    <w:rsid w:val="00E42306"/>
    <w:rsid w:val="00E4239A"/>
    <w:rsid w:val="00E753F7"/>
    <w:rsid w:val="00EC1CBA"/>
    <w:rsid w:val="00ED48C6"/>
    <w:rsid w:val="00EE5226"/>
    <w:rsid w:val="00EE7801"/>
    <w:rsid w:val="00F07741"/>
    <w:rsid w:val="00F14C8F"/>
    <w:rsid w:val="00F15EE2"/>
    <w:rsid w:val="00F16554"/>
    <w:rsid w:val="00F36DDA"/>
    <w:rsid w:val="00F376CE"/>
    <w:rsid w:val="00F50CE7"/>
    <w:rsid w:val="00F544E1"/>
    <w:rsid w:val="00F55375"/>
    <w:rsid w:val="00F81441"/>
    <w:rsid w:val="00F83872"/>
    <w:rsid w:val="00FB38C6"/>
    <w:rsid w:val="00FC27AD"/>
    <w:rsid w:val="00FC3222"/>
    <w:rsid w:val="00FD29F0"/>
    <w:rsid w:val="00FD5C10"/>
    <w:rsid w:val="00FE214C"/>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D420B"/>
    <w:pPr>
      <w:numPr>
        <w:numId w:val="24"/>
      </w:numPr>
      <w:spacing w:before="0" w:after="0"/>
      <w:ind w:left="0" w:firstLine="1440"/>
    </w:pPr>
  </w:style>
  <w:style w:type="paragraph" w:styleId="FootnoteText">
    <w:name w:val="footnote text"/>
    <w:aliases w:val="Car"/>
    <w:link w:val="FootnoteTextChar"/>
    <w:autoRedefine/>
    <w:uiPriority w:val="99"/>
    <w:unhideWhenUsed/>
    <w:qFormat/>
    <w:rsid w:val="00125364"/>
    <w:pPr>
      <w:spacing w:after="0" w:line="240" w:lineRule="auto"/>
    </w:pPr>
    <w:rPr>
      <w:rFonts w:ascii="Times New Roman" w:hAnsi="Times New Roman" w:cs="Times New Roman"/>
      <w:i/>
      <w:sz w:val="24"/>
      <w:szCs w:val="24"/>
    </w:rPr>
  </w:style>
  <w:style w:type="character" w:customStyle="1" w:styleId="FootnoteTextChar">
    <w:name w:val="Footnote Text Char"/>
    <w:aliases w:val="Car Char"/>
    <w:basedOn w:val="DefaultParagraphFont"/>
    <w:link w:val="FootnoteText"/>
    <w:uiPriority w:val="99"/>
    <w:rsid w:val="00125364"/>
    <w:rPr>
      <w:rFonts w:ascii="Times New Roman" w:hAnsi="Times New Roman" w:cs="Times New Roman"/>
      <w:i/>
      <w:sz w:val="24"/>
      <w:szCs w:val="24"/>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iPriority w:val="99"/>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D420B"/>
    <w:pPr>
      <w:numPr>
        <w:numId w:val="24"/>
      </w:numPr>
      <w:spacing w:before="0" w:after="0"/>
      <w:ind w:left="0" w:firstLine="1440"/>
    </w:pPr>
  </w:style>
  <w:style w:type="paragraph" w:styleId="FootnoteText">
    <w:name w:val="footnote text"/>
    <w:aliases w:val="Car"/>
    <w:link w:val="FootnoteTextChar"/>
    <w:autoRedefine/>
    <w:uiPriority w:val="99"/>
    <w:unhideWhenUsed/>
    <w:qFormat/>
    <w:rsid w:val="00125364"/>
    <w:pPr>
      <w:spacing w:after="0" w:line="240" w:lineRule="auto"/>
    </w:pPr>
    <w:rPr>
      <w:rFonts w:ascii="Times New Roman" w:hAnsi="Times New Roman" w:cs="Times New Roman"/>
      <w:i/>
      <w:sz w:val="24"/>
      <w:szCs w:val="24"/>
    </w:rPr>
  </w:style>
  <w:style w:type="character" w:customStyle="1" w:styleId="FootnoteTextChar">
    <w:name w:val="Footnote Text Char"/>
    <w:aliases w:val="Car Char"/>
    <w:basedOn w:val="DefaultParagraphFont"/>
    <w:link w:val="FootnoteText"/>
    <w:uiPriority w:val="99"/>
    <w:rsid w:val="00125364"/>
    <w:rPr>
      <w:rFonts w:ascii="Times New Roman" w:hAnsi="Times New Roman" w:cs="Times New Roman"/>
      <w:i/>
      <w:sz w:val="24"/>
      <w:szCs w:val="24"/>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iPriority w:val="99"/>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14525">
      <w:bodyDiv w:val="1"/>
      <w:marLeft w:val="0"/>
      <w:marRight w:val="0"/>
      <w:marTop w:val="0"/>
      <w:marBottom w:val="0"/>
      <w:divBdr>
        <w:top w:val="none" w:sz="0" w:space="0" w:color="auto"/>
        <w:left w:val="none" w:sz="0" w:space="0" w:color="auto"/>
        <w:bottom w:val="none" w:sz="0" w:space="0" w:color="auto"/>
        <w:right w:val="none" w:sz="0" w:space="0" w:color="auto"/>
      </w:divBdr>
      <w:divsChild>
        <w:div w:id="1534922270">
          <w:marLeft w:val="0"/>
          <w:marRight w:val="0"/>
          <w:marTop w:val="0"/>
          <w:marBottom w:val="0"/>
          <w:divBdr>
            <w:top w:val="none" w:sz="0" w:space="0" w:color="auto"/>
            <w:left w:val="single" w:sz="6" w:space="0" w:color="BBBBBB"/>
            <w:bottom w:val="single" w:sz="6" w:space="0" w:color="BBBBBB"/>
            <w:right w:val="single" w:sz="6" w:space="0" w:color="BBBBBB"/>
          </w:divBdr>
          <w:divsChild>
            <w:div w:id="859322584">
              <w:marLeft w:val="0"/>
              <w:marRight w:val="0"/>
              <w:marTop w:val="0"/>
              <w:marBottom w:val="0"/>
              <w:divBdr>
                <w:top w:val="none" w:sz="0" w:space="0" w:color="auto"/>
                <w:left w:val="none" w:sz="0" w:space="0" w:color="auto"/>
                <w:bottom w:val="none" w:sz="0" w:space="0" w:color="auto"/>
                <w:right w:val="none" w:sz="0" w:space="0" w:color="auto"/>
              </w:divBdr>
              <w:divsChild>
                <w:div w:id="845824816">
                  <w:marLeft w:val="0"/>
                  <w:marRight w:val="0"/>
                  <w:marTop w:val="0"/>
                  <w:marBottom w:val="0"/>
                  <w:divBdr>
                    <w:top w:val="none" w:sz="0" w:space="0" w:color="auto"/>
                    <w:left w:val="none" w:sz="0" w:space="0" w:color="auto"/>
                    <w:bottom w:val="none" w:sz="0" w:space="0" w:color="auto"/>
                    <w:right w:val="none" w:sz="0" w:space="0" w:color="auto"/>
                  </w:divBdr>
                  <w:divsChild>
                    <w:div w:id="1823303558">
                      <w:marLeft w:val="0"/>
                      <w:marRight w:val="0"/>
                      <w:marTop w:val="0"/>
                      <w:marBottom w:val="0"/>
                      <w:divBdr>
                        <w:top w:val="none" w:sz="0" w:space="0" w:color="auto"/>
                        <w:left w:val="none" w:sz="0" w:space="0" w:color="auto"/>
                        <w:bottom w:val="none" w:sz="0" w:space="0" w:color="auto"/>
                        <w:right w:val="none" w:sz="0" w:space="0" w:color="auto"/>
                      </w:divBdr>
                      <w:divsChild>
                        <w:div w:id="2010869203">
                          <w:marLeft w:val="0"/>
                          <w:marRight w:val="0"/>
                          <w:marTop w:val="0"/>
                          <w:marBottom w:val="0"/>
                          <w:divBdr>
                            <w:top w:val="none" w:sz="0" w:space="0" w:color="auto"/>
                            <w:left w:val="none" w:sz="0" w:space="0" w:color="auto"/>
                            <w:bottom w:val="none" w:sz="0" w:space="0" w:color="auto"/>
                            <w:right w:val="none" w:sz="0" w:space="0" w:color="auto"/>
                          </w:divBdr>
                          <w:divsChild>
                            <w:div w:id="1465659999">
                              <w:marLeft w:val="0"/>
                              <w:marRight w:val="0"/>
                              <w:marTop w:val="0"/>
                              <w:marBottom w:val="0"/>
                              <w:divBdr>
                                <w:top w:val="none" w:sz="0" w:space="0" w:color="auto"/>
                                <w:left w:val="none" w:sz="0" w:space="0" w:color="auto"/>
                                <w:bottom w:val="none" w:sz="0" w:space="0" w:color="auto"/>
                                <w:right w:val="none" w:sz="0" w:space="0" w:color="auto"/>
                              </w:divBdr>
                              <w:divsChild>
                                <w:div w:id="528564457">
                                  <w:marLeft w:val="0"/>
                                  <w:marRight w:val="0"/>
                                  <w:marTop w:val="0"/>
                                  <w:marBottom w:val="0"/>
                                  <w:divBdr>
                                    <w:top w:val="none" w:sz="0" w:space="0" w:color="auto"/>
                                    <w:left w:val="none" w:sz="0" w:space="0" w:color="auto"/>
                                    <w:bottom w:val="none" w:sz="0" w:space="0" w:color="auto"/>
                                    <w:right w:val="none" w:sz="0" w:space="0" w:color="auto"/>
                                  </w:divBdr>
                                  <w:divsChild>
                                    <w:div w:id="991712102">
                                      <w:marLeft w:val="0"/>
                                      <w:marRight w:val="0"/>
                                      <w:marTop w:val="0"/>
                                      <w:marBottom w:val="0"/>
                                      <w:divBdr>
                                        <w:top w:val="none" w:sz="0" w:space="0" w:color="auto"/>
                                        <w:left w:val="none" w:sz="0" w:space="0" w:color="auto"/>
                                        <w:bottom w:val="none" w:sz="0" w:space="0" w:color="auto"/>
                                        <w:right w:val="none" w:sz="0" w:space="0" w:color="auto"/>
                                      </w:divBdr>
                                      <w:divsChild>
                                        <w:div w:id="2105375274">
                                          <w:marLeft w:val="1200"/>
                                          <w:marRight w:val="1200"/>
                                          <w:marTop w:val="0"/>
                                          <w:marBottom w:val="0"/>
                                          <w:divBdr>
                                            <w:top w:val="none" w:sz="0" w:space="0" w:color="auto"/>
                                            <w:left w:val="none" w:sz="0" w:space="0" w:color="auto"/>
                                            <w:bottom w:val="none" w:sz="0" w:space="0" w:color="auto"/>
                                            <w:right w:val="none" w:sz="0" w:space="0" w:color="auto"/>
                                          </w:divBdr>
                                          <w:divsChild>
                                            <w:div w:id="895699579">
                                              <w:marLeft w:val="0"/>
                                              <w:marRight w:val="0"/>
                                              <w:marTop w:val="0"/>
                                              <w:marBottom w:val="0"/>
                                              <w:divBdr>
                                                <w:top w:val="none" w:sz="0" w:space="0" w:color="auto"/>
                                                <w:left w:val="none" w:sz="0" w:space="0" w:color="auto"/>
                                                <w:bottom w:val="none" w:sz="0" w:space="0" w:color="auto"/>
                                                <w:right w:val="none" w:sz="0" w:space="0" w:color="auto"/>
                                              </w:divBdr>
                                              <w:divsChild>
                                                <w:div w:id="1850676847">
                                                  <w:marLeft w:val="0"/>
                                                  <w:marRight w:val="0"/>
                                                  <w:marTop w:val="0"/>
                                                  <w:marBottom w:val="0"/>
                                                  <w:divBdr>
                                                    <w:top w:val="none" w:sz="0" w:space="0" w:color="auto"/>
                                                    <w:left w:val="none" w:sz="0" w:space="0" w:color="auto"/>
                                                    <w:bottom w:val="none" w:sz="0" w:space="0" w:color="auto"/>
                                                    <w:right w:val="none" w:sz="0" w:space="0" w:color="auto"/>
                                                  </w:divBdr>
                                                  <w:divsChild>
                                                    <w:div w:id="1969508812">
                                                      <w:marLeft w:val="0"/>
                                                      <w:marRight w:val="0"/>
                                                      <w:marTop w:val="0"/>
                                                      <w:marBottom w:val="0"/>
                                                      <w:divBdr>
                                                        <w:top w:val="none" w:sz="0" w:space="0" w:color="auto"/>
                                                        <w:left w:val="none" w:sz="0" w:space="0" w:color="auto"/>
                                                        <w:bottom w:val="none" w:sz="0" w:space="0" w:color="auto"/>
                                                        <w:right w:val="none" w:sz="0" w:space="0" w:color="auto"/>
                                                      </w:divBdr>
                                                      <w:divsChild>
                                                        <w:div w:id="1781149232">
                                                          <w:marLeft w:val="0"/>
                                                          <w:marRight w:val="0"/>
                                                          <w:marTop w:val="0"/>
                                                          <w:marBottom w:val="0"/>
                                                          <w:divBdr>
                                                            <w:top w:val="none" w:sz="0" w:space="0" w:color="auto"/>
                                                            <w:left w:val="none" w:sz="0" w:space="0" w:color="auto"/>
                                                            <w:bottom w:val="none" w:sz="0" w:space="0" w:color="auto"/>
                                                            <w:right w:val="none" w:sz="0" w:space="0" w:color="auto"/>
                                                          </w:divBdr>
                                                        </w:div>
                                                      </w:divsChild>
                                                    </w:div>
                                                    <w:div w:id="318000172">
                                                      <w:marLeft w:val="0"/>
                                                      <w:marRight w:val="0"/>
                                                      <w:marTop w:val="0"/>
                                                      <w:marBottom w:val="0"/>
                                                      <w:divBdr>
                                                        <w:top w:val="none" w:sz="0" w:space="0" w:color="auto"/>
                                                        <w:left w:val="none" w:sz="0" w:space="0" w:color="auto"/>
                                                        <w:bottom w:val="none" w:sz="0" w:space="0" w:color="auto"/>
                                                        <w:right w:val="none" w:sz="0" w:space="0" w:color="auto"/>
                                                      </w:divBdr>
                                                      <w:divsChild>
                                                        <w:div w:id="465853654">
                                                          <w:marLeft w:val="0"/>
                                                          <w:marRight w:val="0"/>
                                                          <w:marTop w:val="0"/>
                                                          <w:marBottom w:val="0"/>
                                                          <w:divBdr>
                                                            <w:top w:val="none" w:sz="0" w:space="0" w:color="auto"/>
                                                            <w:left w:val="none" w:sz="0" w:space="0" w:color="auto"/>
                                                            <w:bottom w:val="none" w:sz="0" w:space="0" w:color="auto"/>
                                                            <w:right w:val="none" w:sz="0" w:space="0" w:color="auto"/>
                                                          </w:divBdr>
                                                        </w:div>
                                                      </w:divsChild>
                                                    </w:div>
                                                    <w:div w:id="72049367">
                                                      <w:marLeft w:val="0"/>
                                                      <w:marRight w:val="0"/>
                                                      <w:marTop w:val="0"/>
                                                      <w:marBottom w:val="0"/>
                                                      <w:divBdr>
                                                        <w:top w:val="none" w:sz="0" w:space="0" w:color="auto"/>
                                                        <w:left w:val="none" w:sz="0" w:space="0" w:color="auto"/>
                                                        <w:bottom w:val="none" w:sz="0" w:space="0" w:color="auto"/>
                                                        <w:right w:val="none" w:sz="0" w:space="0" w:color="auto"/>
                                                      </w:divBdr>
                                                      <w:divsChild>
                                                        <w:div w:id="14639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next.westlaw.com/Link/Document/FullText?findType=Y&amp;serNum=1978100054&amp;pubNum=0000162&amp;originatingDoc=Ibbf5687e9b2711e5a807ad48145ed9f1&amp;refType=RP&amp;originationContext=document&amp;transitionType=DocumentItem&amp;contextData=(sc.Search)" TargetMode="External"/><Relationship Id="rId18" Type="http://schemas.openxmlformats.org/officeDocument/2006/relationships/hyperlink" Target="https://1.next.westlaw.com/Link/Document/FullText?findType=Y&amp;serNum=1983148111&amp;pubNum=0000162&amp;originatingDoc=Ibbf5687e9b2711e5a807ad48145ed9f1&amp;refType=RP&amp;originationContext=document&amp;transitionType=DocumentItem&amp;contextData=(sc.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1.next.westlaw.com/Link/Document/FullText?findType=Y&amp;serNum=1983121704&amp;pubNum=0000162&amp;originatingDoc=Ibbf5687e9b2711e5a807ad48145ed9f1&amp;refType=RP&amp;originationContext=document&amp;transitionType=DocumentItem&amp;contextData=(sc.Search)" TargetMode="External"/><Relationship Id="rId17" Type="http://schemas.openxmlformats.org/officeDocument/2006/relationships/hyperlink" Target="https://1.next.westlaw.com/Link/Document/FullText?findType=Y&amp;serNum=1985141026&amp;pubNum=0000162&amp;originatingDoc=Ibbf5687e9b2711e5a807ad48145ed9f1&amp;refType=RP&amp;originationContext=document&amp;transitionType=DocumentItem&amp;contextData=(sc.Search)" TargetMode="External"/><Relationship Id="rId2" Type="http://schemas.openxmlformats.org/officeDocument/2006/relationships/numbering" Target="numbering.xml"/><Relationship Id="rId16" Type="http://schemas.openxmlformats.org/officeDocument/2006/relationships/hyperlink" Target="https://1.next.westlaw.com/Link/Document/FullText?findType=Y&amp;serNum=1983148111&amp;pubNum=0000162&amp;originatingDoc=Ibbf5687e9b2711e5a807ad48145ed9f1&amp;refType=RP&amp;originationContext=document&amp;transitionType=DocumentItem&amp;contextData=(sc.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yperlink" Target="https://1.next.westlaw.com/Link/Document/FullText?findType=Y&amp;serNum=1980344121&amp;pubNum=0000162&amp;originatingDoc=Ibbf5687e9b2711e5a807ad48145ed9f1&amp;refType=RP&amp;originationContext=document&amp;transitionType=DocumentItem&amp;contextData=(sc.Search)" TargetMode="External"/><Relationship Id="rId10" Type="http://schemas.openxmlformats.org/officeDocument/2006/relationships/image" Target="media/image1.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1.next.westlaw.com/Link/Document/FullText?findType=L&amp;pubNum=1000636&amp;cite=52PAADCS5.102&amp;originatingDoc=Ibbf5687e9b2711e5a807ad48145ed9f1&amp;refType=LQ&amp;originationContext=document&amp;transitionType=DocumentItem&amp;contextData=(sc.Search)" TargetMode="External"/><Relationship Id="rId14" Type="http://schemas.openxmlformats.org/officeDocument/2006/relationships/hyperlink" Target="https://1.next.westlaw.com/Link/Document/FullText?findType=Y&amp;serNum=2002178022&amp;pubNum=0000162&amp;originatingDoc=Ibbf5687e9b2711e5a807ad48145ed9f1&amp;refType=RP&amp;originationContext=document&amp;transitionType=DocumentItem&amp;contextData=(sc.Search)"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6E2B-F185-47CC-93D7-1BA27F8E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6</cp:revision>
  <cp:lastPrinted>2016-08-02T18:20:00Z</cp:lastPrinted>
  <dcterms:created xsi:type="dcterms:W3CDTF">2016-08-02T16:36:00Z</dcterms:created>
  <dcterms:modified xsi:type="dcterms:W3CDTF">2016-08-12T12:22:00Z</dcterms:modified>
</cp:coreProperties>
</file>