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Petition of Metropolitan Edison Company for</w:t>
      </w:r>
      <w:r w:rsidRPr="004B443B">
        <w:rPr>
          <w:rFonts w:eastAsiaTheme="minorHAnsi"/>
          <w:spacing w:val="-3"/>
        </w:rPr>
        <w:tab/>
      </w:r>
      <w:r>
        <w:rPr>
          <w:rFonts w:eastAsiaTheme="minorHAnsi"/>
          <w:spacing w:val="-3"/>
        </w:rPr>
        <w:tab/>
      </w:r>
      <w:r w:rsidRPr="004B443B">
        <w:rPr>
          <w:rFonts w:eastAsiaTheme="minorHAnsi"/>
          <w:spacing w:val="-3"/>
        </w:rPr>
        <w:fldChar w:fldCharType="begin"/>
      </w:r>
      <w:r w:rsidRPr="004B443B">
        <w:rPr>
          <w:rFonts w:eastAsiaTheme="minorHAnsi"/>
          <w:spacing w:val="-3"/>
        </w:rPr>
        <w:instrText>fillin "Complainant's name" \d ""</w:instrText>
      </w:r>
      <w:r w:rsidRPr="004B443B">
        <w:rPr>
          <w:rFonts w:eastAsiaTheme="minorHAnsi"/>
          <w:spacing w:val="-3"/>
        </w:rPr>
        <w:fldChar w:fldCharType="end"/>
      </w:r>
      <w:r w:rsidRPr="004B443B">
        <w:rPr>
          <w:rFonts w:eastAsiaTheme="minorHAnsi"/>
          <w:spacing w:val="-3"/>
        </w:rPr>
        <w:t>:</w:t>
      </w: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Approval of a Distribution System Improvement</w:t>
      </w:r>
      <w:r>
        <w:rPr>
          <w:rFonts w:eastAsiaTheme="minorHAnsi"/>
          <w:spacing w:val="-3"/>
        </w:rPr>
        <w:tab/>
        <w:t>:</w:t>
      </w:r>
      <w:r w:rsidRPr="007A7C59">
        <w:rPr>
          <w:rFonts w:eastAsiaTheme="minorHAnsi"/>
          <w:spacing w:val="-3"/>
        </w:rPr>
        <w:t xml:space="preserve"> </w:t>
      </w:r>
      <w:r>
        <w:rPr>
          <w:rFonts w:eastAsiaTheme="minorHAnsi"/>
          <w:spacing w:val="-3"/>
        </w:rPr>
        <w:tab/>
      </w:r>
      <w:r>
        <w:rPr>
          <w:rFonts w:eastAsiaTheme="minorHAnsi"/>
          <w:spacing w:val="-3"/>
        </w:rPr>
        <w:tab/>
        <w:t>P-2015-2508942</w:t>
      </w:r>
    </w:p>
    <w:p w:rsidR="00CB5996" w:rsidRPr="004B443B" w:rsidRDefault="00CB5996" w:rsidP="00CB5996">
      <w:pPr>
        <w:tabs>
          <w:tab w:val="left" w:pos="-720"/>
        </w:tabs>
        <w:suppressAutoHyphens/>
        <w:autoSpaceDE/>
        <w:autoSpaceDN/>
        <w:jc w:val="both"/>
        <w:rPr>
          <w:rFonts w:eastAsiaTheme="minorHAnsi"/>
          <w:spacing w:val="-3"/>
        </w:rPr>
      </w:pPr>
      <w:r>
        <w:rPr>
          <w:rFonts w:eastAsiaTheme="minorHAnsi"/>
          <w:spacing w:val="-3"/>
        </w:rPr>
        <w:t>Charge</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CB5996" w:rsidRDefault="00CB5996" w:rsidP="00CB5996">
      <w:pPr>
        <w:tabs>
          <w:tab w:val="left" w:pos="-720"/>
        </w:tabs>
        <w:suppressAutoHyphens/>
        <w:autoSpaceDE/>
        <w:autoSpaceDN/>
        <w:jc w:val="both"/>
        <w:rPr>
          <w:rFonts w:eastAsiaTheme="minorHAnsi"/>
          <w:spacing w:val="-3"/>
        </w:rPr>
      </w:pPr>
    </w:p>
    <w:p w:rsidR="00CB5996" w:rsidRDefault="00CB5996" w:rsidP="00CB5996">
      <w:pPr>
        <w:tabs>
          <w:tab w:val="left" w:pos="-720"/>
        </w:tabs>
        <w:suppressAutoHyphens/>
        <w:autoSpaceDE/>
        <w:autoSpaceDN/>
        <w:jc w:val="both"/>
        <w:rPr>
          <w:rFonts w:eastAsiaTheme="minorHAnsi"/>
          <w:spacing w:val="-3"/>
        </w:rPr>
      </w:pP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Office of Consumer Advocate</w:t>
      </w:r>
      <w:r>
        <w:rPr>
          <w:rFonts w:eastAsiaTheme="minorHAnsi"/>
          <w:spacing w:val="-3"/>
        </w:rPr>
        <w:tab/>
      </w:r>
      <w:r>
        <w:rPr>
          <w:rFonts w:eastAsiaTheme="minorHAnsi"/>
          <w:spacing w:val="-3"/>
        </w:rPr>
        <w:tab/>
      </w:r>
      <w:r>
        <w:rPr>
          <w:rFonts w:eastAsiaTheme="minorHAnsi"/>
          <w:spacing w:val="-3"/>
        </w:rPr>
        <w:tab/>
      </w:r>
      <w:r w:rsidRPr="004B443B">
        <w:rPr>
          <w:rFonts w:eastAsiaTheme="minorHAnsi"/>
          <w:spacing w:val="-3"/>
        </w:rPr>
        <w:tab/>
        <w:t>:</w:t>
      </w: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r w:rsidRPr="007A7C59">
        <w:rPr>
          <w:rFonts w:eastAsiaTheme="minorHAnsi"/>
          <w:spacing w:val="-3"/>
        </w:rPr>
        <w:t xml:space="preserve"> </w:t>
      </w:r>
      <w:r>
        <w:rPr>
          <w:rFonts w:eastAsiaTheme="minorHAnsi"/>
          <w:spacing w:val="-3"/>
        </w:rPr>
        <w:tab/>
      </w:r>
      <w:r>
        <w:rPr>
          <w:rFonts w:eastAsiaTheme="minorHAnsi"/>
          <w:spacing w:val="-3"/>
        </w:rPr>
        <w:tab/>
        <w:t>C-2016-2531040</w:t>
      </w: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ab/>
        <w:t>v.</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CB5996" w:rsidRDefault="00CB5996" w:rsidP="00CB5996">
      <w:pPr>
        <w:tabs>
          <w:tab w:val="left" w:pos="-720"/>
        </w:tabs>
        <w:suppressAutoHyphens/>
        <w:autoSpaceDE/>
        <w:autoSpaceDN/>
        <w:jc w:val="both"/>
        <w:rPr>
          <w:bCs/>
          <w:color w:val="000000"/>
        </w:rPr>
      </w:pPr>
      <w:r>
        <w:rPr>
          <w:rFonts w:eastAsiaTheme="minorHAnsi"/>
          <w:spacing w:val="-3"/>
        </w:rPr>
        <w:t>Metropolitan Edison Company</w:t>
      </w:r>
      <w:r>
        <w:rPr>
          <w:rFonts w:eastAsiaTheme="minorHAnsi"/>
          <w:spacing w:val="-3"/>
        </w:rPr>
        <w:tab/>
      </w:r>
      <w:r>
        <w:rPr>
          <w:rFonts w:eastAsiaTheme="minorHAnsi"/>
          <w:spacing w:val="-3"/>
        </w:rPr>
        <w:tab/>
      </w:r>
      <w:r>
        <w:rPr>
          <w:rFonts w:eastAsiaTheme="minorHAnsi"/>
          <w:spacing w:val="-3"/>
        </w:rPr>
        <w:tab/>
        <w:t>:</w:t>
      </w:r>
    </w:p>
    <w:p w:rsidR="00CB5996" w:rsidRDefault="00CB5996" w:rsidP="00CB5996">
      <w:pPr>
        <w:widowControl w:val="0"/>
        <w:adjustRightInd w:val="0"/>
        <w:rPr>
          <w:bCs/>
          <w:color w:val="000000"/>
        </w:rPr>
      </w:pPr>
    </w:p>
    <w:p w:rsidR="00CB5996" w:rsidRDefault="00CB5996" w:rsidP="00CB5996">
      <w:pPr>
        <w:widowControl w:val="0"/>
        <w:adjustRightInd w:val="0"/>
        <w:rPr>
          <w:bCs/>
          <w:color w:val="000000"/>
        </w:rPr>
      </w:pP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Petition of West Penn Power Company for</w:t>
      </w:r>
      <w:r w:rsidRPr="004B443B">
        <w:rPr>
          <w:rFonts w:eastAsiaTheme="minorHAnsi"/>
          <w:spacing w:val="-3"/>
        </w:rPr>
        <w:tab/>
      </w:r>
      <w:r w:rsidRPr="004B443B">
        <w:rPr>
          <w:rFonts w:eastAsiaTheme="minorHAnsi"/>
          <w:spacing w:val="-3"/>
        </w:rPr>
        <w:tab/>
      </w:r>
      <w:r w:rsidRPr="004B443B">
        <w:rPr>
          <w:rFonts w:eastAsiaTheme="minorHAnsi"/>
          <w:spacing w:val="-3"/>
        </w:rPr>
        <w:fldChar w:fldCharType="begin"/>
      </w:r>
      <w:r w:rsidRPr="004B443B">
        <w:rPr>
          <w:rFonts w:eastAsiaTheme="minorHAnsi"/>
          <w:spacing w:val="-3"/>
        </w:rPr>
        <w:instrText>fillin "Complainant's name" \d ""</w:instrText>
      </w:r>
      <w:r w:rsidRPr="004B443B">
        <w:rPr>
          <w:rFonts w:eastAsiaTheme="minorHAnsi"/>
          <w:spacing w:val="-3"/>
        </w:rPr>
        <w:fldChar w:fldCharType="end"/>
      </w:r>
      <w:r w:rsidRPr="004B443B">
        <w:rPr>
          <w:rFonts w:eastAsiaTheme="minorHAnsi"/>
          <w:spacing w:val="-3"/>
        </w:rPr>
        <w:t>:</w:t>
      </w: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Approval of a Distribution System Improvement</w:t>
      </w:r>
      <w:r>
        <w:rPr>
          <w:rFonts w:eastAsiaTheme="minorHAnsi"/>
          <w:spacing w:val="-3"/>
        </w:rPr>
        <w:tab/>
        <w:t>:</w:t>
      </w:r>
      <w:r w:rsidRPr="007A7C59">
        <w:rPr>
          <w:rFonts w:eastAsiaTheme="minorHAnsi"/>
          <w:spacing w:val="-3"/>
        </w:rPr>
        <w:t xml:space="preserve"> </w:t>
      </w:r>
      <w:r>
        <w:rPr>
          <w:rFonts w:eastAsiaTheme="minorHAnsi"/>
          <w:spacing w:val="-3"/>
        </w:rPr>
        <w:tab/>
      </w:r>
      <w:r>
        <w:rPr>
          <w:rFonts w:eastAsiaTheme="minorHAnsi"/>
          <w:spacing w:val="-3"/>
        </w:rPr>
        <w:tab/>
        <w:t>P-2015-2508948</w:t>
      </w:r>
    </w:p>
    <w:p w:rsidR="00CB5996" w:rsidRPr="004B443B" w:rsidRDefault="00CB5996" w:rsidP="00CB5996">
      <w:pPr>
        <w:tabs>
          <w:tab w:val="left" w:pos="-720"/>
        </w:tabs>
        <w:suppressAutoHyphens/>
        <w:autoSpaceDE/>
        <w:autoSpaceDN/>
        <w:jc w:val="both"/>
        <w:rPr>
          <w:rFonts w:eastAsiaTheme="minorHAnsi"/>
          <w:spacing w:val="-3"/>
        </w:rPr>
      </w:pPr>
      <w:r>
        <w:rPr>
          <w:rFonts w:eastAsiaTheme="minorHAnsi"/>
          <w:spacing w:val="-3"/>
        </w:rPr>
        <w:t>Charge</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CB5996" w:rsidRDefault="00CB5996" w:rsidP="00CB5996">
      <w:pPr>
        <w:tabs>
          <w:tab w:val="left" w:pos="-720"/>
        </w:tabs>
        <w:suppressAutoHyphens/>
        <w:autoSpaceDE/>
        <w:autoSpaceDN/>
        <w:jc w:val="both"/>
        <w:rPr>
          <w:rFonts w:eastAsiaTheme="minorHAnsi"/>
          <w:spacing w:val="-3"/>
        </w:rPr>
      </w:pPr>
    </w:p>
    <w:p w:rsidR="00CB5996" w:rsidRDefault="00CB5996" w:rsidP="00CB5996">
      <w:pPr>
        <w:tabs>
          <w:tab w:val="left" w:pos="-720"/>
        </w:tabs>
        <w:suppressAutoHyphens/>
        <w:autoSpaceDE/>
        <w:autoSpaceDN/>
        <w:jc w:val="both"/>
        <w:rPr>
          <w:rFonts w:eastAsiaTheme="minorHAnsi"/>
          <w:spacing w:val="-3"/>
        </w:rPr>
      </w:pP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Office of Consumer Advocate</w:t>
      </w:r>
      <w:r>
        <w:rPr>
          <w:rFonts w:eastAsiaTheme="minorHAnsi"/>
          <w:spacing w:val="-3"/>
        </w:rPr>
        <w:tab/>
      </w:r>
      <w:r>
        <w:rPr>
          <w:rFonts w:eastAsiaTheme="minorHAnsi"/>
          <w:spacing w:val="-3"/>
        </w:rPr>
        <w:tab/>
      </w:r>
      <w:r>
        <w:rPr>
          <w:rFonts w:eastAsiaTheme="minorHAnsi"/>
          <w:spacing w:val="-3"/>
        </w:rPr>
        <w:tab/>
      </w:r>
      <w:r w:rsidRPr="004B443B">
        <w:rPr>
          <w:rFonts w:eastAsiaTheme="minorHAnsi"/>
          <w:spacing w:val="-3"/>
        </w:rPr>
        <w:tab/>
        <w:t>:</w:t>
      </w: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r w:rsidRPr="007A7C59">
        <w:rPr>
          <w:rFonts w:eastAsiaTheme="minorHAnsi"/>
          <w:spacing w:val="-3"/>
        </w:rPr>
        <w:t xml:space="preserve"> </w:t>
      </w:r>
      <w:r>
        <w:rPr>
          <w:rFonts w:eastAsiaTheme="minorHAnsi"/>
          <w:spacing w:val="-3"/>
        </w:rPr>
        <w:tab/>
      </w:r>
      <w:r>
        <w:rPr>
          <w:rFonts w:eastAsiaTheme="minorHAnsi"/>
          <w:spacing w:val="-3"/>
        </w:rPr>
        <w:tab/>
        <w:t>C-2016-2531019</w:t>
      </w: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ab/>
        <w:t>v.</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CB5996" w:rsidRDefault="00CB5996" w:rsidP="00CB5996">
      <w:pPr>
        <w:tabs>
          <w:tab w:val="left" w:pos="-720"/>
        </w:tabs>
        <w:suppressAutoHyphens/>
        <w:autoSpaceDE/>
        <w:autoSpaceDN/>
        <w:jc w:val="both"/>
        <w:rPr>
          <w:bCs/>
          <w:color w:val="000000"/>
        </w:rPr>
      </w:pPr>
      <w:r>
        <w:rPr>
          <w:rFonts w:eastAsiaTheme="minorHAnsi"/>
          <w:spacing w:val="-3"/>
        </w:rPr>
        <w:t>West Penn Power Company</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CB5996" w:rsidRDefault="00CB5996" w:rsidP="00CB5996">
      <w:pPr>
        <w:widowControl w:val="0"/>
        <w:adjustRightInd w:val="0"/>
        <w:rPr>
          <w:bCs/>
          <w:color w:val="000000"/>
        </w:rPr>
      </w:pPr>
    </w:p>
    <w:p w:rsidR="00CB5996" w:rsidRDefault="00CB5996" w:rsidP="00CB5996">
      <w:pPr>
        <w:widowControl w:val="0"/>
        <w:adjustRightInd w:val="0"/>
        <w:rPr>
          <w:bCs/>
          <w:color w:val="000000"/>
        </w:rPr>
      </w:pP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Petition of Pennsylvania Electric Company for</w:t>
      </w:r>
      <w:r w:rsidRPr="004B443B">
        <w:rPr>
          <w:rFonts w:eastAsiaTheme="minorHAnsi"/>
          <w:spacing w:val="-3"/>
        </w:rPr>
        <w:tab/>
      </w:r>
      <w:r w:rsidRPr="004B443B">
        <w:rPr>
          <w:rFonts w:eastAsiaTheme="minorHAnsi"/>
          <w:spacing w:val="-3"/>
        </w:rPr>
        <w:fldChar w:fldCharType="begin"/>
      </w:r>
      <w:r w:rsidRPr="004B443B">
        <w:rPr>
          <w:rFonts w:eastAsiaTheme="minorHAnsi"/>
          <w:spacing w:val="-3"/>
        </w:rPr>
        <w:instrText>fillin "Complainant's name" \d ""</w:instrText>
      </w:r>
      <w:r w:rsidRPr="004B443B">
        <w:rPr>
          <w:rFonts w:eastAsiaTheme="minorHAnsi"/>
          <w:spacing w:val="-3"/>
        </w:rPr>
        <w:fldChar w:fldCharType="end"/>
      </w:r>
      <w:r w:rsidRPr="004B443B">
        <w:rPr>
          <w:rFonts w:eastAsiaTheme="minorHAnsi"/>
          <w:spacing w:val="-3"/>
        </w:rPr>
        <w:t>:</w:t>
      </w: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Approval of a Distribution System Improvement</w:t>
      </w:r>
      <w:r>
        <w:rPr>
          <w:rFonts w:eastAsiaTheme="minorHAnsi"/>
          <w:spacing w:val="-3"/>
        </w:rPr>
        <w:tab/>
        <w:t>:</w:t>
      </w:r>
      <w:r w:rsidRPr="007A7C59">
        <w:rPr>
          <w:rFonts w:eastAsiaTheme="minorHAnsi"/>
          <w:spacing w:val="-3"/>
        </w:rPr>
        <w:t xml:space="preserve"> </w:t>
      </w:r>
      <w:r>
        <w:rPr>
          <w:rFonts w:eastAsiaTheme="minorHAnsi"/>
          <w:spacing w:val="-3"/>
        </w:rPr>
        <w:tab/>
      </w:r>
      <w:r>
        <w:rPr>
          <w:rFonts w:eastAsiaTheme="minorHAnsi"/>
          <w:spacing w:val="-3"/>
        </w:rPr>
        <w:tab/>
        <w:t>P-2015-2508936</w:t>
      </w:r>
    </w:p>
    <w:p w:rsidR="00CB5996" w:rsidRPr="004B443B" w:rsidRDefault="00CB5996" w:rsidP="00CB5996">
      <w:pPr>
        <w:tabs>
          <w:tab w:val="left" w:pos="-720"/>
        </w:tabs>
        <w:suppressAutoHyphens/>
        <w:autoSpaceDE/>
        <w:autoSpaceDN/>
        <w:jc w:val="both"/>
        <w:rPr>
          <w:rFonts w:eastAsiaTheme="minorHAnsi"/>
          <w:spacing w:val="-3"/>
        </w:rPr>
      </w:pPr>
      <w:r>
        <w:rPr>
          <w:rFonts w:eastAsiaTheme="minorHAnsi"/>
          <w:spacing w:val="-3"/>
        </w:rPr>
        <w:t>Charge</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CB5996" w:rsidRDefault="00CB5996" w:rsidP="00CB5996">
      <w:pPr>
        <w:tabs>
          <w:tab w:val="left" w:pos="-720"/>
        </w:tabs>
        <w:suppressAutoHyphens/>
        <w:autoSpaceDE/>
        <w:autoSpaceDN/>
        <w:jc w:val="both"/>
        <w:rPr>
          <w:rFonts w:eastAsiaTheme="minorHAnsi"/>
          <w:spacing w:val="-3"/>
        </w:rPr>
      </w:pPr>
    </w:p>
    <w:p w:rsidR="00CB5996" w:rsidRDefault="00CB5996" w:rsidP="00CB5996">
      <w:pPr>
        <w:tabs>
          <w:tab w:val="left" w:pos="-720"/>
        </w:tabs>
        <w:suppressAutoHyphens/>
        <w:autoSpaceDE/>
        <w:autoSpaceDN/>
        <w:jc w:val="both"/>
        <w:rPr>
          <w:rFonts w:eastAsiaTheme="minorHAnsi"/>
          <w:spacing w:val="-3"/>
        </w:rPr>
      </w:pP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Office of Consumer Advocate</w:t>
      </w:r>
      <w:r>
        <w:rPr>
          <w:rFonts w:eastAsiaTheme="minorHAnsi"/>
          <w:spacing w:val="-3"/>
        </w:rPr>
        <w:tab/>
      </w:r>
      <w:r>
        <w:rPr>
          <w:rFonts w:eastAsiaTheme="minorHAnsi"/>
          <w:spacing w:val="-3"/>
        </w:rPr>
        <w:tab/>
      </w:r>
      <w:r>
        <w:rPr>
          <w:rFonts w:eastAsiaTheme="minorHAnsi"/>
          <w:spacing w:val="-3"/>
        </w:rPr>
        <w:tab/>
      </w:r>
      <w:r w:rsidRPr="004B443B">
        <w:rPr>
          <w:rFonts w:eastAsiaTheme="minorHAnsi"/>
          <w:spacing w:val="-3"/>
        </w:rPr>
        <w:tab/>
        <w:t>:</w:t>
      </w: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r w:rsidRPr="007A7C59">
        <w:rPr>
          <w:rFonts w:eastAsiaTheme="minorHAnsi"/>
          <w:spacing w:val="-3"/>
        </w:rPr>
        <w:t xml:space="preserve"> </w:t>
      </w:r>
      <w:r>
        <w:rPr>
          <w:rFonts w:eastAsiaTheme="minorHAnsi"/>
          <w:spacing w:val="-3"/>
        </w:rPr>
        <w:tab/>
      </w:r>
      <w:r>
        <w:rPr>
          <w:rFonts w:eastAsiaTheme="minorHAnsi"/>
          <w:spacing w:val="-3"/>
        </w:rPr>
        <w:tab/>
        <w:t>C-2016-2531060</w:t>
      </w: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ab/>
        <w:t>v.</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CB5996" w:rsidRDefault="00CB5996" w:rsidP="00CB5996">
      <w:pPr>
        <w:tabs>
          <w:tab w:val="left" w:pos="-720"/>
        </w:tabs>
        <w:suppressAutoHyphens/>
        <w:autoSpaceDE/>
        <w:autoSpaceDN/>
        <w:jc w:val="both"/>
        <w:rPr>
          <w:bCs/>
          <w:color w:val="000000"/>
        </w:rPr>
      </w:pPr>
      <w:r>
        <w:rPr>
          <w:rFonts w:eastAsiaTheme="minorHAnsi"/>
          <w:spacing w:val="-3"/>
        </w:rPr>
        <w:t>Pennsylvania Electric Company</w:t>
      </w:r>
      <w:r>
        <w:rPr>
          <w:rFonts w:eastAsiaTheme="minorHAnsi"/>
          <w:spacing w:val="-3"/>
        </w:rPr>
        <w:tab/>
      </w:r>
      <w:r>
        <w:rPr>
          <w:rFonts w:eastAsiaTheme="minorHAnsi"/>
          <w:spacing w:val="-3"/>
        </w:rPr>
        <w:tab/>
      </w:r>
      <w:r>
        <w:rPr>
          <w:rFonts w:eastAsiaTheme="minorHAnsi"/>
          <w:spacing w:val="-3"/>
        </w:rPr>
        <w:tab/>
        <w:t>:</w:t>
      </w:r>
    </w:p>
    <w:p w:rsidR="00CB5996" w:rsidRDefault="00CB5996" w:rsidP="00CB5996">
      <w:pPr>
        <w:widowControl w:val="0"/>
        <w:adjustRightInd w:val="0"/>
        <w:rPr>
          <w:bCs/>
          <w:color w:val="000000"/>
        </w:rPr>
      </w:pPr>
    </w:p>
    <w:p w:rsidR="00CB5996" w:rsidRDefault="00CB5996" w:rsidP="00CB5996">
      <w:pPr>
        <w:widowControl w:val="0"/>
        <w:adjustRightInd w:val="0"/>
        <w:rPr>
          <w:bCs/>
          <w:color w:val="000000"/>
        </w:rPr>
      </w:pP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Petition of Pennsylvania Power Company for</w:t>
      </w:r>
      <w:r>
        <w:rPr>
          <w:rFonts w:eastAsiaTheme="minorHAnsi"/>
          <w:spacing w:val="-3"/>
        </w:rPr>
        <w:tab/>
      </w:r>
      <w:r w:rsidRPr="004B443B">
        <w:rPr>
          <w:rFonts w:eastAsiaTheme="minorHAnsi"/>
          <w:spacing w:val="-3"/>
        </w:rPr>
        <w:tab/>
      </w:r>
      <w:r w:rsidRPr="004B443B">
        <w:rPr>
          <w:rFonts w:eastAsiaTheme="minorHAnsi"/>
          <w:spacing w:val="-3"/>
        </w:rPr>
        <w:fldChar w:fldCharType="begin"/>
      </w:r>
      <w:r w:rsidRPr="004B443B">
        <w:rPr>
          <w:rFonts w:eastAsiaTheme="minorHAnsi"/>
          <w:spacing w:val="-3"/>
        </w:rPr>
        <w:instrText>fillin "Complainant's name" \d ""</w:instrText>
      </w:r>
      <w:r w:rsidRPr="004B443B">
        <w:rPr>
          <w:rFonts w:eastAsiaTheme="minorHAnsi"/>
          <w:spacing w:val="-3"/>
        </w:rPr>
        <w:fldChar w:fldCharType="end"/>
      </w:r>
      <w:r w:rsidRPr="004B443B">
        <w:rPr>
          <w:rFonts w:eastAsiaTheme="minorHAnsi"/>
          <w:spacing w:val="-3"/>
        </w:rPr>
        <w:t>:</w:t>
      </w: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Approval of a Distribution System Improvement</w:t>
      </w:r>
      <w:r>
        <w:rPr>
          <w:rFonts w:eastAsiaTheme="minorHAnsi"/>
          <w:spacing w:val="-3"/>
        </w:rPr>
        <w:tab/>
        <w:t>:</w:t>
      </w:r>
      <w:r w:rsidRPr="007A7C59">
        <w:rPr>
          <w:rFonts w:eastAsiaTheme="minorHAnsi"/>
          <w:spacing w:val="-3"/>
        </w:rPr>
        <w:t xml:space="preserve"> </w:t>
      </w:r>
      <w:r>
        <w:rPr>
          <w:rFonts w:eastAsiaTheme="minorHAnsi"/>
          <w:spacing w:val="-3"/>
        </w:rPr>
        <w:tab/>
      </w:r>
      <w:r>
        <w:rPr>
          <w:rFonts w:eastAsiaTheme="minorHAnsi"/>
          <w:spacing w:val="-3"/>
        </w:rPr>
        <w:tab/>
        <w:t>P-2015-2508931</w:t>
      </w:r>
    </w:p>
    <w:p w:rsidR="00CB5996" w:rsidRPr="004B443B" w:rsidRDefault="00CB5996" w:rsidP="00CB5996">
      <w:pPr>
        <w:tabs>
          <w:tab w:val="left" w:pos="-720"/>
        </w:tabs>
        <w:suppressAutoHyphens/>
        <w:autoSpaceDE/>
        <w:autoSpaceDN/>
        <w:jc w:val="both"/>
        <w:rPr>
          <w:rFonts w:eastAsiaTheme="minorHAnsi"/>
          <w:spacing w:val="-3"/>
        </w:rPr>
      </w:pPr>
      <w:r>
        <w:rPr>
          <w:rFonts w:eastAsiaTheme="minorHAnsi"/>
          <w:spacing w:val="-3"/>
        </w:rPr>
        <w:t>Charge</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CB5996" w:rsidRDefault="00CB5996" w:rsidP="00CB5996">
      <w:pPr>
        <w:tabs>
          <w:tab w:val="left" w:pos="-720"/>
        </w:tabs>
        <w:suppressAutoHyphens/>
        <w:autoSpaceDE/>
        <w:autoSpaceDN/>
        <w:jc w:val="both"/>
        <w:rPr>
          <w:rFonts w:eastAsiaTheme="minorHAnsi"/>
          <w:spacing w:val="-3"/>
        </w:rPr>
      </w:pPr>
    </w:p>
    <w:p w:rsidR="00CB5996" w:rsidRDefault="00CB5996" w:rsidP="00CB5996">
      <w:pPr>
        <w:tabs>
          <w:tab w:val="left" w:pos="-720"/>
        </w:tabs>
        <w:suppressAutoHyphens/>
        <w:autoSpaceDE/>
        <w:autoSpaceDN/>
        <w:jc w:val="both"/>
        <w:rPr>
          <w:rFonts w:eastAsiaTheme="minorHAnsi"/>
          <w:spacing w:val="-3"/>
        </w:rPr>
      </w:pP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lastRenderedPageBreak/>
        <w:t>Office of Consumer Advocate</w:t>
      </w:r>
      <w:r>
        <w:rPr>
          <w:rFonts w:eastAsiaTheme="minorHAnsi"/>
          <w:spacing w:val="-3"/>
        </w:rPr>
        <w:tab/>
      </w:r>
      <w:r>
        <w:rPr>
          <w:rFonts w:eastAsiaTheme="minorHAnsi"/>
          <w:spacing w:val="-3"/>
        </w:rPr>
        <w:tab/>
      </w:r>
      <w:r>
        <w:rPr>
          <w:rFonts w:eastAsiaTheme="minorHAnsi"/>
          <w:spacing w:val="-3"/>
        </w:rPr>
        <w:tab/>
      </w:r>
      <w:r w:rsidRPr="004B443B">
        <w:rPr>
          <w:rFonts w:eastAsiaTheme="minorHAnsi"/>
          <w:spacing w:val="-3"/>
        </w:rPr>
        <w:tab/>
        <w:t>:</w:t>
      </w: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r w:rsidRPr="007A7C59">
        <w:rPr>
          <w:rFonts w:eastAsiaTheme="minorHAnsi"/>
          <w:spacing w:val="-3"/>
        </w:rPr>
        <w:t xml:space="preserve"> </w:t>
      </w:r>
      <w:r>
        <w:rPr>
          <w:rFonts w:eastAsiaTheme="minorHAnsi"/>
          <w:spacing w:val="-3"/>
        </w:rPr>
        <w:tab/>
      </w:r>
      <w:r>
        <w:rPr>
          <w:rFonts w:eastAsiaTheme="minorHAnsi"/>
          <w:spacing w:val="-3"/>
        </w:rPr>
        <w:tab/>
        <w:t>C-2016-2531054</w:t>
      </w: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ab/>
        <w:t>v.</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CB5996" w:rsidRDefault="00CB5996" w:rsidP="00CB5996">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CB5996" w:rsidRDefault="00CB5996" w:rsidP="00CB5996">
      <w:pPr>
        <w:tabs>
          <w:tab w:val="left" w:pos="-720"/>
        </w:tabs>
        <w:suppressAutoHyphens/>
        <w:autoSpaceDE/>
        <w:autoSpaceDN/>
        <w:jc w:val="both"/>
        <w:rPr>
          <w:bCs/>
          <w:color w:val="000000"/>
        </w:rPr>
      </w:pPr>
      <w:r>
        <w:rPr>
          <w:rFonts w:eastAsiaTheme="minorHAnsi"/>
          <w:spacing w:val="-3"/>
        </w:rPr>
        <w:t>Pennsylvania Power Company</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C97272" w:rsidRDefault="00C97272" w:rsidP="00D65D31">
      <w:pPr>
        <w:widowControl w:val="0"/>
        <w:adjustRightInd w:val="0"/>
        <w:rPr>
          <w:bCs/>
          <w:color w:val="000000"/>
        </w:rPr>
      </w:pPr>
    </w:p>
    <w:p w:rsidR="002A5872" w:rsidRDefault="002A5872" w:rsidP="00D65D31">
      <w:pPr>
        <w:widowControl w:val="0"/>
        <w:adjustRightInd w:val="0"/>
        <w:rPr>
          <w:bCs/>
          <w:color w:val="000000"/>
        </w:rPr>
      </w:pPr>
    </w:p>
    <w:p w:rsidR="00F36721" w:rsidRDefault="00F36721" w:rsidP="00D65D31">
      <w:pPr>
        <w:widowControl w:val="0"/>
        <w:adjustRightInd w:val="0"/>
        <w:rPr>
          <w:bCs/>
          <w:color w:val="000000"/>
        </w:rPr>
      </w:pPr>
    </w:p>
    <w:p w:rsidR="000629B2" w:rsidRDefault="00534A58" w:rsidP="0057157D">
      <w:pPr>
        <w:tabs>
          <w:tab w:val="center" w:pos="4680"/>
        </w:tabs>
        <w:suppressAutoHyphens/>
        <w:jc w:val="center"/>
        <w:rPr>
          <w:b/>
          <w:bCs/>
          <w:color w:val="000000"/>
          <w:u w:val="single"/>
        </w:rPr>
      </w:pPr>
      <w:r>
        <w:rPr>
          <w:b/>
          <w:bCs/>
          <w:spacing w:val="-3"/>
          <w:u w:val="single"/>
        </w:rPr>
        <w:t>SCHEDULING</w:t>
      </w:r>
      <w:r w:rsidR="0057157D">
        <w:rPr>
          <w:b/>
          <w:bCs/>
          <w:spacing w:val="-3"/>
          <w:u w:val="single"/>
        </w:rPr>
        <w:t xml:space="preserve"> </w:t>
      </w:r>
      <w:r w:rsidR="0062545F" w:rsidRPr="00550B34">
        <w:rPr>
          <w:b/>
          <w:bCs/>
          <w:spacing w:val="-3"/>
          <w:u w:val="single"/>
        </w:rPr>
        <w:t>ORDER</w:t>
      </w:r>
    </w:p>
    <w:p w:rsidR="00A82D94" w:rsidRPr="00A82D94" w:rsidRDefault="00A82D94" w:rsidP="002A5872">
      <w:pPr>
        <w:widowControl w:val="0"/>
        <w:adjustRightInd w:val="0"/>
        <w:jc w:val="center"/>
        <w:rPr>
          <w:b/>
          <w:bCs/>
          <w:color w:val="000000"/>
          <w:u w:val="single"/>
        </w:rPr>
      </w:pPr>
    </w:p>
    <w:p w:rsidR="00E67635" w:rsidRDefault="00E67635" w:rsidP="00897878">
      <w:pPr>
        <w:widowControl w:val="0"/>
        <w:adjustRightInd w:val="0"/>
        <w:jc w:val="center"/>
        <w:rPr>
          <w:b/>
          <w:bCs/>
          <w:spacing w:val="-3"/>
          <w:u w:val="single"/>
        </w:rPr>
      </w:pPr>
    </w:p>
    <w:p w:rsidR="00E346A1" w:rsidRDefault="00E346A1" w:rsidP="00E346A1">
      <w:pPr>
        <w:pStyle w:val="ParaTab1"/>
        <w:tabs>
          <w:tab w:val="left" w:pos="2070"/>
        </w:tabs>
        <w:spacing w:line="360" w:lineRule="auto"/>
      </w:pPr>
      <w:r>
        <w:t xml:space="preserve">On February 16, 2016, Metropolitan Edison Company (Met-Ed), West Penn Power Company (West Penn), Pennsylvania Electric Company (Penelec) and Pennsylvania Power Company (Penn Power) (collectively referred to as “the companies”) filed with the Pennsylvania Public Utility Commission (Commission) separate Petitions for Approval of a Distribution System Improvement Charge (DSIC) for </w:t>
      </w:r>
      <w:r w:rsidR="00F53A77">
        <w:t>their respective</w:t>
      </w:r>
      <w:r>
        <w:t xml:space="preserve"> electric operations.  On February 26, 2016, the Office of Consumer Advocate (OCA) filed formal complaints, public statements and answers in response to each of the petitions.  On March 7, 2016, petitions to intervene were filed in each proceeding jointly by Citizens for Pennsylvania’s Future (CPF) and the Environmental Defense Fund (EDF), as well as by Met-Ed Industrial Users Group, West Penn Power Industrial Intervenors, Penelec Industrial Customer Alliance</w:t>
      </w:r>
      <w:r w:rsidR="00030815">
        <w:t xml:space="preserve"> and the</w:t>
      </w:r>
      <w:r>
        <w:t xml:space="preserve"> Penn Power User’s Group </w:t>
      </w:r>
      <w:r w:rsidR="00F53A77">
        <w:t xml:space="preserve">(collectively referred to as the large users groups), </w:t>
      </w:r>
      <w:r>
        <w:t>the respective large users groups for each company</w:t>
      </w:r>
      <w:r w:rsidR="00F53A77">
        <w:t>, in the proceedings relevant to them</w:t>
      </w:r>
      <w:r>
        <w:t xml:space="preserve">.  The Office of Small Business Advocate (OSBA) filed a notice of appearance, notice of intervention, answer and public statement </w:t>
      </w:r>
      <w:r w:rsidR="00F53A77">
        <w:t xml:space="preserve">in each proceeding </w:t>
      </w:r>
      <w:r>
        <w:t>on March 9, 2016.</w:t>
      </w:r>
    </w:p>
    <w:p w:rsidR="00E346A1" w:rsidRDefault="00E346A1" w:rsidP="00E346A1">
      <w:pPr>
        <w:pStyle w:val="ParaTab1"/>
        <w:tabs>
          <w:tab w:val="left" w:pos="2070"/>
        </w:tabs>
        <w:spacing w:line="360" w:lineRule="auto"/>
      </w:pPr>
    </w:p>
    <w:p w:rsidR="00E346A1" w:rsidRDefault="00E346A1" w:rsidP="00E346A1">
      <w:pPr>
        <w:pStyle w:val="ParaTab1"/>
        <w:tabs>
          <w:tab w:val="left" w:pos="2070"/>
        </w:tabs>
        <w:spacing w:line="360" w:lineRule="auto"/>
      </w:pPr>
      <w:r>
        <w:t>O</w:t>
      </w:r>
      <w:r w:rsidRPr="004B443B">
        <w:t>n</w:t>
      </w:r>
      <w:r>
        <w:t xml:space="preserve"> June 9, 2016, the Commission entered separate Opinion and Orders approving the </w:t>
      </w:r>
      <w:r w:rsidR="00F53A77">
        <w:t xml:space="preserve">four </w:t>
      </w:r>
      <w:r>
        <w:t xml:space="preserve">individual petitions.  In the Orders, the Commission determined that the petitions comply with the requirements of Act 11 of 2012 (Act 11) and the Commission’s Final Implementation Order implementing Act 11.  </w:t>
      </w:r>
      <w:r>
        <w:rPr>
          <w:u w:val="single"/>
        </w:rPr>
        <w:t>Implementation of Act 11 of 2012</w:t>
      </w:r>
      <w:r>
        <w:t>, Docket No. M-2012-2293611 (entered Aug. 2, 2012).  The Commission found the petitions to be consistent with applicable law and Commission policy and allowed the tariffs to go into effect on July 1, 2016.  The Commission, however, also referred the matters to the Office of Administrative Law Judge (OALJ) for hearing and preparation of recommend</w:t>
      </w:r>
      <w:r w:rsidR="00430976">
        <w:t>ed</w:t>
      </w:r>
      <w:r>
        <w:t xml:space="preserve"> decisions regarding various issues raised in response to the petitions.</w:t>
      </w:r>
    </w:p>
    <w:p w:rsidR="00E346A1" w:rsidRDefault="00E346A1" w:rsidP="00E346A1">
      <w:pPr>
        <w:pStyle w:val="ParaTab1"/>
        <w:tabs>
          <w:tab w:val="left" w:pos="2070"/>
        </w:tabs>
        <w:spacing w:line="360" w:lineRule="auto"/>
      </w:pPr>
    </w:p>
    <w:p w:rsidR="00E346A1" w:rsidRPr="00344EB1" w:rsidRDefault="00E346A1" w:rsidP="00E346A1">
      <w:pPr>
        <w:pStyle w:val="ParaTab1"/>
        <w:tabs>
          <w:tab w:val="left" w:pos="2070"/>
        </w:tabs>
        <w:spacing w:line="360" w:lineRule="auto"/>
        <w:rPr>
          <w:strike/>
        </w:rPr>
      </w:pPr>
      <w:r>
        <w:t>On July 25, 2016, CPF and EDF filed a joint notice of withdrawal in each proceeding.</w:t>
      </w:r>
    </w:p>
    <w:p w:rsidR="00E346A1" w:rsidRDefault="00E346A1" w:rsidP="00E346A1">
      <w:pPr>
        <w:pStyle w:val="ParaTab1"/>
        <w:tabs>
          <w:tab w:val="left" w:pos="2070"/>
        </w:tabs>
        <w:spacing w:line="360" w:lineRule="auto"/>
      </w:pPr>
    </w:p>
    <w:p w:rsidR="00E346A1" w:rsidRDefault="00E346A1" w:rsidP="00E346A1">
      <w:pPr>
        <w:pStyle w:val="ParaTab1"/>
        <w:tabs>
          <w:tab w:val="left" w:pos="2070"/>
        </w:tabs>
        <w:spacing w:line="360" w:lineRule="auto"/>
      </w:pPr>
      <w:r>
        <w:t>On July 28, 2016, the Commission issued Hearing Notices establishing Initial Prehearing Con</w:t>
      </w:r>
      <w:r w:rsidRPr="00FE467E">
        <w:t xml:space="preserve">ferences consecutively for the cases for Wednesday, August 10, 2016 beginning at 10:00 a.m. </w:t>
      </w:r>
      <w:r>
        <w:t>and assigning me as the Presiding Officer.  Prehearing C</w:t>
      </w:r>
      <w:r w:rsidRPr="00807232">
        <w:t xml:space="preserve">onference </w:t>
      </w:r>
      <w:r>
        <w:t>O</w:t>
      </w:r>
      <w:r w:rsidRPr="00807232">
        <w:t>rder</w:t>
      </w:r>
      <w:r>
        <w:t>s were</w:t>
      </w:r>
      <w:r w:rsidRPr="00807232">
        <w:t xml:space="preserve"> issued</w:t>
      </w:r>
      <w:r>
        <w:t xml:space="preserve"> on July 28, 2016</w:t>
      </w:r>
      <w:r w:rsidRPr="00807232">
        <w:t>.</w:t>
      </w:r>
      <w:r>
        <w:t xml:space="preserve">  Pursuant to those Prehearing Conference Orders, prehearing memoranda were submitted by the companies, the OCA, the OSBA, the large user groups </w:t>
      </w:r>
      <w:r w:rsidR="00F53A77">
        <w:t xml:space="preserve">separately for the respective proceedings </w:t>
      </w:r>
      <w:r>
        <w:t xml:space="preserve">and Penn State University who previously petitioned to intervene </w:t>
      </w:r>
      <w:r w:rsidR="00F53A77">
        <w:t xml:space="preserve">specifically </w:t>
      </w:r>
      <w:r>
        <w:t>into the West Penn proceeding.</w:t>
      </w:r>
    </w:p>
    <w:p w:rsidR="00CB5996" w:rsidRDefault="00CB5996" w:rsidP="00CB5996">
      <w:pPr>
        <w:pStyle w:val="ParaTab1"/>
        <w:tabs>
          <w:tab w:val="left" w:pos="2070"/>
        </w:tabs>
        <w:spacing w:line="360" w:lineRule="auto"/>
      </w:pPr>
    </w:p>
    <w:p w:rsidR="00E8533C" w:rsidRPr="00E8533C" w:rsidRDefault="00E8533C" w:rsidP="00E8533C">
      <w:pPr>
        <w:pStyle w:val="ParaTab1"/>
        <w:tabs>
          <w:tab w:val="left" w:pos="2070"/>
        </w:tabs>
        <w:spacing w:line="360" w:lineRule="auto"/>
      </w:pPr>
      <w:r>
        <w:t xml:space="preserve">The prehearing conferences convened as scheduled.  The following counsel were present:  Anthony C. </w:t>
      </w:r>
      <w:proofErr w:type="spellStart"/>
      <w:r>
        <w:t>DeCuastis</w:t>
      </w:r>
      <w:proofErr w:type="spellEnd"/>
      <w:r>
        <w:t xml:space="preserve">, Esquire, and John </w:t>
      </w:r>
      <w:proofErr w:type="spellStart"/>
      <w:r>
        <w:t>Munsch</w:t>
      </w:r>
      <w:proofErr w:type="spellEnd"/>
      <w:r>
        <w:t>, Esquire, on behalf of the companies; Daniel Asmus, Esquire, on behalf of OSBA</w:t>
      </w:r>
      <w:r w:rsidR="00F53A77">
        <w:t>;</w:t>
      </w:r>
      <w:r>
        <w:t xml:space="preserve"> Darryl Lawrence, Esquire and Harrison </w:t>
      </w:r>
      <w:proofErr w:type="spellStart"/>
      <w:r>
        <w:t>Breitman</w:t>
      </w:r>
      <w:proofErr w:type="spellEnd"/>
      <w:r>
        <w:t xml:space="preserve">, Esquire, on behalf of the OCA; Alessandra </w:t>
      </w:r>
      <w:proofErr w:type="spellStart"/>
      <w:r>
        <w:t>Hylander</w:t>
      </w:r>
      <w:proofErr w:type="spellEnd"/>
      <w:r>
        <w:t xml:space="preserve">, Esquire, on behalf of the large users groups; and Christopher </w:t>
      </w:r>
      <w:proofErr w:type="spellStart"/>
      <w:r>
        <w:t>Arfaa</w:t>
      </w:r>
      <w:proofErr w:type="spellEnd"/>
      <w:r>
        <w:t xml:space="preserve">, Esquire, on behalf of </w:t>
      </w:r>
      <w:r w:rsidR="00F53A77">
        <w:t xml:space="preserve">Penn </w:t>
      </w:r>
      <w:r>
        <w:t>State University.  David Boehm, Esquire, previously indicated on behalf of AK Steel that he would be unable to attend the prehearing conferences but would like to remain on the Commission’s service list</w:t>
      </w:r>
      <w:r w:rsidR="00F53A77">
        <w:t xml:space="preserve"> for the proceeding</w:t>
      </w:r>
      <w:r>
        <w:t xml:space="preserve">.  </w:t>
      </w:r>
      <w:r w:rsidRPr="00E8533C">
        <w:rPr>
          <w:rFonts w:ascii="Times New Roman" w:hAnsi="Times New Roman"/>
        </w:rPr>
        <w:t>As per the directive in the Prehearing Conference Order</w:t>
      </w:r>
      <w:r>
        <w:rPr>
          <w:rFonts w:ascii="Times New Roman" w:hAnsi="Times New Roman"/>
        </w:rPr>
        <w:t>s</w:t>
      </w:r>
      <w:r w:rsidRPr="00E8533C">
        <w:rPr>
          <w:rFonts w:ascii="Times New Roman" w:hAnsi="Times New Roman"/>
        </w:rPr>
        <w:t xml:space="preserve"> regarding participation in this proceeding, the service list for this proceeding will be limited to these parties.</w:t>
      </w:r>
    </w:p>
    <w:p w:rsidR="00E8533C" w:rsidRDefault="00E8533C" w:rsidP="00CB5996">
      <w:pPr>
        <w:pStyle w:val="ParaTab1"/>
        <w:tabs>
          <w:tab w:val="left" w:pos="2070"/>
        </w:tabs>
        <w:spacing w:line="360" w:lineRule="auto"/>
      </w:pPr>
    </w:p>
    <w:p w:rsidR="001E719E" w:rsidRDefault="00E346A1" w:rsidP="00CB5996">
      <w:pPr>
        <w:pStyle w:val="ParaTab1"/>
        <w:tabs>
          <w:tab w:val="left" w:pos="2070"/>
        </w:tabs>
        <w:spacing w:line="360" w:lineRule="auto"/>
      </w:pPr>
      <w:r>
        <w:t>In each of their prehearing memoranda, the companies proposed that consolidation of the four proceedings would promote administrative efficiency</w:t>
      </w:r>
      <w:r w:rsidR="00430976">
        <w:t xml:space="preserve"> and</w:t>
      </w:r>
      <w:r>
        <w:t xml:space="preserve"> avoid delays and duplicative efforts that would cause the unnecessary expenditure of time and resources by the Commission, the presiding officer and the parties.  As a result, p</w:t>
      </w:r>
      <w:r w:rsidR="00CB5996">
        <w:t>rior to the commencement of the prehearing conferences, a discussion was held off the record regarding whether the four separate proceedings should be consolidated.</w:t>
      </w:r>
      <w:r w:rsidR="00EB6B66">
        <w:t xml:space="preserve">  </w:t>
      </w:r>
      <w:r>
        <w:t xml:space="preserve">No party objected to consolidation.  Therefore, one prehearing conference was held for all four proceedings and </w:t>
      </w:r>
      <w:r w:rsidR="00EB6B66">
        <w:t xml:space="preserve">a </w:t>
      </w:r>
      <w:r>
        <w:t xml:space="preserve">Consolidation Order </w:t>
      </w:r>
      <w:r w:rsidR="00EB6B66">
        <w:t>was issued dated August 11, 2016</w:t>
      </w:r>
      <w:r w:rsidR="00E8533C">
        <w:t xml:space="preserve"> </w:t>
      </w:r>
      <w:r>
        <w:t xml:space="preserve">formally consolidating the </w:t>
      </w:r>
      <w:r w:rsidR="00E8533C">
        <w:t>cases</w:t>
      </w:r>
      <w:r w:rsidR="00EB6B66">
        <w:t>.</w:t>
      </w:r>
    </w:p>
    <w:p w:rsidR="00E8533C" w:rsidRDefault="00E8533C" w:rsidP="00CB5996">
      <w:pPr>
        <w:pStyle w:val="ParaTab1"/>
        <w:tabs>
          <w:tab w:val="left" w:pos="2070"/>
        </w:tabs>
        <w:spacing w:line="360" w:lineRule="auto"/>
      </w:pPr>
    </w:p>
    <w:p w:rsidR="00E346A1" w:rsidRDefault="00E346A1" w:rsidP="00CB5996">
      <w:pPr>
        <w:pStyle w:val="ParaTab1"/>
        <w:tabs>
          <w:tab w:val="left" w:pos="2070"/>
        </w:tabs>
        <w:spacing w:line="360" w:lineRule="auto"/>
      </w:pPr>
      <w:r>
        <w:lastRenderedPageBreak/>
        <w:t xml:space="preserve">In addition, various procedural issues were discussed during the prehearing conference.  </w:t>
      </w:r>
      <w:r w:rsidR="00B63FE7">
        <w:t>T</w:t>
      </w:r>
      <w:r>
        <w:t>he petitions to intervene of the respective large user groups were granted.</w:t>
      </w:r>
      <w:r w:rsidR="00B63FE7">
        <w:t xml:space="preserve">  </w:t>
      </w:r>
      <w:r w:rsidR="00F53A77">
        <w:t xml:space="preserve">With respect to the establishment of a procedural schedule, </w:t>
      </w:r>
      <w:r w:rsidR="00B63FE7">
        <w:t>the companies proposed that, in lieu of establishing a procedural schedule, the parties would schedule two or more settlement and/or technical conferences to be held between August 15 and September 15, 2016 and report back to the Presiding Officer on the status of the negotiations by September 19, 2016.  The companies further proposed that, if the matter is not, by that time, the subject of a settlement, a second prehearing conference would be held between September 28 and October 20, 2016 to determine whether the submission of testimony and scheduling of an evidentiary hearing may be required.  No party objected to the companies’ proposal and, therefore, it will be ordered as part of this proceeding.</w:t>
      </w:r>
    </w:p>
    <w:p w:rsidR="00B63FE7" w:rsidRDefault="00B63FE7" w:rsidP="00CB5996">
      <w:pPr>
        <w:pStyle w:val="ParaTab1"/>
        <w:tabs>
          <w:tab w:val="left" w:pos="2070"/>
        </w:tabs>
        <w:spacing w:line="360" w:lineRule="auto"/>
      </w:pPr>
    </w:p>
    <w:p w:rsidR="00B63FE7" w:rsidRDefault="00F53A77" w:rsidP="00CB5996">
      <w:pPr>
        <w:pStyle w:val="ParaTab1"/>
        <w:tabs>
          <w:tab w:val="left" w:pos="2070"/>
        </w:tabs>
        <w:spacing w:line="360" w:lineRule="auto"/>
      </w:pPr>
      <w:r>
        <w:t>Also during the initial prehearing conference</w:t>
      </w:r>
      <w:r w:rsidR="00B63FE7">
        <w:t xml:space="preserve">, </w:t>
      </w:r>
      <w:r w:rsidR="00C119F0">
        <w:t>the OCA proposed several modifications to the Commission’s discovery rules govern this proceeding.  Those modifications are:</w:t>
      </w:r>
    </w:p>
    <w:p w:rsidR="00C119F0" w:rsidRDefault="00C119F0" w:rsidP="00CB5996">
      <w:pPr>
        <w:pStyle w:val="ParaTab1"/>
        <w:tabs>
          <w:tab w:val="left" w:pos="2070"/>
        </w:tabs>
        <w:spacing w:line="360" w:lineRule="auto"/>
      </w:pPr>
    </w:p>
    <w:p w:rsidR="00C119F0" w:rsidRPr="00AE6BE4" w:rsidRDefault="00C119F0" w:rsidP="00C119F0">
      <w:pPr>
        <w:adjustRightInd w:val="0"/>
        <w:spacing w:after="240"/>
        <w:ind w:left="720" w:right="720"/>
        <w:jc w:val="both"/>
        <w:rPr>
          <w:color w:val="000000"/>
        </w:rPr>
      </w:pPr>
      <w:r>
        <w:rPr>
          <w:color w:val="000000"/>
        </w:rPr>
        <w:tab/>
      </w:r>
      <w:r w:rsidRPr="00AE6BE4">
        <w:rPr>
          <w:color w:val="000000"/>
        </w:rPr>
        <w:t>1.</w:t>
      </w:r>
      <w:r w:rsidRPr="00AE6BE4">
        <w:rPr>
          <w:color w:val="000000"/>
        </w:rPr>
        <w:tab/>
        <w:t>Answers to written interrogatories will be served in-hand within ten (10) calendar days of service of the interrogatories except that service of interrogatories on a Friday shall be deemed service on the following business day;</w:t>
      </w:r>
    </w:p>
    <w:p w:rsidR="00C119F0" w:rsidRPr="00AE6BE4" w:rsidRDefault="00C119F0" w:rsidP="00C119F0">
      <w:pPr>
        <w:adjustRightInd w:val="0"/>
        <w:spacing w:after="240"/>
        <w:ind w:left="720" w:right="720"/>
        <w:jc w:val="both"/>
        <w:rPr>
          <w:color w:val="000000"/>
        </w:rPr>
      </w:pPr>
      <w:r w:rsidRPr="00AE6BE4">
        <w:rPr>
          <w:color w:val="000000"/>
        </w:rPr>
        <w:tab/>
        <w:t>2.</w:t>
      </w:r>
      <w:r w:rsidRPr="00AE6BE4">
        <w:rPr>
          <w:color w:val="000000"/>
        </w:rPr>
        <w:tab/>
        <w:t>Objections to interrogatories will be communicated orally within three (3) business days of service; unresolved objections shall be served on the parties in writing within five (5) business days of service of the interrogatories;</w:t>
      </w:r>
    </w:p>
    <w:p w:rsidR="00C119F0" w:rsidRPr="00AE6BE4" w:rsidRDefault="00C119F0" w:rsidP="00C119F0">
      <w:pPr>
        <w:adjustRightInd w:val="0"/>
        <w:spacing w:after="240"/>
        <w:ind w:left="720" w:right="720"/>
        <w:jc w:val="both"/>
        <w:rPr>
          <w:color w:val="000000"/>
        </w:rPr>
      </w:pPr>
      <w:r w:rsidRPr="00AE6BE4">
        <w:rPr>
          <w:color w:val="000000"/>
        </w:rPr>
        <w:tab/>
        <w:t>3.</w:t>
      </w:r>
      <w:r w:rsidRPr="00AE6BE4">
        <w:rPr>
          <w:color w:val="000000"/>
        </w:rPr>
        <w:tab/>
        <w:t xml:space="preserve">Motions to dismiss objections and/or direct the answering of interrogatories will be filed within three (3) business days of service of written objections; </w:t>
      </w:r>
    </w:p>
    <w:p w:rsidR="00C119F0" w:rsidRPr="00AE6BE4" w:rsidRDefault="00C119F0" w:rsidP="00C119F0">
      <w:pPr>
        <w:adjustRightInd w:val="0"/>
        <w:spacing w:after="240"/>
        <w:ind w:left="720" w:right="720"/>
        <w:jc w:val="both"/>
        <w:rPr>
          <w:color w:val="000000"/>
        </w:rPr>
      </w:pPr>
      <w:r w:rsidRPr="00AE6BE4">
        <w:rPr>
          <w:color w:val="000000"/>
        </w:rPr>
        <w:tab/>
        <w:t>4.</w:t>
      </w:r>
      <w:r w:rsidRPr="00AE6BE4">
        <w:rPr>
          <w:color w:val="000000"/>
        </w:rPr>
        <w:tab/>
        <w:t>Answers to motions to dismiss objections and/or direct the answering of interrogatories will be filed within three (3) business days of service of such motions;</w:t>
      </w:r>
    </w:p>
    <w:p w:rsidR="00C119F0" w:rsidRPr="00AE6BE4" w:rsidRDefault="00C119F0" w:rsidP="00C119F0">
      <w:pPr>
        <w:adjustRightInd w:val="0"/>
        <w:spacing w:after="240"/>
        <w:ind w:left="720" w:right="720"/>
        <w:jc w:val="both"/>
        <w:rPr>
          <w:color w:val="000000"/>
        </w:rPr>
      </w:pPr>
      <w:r w:rsidRPr="00AE6BE4">
        <w:rPr>
          <w:color w:val="000000"/>
        </w:rPr>
        <w:tab/>
        <w:t>5.</w:t>
      </w:r>
      <w:r w:rsidRPr="00AE6BE4">
        <w:rPr>
          <w:color w:val="000000"/>
        </w:rPr>
        <w:tab/>
        <w:t>Responses to requests for document production, entry for inspection, or other purposes will be served in-hand within ten (10) calendar days;</w:t>
      </w:r>
    </w:p>
    <w:p w:rsidR="00C119F0" w:rsidRPr="00AE6BE4" w:rsidRDefault="00C119F0" w:rsidP="00C119F0">
      <w:pPr>
        <w:adjustRightInd w:val="0"/>
        <w:spacing w:after="240"/>
        <w:ind w:left="720" w:right="720"/>
        <w:jc w:val="both"/>
        <w:rPr>
          <w:color w:val="000000"/>
        </w:rPr>
      </w:pPr>
      <w:r w:rsidRPr="00AE6BE4">
        <w:rPr>
          <w:color w:val="000000"/>
        </w:rPr>
        <w:tab/>
        <w:t>6.</w:t>
      </w:r>
      <w:r w:rsidRPr="00AE6BE4">
        <w:rPr>
          <w:color w:val="000000"/>
        </w:rPr>
        <w:tab/>
        <w:t xml:space="preserve">Requests for admission will be deemed admitted unless answered within ten (10) calendar days or objected to within five (5) business days of service; </w:t>
      </w:r>
    </w:p>
    <w:p w:rsidR="00C119F0" w:rsidRPr="00AE6BE4" w:rsidRDefault="00C119F0" w:rsidP="00C119F0">
      <w:pPr>
        <w:adjustRightInd w:val="0"/>
        <w:spacing w:after="240"/>
        <w:ind w:left="720" w:right="720"/>
        <w:jc w:val="both"/>
        <w:rPr>
          <w:color w:val="000000"/>
        </w:rPr>
      </w:pPr>
      <w:r>
        <w:rPr>
          <w:color w:val="000000"/>
        </w:rPr>
        <w:lastRenderedPageBreak/>
        <w:tab/>
        <w:t>7</w:t>
      </w:r>
      <w:r w:rsidRPr="00AE6BE4">
        <w:rPr>
          <w:color w:val="000000"/>
        </w:rPr>
        <w:t>.</w:t>
      </w:r>
      <w:r w:rsidRPr="00AE6BE4">
        <w:rPr>
          <w:color w:val="000000"/>
        </w:rPr>
        <w:tab/>
        <w:t>Rulings over motions shall be issued, if possible, within seven (7) calendar days of the filing of the motion;</w:t>
      </w:r>
    </w:p>
    <w:p w:rsidR="00C119F0" w:rsidRPr="00AE6BE4" w:rsidRDefault="00C119F0" w:rsidP="00C119F0">
      <w:pPr>
        <w:adjustRightInd w:val="0"/>
        <w:spacing w:after="240"/>
        <w:ind w:left="720" w:right="720"/>
        <w:jc w:val="both"/>
        <w:rPr>
          <w:color w:val="000000"/>
        </w:rPr>
      </w:pPr>
      <w:r>
        <w:rPr>
          <w:color w:val="000000"/>
        </w:rPr>
        <w:tab/>
        <w:t>8</w:t>
      </w:r>
      <w:r w:rsidRPr="00AE6BE4">
        <w:rPr>
          <w:color w:val="000000"/>
        </w:rPr>
        <w:t>.</w:t>
      </w:r>
      <w:r w:rsidRPr="00AE6BE4">
        <w:rPr>
          <w:color w:val="000000"/>
        </w:rPr>
        <w:tab/>
        <w:t>Any discovery or discovery related pleadings such as objections, motions, answers to motions served on a Friday or on any business day preceding a state holiday shall be deemed to have been served on the following business day for purposes of tracking responsive due dates; and</w:t>
      </w:r>
    </w:p>
    <w:p w:rsidR="00C119F0" w:rsidRDefault="00C119F0" w:rsidP="00C119F0">
      <w:pPr>
        <w:keepNext/>
        <w:ind w:left="720" w:right="720"/>
        <w:jc w:val="both"/>
        <w:rPr>
          <w:color w:val="000000"/>
        </w:rPr>
      </w:pPr>
      <w:r>
        <w:rPr>
          <w:color w:val="000000"/>
        </w:rPr>
        <w:tab/>
        <w:t>9</w:t>
      </w:r>
      <w:r w:rsidRPr="00AE6BE4">
        <w:rPr>
          <w:color w:val="000000"/>
        </w:rPr>
        <w:t>.</w:t>
      </w:r>
      <w:r w:rsidRPr="00AE6BE4">
        <w:rPr>
          <w:color w:val="000000"/>
        </w:rPr>
        <w:tab/>
        <w:t>Due dates will be “ in-hand”  with electronic service on the due date satisfying the “in-hand”  requirement and where such service is immediately followed by a hard copy sent by first-class mail.</w:t>
      </w:r>
    </w:p>
    <w:p w:rsidR="00C119F0" w:rsidRDefault="00C119F0" w:rsidP="00F36721">
      <w:pPr>
        <w:keepNext/>
        <w:spacing w:line="360" w:lineRule="auto"/>
        <w:rPr>
          <w:color w:val="000000"/>
        </w:rPr>
      </w:pPr>
    </w:p>
    <w:p w:rsidR="00C119F0" w:rsidRDefault="00C119F0" w:rsidP="00F36721">
      <w:pPr>
        <w:pStyle w:val="ParaTab1"/>
        <w:tabs>
          <w:tab w:val="left" w:pos="2070"/>
        </w:tabs>
        <w:spacing w:line="360" w:lineRule="auto"/>
        <w:ind w:firstLine="0"/>
      </w:pPr>
      <w:r>
        <w:t>There were no objections to these modifications.  Therefore, they will be adopted for this proceeding.</w:t>
      </w:r>
    </w:p>
    <w:p w:rsidR="00B63FE7" w:rsidRDefault="00B63FE7" w:rsidP="00F36721">
      <w:pPr>
        <w:pStyle w:val="ParaTab1"/>
        <w:tabs>
          <w:tab w:val="left" w:pos="2070"/>
        </w:tabs>
        <w:spacing w:line="360" w:lineRule="auto"/>
      </w:pPr>
    </w:p>
    <w:p w:rsidR="00A372B7" w:rsidRDefault="00A372B7" w:rsidP="00F36721">
      <w:pPr>
        <w:pStyle w:val="ParaTab1"/>
        <w:tabs>
          <w:tab w:val="left" w:pos="2070"/>
        </w:tabs>
        <w:spacing w:line="360" w:lineRule="auto"/>
      </w:pPr>
      <w:r>
        <w:t>A discussion was also held regarding the need for a protective order to govern the use of material alleged to be proprietary</w:t>
      </w:r>
      <w:r w:rsidR="00F53A77" w:rsidRPr="00F53A77">
        <w:t xml:space="preserve"> </w:t>
      </w:r>
      <w:r w:rsidR="00F53A77">
        <w:t>in this proceeding</w:t>
      </w:r>
      <w:r>
        <w:t>.  The parties indicated that there was no need for an order at this time but will raise the issue if the need arose.</w:t>
      </w:r>
    </w:p>
    <w:p w:rsidR="00A372B7" w:rsidRDefault="00A372B7" w:rsidP="00F36721">
      <w:pPr>
        <w:pStyle w:val="ParaTab1"/>
        <w:tabs>
          <w:tab w:val="left" w:pos="2070"/>
        </w:tabs>
        <w:spacing w:line="360" w:lineRule="auto"/>
      </w:pPr>
    </w:p>
    <w:p w:rsidR="00A372B7" w:rsidRPr="00A372B7" w:rsidRDefault="00A372B7" w:rsidP="00F36721">
      <w:pPr>
        <w:tabs>
          <w:tab w:val="left" w:pos="-720"/>
          <w:tab w:val="left" w:pos="1260"/>
          <w:tab w:val="left" w:pos="2070"/>
        </w:tabs>
        <w:suppressAutoHyphens/>
        <w:spacing w:line="360" w:lineRule="auto"/>
        <w:ind w:firstLine="1440"/>
      </w:pPr>
      <w:r w:rsidRPr="00A372B7">
        <w:t xml:space="preserve">Finally, the parties </w:t>
      </w:r>
      <w:r>
        <w:t>are</w:t>
      </w:r>
      <w:r w:rsidRPr="00A372B7">
        <w:t xml:space="preserve"> reminded that Commission policy promotes settlements.  </w:t>
      </w:r>
      <w:proofErr w:type="gramStart"/>
      <w:r w:rsidRPr="00A372B7">
        <w:t>52 Pa. Code §5.231(a).</w:t>
      </w:r>
      <w:proofErr w:type="gramEnd"/>
      <w:r w:rsidRPr="00A372B7">
        <w:t xml:space="preserve">  The parties are encouraged to commence settlement discussions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The parties are reminded, however, that decisions of the Commission must be supported by substantial</w:t>
      </w:r>
      <w:r>
        <w:t xml:space="preserve"> evidence.  </w:t>
      </w:r>
      <w:proofErr w:type="gramStart"/>
      <w:r>
        <w:t>2 Pa. C.S. § 704.</w:t>
      </w:r>
      <w:proofErr w:type="gramEnd"/>
      <w:r>
        <w:t xml:space="preserve">  </w:t>
      </w:r>
      <w:r w:rsidRPr="00A372B7">
        <w:t>Substantial evidence is such relevant evidence that a reasonable mind might accept as adequate to support a conclusion.  More is required than a mere trace of evidence or a suspicion of the existence of a fact sought to be established.  Any settlement submitted for approval must be supported by substantial evidence.</w:t>
      </w:r>
    </w:p>
    <w:p w:rsidR="00A372B7" w:rsidRPr="00A372B7" w:rsidRDefault="00A372B7" w:rsidP="00F36721">
      <w:pPr>
        <w:spacing w:line="360" w:lineRule="auto"/>
      </w:pPr>
    </w:p>
    <w:p w:rsidR="00F53A77" w:rsidRDefault="00F53A77">
      <w:pPr>
        <w:autoSpaceDE/>
        <w:autoSpaceDN/>
        <w:rPr>
          <w:u w:val="single"/>
        </w:rPr>
      </w:pPr>
      <w:r>
        <w:rPr>
          <w:u w:val="single"/>
        </w:rPr>
        <w:br w:type="page"/>
      </w:r>
    </w:p>
    <w:p w:rsidR="00A372B7" w:rsidRPr="00A372B7" w:rsidRDefault="00A372B7" w:rsidP="00A372B7">
      <w:pPr>
        <w:spacing w:line="360" w:lineRule="auto"/>
        <w:jc w:val="center"/>
        <w:rPr>
          <w:u w:val="single"/>
        </w:rPr>
      </w:pPr>
      <w:r w:rsidRPr="00A372B7">
        <w:rPr>
          <w:u w:val="single"/>
        </w:rPr>
        <w:lastRenderedPageBreak/>
        <w:t>ORDER</w:t>
      </w:r>
    </w:p>
    <w:p w:rsidR="00A372B7" w:rsidRDefault="00A372B7" w:rsidP="00A372B7">
      <w:pPr>
        <w:spacing w:line="360" w:lineRule="auto"/>
      </w:pPr>
    </w:p>
    <w:p w:rsidR="00F36721" w:rsidRPr="00A372B7" w:rsidRDefault="00F36721" w:rsidP="00A372B7">
      <w:pPr>
        <w:spacing w:line="360" w:lineRule="auto"/>
      </w:pPr>
    </w:p>
    <w:p w:rsidR="00A372B7" w:rsidRPr="00A372B7" w:rsidRDefault="00A372B7" w:rsidP="00A372B7">
      <w:pPr>
        <w:spacing w:line="360" w:lineRule="auto"/>
        <w:ind w:firstLine="1440"/>
        <w:rPr>
          <w:bCs/>
        </w:rPr>
      </w:pPr>
      <w:r w:rsidRPr="00A372B7">
        <w:rPr>
          <w:bCs/>
        </w:rPr>
        <w:t>THEREFORE,</w:t>
      </w:r>
    </w:p>
    <w:p w:rsidR="00A372B7" w:rsidRPr="00A372B7" w:rsidRDefault="00A372B7" w:rsidP="00A372B7">
      <w:pPr>
        <w:spacing w:line="360" w:lineRule="auto"/>
        <w:ind w:firstLine="1440"/>
      </w:pPr>
    </w:p>
    <w:p w:rsidR="00A372B7" w:rsidRPr="00A372B7" w:rsidRDefault="00A372B7" w:rsidP="00A372B7">
      <w:pPr>
        <w:spacing w:line="360" w:lineRule="auto"/>
        <w:ind w:firstLine="1440"/>
        <w:rPr>
          <w:bCs/>
        </w:rPr>
      </w:pPr>
      <w:r w:rsidRPr="00A372B7">
        <w:rPr>
          <w:bCs/>
        </w:rPr>
        <w:t>IT IS ORDERED:</w:t>
      </w:r>
    </w:p>
    <w:p w:rsidR="00A372B7" w:rsidRPr="00A372B7" w:rsidRDefault="00A372B7" w:rsidP="00F36721">
      <w:pPr>
        <w:spacing w:line="360" w:lineRule="auto"/>
        <w:ind w:firstLine="1440"/>
        <w:rPr>
          <w:bCs/>
        </w:rPr>
      </w:pPr>
    </w:p>
    <w:p w:rsidR="00836E8F" w:rsidRDefault="00A372B7" w:rsidP="00F36721">
      <w:pPr>
        <w:numPr>
          <w:ilvl w:val="0"/>
          <w:numId w:val="11"/>
        </w:numPr>
        <w:spacing w:line="360" w:lineRule="auto"/>
        <w:ind w:left="0" w:firstLine="1440"/>
      </w:pPr>
      <w:r w:rsidRPr="00A372B7">
        <w:t xml:space="preserve">That the </w:t>
      </w:r>
      <w:r>
        <w:t xml:space="preserve">parties are directed to </w:t>
      </w:r>
      <w:r w:rsidR="00836E8F">
        <w:t xml:space="preserve">schedule two or more settlement and/or technical conferences to be held between August 15 and September 15, 2016 and report back to the Presiding Officer on the status of the negotiations by September 19, 2016.  </w:t>
      </w:r>
    </w:p>
    <w:p w:rsidR="00836E8F" w:rsidRDefault="00836E8F" w:rsidP="00F36721">
      <w:pPr>
        <w:spacing w:line="360" w:lineRule="auto"/>
      </w:pPr>
    </w:p>
    <w:p w:rsidR="00836E8F" w:rsidRDefault="00836E8F" w:rsidP="00F36721">
      <w:pPr>
        <w:numPr>
          <w:ilvl w:val="0"/>
          <w:numId w:val="11"/>
        </w:numPr>
        <w:spacing w:line="360" w:lineRule="auto"/>
        <w:ind w:left="0" w:firstLine="1440"/>
      </w:pPr>
      <w:r>
        <w:t xml:space="preserve">That, if the matter is not the subject of a settlement by September 19, 2016, a second prehearing conference </w:t>
      </w:r>
      <w:r w:rsidR="00430976">
        <w:t>will</w:t>
      </w:r>
      <w:r>
        <w:t xml:space="preserve"> be held between September 28 and October 20, 2016 to determine whether the submission of testimony and scheduling of an evidentiary hearing may be required.</w:t>
      </w:r>
    </w:p>
    <w:p w:rsidR="00A372B7" w:rsidRPr="00A372B7" w:rsidRDefault="00A372B7" w:rsidP="00F36721">
      <w:pPr>
        <w:spacing w:line="360" w:lineRule="auto"/>
      </w:pPr>
    </w:p>
    <w:p w:rsidR="00A372B7" w:rsidRPr="00A372B7" w:rsidRDefault="00A372B7" w:rsidP="00F36721">
      <w:pPr>
        <w:numPr>
          <w:ilvl w:val="0"/>
          <w:numId w:val="11"/>
        </w:numPr>
        <w:spacing w:line="360" w:lineRule="auto"/>
        <w:ind w:left="0" w:firstLine="1440"/>
      </w:pPr>
      <w:r w:rsidRPr="00A372B7">
        <w:t>That the parties shall receive all documents and shall copy all other parties on documents they file with the Commission or serve on me.  The parties are expected to conduct discovery, attend hearings, or present or cross-examine witnesses, as appropriate.  T</w:t>
      </w:r>
      <w:r w:rsidRPr="00A372B7">
        <w:rPr>
          <w:spacing w:val="-3"/>
        </w:rPr>
        <w:t xml:space="preserve">he parties shall serve documents so that the documents are received in-hand by the parties and presiding officer no later than 4:30 p.m. on the dates </w:t>
      </w:r>
      <w:r w:rsidR="00F53A77">
        <w:rPr>
          <w:spacing w:val="-3"/>
        </w:rPr>
        <w:t>due</w:t>
      </w:r>
      <w:r w:rsidRPr="00A372B7">
        <w:rPr>
          <w:spacing w:val="-3"/>
        </w:rPr>
        <w:t xml:space="preserve">.  Parties may serve the documents via e-mail to meet this requirement, with hard copy to follow by regular first class mail, so long as the electronic version is Microsoft Word compatible and no larger than 5 MB per email.  Parties shall not file testimony with the Commission, but shall file a certificate of service.  </w:t>
      </w:r>
    </w:p>
    <w:p w:rsidR="00A372B7" w:rsidRPr="00A372B7" w:rsidRDefault="00A372B7" w:rsidP="00F36721">
      <w:pPr>
        <w:spacing w:line="360" w:lineRule="auto"/>
        <w:ind w:firstLine="1440"/>
      </w:pPr>
      <w:r w:rsidRPr="00A372B7">
        <w:tab/>
      </w:r>
      <w:r w:rsidRPr="00A372B7">
        <w:tab/>
      </w:r>
    </w:p>
    <w:p w:rsidR="00A372B7" w:rsidRPr="00A372B7" w:rsidRDefault="00A372B7" w:rsidP="00F36721">
      <w:pPr>
        <w:numPr>
          <w:ilvl w:val="0"/>
          <w:numId w:val="11"/>
        </w:numPr>
        <w:spacing w:line="360" w:lineRule="auto"/>
        <w:ind w:left="0" w:firstLine="1440"/>
      </w:pPr>
      <w:r w:rsidRPr="00A372B7">
        <w:t xml:space="preserve">That the service list </w:t>
      </w:r>
      <w:r w:rsidR="00F53A77">
        <w:t xml:space="preserve">for this proceeding </w:t>
      </w:r>
      <w:r w:rsidRPr="00A372B7">
        <w:t>shall be limited to the following parties:</w:t>
      </w:r>
    </w:p>
    <w:p w:rsidR="00F53A77" w:rsidRDefault="00F53A77">
      <w:pPr>
        <w:autoSpaceDE/>
        <w:autoSpaceDN/>
      </w:pPr>
      <w:r>
        <w:br w:type="page"/>
      </w:r>
    </w:p>
    <w:p w:rsidR="00A372B7" w:rsidRPr="00A372B7" w:rsidRDefault="00A372B7" w:rsidP="00A372B7">
      <w:pPr>
        <w:ind w:firstLine="144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3686"/>
      </w:tblGrid>
      <w:tr w:rsidR="00A372B7" w:rsidRPr="00A372B7" w:rsidTr="000B1AD4">
        <w:tc>
          <w:tcPr>
            <w:tcW w:w="3730" w:type="dxa"/>
            <w:shd w:val="clear" w:color="auto" w:fill="auto"/>
          </w:tcPr>
          <w:p w:rsidR="00A372B7" w:rsidRPr="00A372B7" w:rsidRDefault="00A372B7" w:rsidP="00A372B7">
            <w:pPr>
              <w:widowControl w:val="0"/>
              <w:ind w:firstLine="1440"/>
              <w:rPr>
                <w:b/>
                <w:u w:val="single"/>
              </w:rPr>
            </w:pPr>
            <w:r w:rsidRPr="00A372B7">
              <w:rPr>
                <w:b/>
                <w:u w:val="single"/>
              </w:rPr>
              <w:t>Party</w:t>
            </w:r>
          </w:p>
        </w:tc>
        <w:tc>
          <w:tcPr>
            <w:tcW w:w="3686" w:type="dxa"/>
            <w:shd w:val="clear" w:color="auto" w:fill="auto"/>
          </w:tcPr>
          <w:p w:rsidR="00A372B7" w:rsidRPr="00A372B7" w:rsidRDefault="00A372B7" w:rsidP="00A372B7">
            <w:pPr>
              <w:widowControl w:val="0"/>
              <w:ind w:firstLine="1440"/>
              <w:rPr>
                <w:b/>
                <w:u w:val="single"/>
              </w:rPr>
            </w:pPr>
            <w:r w:rsidRPr="00A372B7">
              <w:rPr>
                <w:b/>
                <w:u w:val="single"/>
              </w:rPr>
              <w:t>Counsel</w:t>
            </w:r>
          </w:p>
        </w:tc>
      </w:tr>
      <w:tr w:rsidR="00A372B7" w:rsidRPr="00A372B7" w:rsidTr="000B1AD4">
        <w:tc>
          <w:tcPr>
            <w:tcW w:w="3730" w:type="dxa"/>
            <w:shd w:val="clear" w:color="auto" w:fill="auto"/>
          </w:tcPr>
          <w:p w:rsidR="00A372B7" w:rsidRPr="00A372B7" w:rsidRDefault="00836E8F" w:rsidP="00A372B7">
            <w:pPr>
              <w:widowControl w:val="0"/>
              <w:jc w:val="both"/>
            </w:pPr>
            <w:r>
              <w:t>The Companies</w:t>
            </w:r>
          </w:p>
        </w:tc>
        <w:tc>
          <w:tcPr>
            <w:tcW w:w="3686" w:type="dxa"/>
            <w:shd w:val="clear" w:color="auto" w:fill="auto"/>
          </w:tcPr>
          <w:p w:rsidR="00A372B7" w:rsidRDefault="00836E8F" w:rsidP="00A372B7">
            <w:pPr>
              <w:widowControl w:val="0"/>
              <w:jc w:val="both"/>
            </w:pPr>
            <w:r>
              <w:t xml:space="preserve">Anthony </w:t>
            </w:r>
            <w:proofErr w:type="spellStart"/>
            <w:r>
              <w:t>DeCusatis</w:t>
            </w:r>
            <w:proofErr w:type="spellEnd"/>
            <w:r w:rsidR="00A372B7" w:rsidRPr="00A372B7">
              <w:t>, Esquire</w:t>
            </w:r>
          </w:p>
          <w:p w:rsidR="00836E8F" w:rsidRPr="00A372B7" w:rsidRDefault="00836E8F" w:rsidP="00A372B7">
            <w:pPr>
              <w:widowControl w:val="0"/>
              <w:jc w:val="both"/>
            </w:pPr>
            <w:r>
              <w:t xml:space="preserve">John </w:t>
            </w:r>
            <w:proofErr w:type="spellStart"/>
            <w:r>
              <w:t>Munsch</w:t>
            </w:r>
            <w:proofErr w:type="spellEnd"/>
            <w:r>
              <w:t>, Esquire</w:t>
            </w:r>
          </w:p>
        </w:tc>
      </w:tr>
      <w:tr w:rsidR="00A372B7" w:rsidRPr="00A372B7" w:rsidTr="000B1AD4">
        <w:tc>
          <w:tcPr>
            <w:tcW w:w="3730" w:type="dxa"/>
            <w:shd w:val="clear" w:color="auto" w:fill="auto"/>
          </w:tcPr>
          <w:p w:rsidR="00A372B7" w:rsidRPr="00A372B7" w:rsidRDefault="00836E8F" w:rsidP="00A372B7">
            <w:pPr>
              <w:widowControl w:val="0"/>
              <w:jc w:val="both"/>
            </w:pPr>
            <w:r>
              <w:t>Office of Consumer Advocate</w:t>
            </w:r>
          </w:p>
        </w:tc>
        <w:tc>
          <w:tcPr>
            <w:tcW w:w="3686" w:type="dxa"/>
            <w:shd w:val="clear" w:color="auto" w:fill="auto"/>
          </w:tcPr>
          <w:p w:rsidR="00A372B7" w:rsidRDefault="00836E8F" w:rsidP="00A372B7">
            <w:pPr>
              <w:widowControl w:val="0"/>
              <w:jc w:val="both"/>
            </w:pPr>
            <w:r>
              <w:t>Darryl Lawrence</w:t>
            </w:r>
            <w:r w:rsidR="00A372B7" w:rsidRPr="00A372B7">
              <w:t>, Esquire</w:t>
            </w:r>
          </w:p>
          <w:p w:rsidR="00836E8F" w:rsidRPr="00A372B7" w:rsidRDefault="00836E8F" w:rsidP="00A372B7">
            <w:pPr>
              <w:widowControl w:val="0"/>
              <w:jc w:val="both"/>
            </w:pPr>
            <w:r>
              <w:t xml:space="preserve">Harrison </w:t>
            </w:r>
            <w:proofErr w:type="spellStart"/>
            <w:r>
              <w:t>Breitman</w:t>
            </w:r>
            <w:proofErr w:type="spellEnd"/>
            <w:r>
              <w:t>, Esquire</w:t>
            </w:r>
          </w:p>
        </w:tc>
      </w:tr>
      <w:tr w:rsidR="00A372B7" w:rsidRPr="00A372B7" w:rsidTr="000B1AD4">
        <w:tc>
          <w:tcPr>
            <w:tcW w:w="3730" w:type="dxa"/>
            <w:shd w:val="clear" w:color="auto" w:fill="auto"/>
          </w:tcPr>
          <w:p w:rsidR="00A372B7" w:rsidRPr="00A372B7" w:rsidRDefault="00836E8F" w:rsidP="00A372B7">
            <w:pPr>
              <w:widowControl w:val="0"/>
              <w:jc w:val="both"/>
            </w:pPr>
            <w:r>
              <w:t>Office of Small Business Advocate</w:t>
            </w:r>
          </w:p>
        </w:tc>
        <w:tc>
          <w:tcPr>
            <w:tcW w:w="3686" w:type="dxa"/>
            <w:shd w:val="clear" w:color="auto" w:fill="auto"/>
          </w:tcPr>
          <w:p w:rsidR="00A372B7" w:rsidRPr="00A372B7" w:rsidRDefault="00836E8F" w:rsidP="00A372B7">
            <w:pPr>
              <w:widowControl w:val="0"/>
              <w:jc w:val="both"/>
            </w:pPr>
            <w:r>
              <w:t>Daniel Asmus</w:t>
            </w:r>
            <w:r w:rsidR="00A372B7" w:rsidRPr="00A372B7">
              <w:t>, Esquire</w:t>
            </w:r>
          </w:p>
        </w:tc>
      </w:tr>
      <w:tr w:rsidR="00A372B7" w:rsidRPr="00A372B7" w:rsidTr="000B1AD4">
        <w:tc>
          <w:tcPr>
            <w:tcW w:w="3730" w:type="dxa"/>
            <w:shd w:val="clear" w:color="auto" w:fill="auto"/>
          </w:tcPr>
          <w:p w:rsidR="00A372B7" w:rsidRPr="00A372B7" w:rsidRDefault="00836E8F" w:rsidP="00A372B7">
            <w:pPr>
              <w:widowControl w:val="0"/>
              <w:jc w:val="both"/>
            </w:pPr>
            <w:r>
              <w:t>Large Users Groups</w:t>
            </w:r>
          </w:p>
        </w:tc>
        <w:tc>
          <w:tcPr>
            <w:tcW w:w="3686" w:type="dxa"/>
            <w:shd w:val="clear" w:color="auto" w:fill="auto"/>
          </w:tcPr>
          <w:p w:rsidR="00A372B7" w:rsidRPr="00A372B7" w:rsidRDefault="00836E8F" w:rsidP="00A372B7">
            <w:pPr>
              <w:widowControl w:val="0"/>
              <w:jc w:val="both"/>
            </w:pPr>
            <w:r>
              <w:t xml:space="preserve">Alessandra </w:t>
            </w:r>
            <w:proofErr w:type="spellStart"/>
            <w:r>
              <w:t>Hylander</w:t>
            </w:r>
            <w:proofErr w:type="spellEnd"/>
            <w:r w:rsidR="00A372B7" w:rsidRPr="00A372B7">
              <w:t>, Esquire</w:t>
            </w:r>
          </w:p>
        </w:tc>
      </w:tr>
      <w:tr w:rsidR="00836E8F" w:rsidRPr="00A372B7" w:rsidTr="000B1AD4">
        <w:tc>
          <w:tcPr>
            <w:tcW w:w="3730" w:type="dxa"/>
            <w:shd w:val="clear" w:color="auto" w:fill="auto"/>
          </w:tcPr>
          <w:p w:rsidR="00836E8F" w:rsidRDefault="00836E8F" w:rsidP="00A372B7">
            <w:pPr>
              <w:widowControl w:val="0"/>
              <w:jc w:val="both"/>
            </w:pPr>
            <w:r>
              <w:t>Pennsylvania State University</w:t>
            </w:r>
          </w:p>
        </w:tc>
        <w:tc>
          <w:tcPr>
            <w:tcW w:w="3686" w:type="dxa"/>
            <w:shd w:val="clear" w:color="auto" w:fill="auto"/>
          </w:tcPr>
          <w:p w:rsidR="00836E8F" w:rsidRDefault="00836E8F" w:rsidP="00836E8F">
            <w:pPr>
              <w:widowControl w:val="0"/>
              <w:jc w:val="both"/>
            </w:pPr>
            <w:r>
              <w:t xml:space="preserve">Christopher </w:t>
            </w:r>
            <w:proofErr w:type="spellStart"/>
            <w:r>
              <w:t>Arfaa</w:t>
            </w:r>
            <w:proofErr w:type="spellEnd"/>
            <w:r>
              <w:t>, Esquire</w:t>
            </w:r>
          </w:p>
        </w:tc>
      </w:tr>
      <w:tr w:rsidR="00836E8F" w:rsidRPr="00A372B7" w:rsidTr="000B1AD4">
        <w:tc>
          <w:tcPr>
            <w:tcW w:w="3730" w:type="dxa"/>
            <w:shd w:val="clear" w:color="auto" w:fill="auto"/>
          </w:tcPr>
          <w:p w:rsidR="00836E8F" w:rsidRDefault="00836E8F" w:rsidP="00A372B7">
            <w:pPr>
              <w:widowControl w:val="0"/>
              <w:jc w:val="both"/>
            </w:pPr>
            <w:r>
              <w:t>AK Steel Corporation</w:t>
            </w:r>
          </w:p>
        </w:tc>
        <w:tc>
          <w:tcPr>
            <w:tcW w:w="3686" w:type="dxa"/>
            <w:shd w:val="clear" w:color="auto" w:fill="auto"/>
          </w:tcPr>
          <w:p w:rsidR="00836E8F" w:rsidRDefault="00836E8F" w:rsidP="00836E8F">
            <w:pPr>
              <w:widowControl w:val="0"/>
              <w:jc w:val="both"/>
            </w:pPr>
            <w:r>
              <w:t>David Boehm, Esquire</w:t>
            </w:r>
          </w:p>
        </w:tc>
      </w:tr>
    </w:tbl>
    <w:p w:rsidR="00A372B7" w:rsidRPr="00A372B7" w:rsidRDefault="00A372B7" w:rsidP="00F36721">
      <w:pPr>
        <w:spacing w:line="360" w:lineRule="auto"/>
        <w:ind w:firstLine="1440"/>
      </w:pPr>
    </w:p>
    <w:p w:rsidR="00A372B7" w:rsidRPr="00A372B7" w:rsidRDefault="00A372B7" w:rsidP="00F36721">
      <w:pPr>
        <w:numPr>
          <w:ilvl w:val="0"/>
          <w:numId w:val="11"/>
        </w:numPr>
        <w:spacing w:line="360" w:lineRule="auto"/>
        <w:ind w:left="0" w:firstLine="1440"/>
      </w:pPr>
      <w:r w:rsidRPr="00A372B7">
        <w:t xml:space="preserve">That written testimony shall comply with the requirements of 52 </w:t>
      </w:r>
      <w:proofErr w:type="spellStart"/>
      <w:r w:rsidRPr="00A372B7">
        <w:t>Pa.Code</w:t>
      </w:r>
      <w:proofErr w:type="spellEnd"/>
      <w:r w:rsidRPr="00A372B7">
        <w:t xml:space="preserve"> §5.412 and shall be marked with numerical, sequential statement numbers.  Parties serving pre-served testimony pursuant to 52 </w:t>
      </w:r>
      <w:proofErr w:type="spellStart"/>
      <w:r w:rsidRPr="00A372B7">
        <w:t>Pa.Code</w:t>
      </w:r>
      <w:proofErr w:type="spellEnd"/>
      <w:r w:rsidRPr="00A372B7">
        <w:t xml:space="preserve"> § 5.412(f) are required, within thirty (30) days after the final hearing, to either </w:t>
      </w:r>
      <w:proofErr w:type="spellStart"/>
      <w:r w:rsidRPr="00A372B7">
        <w:t>eFile</w:t>
      </w:r>
      <w:proofErr w:type="spellEnd"/>
      <w:r w:rsidRPr="00A372B7">
        <w:t xml:space="preserve"> with or provide to the Secretary’s Bureau a Compact Disc (CD) containing all testimony furnished to the court reporter during the proceeding, consistent with the Commission’s Implementation Order, dated January 10, 2013, at Docket No. M-2012-2331973.</w:t>
      </w:r>
    </w:p>
    <w:p w:rsidR="00A372B7" w:rsidRPr="00A372B7" w:rsidRDefault="00A372B7" w:rsidP="00F36721">
      <w:pPr>
        <w:spacing w:line="360" w:lineRule="auto"/>
        <w:ind w:firstLine="1440"/>
      </w:pPr>
    </w:p>
    <w:p w:rsidR="00A372B7" w:rsidRPr="00A372B7" w:rsidRDefault="00A372B7" w:rsidP="00F36721">
      <w:pPr>
        <w:spacing w:line="360" w:lineRule="auto"/>
      </w:pPr>
      <w:r w:rsidRPr="00A372B7">
        <w:rPr>
          <w:b/>
        </w:rPr>
        <w:tab/>
      </w:r>
      <w:r w:rsidRPr="00A372B7">
        <w:rPr>
          <w:b/>
        </w:rPr>
        <w:tab/>
      </w:r>
      <w:r w:rsidRPr="00A372B7">
        <w:t>6.</w:t>
      </w:r>
      <w:r w:rsidRPr="00A372B7">
        <w:tab/>
        <w:t xml:space="preserve">That all parties shall comply with the provisions of 52 </w:t>
      </w:r>
      <w:proofErr w:type="spellStart"/>
      <w:r w:rsidRPr="00A372B7">
        <w:t>Pa.Code</w:t>
      </w:r>
      <w:proofErr w:type="spellEnd"/>
      <w:r w:rsidRPr="00A372B7">
        <w:t xml:space="preserve"> §5.243(e) which prohibits the introduction of evidence during rebuttal which should have been included in the party’s case-in-chief or which substantially varies from the party’s case-in-chief, unless the party is introducing evidence in support of a proposed settlement.</w:t>
      </w:r>
    </w:p>
    <w:p w:rsidR="00A372B7" w:rsidRPr="00A372B7" w:rsidRDefault="00A372B7" w:rsidP="00F36721">
      <w:pPr>
        <w:spacing w:line="360" w:lineRule="auto"/>
      </w:pPr>
      <w:r w:rsidRPr="00A372B7">
        <w:tab/>
      </w:r>
      <w:r w:rsidRPr="00A372B7">
        <w:tab/>
      </w:r>
    </w:p>
    <w:p w:rsidR="00A372B7" w:rsidRPr="00A372B7" w:rsidRDefault="00A372B7" w:rsidP="00F36721">
      <w:pPr>
        <w:spacing w:line="360" w:lineRule="auto"/>
      </w:pPr>
      <w:r w:rsidRPr="00A372B7">
        <w:tab/>
      </w:r>
      <w:r w:rsidRPr="00A372B7">
        <w:tab/>
        <w:t>7.</w:t>
      </w:r>
      <w:r w:rsidRPr="00A372B7">
        <w:tab/>
        <w:t xml:space="preserve">That the parties shall conduct discovery pursuant to 52 </w:t>
      </w:r>
      <w:proofErr w:type="spellStart"/>
      <w:r w:rsidRPr="00A372B7">
        <w:t>Pa.Code</w:t>
      </w:r>
      <w:proofErr w:type="spellEnd"/>
      <w:r w:rsidRPr="00A372B7">
        <w:t xml:space="preserve"> §§5.321-5.373</w:t>
      </w:r>
      <w:r w:rsidR="00764043">
        <w:t>, and as modified above</w:t>
      </w:r>
      <w:r w:rsidRPr="00A372B7">
        <w:t xml:space="preserve">.  The parties are encouraged to cooperate and exchange information on an informal basis.  The parties shall cooperate rather than engage in numerous or protracted discovery disagreements that require formal resolution.  All motions to compel shall contain a certification by counsel setting forth the informal discovery undertaken and their efforts to resolve their discovery disputes informally.  If a motion to compel does not contain this certification, the parties will be directed to pursue informal discovery.  There are limitations on discovery and sanctions for abuse of the discovery process.  52 </w:t>
      </w:r>
      <w:proofErr w:type="spellStart"/>
      <w:r w:rsidRPr="00A372B7">
        <w:t>Pa.Code</w:t>
      </w:r>
      <w:proofErr w:type="spellEnd"/>
      <w:r w:rsidRPr="00A372B7">
        <w:t xml:space="preserve"> §§5.361, 5.371-5.372</w:t>
      </w:r>
    </w:p>
    <w:p w:rsidR="00A372B7" w:rsidRPr="00A372B7" w:rsidRDefault="00A372B7" w:rsidP="00F36721">
      <w:pPr>
        <w:spacing w:line="360" w:lineRule="auto"/>
        <w:ind w:firstLine="1440"/>
      </w:pPr>
    </w:p>
    <w:p w:rsidR="00A372B7" w:rsidRPr="00A372B7" w:rsidRDefault="00A372B7" w:rsidP="00F36721">
      <w:pPr>
        <w:spacing w:line="360" w:lineRule="auto"/>
      </w:pPr>
      <w:r w:rsidRPr="00A372B7">
        <w:lastRenderedPageBreak/>
        <w:tab/>
      </w:r>
      <w:r w:rsidRPr="00A372B7">
        <w:tab/>
        <w:t xml:space="preserve">9. </w:t>
      </w:r>
      <w:r w:rsidRPr="00A372B7">
        <w:tab/>
        <w:t xml:space="preserve">That the parties shall stipulate to any matters they reasonably can to expedite this proceeding, lessen the burden of time and expenses in litigation on all parties and conserve administrative hearing resources.  52 </w:t>
      </w:r>
      <w:proofErr w:type="spellStart"/>
      <w:r w:rsidRPr="00A372B7">
        <w:t>Pa.Code</w:t>
      </w:r>
      <w:proofErr w:type="spellEnd"/>
      <w:r w:rsidRPr="00A372B7">
        <w:t xml:space="preserve"> §§5.232 and 5.234  </w:t>
      </w:r>
    </w:p>
    <w:p w:rsidR="00A372B7" w:rsidRPr="00A372B7" w:rsidRDefault="00A372B7" w:rsidP="00F36721">
      <w:pPr>
        <w:spacing w:line="360" w:lineRule="auto"/>
        <w:ind w:firstLine="1440"/>
      </w:pPr>
      <w:r w:rsidRPr="00A372B7">
        <w:t xml:space="preserve">  </w:t>
      </w:r>
    </w:p>
    <w:p w:rsidR="00A372B7" w:rsidRPr="00A372B7" w:rsidRDefault="00A372B7" w:rsidP="00F36721">
      <w:pPr>
        <w:spacing w:line="360" w:lineRule="auto"/>
        <w:ind w:firstLine="1440"/>
      </w:pPr>
      <w:r w:rsidRPr="00A372B7">
        <w:t>10.</w:t>
      </w:r>
      <w:r w:rsidRPr="00A372B7">
        <w:tab/>
        <w:t xml:space="preserve">That </w:t>
      </w:r>
      <w:r w:rsidR="00F53A77">
        <w:t>any</w:t>
      </w:r>
      <w:r w:rsidRPr="00A372B7">
        <w:t xml:space="preserve"> evidentiary hearings in this matter constitute a formal legal proceeding and will be conducted in accordance with the Commission’s Rules of Administrative Practice and Procedure, as well as the rules of evidence as applied to administrative hearings.</w:t>
      </w:r>
    </w:p>
    <w:p w:rsidR="00A372B7" w:rsidRPr="00A372B7" w:rsidRDefault="00A372B7" w:rsidP="00F36721">
      <w:pPr>
        <w:spacing w:line="360" w:lineRule="auto"/>
        <w:ind w:firstLine="1440"/>
      </w:pPr>
    </w:p>
    <w:p w:rsidR="00A372B7" w:rsidRPr="00A372B7" w:rsidRDefault="00A372B7" w:rsidP="00F36721">
      <w:pPr>
        <w:spacing w:line="360" w:lineRule="auto"/>
        <w:ind w:firstLine="1440"/>
        <w:rPr>
          <w:szCs w:val="26"/>
        </w:rPr>
      </w:pPr>
      <w:r w:rsidRPr="00A372B7">
        <w:t>11.</w:t>
      </w:r>
      <w:r w:rsidRPr="00A372B7">
        <w:tab/>
        <w:t xml:space="preserve">That any provision of this order may be modified upon motion and good cause shown by any party in interest </w:t>
      </w:r>
      <w:r w:rsidRPr="00A372B7">
        <w:rPr>
          <w:szCs w:val="26"/>
        </w:rPr>
        <w:t xml:space="preserve">in accordance with 52 </w:t>
      </w:r>
      <w:proofErr w:type="spellStart"/>
      <w:r w:rsidRPr="00A372B7">
        <w:rPr>
          <w:szCs w:val="26"/>
        </w:rPr>
        <w:t>Pa.Code</w:t>
      </w:r>
      <w:proofErr w:type="spellEnd"/>
      <w:r w:rsidRPr="00A372B7">
        <w:rPr>
          <w:szCs w:val="26"/>
        </w:rPr>
        <w:t xml:space="preserve"> §5.223(a).</w:t>
      </w:r>
    </w:p>
    <w:p w:rsidR="00C773A3" w:rsidRPr="00CB5996" w:rsidRDefault="00C773A3" w:rsidP="00F36721">
      <w:pPr>
        <w:spacing w:line="360" w:lineRule="auto"/>
        <w:rPr>
          <w:strike/>
        </w:rPr>
      </w:pPr>
    </w:p>
    <w:p w:rsidR="00A81882" w:rsidRDefault="00A81882" w:rsidP="00F36721">
      <w:pPr>
        <w:spacing w:line="360" w:lineRule="auto"/>
      </w:pPr>
    </w:p>
    <w:p w:rsidR="00897507" w:rsidRPr="00AD5D5B" w:rsidRDefault="00444E27" w:rsidP="00897507">
      <w:pPr>
        <w:rPr>
          <w:u w:val="single"/>
        </w:rPr>
      </w:pPr>
      <w:r w:rsidRPr="00550B34">
        <w:t xml:space="preserve">Date: </w:t>
      </w:r>
      <w:r w:rsidR="00EB6B66">
        <w:rPr>
          <w:u w:val="single"/>
        </w:rPr>
        <w:t>August 1</w:t>
      </w:r>
      <w:r w:rsidR="00647BB7">
        <w:rPr>
          <w:u w:val="single"/>
        </w:rPr>
        <w:t>2</w:t>
      </w:r>
      <w:r w:rsidR="005C566D">
        <w:rPr>
          <w:u w:val="single"/>
        </w:rPr>
        <w:t xml:space="preserve">, </w:t>
      </w:r>
      <w:r w:rsidR="00253AE5">
        <w:rPr>
          <w:u w:val="single"/>
        </w:rPr>
        <w:t>2016</w:t>
      </w:r>
      <w:r w:rsidRPr="00550B34">
        <w:tab/>
      </w:r>
      <w:r w:rsidR="005C566D">
        <w:tab/>
      </w:r>
      <w:r w:rsidR="00CD604F">
        <w:tab/>
      </w:r>
      <w:r w:rsidR="002A5872">
        <w:tab/>
      </w:r>
      <w:r w:rsidR="00AD5D5B">
        <w:rPr>
          <w:u w:val="single"/>
        </w:rPr>
        <w:tab/>
      </w:r>
      <w:r w:rsidR="00AD5D5B">
        <w:rPr>
          <w:u w:val="single"/>
        </w:rPr>
        <w:tab/>
      </w:r>
      <w:r w:rsidR="00AD5D5B">
        <w:rPr>
          <w:u w:val="single"/>
        </w:rPr>
        <w:tab/>
      </w:r>
      <w:r w:rsidR="00AD5D5B">
        <w:rPr>
          <w:u w:val="single"/>
        </w:rPr>
        <w:tab/>
      </w:r>
      <w:r w:rsidR="00AD5D5B">
        <w:rPr>
          <w:u w:val="single"/>
        </w:rPr>
        <w:tab/>
      </w:r>
    </w:p>
    <w:p w:rsidR="00444E27" w:rsidRPr="00550B34" w:rsidRDefault="00897507" w:rsidP="00444E27">
      <w:r w:rsidRPr="00550B34">
        <w:tab/>
      </w:r>
      <w:r w:rsidRPr="00550B34">
        <w:tab/>
      </w:r>
      <w:r w:rsidRPr="00550B34">
        <w:tab/>
      </w:r>
      <w:r w:rsidRPr="00550B34">
        <w:tab/>
      </w:r>
      <w:r w:rsidRPr="00550B34">
        <w:tab/>
      </w:r>
      <w:r w:rsidR="002A5872">
        <w:tab/>
      </w:r>
      <w:r w:rsidR="00AD5D5B">
        <w:tab/>
      </w:r>
      <w:r w:rsidR="0062545F" w:rsidRPr="00550B34">
        <w:t xml:space="preserve">Joel H. Cheskis </w:t>
      </w:r>
    </w:p>
    <w:p w:rsidR="00F36721" w:rsidRDefault="00444E27" w:rsidP="00444E27">
      <w:pPr>
        <w:sectPr w:rsidR="00F36721" w:rsidSect="00F277CF">
          <w:footerReference w:type="default" r:id="rId9"/>
          <w:pgSz w:w="12240" w:h="15840"/>
          <w:pgMar w:top="1440" w:right="1440" w:bottom="1440" w:left="1440" w:header="720" w:footer="720" w:gutter="0"/>
          <w:cols w:space="720"/>
          <w:titlePg/>
          <w:docGrid w:linePitch="360"/>
        </w:sectPr>
      </w:pPr>
      <w:r w:rsidRPr="00550B34">
        <w:tab/>
      </w:r>
      <w:r w:rsidRPr="00550B34">
        <w:tab/>
      </w:r>
      <w:r w:rsidRPr="00550B34">
        <w:tab/>
      </w:r>
      <w:r w:rsidRPr="00550B34">
        <w:tab/>
      </w:r>
      <w:r w:rsidRPr="00550B34">
        <w:tab/>
      </w:r>
      <w:r w:rsidR="002A5872">
        <w:tab/>
      </w:r>
      <w:r w:rsidR="00AD5D5B">
        <w:tab/>
      </w:r>
      <w:r w:rsidR="00F07C2D">
        <w:t>Administrative Law Judge</w:t>
      </w:r>
    </w:p>
    <w:p w:rsidR="00F36721" w:rsidRPr="009534E7" w:rsidRDefault="00F36721" w:rsidP="00F36721">
      <w:pPr>
        <w:contextualSpacing/>
        <w:rPr>
          <w:rFonts w:ascii="Microsoft Sans Serif"/>
          <w:b/>
          <w:u w:val="single"/>
        </w:rPr>
      </w:pPr>
      <w:r w:rsidRPr="009534E7">
        <w:rPr>
          <w:rFonts w:ascii="Microsoft Sans Serif"/>
          <w:b/>
          <w:u w:val="single"/>
        </w:rPr>
        <w:lastRenderedPageBreak/>
        <w:t>P-2015-2508942 -</w:t>
      </w:r>
      <w:r w:rsidRPr="009534E7">
        <w:t xml:space="preserve"> </w:t>
      </w:r>
      <w:r w:rsidRPr="009534E7">
        <w:rPr>
          <w:rFonts w:ascii="Microsoft Sans Serif"/>
          <w:b/>
          <w:u w:val="single"/>
        </w:rPr>
        <w:t>METROPOLITAN EDISON COMPANY FILED PETITION FOR APPROVAL OF LONG-TERM INFRASTRUCTURE IMPROVEMENT PLAN</w:t>
      </w:r>
      <w:proofErr w:type="gramStart"/>
      <w:r w:rsidRPr="009534E7">
        <w:rPr>
          <w:rFonts w:ascii="Microsoft Sans Serif"/>
          <w:b/>
          <w:u w:val="single"/>
        </w:rPr>
        <w:t>..</w:t>
      </w:r>
      <w:proofErr w:type="gramEnd"/>
    </w:p>
    <w:p w:rsidR="00F36721" w:rsidRDefault="00F36721" w:rsidP="00F36721">
      <w:pPr>
        <w:contextualSpacing/>
        <w:rPr>
          <w:rFonts w:ascii="Microsoft Sans Serif"/>
          <w:b/>
          <w:u w:val="single"/>
        </w:rPr>
      </w:pPr>
    </w:p>
    <w:p w:rsidR="00F36721" w:rsidRDefault="00F36721" w:rsidP="00F36721">
      <w:pPr>
        <w:contextualSpacing/>
        <w:rPr>
          <w:rFonts w:ascii="Microsoft Sans Serif"/>
          <w:b/>
          <w:u w:val="single"/>
        </w:rPr>
      </w:pPr>
    </w:p>
    <w:p w:rsidR="00F36721" w:rsidRPr="009534E7" w:rsidRDefault="00F36721" w:rsidP="00F36721">
      <w:pPr>
        <w:contextualSpacing/>
        <w:rPr>
          <w:rFonts w:ascii="Microsoft Sans Serif"/>
          <w:b/>
          <w:u w:val="single"/>
        </w:rPr>
        <w:sectPr w:rsidR="00F36721" w:rsidRPr="009534E7" w:rsidSect="000C0B5A">
          <w:footerReference w:type="default" r:id="rId10"/>
          <w:pgSz w:w="12240" w:h="15840"/>
          <w:pgMar w:top="720" w:right="576" w:bottom="432" w:left="576" w:header="720" w:footer="720" w:gutter="0"/>
          <w:cols w:space="720"/>
          <w:docGrid w:linePitch="360"/>
        </w:sectPr>
      </w:pPr>
      <w:r w:rsidRPr="009534E7">
        <w:rPr>
          <w:rFonts w:ascii="Microsoft Sans Serif"/>
          <w:b/>
          <w:u w:val="single"/>
        </w:rPr>
        <w:cr/>
      </w:r>
    </w:p>
    <w:p w:rsidR="00F36721" w:rsidRPr="009534E7" w:rsidRDefault="00F36721" w:rsidP="00F36721">
      <w:pPr>
        <w:contextualSpacing/>
        <w:rPr>
          <w:rFonts w:ascii="Microsoft Sans Serif"/>
          <w:i/>
        </w:rPr>
      </w:pPr>
      <w:r w:rsidRPr="009534E7">
        <w:rPr>
          <w:rFonts w:ascii="Microsoft Sans Serif"/>
        </w:rPr>
        <w:lastRenderedPageBreak/>
        <w:t>JOHN L MUNSCH ESQUIRE</w:t>
      </w:r>
      <w:r w:rsidRPr="009534E7">
        <w:rPr>
          <w:rFonts w:ascii="Microsoft Sans Serif"/>
        </w:rPr>
        <w:cr/>
        <w:t>FIRST ENERGY CORP</w:t>
      </w:r>
      <w:r w:rsidRPr="009534E7">
        <w:rPr>
          <w:rFonts w:ascii="Microsoft Sans Serif"/>
        </w:rPr>
        <w:cr/>
        <w:t>800 CABIN HILL DRIVE</w:t>
      </w:r>
      <w:r w:rsidRPr="009534E7">
        <w:rPr>
          <w:rFonts w:ascii="Microsoft Sans Serif"/>
        </w:rPr>
        <w:cr/>
        <w:t>GREENSBURG PA  15601</w:t>
      </w:r>
      <w:r w:rsidRPr="009534E7">
        <w:rPr>
          <w:rFonts w:ascii="Microsoft Sans Serif"/>
        </w:rPr>
        <w:cr/>
      </w:r>
      <w:r w:rsidRPr="009534E7">
        <w:rPr>
          <w:rFonts w:ascii="Microsoft Sans Serif"/>
          <w:b/>
        </w:rPr>
        <w:t>724.838.6210</w:t>
      </w:r>
      <w:r w:rsidRPr="009534E7">
        <w:rPr>
          <w:rFonts w:ascii="Microsoft Sans Serif"/>
          <w:b/>
          <w:u w:val="single"/>
        </w:rPr>
        <w:cr/>
      </w:r>
      <w:r w:rsidRPr="00F36721">
        <w:rPr>
          <w:rFonts w:ascii="Microsoft Sans Serif"/>
          <w:b/>
          <w:i/>
          <w:u w:val="single"/>
        </w:rPr>
        <w:t>Accepts E-service</w:t>
      </w:r>
    </w:p>
    <w:p w:rsidR="00F36721" w:rsidRPr="009534E7" w:rsidRDefault="00F36721" w:rsidP="00F36721">
      <w:pPr>
        <w:contextualSpacing/>
        <w:rPr>
          <w:rFonts w:ascii="Microsoft Sans Serif"/>
          <w:b/>
        </w:rPr>
      </w:pPr>
      <w:r w:rsidRPr="009534E7">
        <w:rPr>
          <w:rFonts w:ascii="Microsoft Sans Serif"/>
          <w:i/>
        </w:rPr>
        <w:t>Representing Metropolitan Edison Company</w:t>
      </w:r>
      <w:r w:rsidRPr="009534E7">
        <w:rPr>
          <w:rFonts w:ascii="Microsoft Sans Serif"/>
          <w:i/>
        </w:rPr>
        <w:cr/>
      </w:r>
      <w:r w:rsidRPr="009534E7">
        <w:rPr>
          <w:rFonts w:ascii="Microsoft Sans Serif"/>
        </w:rPr>
        <w:cr/>
        <w:t>ANTHONY C DECUSATIS ESQUIRE</w:t>
      </w:r>
      <w:r w:rsidRPr="009534E7">
        <w:rPr>
          <w:rFonts w:ascii="Microsoft Sans Serif"/>
        </w:rPr>
        <w:cr/>
        <w:t>MORGAN LEWIS &amp; BOCKIUS LLP</w:t>
      </w:r>
      <w:r w:rsidRPr="009534E7">
        <w:rPr>
          <w:rFonts w:ascii="Microsoft Sans Serif"/>
        </w:rPr>
        <w:cr/>
        <w:t>1701 MARKET STREET</w:t>
      </w:r>
      <w:r w:rsidRPr="009534E7">
        <w:rPr>
          <w:rFonts w:ascii="Microsoft Sans Serif"/>
        </w:rPr>
        <w:cr/>
        <w:t>PHILADELPHIA PA  19103-2921</w:t>
      </w:r>
      <w:r w:rsidRPr="009534E7">
        <w:rPr>
          <w:rFonts w:ascii="Microsoft Sans Serif"/>
        </w:rPr>
        <w:cr/>
      </w:r>
      <w:r w:rsidRPr="009534E7">
        <w:rPr>
          <w:rFonts w:ascii="Microsoft Sans Serif"/>
          <w:b/>
        </w:rPr>
        <w:t>215.963.5034</w:t>
      </w:r>
      <w:r w:rsidRPr="009534E7">
        <w:rPr>
          <w:rFonts w:ascii="Microsoft Sans Serif"/>
          <w:b/>
        </w:rPr>
        <w:cr/>
      </w:r>
      <w:r w:rsidRPr="00F36721">
        <w:rPr>
          <w:rFonts w:ascii="Microsoft Sans Serif"/>
          <w:b/>
          <w:i/>
          <w:u w:val="single"/>
        </w:rPr>
        <w:t>Accepts E-service</w:t>
      </w:r>
    </w:p>
    <w:p w:rsidR="00F36721" w:rsidRPr="009534E7" w:rsidRDefault="00F36721" w:rsidP="00F36721">
      <w:pPr>
        <w:contextualSpacing/>
        <w:rPr>
          <w:rFonts w:ascii="Microsoft Sans Serif"/>
          <w:b/>
        </w:rPr>
      </w:pPr>
      <w:r w:rsidRPr="009534E7">
        <w:rPr>
          <w:rFonts w:ascii="Microsoft Sans Serif"/>
          <w:i/>
        </w:rPr>
        <w:t xml:space="preserve">Representing Metropolitan Edison Company </w:t>
      </w:r>
      <w:r w:rsidRPr="009534E7">
        <w:rPr>
          <w:rFonts w:ascii="Microsoft Sans Serif"/>
          <w:i/>
        </w:rPr>
        <w:cr/>
      </w:r>
    </w:p>
    <w:p w:rsidR="00F36721" w:rsidRPr="009534E7" w:rsidRDefault="00F36721" w:rsidP="00F36721">
      <w:pPr>
        <w:contextualSpacing/>
        <w:rPr>
          <w:rFonts w:ascii="Microsoft Sans Serif"/>
        </w:rPr>
      </w:pPr>
      <w:r w:rsidRPr="009534E7">
        <w:rPr>
          <w:rFonts w:ascii="Microsoft Sans Serif"/>
        </w:rPr>
        <w:t>DARRYL A LAWRENCE ESQUIRE</w:t>
      </w:r>
    </w:p>
    <w:p w:rsidR="00F36721" w:rsidRPr="009534E7" w:rsidRDefault="00F36721" w:rsidP="00F36721">
      <w:pPr>
        <w:contextualSpacing/>
        <w:rPr>
          <w:rFonts w:ascii="Microsoft Sans Serif"/>
        </w:rPr>
      </w:pPr>
      <w:r w:rsidRPr="009534E7">
        <w:rPr>
          <w:rFonts w:ascii="Microsoft Sans Serif"/>
        </w:rPr>
        <w:t>ERIN L GANNON ESQUIRE</w:t>
      </w:r>
    </w:p>
    <w:p w:rsidR="00F36721" w:rsidRPr="009534E7" w:rsidRDefault="00F36721" w:rsidP="00F36721">
      <w:pPr>
        <w:contextualSpacing/>
        <w:rPr>
          <w:rFonts w:ascii="Microsoft Sans Serif"/>
          <w:b/>
        </w:rPr>
      </w:pPr>
      <w:r w:rsidRPr="009534E7">
        <w:rPr>
          <w:rFonts w:ascii="Microsoft Sans Serif"/>
        </w:rPr>
        <w:t>OFFICE OF CONSUMER ADVOCATE</w:t>
      </w:r>
      <w:r w:rsidRPr="009534E7">
        <w:rPr>
          <w:rFonts w:ascii="Microsoft Sans Serif"/>
        </w:rPr>
        <w:cr/>
        <w:t xml:space="preserve">555 WALNUT STREET 5TH </w:t>
      </w:r>
      <w:proofErr w:type="gramStart"/>
      <w:r w:rsidRPr="009534E7">
        <w:rPr>
          <w:rFonts w:ascii="Microsoft Sans Serif"/>
        </w:rPr>
        <w:t>FLOOR</w:t>
      </w:r>
      <w:proofErr w:type="gramEnd"/>
      <w:r w:rsidRPr="009534E7">
        <w:rPr>
          <w:rFonts w:ascii="Microsoft Sans Serif"/>
        </w:rPr>
        <w:cr/>
        <w:t>FORUM PLACE</w:t>
      </w:r>
      <w:r w:rsidRPr="009534E7">
        <w:rPr>
          <w:rFonts w:ascii="Microsoft Sans Serif"/>
        </w:rPr>
        <w:cr/>
        <w:t>HARRISBURG PA  17101</w:t>
      </w:r>
      <w:r w:rsidRPr="009534E7">
        <w:rPr>
          <w:rFonts w:ascii="Microsoft Sans Serif"/>
        </w:rPr>
        <w:cr/>
      </w:r>
      <w:r w:rsidRPr="009534E7">
        <w:rPr>
          <w:rFonts w:ascii="Microsoft Sans Serif"/>
          <w:b/>
        </w:rPr>
        <w:t>717.783.5048</w:t>
      </w:r>
    </w:p>
    <w:p w:rsidR="00F36721" w:rsidRPr="00F36721" w:rsidRDefault="00F36721" w:rsidP="00F36721">
      <w:pPr>
        <w:contextualSpacing/>
        <w:rPr>
          <w:rFonts w:ascii="Microsoft Sans Serif"/>
          <w:b/>
          <w:i/>
          <w:u w:val="single"/>
        </w:rPr>
      </w:pPr>
      <w:r w:rsidRPr="00F36721">
        <w:rPr>
          <w:rFonts w:ascii="Microsoft Sans Serif"/>
          <w:b/>
          <w:i/>
          <w:u w:val="single"/>
        </w:rPr>
        <w:t>Accepts E-service</w:t>
      </w:r>
    </w:p>
    <w:p w:rsidR="00F36721" w:rsidRPr="009534E7" w:rsidRDefault="00F36721" w:rsidP="00F36721">
      <w:pPr>
        <w:contextualSpacing/>
        <w:rPr>
          <w:rFonts w:ascii="Microsoft Sans Serif"/>
          <w:i/>
        </w:rPr>
      </w:pPr>
      <w:r w:rsidRPr="009534E7">
        <w:rPr>
          <w:rFonts w:ascii="Microsoft Sans Serif"/>
          <w:i/>
        </w:rPr>
        <w:t>Representing Office of Consumer Advocate</w:t>
      </w:r>
    </w:p>
    <w:p w:rsidR="00F36721" w:rsidRPr="009534E7" w:rsidRDefault="00F36721" w:rsidP="00F36721">
      <w:pPr>
        <w:contextualSpacing/>
        <w:rPr>
          <w:rFonts w:ascii="Microsoft Sans Serif"/>
          <w:b/>
        </w:rPr>
      </w:pPr>
      <w:r w:rsidRPr="00260C34">
        <w:rPr>
          <w:rFonts w:ascii="Microsoft Sans Serif"/>
          <w:b/>
        </w:rPr>
        <w:t>C-2016-2531040</w:t>
      </w:r>
      <w:r>
        <w:rPr>
          <w:rFonts w:ascii="Microsoft Sans Serif"/>
          <w:b/>
        </w:rPr>
        <w:t xml:space="preserve"> </w:t>
      </w:r>
      <w:r w:rsidRPr="00260C34">
        <w:rPr>
          <w:rFonts w:ascii="Microsoft Sans Serif"/>
          <w:i/>
        </w:rPr>
        <w:t>Metropolitan Edison Company</w:t>
      </w:r>
    </w:p>
    <w:p w:rsidR="00F36721" w:rsidRPr="009534E7" w:rsidRDefault="00F36721" w:rsidP="00F36721">
      <w:pPr>
        <w:contextualSpacing/>
        <w:rPr>
          <w:rFonts w:ascii="Microsoft Sans Serif"/>
          <w:b/>
        </w:rPr>
      </w:pPr>
      <w:r w:rsidRPr="009534E7">
        <w:rPr>
          <w:rFonts w:ascii="Microsoft Sans Serif"/>
        </w:rPr>
        <w:cr/>
        <w:t>DANIEL G ASMUS ESQUIRE</w:t>
      </w:r>
      <w:r w:rsidRPr="009534E7">
        <w:rPr>
          <w:rFonts w:ascii="Microsoft Sans Serif"/>
        </w:rPr>
        <w:cr/>
        <w:t>OFFICE OF SMALL BUSINESS ADVOCATE</w:t>
      </w:r>
      <w:r w:rsidRPr="009534E7">
        <w:rPr>
          <w:rFonts w:ascii="Microsoft Sans Serif"/>
        </w:rPr>
        <w:cr/>
        <w:t>300 NORTH SECOND STREET SUITE 202</w:t>
      </w:r>
      <w:r w:rsidRPr="009534E7">
        <w:rPr>
          <w:rFonts w:ascii="Microsoft Sans Serif"/>
        </w:rPr>
        <w:cr/>
        <w:t>HARRISBURG PA  17101</w:t>
      </w:r>
      <w:r w:rsidRPr="009534E7">
        <w:rPr>
          <w:rFonts w:ascii="Microsoft Sans Serif"/>
        </w:rPr>
        <w:cr/>
      </w:r>
      <w:r w:rsidRPr="009534E7">
        <w:rPr>
          <w:rFonts w:ascii="Microsoft Sans Serif"/>
          <w:b/>
        </w:rPr>
        <w:t>717.783.2525</w:t>
      </w:r>
    </w:p>
    <w:p w:rsidR="00F36721" w:rsidRPr="009534E7" w:rsidRDefault="00F36721" w:rsidP="00F36721">
      <w:pPr>
        <w:contextualSpacing/>
        <w:rPr>
          <w:rFonts w:ascii="Microsoft Sans Serif"/>
          <w:i/>
        </w:rPr>
      </w:pPr>
      <w:r w:rsidRPr="009534E7">
        <w:rPr>
          <w:rFonts w:ascii="Microsoft Sans Serif"/>
          <w:i/>
        </w:rPr>
        <w:t>Representing Office of Small Business Advocate</w:t>
      </w:r>
      <w:r w:rsidRPr="009534E7">
        <w:rPr>
          <w:rFonts w:ascii="Microsoft Sans Serif"/>
          <w:i/>
        </w:rPr>
        <w:cr/>
      </w:r>
    </w:p>
    <w:p w:rsidR="00F36721" w:rsidRPr="009534E7" w:rsidRDefault="00F36721" w:rsidP="00F36721">
      <w:pPr>
        <w:contextualSpacing/>
        <w:rPr>
          <w:rFonts w:ascii="Microsoft Sans Serif"/>
        </w:rPr>
      </w:pPr>
      <w:r w:rsidRPr="009534E7">
        <w:rPr>
          <w:rFonts w:ascii="Microsoft Sans Serif"/>
        </w:rPr>
        <w:t>CHARIS MINCAVAGE ESQUIRE</w:t>
      </w:r>
    </w:p>
    <w:p w:rsidR="00F36721" w:rsidRPr="009534E7" w:rsidRDefault="00F36721" w:rsidP="00F36721">
      <w:pPr>
        <w:contextualSpacing/>
        <w:rPr>
          <w:rFonts w:ascii="Microsoft Sans Serif"/>
        </w:rPr>
      </w:pPr>
      <w:r w:rsidRPr="009534E7">
        <w:rPr>
          <w:rFonts w:ascii="Microsoft Sans Serif"/>
        </w:rPr>
        <w:t>ALESSANDRA L HYLANDER ESQUIRE</w:t>
      </w:r>
    </w:p>
    <w:p w:rsidR="00F36721" w:rsidRPr="009534E7" w:rsidRDefault="00F36721" w:rsidP="00F36721">
      <w:pPr>
        <w:contextualSpacing/>
        <w:rPr>
          <w:rFonts w:ascii="Microsoft Sans Serif"/>
          <w:i/>
        </w:rPr>
      </w:pPr>
      <w:r w:rsidRPr="009534E7">
        <w:rPr>
          <w:rFonts w:ascii="Microsoft Sans Serif"/>
        </w:rPr>
        <w:t>MCNEES WALLACE &amp; NURICK LLC</w:t>
      </w:r>
      <w:r w:rsidRPr="009534E7">
        <w:rPr>
          <w:rFonts w:ascii="Microsoft Sans Serif"/>
        </w:rPr>
        <w:cr/>
        <w:t>100 PINE STREET</w:t>
      </w:r>
      <w:r w:rsidRPr="009534E7">
        <w:rPr>
          <w:rFonts w:ascii="Microsoft Sans Serif"/>
        </w:rPr>
        <w:cr/>
        <w:t>P O BOX 1166</w:t>
      </w:r>
      <w:r w:rsidRPr="009534E7">
        <w:rPr>
          <w:rFonts w:ascii="Microsoft Sans Serif"/>
        </w:rPr>
        <w:cr/>
        <w:t>HARRISBURG PA  17108-1166</w:t>
      </w:r>
      <w:r w:rsidRPr="009534E7">
        <w:rPr>
          <w:rFonts w:ascii="Microsoft Sans Serif"/>
        </w:rPr>
        <w:cr/>
      </w:r>
      <w:r w:rsidRPr="009534E7">
        <w:rPr>
          <w:rFonts w:ascii="Microsoft Sans Serif"/>
          <w:b/>
        </w:rPr>
        <w:t>717.232.8000</w:t>
      </w:r>
      <w:r w:rsidRPr="009534E7">
        <w:rPr>
          <w:rFonts w:ascii="Microsoft Sans Serif"/>
          <w:i/>
        </w:rPr>
        <w:t xml:space="preserve"> </w:t>
      </w:r>
    </w:p>
    <w:p w:rsidR="00F36721" w:rsidRPr="00F36721" w:rsidRDefault="00F36721" w:rsidP="00F36721">
      <w:pPr>
        <w:contextualSpacing/>
        <w:rPr>
          <w:rFonts w:ascii="Microsoft Sans Serif"/>
          <w:b/>
          <w:i/>
          <w:u w:val="single"/>
        </w:rPr>
      </w:pPr>
      <w:r w:rsidRPr="00F36721">
        <w:rPr>
          <w:rFonts w:ascii="Microsoft Sans Serif"/>
          <w:b/>
          <w:i/>
          <w:u w:val="single"/>
        </w:rPr>
        <w:t>Accepts E-service</w:t>
      </w:r>
      <w:bookmarkStart w:id="0" w:name="_GoBack"/>
      <w:bookmarkEnd w:id="0"/>
    </w:p>
    <w:p w:rsidR="00F36721" w:rsidRPr="008403CA" w:rsidRDefault="00F36721" w:rsidP="00F36721">
      <w:pPr>
        <w:contextualSpacing/>
        <w:rPr>
          <w:rFonts w:ascii="Microsoft Sans Serif"/>
        </w:rPr>
      </w:pPr>
      <w:r w:rsidRPr="009534E7">
        <w:rPr>
          <w:rFonts w:ascii="Microsoft Sans Serif"/>
          <w:i/>
        </w:rPr>
        <w:t>Representing MEIUG</w:t>
      </w:r>
    </w:p>
    <w:p w:rsidR="00F36721" w:rsidRPr="008403CA" w:rsidRDefault="00F36721" w:rsidP="00F36721">
      <w:pPr>
        <w:contextualSpacing/>
        <w:rPr>
          <w:rFonts w:ascii="Microsoft Sans Serif"/>
        </w:rPr>
      </w:pPr>
    </w:p>
    <w:sectPr w:rsidR="00F36721" w:rsidRPr="008403CA" w:rsidSect="000C0B5A">
      <w:type w:val="continuous"/>
      <w:pgSz w:w="12240" w:h="15840"/>
      <w:pgMar w:top="720" w:right="576" w:bottom="432" w:left="576"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2B0" w:rsidRDefault="002B12B0">
      <w:r>
        <w:separator/>
      </w:r>
    </w:p>
  </w:endnote>
  <w:endnote w:type="continuationSeparator" w:id="0">
    <w:p w:rsidR="002B12B0" w:rsidRDefault="002B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606217"/>
      <w:docPartObj>
        <w:docPartGallery w:val="Page Numbers (Bottom of Page)"/>
        <w:docPartUnique/>
      </w:docPartObj>
    </w:sdtPr>
    <w:sdtEndPr>
      <w:rPr>
        <w:noProof/>
      </w:rPr>
    </w:sdtEndPr>
    <w:sdtContent>
      <w:p w:rsidR="00F277CF" w:rsidRDefault="00F277CF">
        <w:pPr>
          <w:pStyle w:val="Footer"/>
          <w:jc w:val="center"/>
        </w:pPr>
        <w:r w:rsidRPr="00F36721">
          <w:rPr>
            <w:sz w:val="20"/>
            <w:szCs w:val="20"/>
          </w:rPr>
          <w:fldChar w:fldCharType="begin"/>
        </w:r>
        <w:r w:rsidRPr="00F36721">
          <w:rPr>
            <w:sz w:val="20"/>
            <w:szCs w:val="20"/>
          </w:rPr>
          <w:instrText xml:space="preserve"> PAGE   \* MERGEFORMAT </w:instrText>
        </w:r>
        <w:r w:rsidRPr="00F36721">
          <w:rPr>
            <w:sz w:val="20"/>
            <w:szCs w:val="20"/>
          </w:rPr>
          <w:fldChar w:fldCharType="separate"/>
        </w:r>
        <w:r w:rsidR="00F36721">
          <w:rPr>
            <w:noProof/>
            <w:sz w:val="20"/>
            <w:szCs w:val="20"/>
          </w:rPr>
          <w:t>2</w:t>
        </w:r>
        <w:r w:rsidRPr="00F36721">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721" w:rsidRDefault="00F3672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2B0" w:rsidRDefault="002B12B0">
      <w:r>
        <w:separator/>
      </w:r>
    </w:p>
  </w:footnote>
  <w:footnote w:type="continuationSeparator" w:id="0">
    <w:p w:rsidR="002B12B0" w:rsidRDefault="002B1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1"/>
  </w:num>
  <w:num w:numId="3">
    <w:abstractNumId w:val="2"/>
  </w:num>
  <w:num w:numId="4">
    <w:abstractNumId w:val="21"/>
  </w:num>
  <w:num w:numId="5">
    <w:abstractNumId w:val="6"/>
  </w:num>
  <w:num w:numId="6">
    <w:abstractNumId w:val="26"/>
  </w:num>
  <w:num w:numId="7">
    <w:abstractNumId w:val="1"/>
  </w:num>
  <w:num w:numId="8">
    <w:abstractNumId w:val="16"/>
  </w:num>
  <w:num w:numId="9">
    <w:abstractNumId w:val="10"/>
  </w:num>
  <w:num w:numId="10">
    <w:abstractNumId w:val="25"/>
  </w:num>
  <w:num w:numId="11">
    <w:abstractNumId w:val="19"/>
  </w:num>
  <w:num w:numId="12">
    <w:abstractNumId w:val="8"/>
  </w:num>
  <w:num w:numId="13">
    <w:abstractNumId w:val="18"/>
  </w:num>
  <w:num w:numId="14">
    <w:abstractNumId w:val="0"/>
  </w:num>
  <w:num w:numId="15">
    <w:abstractNumId w:val="20"/>
  </w:num>
  <w:num w:numId="16">
    <w:abstractNumId w:val="13"/>
  </w:num>
  <w:num w:numId="17">
    <w:abstractNumId w:val="15"/>
  </w:num>
  <w:num w:numId="18">
    <w:abstractNumId w:val="7"/>
  </w:num>
  <w:num w:numId="19">
    <w:abstractNumId w:val="17"/>
  </w:num>
  <w:num w:numId="20">
    <w:abstractNumId w:val="3"/>
  </w:num>
  <w:num w:numId="21">
    <w:abstractNumId w:val="23"/>
  </w:num>
  <w:num w:numId="22">
    <w:abstractNumId w:val="9"/>
  </w:num>
  <w:num w:numId="23">
    <w:abstractNumId w:val="2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53F8"/>
    <w:rsid w:val="00030815"/>
    <w:rsid w:val="00031CED"/>
    <w:rsid w:val="00032584"/>
    <w:rsid w:val="00033858"/>
    <w:rsid w:val="00034D64"/>
    <w:rsid w:val="00037E8B"/>
    <w:rsid w:val="00040542"/>
    <w:rsid w:val="000447F9"/>
    <w:rsid w:val="00045479"/>
    <w:rsid w:val="00050489"/>
    <w:rsid w:val="00050AF1"/>
    <w:rsid w:val="000515DA"/>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2274"/>
    <w:rsid w:val="0009371E"/>
    <w:rsid w:val="000A1610"/>
    <w:rsid w:val="000A1D7C"/>
    <w:rsid w:val="000A248E"/>
    <w:rsid w:val="000A74A8"/>
    <w:rsid w:val="000B07F1"/>
    <w:rsid w:val="000B1BCC"/>
    <w:rsid w:val="000B27E2"/>
    <w:rsid w:val="000B2BD1"/>
    <w:rsid w:val="000B6D6C"/>
    <w:rsid w:val="000C3A73"/>
    <w:rsid w:val="000C5271"/>
    <w:rsid w:val="000C541F"/>
    <w:rsid w:val="000C5888"/>
    <w:rsid w:val="000D04DF"/>
    <w:rsid w:val="000D2CCA"/>
    <w:rsid w:val="000D3CEC"/>
    <w:rsid w:val="000D4032"/>
    <w:rsid w:val="000D67B4"/>
    <w:rsid w:val="000D6D75"/>
    <w:rsid w:val="000E133E"/>
    <w:rsid w:val="000E2E49"/>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0896"/>
    <w:rsid w:val="00131711"/>
    <w:rsid w:val="00132928"/>
    <w:rsid w:val="00133F23"/>
    <w:rsid w:val="0013576E"/>
    <w:rsid w:val="00135EAF"/>
    <w:rsid w:val="0013770C"/>
    <w:rsid w:val="001377E9"/>
    <w:rsid w:val="00140883"/>
    <w:rsid w:val="00141DCE"/>
    <w:rsid w:val="00142EE0"/>
    <w:rsid w:val="00143290"/>
    <w:rsid w:val="001441F9"/>
    <w:rsid w:val="00144EB5"/>
    <w:rsid w:val="00151E42"/>
    <w:rsid w:val="00153529"/>
    <w:rsid w:val="001547B2"/>
    <w:rsid w:val="00160F45"/>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B596F"/>
    <w:rsid w:val="001B6119"/>
    <w:rsid w:val="001B7656"/>
    <w:rsid w:val="001C23B6"/>
    <w:rsid w:val="001C3077"/>
    <w:rsid w:val="001C4B7B"/>
    <w:rsid w:val="001C7376"/>
    <w:rsid w:val="001C7DC7"/>
    <w:rsid w:val="001C7E2F"/>
    <w:rsid w:val="001D0606"/>
    <w:rsid w:val="001D1D69"/>
    <w:rsid w:val="001D3170"/>
    <w:rsid w:val="001D36BC"/>
    <w:rsid w:val="001D3DDB"/>
    <w:rsid w:val="001D48D9"/>
    <w:rsid w:val="001D5FA3"/>
    <w:rsid w:val="001E0583"/>
    <w:rsid w:val="001E1EC3"/>
    <w:rsid w:val="001E1EE6"/>
    <w:rsid w:val="001E41F1"/>
    <w:rsid w:val="001E719E"/>
    <w:rsid w:val="001E755C"/>
    <w:rsid w:val="001F24B7"/>
    <w:rsid w:val="001F3D60"/>
    <w:rsid w:val="001F59C0"/>
    <w:rsid w:val="0020025C"/>
    <w:rsid w:val="00201F77"/>
    <w:rsid w:val="002026C5"/>
    <w:rsid w:val="002069A1"/>
    <w:rsid w:val="002076C1"/>
    <w:rsid w:val="00212459"/>
    <w:rsid w:val="0021277F"/>
    <w:rsid w:val="002164E5"/>
    <w:rsid w:val="00217594"/>
    <w:rsid w:val="0022079A"/>
    <w:rsid w:val="0022121D"/>
    <w:rsid w:val="00223B03"/>
    <w:rsid w:val="00224765"/>
    <w:rsid w:val="002251CE"/>
    <w:rsid w:val="00226DA2"/>
    <w:rsid w:val="0023008A"/>
    <w:rsid w:val="002360E7"/>
    <w:rsid w:val="00240576"/>
    <w:rsid w:val="0024075E"/>
    <w:rsid w:val="0024311B"/>
    <w:rsid w:val="00245DFC"/>
    <w:rsid w:val="002508B3"/>
    <w:rsid w:val="002515EF"/>
    <w:rsid w:val="0025216C"/>
    <w:rsid w:val="00252F51"/>
    <w:rsid w:val="00253AE5"/>
    <w:rsid w:val="0025436A"/>
    <w:rsid w:val="00262D22"/>
    <w:rsid w:val="0026329B"/>
    <w:rsid w:val="002636A2"/>
    <w:rsid w:val="00266583"/>
    <w:rsid w:val="0027269F"/>
    <w:rsid w:val="002744CA"/>
    <w:rsid w:val="00276158"/>
    <w:rsid w:val="002825EF"/>
    <w:rsid w:val="00284DC6"/>
    <w:rsid w:val="002860B7"/>
    <w:rsid w:val="002872AD"/>
    <w:rsid w:val="00291D9A"/>
    <w:rsid w:val="002967E5"/>
    <w:rsid w:val="002A5872"/>
    <w:rsid w:val="002A5F90"/>
    <w:rsid w:val="002A6146"/>
    <w:rsid w:val="002A6540"/>
    <w:rsid w:val="002B04F4"/>
    <w:rsid w:val="002B12B0"/>
    <w:rsid w:val="002B1DB7"/>
    <w:rsid w:val="002B4065"/>
    <w:rsid w:val="002B5A65"/>
    <w:rsid w:val="002C06C1"/>
    <w:rsid w:val="002C13F5"/>
    <w:rsid w:val="002C2C4E"/>
    <w:rsid w:val="002C32C8"/>
    <w:rsid w:val="002C370F"/>
    <w:rsid w:val="002C40FB"/>
    <w:rsid w:val="002C5465"/>
    <w:rsid w:val="002C66E9"/>
    <w:rsid w:val="002C74FB"/>
    <w:rsid w:val="002D275A"/>
    <w:rsid w:val="002D6D1C"/>
    <w:rsid w:val="002E04C4"/>
    <w:rsid w:val="002E2B8A"/>
    <w:rsid w:val="002E4F5F"/>
    <w:rsid w:val="002E5F7E"/>
    <w:rsid w:val="002E64EF"/>
    <w:rsid w:val="002E76DB"/>
    <w:rsid w:val="002F05AF"/>
    <w:rsid w:val="002F61D3"/>
    <w:rsid w:val="003038D5"/>
    <w:rsid w:val="00304A73"/>
    <w:rsid w:val="003123AF"/>
    <w:rsid w:val="00312F22"/>
    <w:rsid w:val="00316851"/>
    <w:rsid w:val="00316B8A"/>
    <w:rsid w:val="00317051"/>
    <w:rsid w:val="00321207"/>
    <w:rsid w:val="003234C9"/>
    <w:rsid w:val="00324740"/>
    <w:rsid w:val="00325C82"/>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2DFA"/>
    <w:rsid w:val="00374FE0"/>
    <w:rsid w:val="0037679C"/>
    <w:rsid w:val="0037752B"/>
    <w:rsid w:val="00380135"/>
    <w:rsid w:val="003828F7"/>
    <w:rsid w:val="00386B3E"/>
    <w:rsid w:val="0039072F"/>
    <w:rsid w:val="0039566B"/>
    <w:rsid w:val="00396C68"/>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E04E8"/>
    <w:rsid w:val="003E112F"/>
    <w:rsid w:val="003E3839"/>
    <w:rsid w:val="003E44F8"/>
    <w:rsid w:val="003E5E54"/>
    <w:rsid w:val="003E6B39"/>
    <w:rsid w:val="003E7277"/>
    <w:rsid w:val="003F06E9"/>
    <w:rsid w:val="003F0F78"/>
    <w:rsid w:val="003F21D9"/>
    <w:rsid w:val="003F420A"/>
    <w:rsid w:val="003F49DD"/>
    <w:rsid w:val="003F68D9"/>
    <w:rsid w:val="003F6945"/>
    <w:rsid w:val="00402EB0"/>
    <w:rsid w:val="00404235"/>
    <w:rsid w:val="00407622"/>
    <w:rsid w:val="00410171"/>
    <w:rsid w:val="00413065"/>
    <w:rsid w:val="00414688"/>
    <w:rsid w:val="00415EAE"/>
    <w:rsid w:val="00421C2E"/>
    <w:rsid w:val="00423069"/>
    <w:rsid w:val="00427BB1"/>
    <w:rsid w:val="00430976"/>
    <w:rsid w:val="004327EC"/>
    <w:rsid w:val="00436D29"/>
    <w:rsid w:val="0044078D"/>
    <w:rsid w:val="004417F1"/>
    <w:rsid w:val="00444026"/>
    <w:rsid w:val="004441EB"/>
    <w:rsid w:val="00444E27"/>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9C5"/>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5753"/>
    <w:rsid w:val="004B66DA"/>
    <w:rsid w:val="004B73DA"/>
    <w:rsid w:val="004C0C8D"/>
    <w:rsid w:val="004C19EA"/>
    <w:rsid w:val="004C2457"/>
    <w:rsid w:val="004C3AC8"/>
    <w:rsid w:val="004C54A1"/>
    <w:rsid w:val="004C5959"/>
    <w:rsid w:val="004C5F5B"/>
    <w:rsid w:val="004D0F99"/>
    <w:rsid w:val="004D1B9A"/>
    <w:rsid w:val="004D3208"/>
    <w:rsid w:val="004D5C84"/>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09DD"/>
    <w:rsid w:val="0053143A"/>
    <w:rsid w:val="00531C6A"/>
    <w:rsid w:val="0053303C"/>
    <w:rsid w:val="00534A58"/>
    <w:rsid w:val="0053542E"/>
    <w:rsid w:val="00535728"/>
    <w:rsid w:val="00535B47"/>
    <w:rsid w:val="0054044D"/>
    <w:rsid w:val="00541FA5"/>
    <w:rsid w:val="005464B5"/>
    <w:rsid w:val="005470E2"/>
    <w:rsid w:val="00550B34"/>
    <w:rsid w:val="005534AB"/>
    <w:rsid w:val="00555AB2"/>
    <w:rsid w:val="0056090B"/>
    <w:rsid w:val="005614C7"/>
    <w:rsid w:val="00562740"/>
    <w:rsid w:val="0056328E"/>
    <w:rsid w:val="005636C3"/>
    <w:rsid w:val="00564A1C"/>
    <w:rsid w:val="00565DDE"/>
    <w:rsid w:val="0056671B"/>
    <w:rsid w:val="00566D50"/>
    <w:rsid w:val="0057157D"/>
    <w:rsid w:val="00572B68"/>
    <w:rsid w:val="00575E98"/>
    <w:rsid w:val="00577041"/>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481F"/>
    <w:rsid w:val="005A6A5B"/>
    <w:rsid w:val="005A6ACF"/>
    <w:rsid w:val="005B063C"/>
    <w:rsid w:val="005B49D8"/>
    <w:rsid w:val="005B6C33"/>
    <w:rsid w:val="005C038C"/>
    <w:rsid w:val="005C1B4B"/>
    <w:rsid w:val="005C363A"/>
    <w:rsid w:val="005C566D"/>
    <w:rsid w:val="005C6F69"/>
    <w:rsid w:val="005C7120"/>
    <w:rsid w:val="005D0602"/>
    <w:rsid w:val="005D092D"/>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14DD"/>
    <w:rsid w:val="006235A7"/>
    <w:rsid w:val="006238E3"/>
    <w:rsid w:val="0062545F"/>
    <w:rsid w:val="00626332"/>
    <w:rsid w:val="00627251"/>
    <w:rsid w:val="006273A0"/>
    <w:rsid w:val="00630789"/>
    <w:rsid w:val="006317FA"/>
    <w:rsid w:val="00634D85"/>
    <w:rsid w:val="00634E59"/>
    <w:rsid w:val="006373C8"/>
    <w:rsid w:val="006416F6"/>
    <w:rsid w:val="006427BE"/>
    <w:rsid w:val="00643063"/>
    <w:rsid w:val="00645312"/>
    <w:rsid w:val="00646D7E"/>
    <w:rsid w:val="0064719F"/>
    <w:rsid w:val="00647BB7"/>
    <w:rsid w:val="00651DC9"/>
    <w:rsid w:val="0065305A"/>
    <w:rsid w:val="00654BE4"/>
    <w:rsid w:val="00657239"/>
    <w:rsid w:val="00660F68"/>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54A1"/>
    <w:rsid w:val="006871DC"/>
    <w:rsid w:val="00687CAD"/>
    <w:rsid w:val="0069081F"/>
    <w:rsid w:val="00692DF8"/>
    <w:rsid w:val="006943C2"/>
    <w:rsid w:val="00694651"/>
    <w:rsid w:val="0069608E"/>
    <w:rsid w:val="0069608F"/>
    <w:rsid w:val="006A01EF"/>
    <w:rsid w:val="006A0D09"/>
    <w:rsid w:val="006A2304"/>
    <w:rsid w:val="006A45DF"/>
    <w:rsid w:val="006A4B8C"/>
    <w:rsid w:val="006A5824"/>
    <w:rsid w:val="006A7A0E"/>
    <w:rsid w:val="006B0982"/>
    <w:rsid w:val="006B0E4F"/>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2DE"/>
    <w:rsid w:val="006F1BFA"/>
    <w:rsid w:val="006F3A0C"/>
    <w:rsid w:val="006F74A6"/>
    <w:rsid w:val="006F77FC"/>
    <w:rsid w:val="006F7917"/>
    <w:rsid w:val="006F7FCB"/>
    <w:rsid w:val="00700291"/>
    <w:rsid w:val="00700B9E"/>
    <w:rsid w:val="00702513"/>
    <w:rsid w:val="00702A13"/>
    <w:rsid w:val="00702F46"/>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27840"/>
    <w:rsid w:val="007329FB"/>
    <w:rsid w:val="00735291"/>
    <w:rsid w:val="0074212A"/>
    <w:rsid w:val="00744362"/>
    <w:rsid w:val="00746EC7"/>
    <w:rsid w:val="00752614"/>
    <w:rsid w:val="00755A22"/>
    <w:rsid w:val="0075751F"/>
    <w:rsid w:val="00757D11"/>
    <w:rsid w:val="00761AAA"/>
    <w:rsid w:val="00763DA0"/>
    <w:rsid w:val="00764043"/>
    <w:rsid w:val="007653FA"/>
    <w:rsid w:val="00771158"/>
    <w:rsid w:val="00771201"/>
    <w:rsid w:val="00773E3C"/>
    <w:rsid w:val="00774975"/>
    <w:rsid w:val="00780958"/>
    <w:rsid w:val="00783F05"/>
    <w:rsid w:val="00784AE9"/>
    <w:rsid w:val="007853DD"/>
    <w:rsid w:val="007876C7"/>
    <w:rsid w:val="00787F5D"/>
    <w:rsid w:val="007945B3"/>
    <w:rsid w:val="007A68A4"/>
    <w:rsid w:val="007A6F35"/>
    <w:rsid w:val="007B135C"/>
    <w:rsid w:val="007B19DA"/>
    <w:rsid w:val="007B2C93"/>
    <w:rsid w:val="007B76C4"/>
    <w:rsid w:val="007B77F4"/>
    <w:rsid w:val="007C63F8"/>
    <w:rsid w:val="007C6559"/>
    <w:rsid w:val="007F19A5"/>
    <w:rsid w:val="007F24B0"/>
    <w:rsid w:val="007F2A67"/>
    <w:rsid w:val="007F2D04"/>
    <w:rsid w:val="007F2FFA"/>
    <w:rsid w:val="007F56AC"/>
    <w:rsid w:val="007F6BDD"/>
    <w:rsid w:val="007F6F2B"/>
    <w:rsid w:val="007F7EA4"/>
    <w:rsid w:val="00801014"/>
    <w:rsid w:val="008027C4"/>
    <w:rsid w:val="00802923"/>
    <w:rsid w:val="00804132"/>
    <w:rsid w:val="008044A3"/>
    <w:rsid w:val="008134CB"/>
    <w:rsid w:val="00816880"/>
    <w:rsid w:val="008179E0"/>
    <w:rsid w:val="00817C41"/>
    <w:rsid w:val="0082084D"/>
    <w:rsid w:val="00820EA8"/>
    <w:rsid w:val="008229D1"/>
    <w:rsid w:val="008253A9"/>
    <w:rsid w:val="00830CF6"/>
    <w:rsid w:val="00835657"/>
    <w:rsid w:val="0083648A"/>
    <w:rsid w:val="00836E8F"/>
    <w:rsid w:val="008373E6"/>
    <w:rsid w:val="008413F8"/>
    <w:rsid w:val="008426D4"/>
    <w:rsid w:val="00842C17"/>
    <w:rsid w:val="008438CF"/>
    <w:rsid w:val="00843D58"/>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3BF"/>
    <w:rsid w:val="0088262B"/>
    <w:rsid w:val="00883E39"/>
    <w:rsid w:val="00884C0B"/>
    <w:rsid w:val="00886427"/>
    <w:rsid w:val="008921ED"/>
    <w:rsid w:val="00894A7C"/>
    <w:rsid w:val="00897507"/>
    <w:rsid w:val="00897878"/>
    <w:rsid w:val="008A014D"/>
    <w:rsid w:val="008A048B"/>
    <w:rsid w:val="008A0C3C"/>
    <w:rsid w:val="008A1189"/>
    <w:rsid w:val="008A1BD7"/>
    <w:rsid w:val="008A28B8"/>
    <w:rsid w:val="008A6027"/>
    <w:rsid w:val="008A7776"/>
    <w:rsid w:val="008B038D"/>
    <w:rsid w:val="008B7C8A"/>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2C10"/>
    <w:rsid w:val="008E6D84"/>
    <w:rsid w:val="008E79BF"/>
    <w:rsid w:val="008F755E"/>
    <w:rsid w:val="009011DC"/>
    <w:rsid w:val="00906107"/>
    <w:rsid w:val="009065DB"/>
    <w:rsid w:val="00907551"/>
    <w:rsid w:val="009077F7"/>
    <w:rsid w:val="00907E93"/>
    <w:rsid w:val="0091132C"/>
    <w:rsid w:val="00913250"/>
    <w:rsid w:val="00916FE1"/>
    <w:rsid w:val="00922597"/>
    <w:rsid w:val="00923D4F"/>
    <w:rsid w:val="009242C7"/>
    <w:rsid w:val="00926832"/>
    <w:rsid w:val="00933A0A"/>
    <w:rsid w:val="009345B3"/>
    <w:rsid w:val="00935A17"/>
    <w:rsid w:val="00935C2E"/>
    <w:rsid w:val="00940C6A"/>
    <w:rsid w:val="009422A8"/>
    <w:rsid w:val="009435E2"/>
    <w:rsid w:val="0094648D"/>
    <w:rsid w:val="009479D5"/>
    <w:rsid w:val="009500DB"/>
    <w:rsid w:val="00951B5E"/>
    <w:rsid w:val="00951BBB"/>
    <w:rsid w:val="00952807"/>
    <w:rsid w:val="00957662"/>
    <w:rsid w:val="00960980"/>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71D9"/>
    <w:rsid w:val="009A15A9"/>
    <w:rsid w:val="009A1B67"/>
    <w:rsid w:val="009A241C"/>
    <w:rsid w:val="009A2760"/>
    <w:rsid w:val="009A5C5F"/>
    <w:rsid w:val="009B0651"/>
    <w:rsid w:val="009B3671"/>
    <w:rsid w:val="009B6079"/>
    <w:rsid w:val="009C228F"/>
    <w:rsid w:val="009C25F1"/>
    <w:rsid w:val="009C2A10"/>
    <w:rsid w:val="009C416F"/>
    <w:rsid w:val="009C44F8"/>
    <w:rsid w:val="009C5580"/>
    <w:rsid w:val="009D16D6"/>
    <w:rsid w:val="009D17D2"/>
    <w:rsid w:val="009D2069"/>
    <w:rsid w:val="009D2CC4"/>
    <w:rsid w:val="009D37EA"/>
    <w:rsid w:val="009D7DAC"/>
    <w:rsid w:val="009E1824"/>
    <w:rsid w:val="009E2517"/>
    <w:rsid w:val="009E3EFD"/>
    <w:rsid w:val="009E69D3"/>
    <w:rsid w:val="009F01F6"/>
    <w:rsid w:val="009F3023"/>
    <w:rsid w:val="009F3DEF"/>
    <w:rsid w:val="009F421F"/>
    <w:rsid w:val="009F57DD"/>
    <w:rsid w:val="009F5C90"/>
    <w:rsid w:val="009F6BF1"/>
    <w:rsid w:val="00A004FE"/>
    <w:rsid w:val="00A00899"/>
    <w:rsid w:val="00A050EC"/>
    <w:rsid w:val="00A06973"/>
    <w:rsid w:val="00A07A16"/>
    <w:rsid w:val="00A10AFA"/>
    <w:rsid w:val="00A17814"/>
    <w:rsid w:val="00A21C65"/>
    <w:rsid w:val="00A24EEC"/>
    <w:rsid w:val="00A30723"/>
    <w:rsid w:val="00A319FB"/>
    <w:rsid w:val="00A33DC1"/>
    <w:rsid w:val="00A372B7"/>
    <w:rsid w:val="00A4123B"/>
    <w:rsid w:val="00A414FB"/>
    <w:rsid w:val="00A43247"/>
    <w:rsid w:val="00A43DE8"/>
    <w:rsid w:val="00A442D1"/>
    <w:rsid w:val="00A452AA"/>
    <w:rsid w:val="00A45F35"/>
    <w:rsid w:val="00A543D6"/>
    <w:rsid w:val="00A545FB"/>
    <w:rsid w:val="00A54F8A"/>
    <w:rsid w:val="00A567CC"/>
    <w:rsid w:val="00A61874"/>
    <w:rsid w:val="00A62BBE"/>
    <w:rsid w:val="00A74AF3"/>
    <w:rsid w:val="00A76336"/>
    <w:rsid w:val="00A76480"/>
    <w:rsid w:val="00A77426"/>
    <w:rsid w:val="00A80EB1"/>
    <w:rsid w:val="00A81882"/>
    <w:rsid w:val="00A82D94"/>
    <w:rsid w:val="00A83C59"/>
    <w:rsid w:val="00A8749E"/>
    <w:rsid w:val="00A92373"/>
    <w:rsid w:val="00A93FB7"/>
    <w:rsid w:val="00A97FF2"/>
    <w:rsid w:val="00AA23B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0B77"/>
    <w:rsid w:val="00AD2E4C"/>
    <w:rsid w:val="00AD5D5B"/>
    <w:rsid w:val="00AD6AC6"/>
    <w:rsid w:val="00AE2015"/>
    <w:rsid w:val="00AE5112"/>
    <w:rsid w:val="00AE62D7"/>
    <w:rsid w:val="00AE7C1B"/>
    <w:rsid w:val="00AF43A3"/>
    <w:rsid w:val="00AF4DD8"/>
    <w:rsid w:val="00AF5EBD"/>
    <w:rsid w:val="00AF6655"/>
    <w:rsid w:val="00AF754F"/>
    <w:rsid w:val="00B01228"/>
    <w:rsid w:val="00B01460"/>
    <w:rsid w:val="00B0292A"/>
    <w:rsid w:val="00B02AF5"/>
    <w:rsid w:val="00B04A94"/>
    <w:rsid w:val="00B06110"/>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92F"/>
    <w:rsid w:val="00B25A1A"/>
    <w:rsid w:val="00B262EE"/>
    <w:rsid w:val="00B34D51"/>
    <w:rsid w:val="00B34DFE"/>
    <w:rsid w:val="00B356D9"/>
    <w:rsid w:val="00B42052"/>
    <w:rsid w:val="00B42143"/>
    <w:rsid w:val="00B4231E"/>
    <w:rsid w:val="00B4241D"/>
    <w:rsid w:val="00B428B5"/>
    <w:rsid w:val="00B44A3E"/>
    <w:rsid w:val="00B509AE"/>
    <w:rsid w:val="00B50F61"/>
    <w:rsid w:val="00B51C90"/>
    <w:rsid w:val="00B606E5"/>
    <w:rsid w:val="00B62154"/>
    <w:rsid w:val="00B6233D"/>
    <w:rsid w:val="00B63FE7"/>
    <w:rsid w:val="00B65A70"/>
    <w:rsid w:val="00B675B9"/>
    <w:rsid w:val="00B701AA"/>
    <w:rsid w:val="00B70E1E"/>
    <w:rsid w:val="00B715DC"/>
    <w:rsid w:val="00B73F8B"/>
    <w:rsid w:val="00B74492"/>
    <w:rsid w:val="00B7459D"/>
    <w:rsid w:val="00B75062"/>
    <w:rsid w:val="00B75E2D"/>
    <w:rsid w:val="00B76E4E"/>
    <w:rsid w:val="00B774CD"/>
    <w:rsid w:val="00B806F4"/>
    <w:rsid w:val="00B83324"/>
    <w:rsid w:val="00B8363B"/>
    <w:rsid w:val="00B84A99"/>
    <w:rsid w:val="00B852ED"/>
    <w:rsid w:val="00B85A59"/>
    <w:rsid w:val="00B87D27"/>
    <w:rsid w:val="00B87F4C"/>
    <w:rsid w:val="00B905A3"/>
    <w:rsid w:val="00B924E1"/>
    <w:rsid w:val="00B94C4B"/>
    <w:rsid w:val="00B9621C"/>
    <w:rsid w:val="00B97AB5"/>
    <w:rsid w:val="00BA0600"/>
    <w:rsid w:val="00BA156B"/>
    <w:rsid w:val="00BA19C5"/>
    <w:rsid w:val="00BA5156"/>
    <w:rsid w:val="00BA5877"/>
    <w:rsid w:val="00BA6995"/>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B8"/>
    <w:rsid w:val="00BE66DD"/>
    <w:rsid w:val="00BE726C"/>
    <w:rsid w:val="00BF25F0"/>
    <w:rsid w:val="00BF2A02"/>
    <w:rsid w:val="00BF3079"/>
    <w:rsid w:val="00BF341D"/>
    <w:rsid w:val="00BF3473"/>
    <w:rsid w:val="00BF36EB"/>
    <w:rsid w:val="00BF56BD"/>
    <w:rsid w:val="00BF5D32"/>
    <w:rsid w:val="00BF6876"/>
    <w:rsid w:val="00BF718F"/>
    <w:rsid w:val="00C0065E"/>
    <w:rsid w:val="00C0641C"/>
    <w:rsid w:val="00C101A9"/>
    <w:rsid w:val="00C119F0"/>
    <w:rsid w:val="00C12AD7"/>
    <w:rsid w:val="00C13C5A"/>
    <w:rsid w:val="00C160EF"/>
    <w:rsid w:val="00C16397"/>
    <w:rsid w:val="00C201CA"/>
    <w:rsid w:val="00C23D73"/>
    <w:rsid w:val="00C241A1"/>
    <w:rsid w:val="00C25DAB"/>
    <w:rsid w:val="00C27500"/>
    <w:rsid w:val="00C27ADF"/>
    <w:rsid w:val="00C306E8"/>
    <w:rsid w:val="00C33F0C"/>
    <w:rsid w:val="00C3576E"/>
    <w:rsid w:val="00C35956"/>
    <w:rsid w:val="00C36E27"/>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8733E"/>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4220"/>
    <w:rsid w:val="00CB42AB"/>
    <w:rsid w:val="00CB4DB1"/>
    <w:rsid w:val="00CB5996"/>
    <w:rsid w:val="00CB731C"/>
    <w:rsid w:val="00CB748F"/>
    <w:rsid w:val="00CC3542"/>
    <w:rsid w:val="00CC3879"/>
    <w:rsid w:val="00CD3D18"/>
    <w:rsid w:val="00CD604F"/>
    <w:rsid w:val="00CD68CE"/>
    <w:rsid w:val="00CE06A4"/>
    <w:rsid w:val="00CE08CE"/>
    <w:rsid w:val="00CE20E9"/>
    <w:rsid w:val="00CE3773"/>
    <w:rsid w:val="00CE6FC5"/>
    <w:rsid w:val="00CE701C"/>
    <w:rsid w:val="00CE7EE7"/>
    <w:rsid w:val="00CF0E33"/>
    <w:rsid w:val="00CF1A77"/>
    <w:rsid w:val="00CF2A61"/>
    <w:rsid w:val="00CF326B"/>
    <w:rsid w:val="00CF4362"/>
    <w:rsid w:val="00CF4490"/>
    <w:rsid w:val="00CF5705"/>
    <w:rsid w:val="00CF5A8F"/>
    <w:rsid w:val="00D00379"/>
    <w:rsid w:val="00D02279"/>
    <w:rsid w:val="00D03829"/>
    <w:rsid w:val="00D04FB2"/>
    <w:rsid w:val="00D0570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61AE"/>
    <w:rsid w:val="00D472AD"/>
    <w:rsid w:val="00D51B5E"/>
    <w:rsid w:val="00D55377"/>
    <w:rsid w:val="00D557D5"/>
    <w:rsid w:val="00D57E4B"/>
    <w:rsid w:val="00D601F0"/>
    <w:rsid w:val="00D626EC"/>
    <w:rsid w:val="00D62F2F"/>
    <w:rsid w:val="00D64F50"/>
    <w:rsid w:val="00D65D31"/>
    <w:rsid w:val="00D7167B"/>
    <w:rsid w:val="00D7215D"/>
    <w:rsid w:val="00D73519"/>
    <w:rsid w:val="00D73AE8"/>
    <w:rsid w:val="00D73E83"/>
    <w:rsid w:val="00D8090E"/>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7BD"/>
    <w:rsid w:val="00DC7C98"/>
    <w:rsid w:val="00DD04D4"/>
    <w:rsid w:val="00DD0CE4"/>
    <w:rsid w:val="00DD3D3E"/>
    <w:rsid w:val="00DD418E"/>
    <w:rsid w:val="00DD6A64"/>
    <w:rsid w:val="00DE09BF"/>
    <w:rsid w:val="00DE3721"/>
    <w:rsid w:val="00DF1668"/>
    <w:rsid w:val="00DF1BF4"/>
    <w:rsid w:val="00DF252A"/>
    <w:rsid w:val="00DF2742"/>
    <w:rsid w:val="00DF3A9C"/>
    <w:rsid w:val="00DF448C"/>
    <w:rsid w:val="00DF71A5"/>
    <w:rsid w:val="00E061D8"/>
    <w:rsid w:val="00E07EE4"/>
    <w:rsid w:val="00E14245"/>
    <w:rsid w:val="00E14396"/>
    <w:rsid w:val="00E1640E"/>
    <w:rsid w:val="00E20D55"/>
    <w:rsid w:val="00E21F02"/>
    <w:rsid w:val="00E22703"/>
    <w:rsid w:val="00E2272C"/>
    <w:rsid w:val="00E227DA"/>
    <w:rsid w:val="00E24228"/>
    <w:rsid w:val="00E24C47"/>
    <w:rsid w:val="00E25125"/>
    <w:rsid w:val="00E27B5F"/>
    <w:rsid w:val="00E32F69"/>
    <w:rsid w:val="00E346A1"/>
    <w:rsid w:val="00E40843"/>
    <w:rsid w:val="00E41299"/>
    <w:rsid w:val="00E445D8"/>
    <w:rsid w:val="00E46ACA"/>
    <w:rsid w:val="00E47B07"/>
    <w:rsid w:val="00E50FFA"/>
    <w:rsid w:val="00E526F5"/>
    <w:rsid w:val="00E53794"/>
    <w:rsid w:val="00E53FAB"/>
    <w:rsid w:val="00E5528B"/>
    <w:rsid w:val="00E5593B"/>
    <w:rsid w:val="00E56ACE"/>
    <w:rsid w:val="00E576D6"/>
    <w:rsid w:val="00E63021"/>
    <w:rsid w:val="00E63742"/>
    <w:rsid w:val="00E63F24"/>
    <w:rsid w:val="00E65F4C"/>
    <w:rsid w:val="00E67635"/>
    <w:rsid w:val="00E70A61"/>
    <w:rsid w:val="00E74E8C"/>
    <w:rsid w:val="00E75057"/>
    <w:rsid w:val="00E77251"/>
    <w:rsid w:val="00E817EE"/>
    <w:rsid w:val="00E818B6"/>
    <w:rsid w:val="00E81B85"/>
    <w:rsid w:val="00E83487"/>
    <w:rsid w:val="00E8533C"/>
    <w:rsid w:val="00E86513"/>
    <w:rsid w:val="00E87CF0"/>
    <w:rsid w:val="00E90038"/>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B6B66"/>
    <w:rsid w:val="00EC1909"/>
    <w:rsid w:val="00EC1DDA"/>
    <w:rsid w:val="00EC2835"/>
    <w:rsid w:val="00EC2C15"/>
    <w:rsid w:val="00EC41FA"/>
    <w:rsid w:val="00EC4455"/>
    <w:rsid w:val="00EC77BB"/>
    <w:rsid w:val="00EC7DE2"/>
    <w:rsid w:val="00EC7E13"/>
    <w:rsid w:val="00ED1828"/>
    <w:rsid w:val="00ED4EEA"/>
    <w:rsid w:val="00EE16DD"/>
    <w:rsid w:val="00EE7BAA"/>
    <w:rsid w:val="00EF1081"/>
    <w:rsid w:val="00EF1723"/>
    <w:rsid w:val="00EF26AE"/>
    <w:rsid w:val="00EF39B5"/>
    <w:rsid w:val="00EF6CD7"/>
    <w:rsid w:val="00EF7594"/>
    <w:rsid w:val="00F00D62"/>
    <w:rsid w:val="00F01005"/>
    <w:rsid w:val="00F0305C"/>
    <w:rsid w:val="00F03989"/>
    <w:rsid w:val="00F07C2D"/>
    <w:rsid w:val="00F07D67"/>
    <w:rsid w:val="00F1017B"/>
    <w:rsid w:val="00F12B16"/>
    <w:rsid w:val="00F139D5"/>
    <w:rsid w:val="00F13DFB"/>
    <w:rsid w:val="00F15DC9"/>
    <w:rsid w:val="00F1692D"/>
    <w:rsid w:val="00F16DC6"/>
    <w:rsid w:val="00F17C06"/>
    <w:rsid w:val="00F21133"/>
    <w:rsid w:val="00F21B5D"/>
    <w:rsid w:val="00F23018"/>
    <w:rsid w:val="00F25BF4"/>
    <w:rsid w:val="00F27105"/>
    <w:rsid w:val="00F277CF"/>
    <w:rsid w:val="00F27B16"/>
    <w:rsid w:val="00F31467"/>
    <w:rsid w:val="00F32383"/>
    <w:rsid w:val="00F33096"/>
    <w:rsid w:val="00F336A1"/>
    <w:rsid w:val="00F36721"/>
    <w:rsid w:val="00F40D25"/>
    <w:rsid w:val="00F441B2"/>
    <w:rsid w:val="00F46A84"/>
    <w:rsid w:val="00F476E8"/>
    <w:rsid w:val="00F47F97"/>
    <w:rsid w:val="00F53A77"/>
    <w:rsid w:val="00F5660C"/>
    <w:rsid w:val="00F63836"/>
    <w:rsid w:val="00F73A93"/>
    <w:rsid w:val="00F750F4"/>
    <w:rsid w:val="00F76819"/>
    <w:rsid w:val="00F77924"/>
    <w:rsid w:val="00F808F8"/>
    <w:rsid w:val="00F80EF4"/>
    <w:rsid w:val="00F81B45"/>
    <w:rsid w:val="00F824FC"/>
    <w:rsid w:val="00F83FCD"/>
    <w:rsid w:val="00F84FB1"/>
    <w:rsid w:val="00F8616A"/>
    <w:rsid w:val="00F9081A"/>
    <w:rsid w:val="00F90A9D"/>
    <w:rsid w:val="00F91D36"/>
    <w:rsid w:val="00F91E5C"/>
    <w:rsid w:val="00F92A7B"/>
    <w:rsid w:val="00FA0773"/>
    <w:rsid w:val="00FA0DC0"/>
    <w:rsid w:val="00FA0E84"/>
    <w:rsid w:val="00FA5B52"/>
    <w:rsid w:val="00FA66AD"/>
    <w:rsid w:val="00FA73C3"/>
    <w:rsid w:val="00FA7A69"/>
    <w:rsid w:val="00FA7F14"/>
    <w:rsid w:val="00FB0F94"/>
    <w:rsid w:val="00FB4D87"/>
    <w:rsid w:val="00FC4FC1"/>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paragraph" w:styleId="BodyTextIndent2">
    <w:name w:val="Body Text Indent 2"/>
    <w:basedOn w:val="Normal"/>
    <w:link w:val="BodyTextIndent2Char"/>
    <w:rsid w:val="00B02AF5"/>
    <w:pPr>
      <w:spacing w:after="120" w:line="480" w:lineRule="auto"/>
      <w:ind w:left="360"/>
    </w:pPr>
  </w:style>
  <w:style w:type="character" w:customStyle="1" w:styleId="BodyTextIndent2Char">
    <w:name w:val="Body Text Indent 2 Char"/>
    <w:basedOn w:val="DefaultParagraphFont"/>
    <w:link w:val="BodyTextIndent2"/>
    <w:rsid w:val="00B02AF5"/>
    <w:rPr>
      <w:sz w:val="24"/>
      <w:szCs w:val="24"/>
    </w:rPr>
  </w:style>
  <w:style w:type="paragraph" w:styleId="BodyTextIndent3">
    <w:name w:val="Body Text Indent 3"/>
    <w:basedOn w:val="Normal"/>
    <w:link w:val="BodyTextIndent3Char"/>
    <w:rsid w:val="00B02AF5"/>
    <w:pPr>
      <w:spacing w:after="120"/>
      <w:ind w:left="360"/>
    </w:pPr>
    <w:rPr>
      <w:sz w:val="16"/>
      <w:szCs w:val="16"/>
    </w:rPr>
  </w:style>
  <w:style w:type="character" w:customStyle="1" w:styleId="BodyTextIndent3Char">
    <w:name w:val="Body Text Indent 3 Char"/>
    <w:basedOn w:val="DefaultParagraphFont"/>
    <w:link w:val="BodyTextIndent3"/>
    <w:rsid w:val="00B02AF5"/>
    <w:rPr>
      <w:sz w:val="16"/>
      <w:szCs w:val="16"/>
    </w:rPr>
  </w:style>
  <w:style w:type="character" w:styleId="Hyperlink">
    <w:name w:val="Hyperlink"/>
    <w:basedOn w:val="DefaultParagraphFont"/>
    <w:uiPriority w:val="99"/>
    <w:unhideWhenUsed/>
    <w:rsid w:val="00B02AF5"/>
    <w:rPr>
      <w:color w:val="0000FF" w:themeColor="hyperlink"/>
      <w:u w:val="single"/>
    </w:rPr>
  </w:style>
  <w:style w:type="table" w:customStyle="1" w:styleId="TableGrid1">
    <w:name w:val="Table Grid1"/>
    <w:basedOn w:val="TableNormal"/>
    <w:next w:val="TableGrid"/>
    <w:rsid w:val="005C5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37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paragraph" w:styleId="BodyTextIndent2">
    <w:name w:val="Body Text Indent 2"/>
    <w:basedOn w:val="Normal"/>
    <w:link w:val="BodyTextIndent2Char"/>
    <w:rsid w:val="00B02AF5"/>
    <w:pPr>
      <w:spacing w:after="120" w:line="480" w:lineRule="auto"/>
      <w:ind w:left="360"/>
    </w:pPr>
  </w:style>
  <w:style w:type="character" w:customStyle="1" w:styleId="BodyTextIndent2Char">
    <w:name w:val="Body Text Indent 2 Char"/>
    <w:basedOn w:val="DefaultParagraphFont"/>
    <w:link w:val="BodyTextIndent2"/>
    <w:rsid w:val="00B02AF5"/>
    <w:rPr>
      <w:sz w:val="24"/>
      <w:szCs w:val="24"/>
    </w:rPr>
  </w:style>
  <w:style w:type="paragraph" w:styleId="BodyTextIndent3">
    <w:name w:val="Body Text Indent 3"/>
    <w:basedOn w:val="Normal"/>
    <w:link w:val="BodyTextIndent3Char"/>
    <w:rsid w:val="00B02AF5"/>
    <w:pPr>
      <w:spacing w:after="120"/>
      <w:ind w:left="360"/>
    </w:pPr>
    <w:rPr>
      <w:sz w:val="16"/>
      <w:szCs w:val="16"/>
    </w:rPr>
  </w:style>
  <w:style w:type="character" w:customStyle="1" w:styleId="BodyTextIndent3Char">
    <w:name w:val="Body Text Indent 3 Char"/>
    <w:basedOn w:val="DefaultParagraphFont"/>
    <w:link w:val="BodyTextIndent3"/>
    <w:rsid w:val="00B02AF5"/>
    <w:rPr>
      <w:sz w:val="16"/>
      <w:szCs w:val="16"/>
    </w:rPr>
  </w:style>
  <w:style w:type="character" w:styleId="Hyperlink">
    <w:name w:val="Hyperlink"/>
    <w:basedOn w:val="DefaultParagraphFont"/>
    <w:uiPriority w:val="99"/>
    <w:unhideWhenUsed/>
    <w:rsid w:val="00B02AF5"/>
    <w:rPr>
      <w:color w:val="0000FF" w:themeColor="hyperlink"/>
      <w:u w:val="single"/>
    </w:rPr>
  </w:style>
  <w:style w:type="table" w:customStyle="1" w:styleId="TableGrid1">
    <w:name w:val="Table Grid1"/>
    <w:basedOn w:val="TableNormal"/>
    <w:next w:val="TableGrid"/>
    <w:rsid w:val="005C5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37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01980-6CFB-4C48-A22D-84362811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2177</Words>
  <Characters>12410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2</cp:revision>
  <cp:lastPrinted>2016-08-12T12:58:00Z</cp:lastPrinted>
  <dcterms:created xsi:type="dcterms:W3CDTF">2016-08-12T15:27:00Z</dcterms:created>
  <dcterms:modified xsi:type="dcterms:W3CDTF">2016-08-12T15:27:00Z</dcterms:modified>
</cp:coreProperties>
</file>