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31C06" w:rsidP="00560DC5">
      <w:pPr>
        <w:tabs>
          <w:tab w:val="left" w:pos="0"/>
        </w:tabs>
        <w:spacing w:line="233" w:lineRule="auto"/>
        <w:jc w:val="both"/>
        <w:rPr>
          <w:b/>
          <w:sz w:val="24"/>
        </w:rPr>
      </w:pPr>
      <w:r>
        <w:rPr>
          <w:sz w:val="24"/>
        </w:rPr>
        <w:t xml:space="preserve">Mark J. </w:t>
      </w:r>
      <w:proofErr w:type="spellStart"/>
      <w:r>
        <w:rPr>
          <w:sz w:val="24"/>
        </w:rPr>
        <w:t>Fetsko</w:t>
      </w:r>
      <w:proofErr w:type="spellEnd"/>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31C06">
        <w:rPr>
          <w:sz w:val="24"/>
        </w:rPr>
        <w:t>C-2016-2549859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F31C06" w:rsidP="00560DC5">
      <w:pPr>
        <w:tabs>
          <w:tab w:val="left" w:pos="0"/>
        </w:tabs>
        <w:spacing w:line="233" w:lineRule="auto"/>
        <w:jc w:val="both"/>
        <w:rPr>
          <w:sz w:val="24"/>
        </w:rPr>
      </w:pPr>
      <w:r>
        <w:rPr>
          <w:sz w:val="24"/>
        </w:rPr>
        <w:t>West Penn Power Company</w:t>
      </w:r>
      <w:r>
        <w:rPr>
          <w:sz w:val="24"/>
        </w:rPr>
        <w:tab/>
      </w:r>
      <w:r>
        <w:rPr>
          <w:sz w:val="24"/>
        </w:rPr>
        <w:tab/>
      </w:r>
      <w:r>
        <w:rPr>
          <w:sz w:val="24"/>
        </w:rPr>
        <w:tab/>
      </w:r>
      <w:r>
        <w:rPr>
          <w:sz w:val="24"/>
        </w:rPr>
        <w:tab/>
        <w:t>:</w:t>
      </w:r>
    </w:p>
    <w:p w:rsidR="00F31C06" w:rsidRDefault="00F31C06"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31C06">
        <w:rPr>
          <w:sz w:val="24"/>
        </w:rPr>
        <w:t>Monday, September 12, 2016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557F8" w:rsidRPr="009557F8" w:rsidRDefault="009557F8" w:rsidP="009557F8">
      <w:pPr>
        <w:pStyle w:val="ListParagraph"/>
        <w:numPr>
          <w:ilvl w:val="0"/>
          <w:numId w:val="2"/>
        </w:numPr>
        <w:tabs>
          <w:tab w:val="clear" w:pos="2160"/>
        </w:tabs>
        <w:spacing w:line="360" w:lineRule="auto"/>
        <w:ind w:left="0" w:firstLine="1440"/>
        <w:rPr>
          <w:sz w:val="24"/>
        </w:rPr>
      </w:pPr>
      <w:r w:rsidRPr="009557F8">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9557F8" w:rsidRDefault="009557F8" w:rsidP="009557F8">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31C06">
        <w:rPr>
          <w:sz w:val="24"/>
          <w:u w:val="single"/>
        </w:rPr>
        <w:t>August 17, 2016</w:t>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567940" cy="1134387"/>
            <wp:effectExtent l="0" t="0" r="3810" b="889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564186" cy="1132729"/>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2F0036" w:rsidRDefault="002F0036" w:rsidP="00015E93">
      <w:pPr>
        <w:tabs>
          <w:tab w:val="left" w:pos="0"/>
        </w:tabs>
        <w:jc w:val="both"/>
        <w:rPr>
          <w:sz w:val="24"/>
        </w:rPr>
      </w:pPr>
    </w:p>
    <w:p w:rsidR="00F31C06" w:rsidRDefault="00F31C06">
      <w:pPr>
        <w:rPr>
          <w:b/>
          <w:sz w:val="24"/>
          <w:szCs w:val="24"/>
        </w:rPr>
      </w:pPr>
      <w:r>
        <w:rPr>
          <w:b/>
          <w:sz w:val="24"/>
          <w:szCs w:val="24"/>
        </w:rPr>
        <w:br w:type="page"/>
      </w:r>
    </w:p>
    <w:p w:rsidR="00F31C06" w:rsidRPr="00A513C5" w:rsidRDefault="00F31C06" w:rsidP="00F31C06">
      <w:pPr>
        <w:contextualSpacing/>
        <w:rPr>
          <w:b/>
          <w:i/>
          <w:u w:val="single"/>
        </w:rPr>
      </w:pPr>
      <w:r>
        <w:rPr>
          <w:rFonts w:ascii="Microsoft Sans Serif"/>
          <w:b/>
          <w:sz w:val="24"/>
          <w:u w:val="single"/>
        </w:rPr>
        <w:lastRenderedPageBreak/>
        <w:t>C-2016-2549859 - MARK J FETSKO v. WEST PENN POWER COMPANY</w:t>
      </w:r>
      <w:r>
        <w:rPr>
          <w:rFonts w:ascii="Microsoft Sans Serif"/>
          <w:b/>
          <w:sz w:val="24"/>
          <w:u w:val="single"/>
        </w:rPr>
        <w:cr/>
      </w:r>
      <w:r>
        <w:rPr>
          <w:rFonts w:ascii="Microsoft Sans Serif"/>
          <w:b/>
          <w:sz w:val="24"/>
          <w:u w:val="single"/>
        </w:rPr>
        <w:cr/>
      </w:r>
      <w:r>
        <w:rPr>
          <w:rFonts w:ascii="Microsoft Sans Serif"/>
          <w:sz w:val="24"/>
        </w:rPr>
        <w:t>MARK J FETSKO</w:t>
      </w:r>
      <w:r>
        <w:rPr>
          <w:rFonts w:ascii="Microsoft Sans Serif"/>
          <w:sz w:val="24"/>
        </w:rPr>
        <w:cr/>
        <w:t>107 ROSS ROAD</w:t>
      </w:r>
      <w:r>
        <w:rPr>
          <w:rFonts w:ascii="Microsoft Sans Serif"/>
          <w:sz w:val="24"/>
        </w:rPr>
        <w:cr/>
        <w:t>LIGONIER PA  15658</w:t>
      </w:r>
      <w:r>
        <w:rPr>
          <w:rFonts w:ascii="Microsoft Sans Serif"/>
          <w:sz w:val="24"/>
        </w:rPr>
        <w:cr/>
        <w:t>724.550.7494</w:t>
      </w:r>
      <w:r>
        <w:rPr>
          <w:rFonts w:ascii="Microsoft Sans Serif"/>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r>
      <w:r>
        <w:rPr>
          <w:rFonts w:ascii="Microsoft Sans Serif"/>
          <w:b/>
          <w:i/>
          <w:sz w:val="24"/>
          <w:u w:val="single"/>
        </w:rPr>
        <w:t>-ACCEPTS E- SERVICE-</w:t>
      </w:r>
    </w:p>
    <w:p w:rsidR="00F31C06" w:rsidRDefault="00F31C06" w:rsidP="00F31C06">
      <w:pPr>
        <w:contextualSpacing/>
      </w:pPr>
    </w:p>
    <w:p w:rsidR="00FD0374" w:rsidRPr="00C016A2" w:rsidRDefault="00FD0374" w:rsidP="00BF5F05">
      <w:pPr>
        <w:contextualSpacing/>
        <w:rPr>
          <w:b/>
          <w:sz w:val="24"/>
          <w:szCs w:val="24"/>
        </w:rPr>
      </w:pPr>
      <w:bookmarkStart w:id="0" w:name="_GoBack"/>
      <w:bookmarkEnd w:id="0"/>
    </w:p>
    <w:sectPr w:rsidR="00FD0374" w:rsidRPr="00C016A2" w:rsidSect="00C945F2">
      <w:footerReference w:type="even" r:id="rId10"/>
      <w:footerReference w:type="default" r:id="rId11"/>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F4" w:rsidRDefault="003A2BF4">
      <w:r>
        <w:separator/>
      </w:r>
    </w:p>
  </w:endnote>
  <w:endnote w:type="continuationSeparator" w:id="0">
    <w:p w:rsidR="003A2BF4" w:rsidRDefault="003A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F31C06">
      <w:rPr>
        <w:rStyle w:val="PageNumber"/>
        <w:noProof/>
        <w:sz w:val="24"/>
        <w:szCs w:val="24"/>
      </w:rPr>
      <w:t>2</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F4" w:rsidRDefault="003A2BF4">
      <w:r>
        <w:separator/>
      </w:r>
    </w:p>
  </w:footnote>
  <w:footnote w:type="continuationSeparator" w:id="0">
    <w:p w:rsidR="003A2BF4" w:rsidRDefault="003A2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309C8"/>
    <w:rsid w:val="00050F83"/>
    <w:rsid w:val="00052E32"/>
    <w:rsid w:val="000649C2"/>
    <w:rsid w:val="00076AB6"/>
    <w:rsid w:val="000E6C11"/>
    <w:rsid w:val="000E7CCF"/>
    <w:rsid w:val="00142A77"/>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2F0036"/>
    <w:rsid w:val="00332CA0"/>
    <w:rsid w:val="00341E99"/>
    <w:rsid w:val="00355E73"/>
    <w:rsid w:val="00374FC2"/>
    <w:rsid w:val="00384FD4"/>
    <w:rsid w:val="003A2BF4"/>
    <w:rsid w:val="003A42C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60DC5"/>
    <w:rsid w:val="00572198"/>
    <w:rsid w:val="005C2D5D"/>
    <w:rsid w:val="00606687"/>
    <w:rsid w:val="006226F3"/>
    <w:rsid w:val="0064774A"/>
    <w:rsid w:val="006675F1"/>
    <w:rsid w:val="006702AA"/>
    <w:rsid w:val="0067466A"/>
    <w:rsid w:val="006754D0"/>
    <w:rsid w:val="00675E63"/>
    <w:rsid w:val="006C2CE0"/>
    <w:rsid w:val="006D6361"/>
    <w:rsid w:val="006E0714"/>
    <w:rsid w:val="006E2126"/>
    <w:rsid w:val="0073177E"/>
    <w:rsid w:val="00740950"/>
    <w:rsid w:val="007539C9"/>
    <w:rsid w:val="00754D83"/>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43190"/>
    <w:rsid w:val="009557F8"/>
    <w:rsid w:val="00961180"/>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AE077D"/>
    <w:rsid w:val="00B075CA"/>
    <w:rsid w:val="00B13F13"/>
    <w:rsid w:val="00B37804"/>
    <w:rsid w:val="00B44F9B"/>
    <w:rsid w:val="00B5127B"/>
    <w:rsid w:val="00B61CF8"/>
    <w:rsid w:val="00B64556"/>
    <w:rsid w:val="00B66296"/>
    <w:rsid w:val="00BB5CDF"/>
    <w:rsid w:val="00BC4756"/>
    <w:rsid w:val="00BD0DF4"/>
    <w:rsid w:val="00BD42BA"/>
    <w:rsid w:val="00BF4B6C"/>
    <w:rsid w:val="00BF5F05"/>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C44D8"/>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00AB9"/>
    <w:rsid w:val="00F10D22"/>
    <w:rsid w:val="00F26619"/>
    <w:rsid w:val="00F27939"/>
    <w:rsid w:val="00F31C06"/>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4304">
      <w:bodyDiv w:val="1"/>
      <w:marLeft w:val="0"/>
      <w:marRight w:val="0"/>
      <w:marTop w:val="0"/>
      <w:marBottom w:val="0"/>
      <w:divBdr>
        <w:top w:val="none" w:sz="0" w:space="0" w:color="auto"/>
        <w:left w:val="none" w:sz="0" w:space="0" w:color="auto"/>
        <w:bottom w:val="none" w:sz="0" w:space="0" w:color="auto"/>
        <w:right w:val="none" w:sz="0" w:space="0" w:color="auto"/>
      </w:divBdr>
    </w:div>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A90B2-7D13-4F77-A32B-99F57BA0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5466</Characters>
  <Application>Microsoft Office Word</Application>
  <DocSecurity>4</DocSecurity>
  <Lines>45</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2015-06-24T19:09:00Z</cp:lastPrinted>
  <dcterms:created xsi:type="dcterms:W3CDTF">2016-08-17T13:07:00Z</dcterms:created>
  <dcterms:modified xsi:type="dcterms:W3CDTF">2016-08-17T13:07:00Z</dcterms:modified>
</cp:coreProperties>
</file>