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F7" w:rsidRPr="002B2FF7" w:rsidRDefault="002B2FF7" w:rsidP="002B2FF7">
      <w:pPr>
        <w:tabs>
          <w:tab w:val="left" w:pos="0"/>
        </w:tabs>
        <w:spacing w:after="0" w:line="233" w:lineRule="auto"/>
        <w:jc w:val="center"/>
        <w:rPr>
          <w:rFonts w:eastAsia="Times New Roman" w:cs="Times New Roman"/>
          <w:b/>
          <w:szCs w:val="20"/>
        </w:rPr>
      </w:pPr>
      <w:r w:rsidRPr="002B2FF7">
        <w:rPr>
          <w:rFonts w:eastAsia="Times New Roman" w:cs="Times New Roman"/>
          <w:b/>
          <w:szCs w:val="20"/>
        </w:rPr>
        <w:t>BEFORE THE</w:t>
      </w:r>
    </w:p>
    <w:p w:rsidR="002B2FF7" w:rsidRPr="002B2FF7" w:rsidRDefault="002B2FF7" w:rsidP="002B2FF7">
      <w:pPr>
        <w:tabs>
          <w:tab w:val="left" w:pos="0"/>
        </w:tabs>
        <w:spacing w:after="0" w:line="233" w:lineRule="auto"/>
        <w:jc w:val="center"/>
        <w:rPr>
          <w:rFonts w:eastAsia="Times New Roman" w:cs="Times New Roman"/>
          <w:b/>
          <w:szCs w:val="20"/>
        </w:rPr>
      </w:pPr>
      <w:r w:rsidRPr="002B2FF7">
        <w:rPr>
          <w:rFonts w:eastAsia="Times New Roman" w:cs="Times New Roman"/>
          <w:b/>
          <w:szCs w:val="20"/>
        </w:rPr>
        <w:t>PENNSYLVANIA PUBLIC UTILITY COMMISSION</w:t>
      </w:r>
    </w:p>
    <w:p w:rsidR="002B2FF7" w:rsidRPr="002B2FF7" w:rsidRDefault="002B2FF7" w:rsidP="002B2FF7">
      <w:pPr>
        <w:tabs>
          <w:tab w:val="left" w:pos="0"/>
        </w:tabs>
        <w:spacing w:after="0" w:line="240" w:lineRule="auto"/>
        <w:jc w:val="both"/>
        <w:rPr>
          <w:rFonts w:eastAsia="Times New Roman" w:cs="Times New Roman"/>
          <w:b/>
          <w:szCs w:val="20"/>
        </w:rPr>
      </w:pPr>
    </w:p>
    <w:p w:rsidR="002B2FF7" w:rsidRPr="002B2FF7" w:rsidRDefault="002B2FF7" w:rsidP="002B2FF7">
      <w:pPr>
        <w:tabs>
          <w:tab w:val="left" w:pos="0"/>
        </w:tabs>
        <w:spacing w:after="0" w:line="240" w:lineRule="auto"/>
        <w:jc w:val="both"/>
        <w:rPr>
          <w:rFonts w:eastAsia="Times New Roman" w:cs="Times New Roman"/>
          <w:b/>
          <w:szCs w:val="20"/>
        </w:rPr>
      </w:pPr>
    </w:p>
    <w:p w:rsidR="002B2FF7" w:rsidRPr="002B2FF7" w:rsidRDefault="002B2FF7" w:rsidP="002B2FF7">
      <w:pPr>
        <w:tabs>
          <w:tab w:val="left" w:pos="0"/>
        </w:tabs>
        <w:spacing w:after="0" w:line="240" w:lineRule="auto"/>
        <w:jc w:val="both"/>
        <w:rPr>
          <w:rFonts w:eastAsia="Times New Roman" w:cs="Times New Roman"/>
          <w:b/>
          <w:szCs w:val="20"/>
        </w:rPr>
      </w:pPr>
    </w:p>
    <w:p w:rsidR="002B2FF7" w:rsidRPr="002B2FF7" w:rsidRDefault="002B2FF7" w:rsidP="002B2FF7">
      <w:pPr>
        <w:tabs>
          <w:tab w:val="left" w:pos="0"/>
        </w:tabs>
        <w:spacing w:after="0" w:line="233" w:lineRule="auto"/>
        <w:jc w:val="both"/>
        <w:rPr>
          <w:rFonts w:eastAsia="Times New Roman" w:cs="Times New Roman"/>
          <w:b/>
          <w:szCs w:val="20"/>
        </w:rPr>
      </w:pPr>
      <w:r w:rsidRPr="002B2FF7">
        <w:rPr>
          <w:rFonts w:eastAsia="Times New Roman" w:cs="Times New Roman"/>
          <w:szCs w:val="20"/>
        </w:rPr>
        <w:t>B. Elisa Sanders</w:t>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t>:</w:t>
      </w:r>
    </w:p>
    <w:p w:rsidR="002B2FF7" w:rsidRPr="002B2FF7" w:rsidRDefault="002B2FF7" w:rsidP="002B2FF7">
      <w:pPr>
        <w:tabs>
          <w:tab w:val="left" w:pos="0"/>
        </w:tabs>
        <w:spacing w:after="0" w:line="233" w:lineRule="auto"/>
        <w:jc w:val="both"/>
        <w:rPr>
          <w:rFonts w:eastAsia="Times New Roman" w:cs="Times New Roman"/>
          <w:szCs w:val="20"/>
        </w:rPr>
      </w:pP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szCs w:val="20"/>
        </w:rPr>
        <w:t>:</w:t>
      </w:r>
    </w:p>
    <w:p w:rsidR="002B2FF7" w:rsidRPr="002B2FF7" w:rsidRDefault="002B2FF7" w:rsidP="002B2FF7">
      <w:pPr>
        <w:tabs>
          <w:tab w:val="left" w:pos="0"/>
        </w:tabs>
        <w:spacing w:after="0" w:line="233" w:lineRule="auto"/>
        <w:jc w:val="both"/>
        <w:rPr>
          <w:rFonts w:eastAsia="Times New Roman" w:cs="Times New Roman"/>
          <w:szCs w:val="20"/>
        </w:rPr>
      </w:pPr>
      <w:r w:rsidRPr="002B2FF7">
        <w:rPr>
          <w:rFonts w:eastAsia="Times New Roman" w:cs="Times New Roman"/>
          <w:szCs w:val="20"/>
        </w:rPr>
        <w:tab/>
        <w:t>v.</w:t>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t>:</w:t>
      </w:r>
      <w:r w:rsidRPr="002B2FF7">
        <w:rPr>
          <w:rFonts w:eastAsia="Times New Roman" w:cs="Times New Roman"/>
          <w:b/>
          <w:szCs w:val="20"/>
        </w:rPr>
        <w:tab/>
      </w:r>
      <w:r w:rsidRPr="002B2FF7">
        <w:rPr>
          <w:rFonts w:eastAsia="Times New Roman" w:cs="Times New Roman"/>
          <w:b/>
          <w:szCs w:val="20"/>
        </w:rPr>
        <w:tab/>
      </w:r>
      <w:r w:rsidRPr="002B2FF7">
        <w:rPr>
          <w:rFonts w:eastAsia="Times New Roman" w:cs="Times New Roman"/>
          <w:szCs w:val="20"/>
        </w:rPr>
        <w:t>F-2015-2508203</w:t>
      </w:r>
    </w:p>
    <w:p w:rsidR="002B2FF7" w:rsidRPr="002B2FF7" w:rsidRDefault="002B2FF7" w:rsidP="002B2FF7">
      <w:pPr>
        <w:tabs>
          <w:tab w:val="left" w:pos="0"/>
        </w:tabs>
        <w:spacing w:after="0" w:line="233" w:lineRule="auto"/>
        <w:jc w:val="both"/>
        <w:rPr>
          <w:rFonts w:eastAsia="Times New Roman" w:cs="Times New Roman"/>
          <w:szCs w:val="20"/>
        </w:rPr>
      </w:pP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t>:</w:t>
      </w:r>
    </w:p>
    <w:p w:rsidR="002B2FF7" w:rsidRDefault="002B2FF7" w:rsidP="002B2FF7">
      <w:pPr>
        <w:tabs>
          <w:tab w:val="left" w:pos="0"/>
        </w:tabs>
        <w:spacing w:after="0" w:line="233" w:lineRule="auto"/>
        <w:jc w:val="both"/>
        <w:rPr>
          <w:rFonts w:eastAsia="Times New Roman" w:cs="Times New Roman"/>
          <w:szCs w:val="20"/>
        </w:rPr>
      </w:pPr>
      <w:r w:rsidRPr="002B2FF7">
        <w:rPr>
          <w:rFonts w:eastAsia="Times New Roman" w:cs="Times New Roman"/>
          <w:szCs w:val="20"/>
        </w:rPr>
        <w:t>PECO Energy Company</w:t>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0"/>
        </w:rPr>
        <w:tab/>
        <w:t>:</w:t>
      </w:r>
    </w:p>
    <w:p w:rsidR="00E73FD1" w:rsidRPr="002B2FF7" w:rsidRDefault="00E73FD1" w:rsidP="002B2FF7">
      <w:pPr>
        <w:tabs>
          <w:tab w:val="left" w:pos="0"/>
        </w:tabs>
        <w:spacing w:after="0" w:line="233" w:lineRule="auto"/>
        <w:jc w:val="both"/>
        <w:rPr>
          <w:rFonts w:eastAsia="Times New Roman" w:cs="Times New Roman"/>
          <w:szCs w:val="20"/>
        </w:rPr>
      </w:pPr>
    </w:p>
    <w:p w:rsidR="002B2FF7" w:rsidRPr="002B2FF7" w:rsidRDefault="002B2FF7" w:rsidP="002B2FF7">
      <w:pPr>
        <w:spacing w:after="0" w:line="240" w:lineRule="auto"/>
        <w:rPr>
          <w:rFonts w:eastAsia="Times New Roman" w:cs="Times New Roman"/>
          <w:sz w:val="20"/>
          <w:szCs w:val="20"/>
        </w:rPr>
      </w:pPr>
    </w:p>
    <w:p w:rsidR="002B2FF7" w:rsidRPr="002B2FF7" w:rsidRDefault="002B2FF7" w:rsidP="002B2FF7">
      <w:pPr>
        <w:spacing w:after="0" w:line="240" w:lineRule="auto"/>
        <w:rPr>
          <w:rFonts w:eastAsia="Times New Roman" w:cs="Times New Roman"/>
          <w:sz w:val="20"/>
          <w:szCs w:val="20"/>
        </w:rPr>
      </w:pPr>
    </w:p>
    <w:p w:rsidR="002B2FF7" w:rsidRPr="002B2FF7" w:rsidRDefault="002B2FF7" w:rsidP="002B2FF7">
      <w:pPr>
        <w:spacing w:after="0" w:line="240" w:lineRule="auto"/>
        <w:jc w:val="center"/>
        <w:rPr>
          <w:rFonts w:eastAsia="Times New Roman" w:cs="Times New Roman"/>
          <w:b/>
          <w:caps/>
          <w:szCs w:val="24"/>
          <w:u w:val="single"/>
        </w:rPr>
      </w:pPr>
      <w:r w:rsidRPr="002B2FF7">
        <w:rPr>
          <w:rFonts w:eastAsia="Times New Roman" w:cs="Times New Roman"/>
          <w:b/>
          <w:caps/>
          <w:szCs w:val="24"/>
          <w:u w:val="single"/>
        </w:rPr>
        <w:t xml:space="preserve">INITIAL DECISION </w:t>
      </w:r>
    </w:p>
    <w:p w:rsidR="002B2FF7" w:rsidRPr="002B2FF7" w:rsidRDefault="002B2FF7" w:rsidP="002B2FF7">
      <w:pPr>
        <w:autoSpaceDE w:val="0"/>
        <w:autoSpaceDN w:val="0"/>
        <w:spacing w:after="0" w:line="240" w:lineRule="auto"/>
        <w:jc w:val="center"/>
        <w:rPr>
          <w:rFonts w:eastAsia="Times New Roman" w:cs="Times New Roman"/>
          <w:bCs/>
          <w:szCs w:val="24"/>
        </w:rPr>
      </w:pPr>
    </w:p>
    <w:p w:rsidR="002B2FF7" w:rsidRPr="002B2FF7" w:rsidRDefault="002B2FF7" w:rsidP="002B2FF7">
      <w:pPr>
        <w:autoSpaceDE w:val="0"/>
        <w:autoSpaceDN w:val="0"/>
        <w:spacing w:after="0" w:line="240" w:lineRule="auto"/>
        <w:jc w:val="center"/>
        <w:rPr>
          <w:rFonts w:eastAsia="Times New Roman" w:cs="Times New Roman"/>
          <w:bCs/>
          <w:szCs w:val="24"/>
        </w:rPr>
      </w:pPr>
    </w:p>
    <w:p w:rsidR="002B2FF7" w:rsidRPr="002B2FF7" w:rsidRDefault="002B2FF7" w:rsidP="002B2FF7">
      <w:pPr>
        <w:autoSpaceDE w:val="0"/>
        <w:autoSpaceDN w:val="0"/>
        <w:spacing w:after="0" w:line="240" w:lineRule="auto"/>
        <w:jc w:val="center"/>
        <w:rPr>
          <w:rFonts w:eastAsia="Times New Roman" w:cs="Times New Roman"/>
          <w:bCs/>
          <w:szCs w:val="24"/>
        </w:rPr>
      </w:pPr>
      <w:r w:rsidRPr="002B2FF7">
        <w:rPr>
          <w:rFonts w:eastAsia="Times New Roman" w:cs="Times New Roman"/>
          <w:bCs/>
          <w:szCs w:val="24"/>
        </w:rPr>
        <w:t>Before</w:t>
      </w:r>
    </w:p>
    <w:p w:rsidR="002B2FF7" w:rsidRPr="002B2FF7" w:rsidRDefault="002B2FF7" w:rsidP="002B2FF7">
      <w:pPr>
        <w:autoSpaceDE w:val="0"/>
        <w:autoSpaceDN w:val="0"/>
        <w:spacing w:after="0" w:line="240" w:lineRule="auto"/>
        <w:jc w:val="center"/>
        <w:rPr>
          <w:rFonts w:eastAsia="Times New Roman" w:cs="Times New Roman"/>
          <w:bCs/>
          <w:szCs w:val="24"/>
        </w:rPr>
      </w:pPr>
      <w:r w:rsidRPr="002B2FF7">
        <w:rPr>
          <w:rFonts w:eastAsia="Times New Roman" w:cs="Times New Roman"/>
          <w:bCs/>
          <w:szCs w:val="24"/>
        </w:rPr>
        <w:t>Conrad A. Johnson</w:t>
      </w:r>
    </w:p>
    <w:p w:rsidR="002B2FF7" w:rsidRPr="002B2FF7" w:rsidRDefault="002B2FF7" w:rsidP="002B2FF7">
      <w:pPr>
        <w:autoSpaceDE w:val="0"/>
        <w:autoSpaceDN w:val="0"/>
        <w:spacing w:after="0" w:line="240" w:lineRule="auto"/>
        <w:jc w:val="center"/>
        <w:rPr>
          <w:rFonts w:eastAsia="Times New Roman" w:cs="Times New Roman"/>
          <w:bCs/>
          <w:szCs w:val="24"/>
        </w:rPr>
      </w:pPr>
      <w:r w:rsidRPr="002B2FF7">
        <w:rPr>
          <w:rFonts w:eastAsia="Times New Roman" w:cs="Times New Roman"/>
          <w:bCs/>
          <w:szCs w:val="24"/>
        </w:rPr>
        <w:t>Administrative Law Judge</w:t>
      </w:r>
    </w:p>
    <w:p w:rsidR="002B2FF7" w:rsidRPr="002B2FF7" w:rsidRDefault="002B2FF7" w:rsidP="002B2FF7">
      <w:pPr>
        <w:autoSpaceDE w:val="0"/>
        <w:autoSpaceDN w:val="0"/>
        <w:spacing w:after="0" w:line="240" w:lineRule="auto"/>
        <w:jc w:val="center"/>
        <w:rPr>
          <w:rFonts w:eastAsia="Times New Roman" w:cs="Times New Roman"/>
          <w:bCs/>
          <w:szCs w:val="24"/>
        </w:rPr>
      </w:pPr>
    </w:p>
    <w:p w:rsidR="002B2FF7" w:rsidRPr="002B2FF7" w:rsidRDefault="002B2FF7" w:rsidP="002B2FF7">
      <w:pPr>
        <w:tabs>
          <w:tab w:val="left" w:pos="1440"/>
        </w:tabs>
        <w:autoSpaceDE w:val="0"/>
        <w:autoSpaceDN w:val="0"/>
        <w:spacing w:after="0" w:line="240" w:lineRule="auto"/>
        <w:jc w:val="center"/>
        <w:rPr>
          <w:rFonts w:eastAsia="Times New Roman" w:cs="Times New Roman"/>
          <w:szCs w:val="24"/>
          <w:u w:val="single"/>
        </w:rPr>
      </w:pPr>
    </w:p>
    <w:p w:rsidR="002B2FF7" w:rsidRPr="002B2FF7" w:rsidRDefault="002B2FF7" w:rsidP="002B2FF7">
      <w:pPr>
        <w:tabs>
          <w:tab w:val="left" w:pos="1440"/>
        </w:tabs>
        <w:autoSpaceDE w:val="0"/>
        <w:autoSpaceDN w:val="0"/>
        <w:spacing w:after="0" w:line="240" w:lineRule="auto"/>
        <w:jc w:val="center"/>
        <w:rPr>
          <w:rFonts w:eastAsia="Times New Roman" w:cs="Times New Roman"/>
          <w:szCs w:val="24"/>
          <w:u w:val="single"/>
        </w:rPr>
      </w:pPr>
      <w:r w:rsidRPr="002B2FF7">
        <w:rPr>
          <w:rFonts w:eastAsia="Times New Roman" w:cs="Times New Roman"/>
          <w:szCs w:val="24"/>
          <w:u w:val="single"/>
        </w:rPr>
        <w:t>INTRODUCTION</w:t>
      </w:r>
    </w:p>
    <w:p w:rsidR="002B2FF7" w:rsidRPr="002B2FF7" w:rsidRDefault="002B2FF7" w:rsidP="002B2FF7">
      <w:pPr>
        <w:tabs>
          <w:tab w:val="left" w:pos="0"/>
        </w:tabs>
        <w:spacing w:after="0" w:line="240" w:lineRule="auto"/>
        <w:rPr>
          <w:rFonts w:eastAsia="SimSun" w:cs="Times New Roman"/>
          <w:szCs w:val="20"/>
        </w:rPr>
      </w:pPr>
      <w:r w:rsidRPr="002B2FF7">
        <w:rPr>
          <w:rFonts w:eastAsia="SimSun" w:cs="Times New Roman"/>
          <w:szCs w:val="20"/>
        </w:rPr>
        <w:tab/>
      </w:r>
      <w:r w:rsidRPr="002B2FF7">
        <w:rPr>
          <w:rFonts w:eastAsia="SimSun" w:cs="Times New Roman"/>
          <w:szCs w:val="20"/>
        </w:rPr>
        <w:tab/>
      </w:r>
    </w:p>
    <w:p w:rsidR="002B2FF7" w:rsidRPr="002B2FF7" w:rsidRDefault="002B2FF7" w:rsidP="002B2FF7">
      <w:pPr>
        <w:tabs>
          <w:tab w:val="left" w:pos="0"/>
        </w:tabs>
        <w:spacing w:after="0" w:line="360" w:lineRule="auto"/>
        <w:rPr>
          <w:rFonts w:eastAsia="Times New Roman" w:cs="Times New Roman"/>
          <w:szCs w:val="24"/>
        </w:rPr>
      </w:pPr>
      <w:r w:rsidRPr="002B2FF7">
        <w:rPr>
          <w:rFonts w:eastAsia="SimSun" w:cs="Times New Roman"/>
          <w:szCs w:val="20"/>
        </w:rPr>
        <w:tab/>
      </w:r>
      <w:r w:rsidRPr="002B2FF7">
        <w:rPr>
          <w:rFonts w:eastAsia="SimSun" w:cs="Times New Roman"/>
          <w:szCs w:val="20"/>
        </w:rPr>
        <w:tab/>
      </w:r>
      <w:r w:rsidRPr="002B2FF7">
        <w:rPr>
          <w:rFonts w:eastAsia="Times New Roman" w:cs="Times New Roman"/>
          <w:szCs w:val="24"/>
        </w:rPr>
        <w:t xml:space="preserve">This decision dismisses the Formal Complaint for Complainant’s failure to carry her burden of proof. </w:t>
      </w:r>
    </w:p>
    <w:p w:rsidR="002B2FF7" w:rsidRPr="002B2FF7" w:rsidRDefault="002B2FF7" w:rsidP="002B2FF7">
      <w:pPr>
        <w:autoSpaceDE w:val="0"/>
        <w:autoSpaceDN w:val="0"/>
        <w:spacing w:after="0" w:line="240" w:lineRule="auto"/>
        <w:jc w:val="center"/>
        <w:rPr>
          <w:rFonts w:eastAsia="Times New Roman" w:cs="Times New Roman"/>
          <w:szCs w:val="24"/>
        </w:rPr>
      </w:pPr>
    </w:p>
    <w:p w:rsidR="002B2FF7" w:rsidRPr="002B2FF7" w:rsidRDefault="002B2FF7" w:rsidP="002B2FF7">
      <w:pPr>
        <w:autoSpaceDE w:val="0"/>
        <w:autoSpaceDN w:val="0"/>
        <w:spacing w:after="0" w:line="240" w:lineRule="auto"/>
        <w:jc w:val="center"/>
        <w:rPr>
          <w:rFonts w:eastAsia="Times New Roman" w:cs="Times New Roman"/>
          <w:b/>
          <w:caps/>
          <w:szCs w:val="24"/>
          <w:u w:val="single"/>
        </w:rPr>
      </w:pPr>
      <w:r w:rsidRPr="002B2FF7">
        <w:rPr>
          <w:rFonts w:eastAsia="Times New Roman" w:cs="Times New Roman"/>
          <w:szCs w:val="24"/>
          <w:u w:val="single"/>
        </w:rPr>
        <w:t>HISTORY OF THE PROCEEDING</w:t>
      </w:r>
      <w:r w:rsidRPr="002B2FF7">
        <w:rPr>
          <w:rFonts w:eastAsia="Times New Roman" w:cs="Times New Roman"/>
          <w:b/>
          <w:caps/>
          <w:szCs w:val="24"/>
          <w:u w:val="single"/>
        </w:rPr>
        <w:t xml:space="preserve"> </w:t>
      </w:r>
    </w:p>
    <w:p w:rsidR="002B2FF7" w:rsidRPr="002B2FF7" w:rsidRDefault="002B2FF7" w:rsidP="002B2FF7">
      <w:pPr>
        <w:spacing w:after="0" w:line="360" w:lineRule="auto"/>
        <w:jc w:val="center"/>
        <w:rPr>
          <w:rFonts w:eastAsia="Times New Roman" w:cs="Times New Roman"/>
          <w:szCs w:val="24"/>
        </w:rPr>
      </w:pPr>
    </w:p>
    <w:p w:rsidR="002B2FF7" w:rsidRPr="002B2FF7" w:rsidRDefault="002B2FF7" w:rsidP="002B2FF7">
      <w:pPr>
        <w:spacing w:after="0" w:line="360" w:lineRule="auto"/>
        <w:ind w:firstLine="1440"/>
        <w:rPr>
          <w:rFonts w:eastAsia="Times New Roman" w:cs="Times New Roman"/>
          <w:szCs w:val="24"/>
        </w:rPr>
      </w:pPr>
      <w:r w:rsidRPr="002B2FF7">
        <w:rPr>
          <w:rFonts w:eastAsia="Times New Roman" w:cs="Times New Roman"/>
          <w:szCs w:val="24"/>
        </w:rPr>
        <w:t>On October 13, 2015, Complainant B. Elisa Sanders (Complainant or Ms. Sanders) filed a Formal Complaint with the Pennsylvania Public Utility Commission (Commission) against Respondent PECO Energy Company (Respondent or PECO) alleging the following: 1) the utility company is threatening to shut off my service or has already shut off my service; 2) I would like a payment arrangement; 3) my bill was high for the months of December 2014 through April 2015 when compared to other months or last year.</w:t>
      </w:r>
      <w:r w:rsidRPr="002B2FF7">
        <w:rPr>
          <w:rFonts w:eastAsia="Times New Roman" w:cs="Times New Roman"/>
          <w:szCs w:val="24"/>
          <w:vertAlign w:val="superscript"/>
        </w:rPr>
        <w:footnoteReference w:id="1"/>
      </w:r>
      <w:r w:rsidRPr="002B2FF7">
        <w:rPr>
          <w:rFonts w:eastAsia="Times New Roman" w:cs="Times New Roman"/>
          <w:szCs w:val="24"/>
        </w:rPr>
        <w:t xml:space="preserve">  As relief, Complainant seeks an affordable bill, that is, a reasonable payment arrangement.</w:t>
      </w:r>
    </w:p>
    <w:p w:rsidR="002B2FF7" w:rsidRPr="002B2FF7" w:rsidRDefault="002B2FF7" w:rsidP="002B2FF7">
      <w:pPr>
        <w:spacing w:after="0" w:line="360" w:lineRule="auto"/>
        <w:ind w:firstLine="1440"/>
        <w:rPr>
          <w:rFonts w:eastAsia="Times New Roman" w:cs="Times New Roman"/>
          <w:szCs w:val="24"/>
        </w:rPr>
      </w:pPr>
      <w:r w:rsidRPr="002B2FF7">
        <w:rPr>
          <w:rFonts w:eastAsia="Times New Roman" w:cs="Times New Roman"/>
          <w:szCs w:val="24"/>
        </w:rPr>
        <w:lastRenderedPageBreak/>
        <w:t>On November 3, 2015, Respondent filed an Answer to the Formal Complaint with the Commission.  PECO repeated the allegations of the Complaint and alleged in part as follows:</w:t>
      </w:r>
    </w:p>
    <w:p w:rsidR="002B2FF7" w:rsidRPr="002B2FF7" w:rsidRDefault="002B2FF7" w:rsidP="002B2FF7">
      <w:pPr>
        <w:spacing w:after="0" w:line="360" w:lineRule="auto"/>
        <w:ind w:firstLine="1440"/>
        <w:rPr>
          <w:rFonts w:eastAsia="Times New Roman" w:cs="Times New Roman"/>
          <w:szCs w:val="24"/>
        </w:rPr>
      </w:pPr>
    </w:p>
    <w:p w:rsidR="002B2FF7" w:rsidRPr="002B2FF7" w:rsidRDefault="002B2FF7" w:rsidP="002B2FF7">
      <w:pPr>
        <w:spacing w:after="0" w:line="240" w:lineRule="auto"/>
        <w:ind w:left="1440" w:right="1166"/>
        <w:rPr>
          <w:rFonts w:eastAsia="Times New Roman" w:cs="Times New Roman"/>
          <w:szCs w:val="24"/>
        </w:rPr>
      </w:pPr>
      <w:r w:rsidRPr="002B2FF7">
        <w:rPr>
          <w:rFonts w:eastAsia="Times New Roman" w:cs="Times New Roman"/>
          <w:szCs w:val="24"/>
        </w:rPr>
        <w:t>PECO Energy avers that the Complainant’s high bill concerns have been investigated and the formal complaint should be dismissed pursuant to 66 Pa.C.S. § 1405(c) as her entire balance is comprised of CAP arrears.</w:t>
      </w:r>
    </w:p>
    <w:p w:rsidR="002B2FF7" w:rsidRPr="002B2FF7" w:rsidRDefault="002B2FF7" w:rsidP="002B2FF7">
      <w:pPr>
        <w:spacing w:after="0" w:line="240" w:lineRule="auto"/>
        <w:ind w:left="1440" w:right="1166"/>
        <w:rPr>
          <w:rFonts w:eastAsia="Times New Roman" w:cs="Times New Roman"/>
          <w:szCs w:val="24"/>
        </w:rPr>
      </w:pPr>
    </w:p>
    <w:p w:rsidR="002B2FF7" w:rsidRPr="002B2FF7" w:rsidRDefault="002B2FF7" w:rsidP="002B2FF7">
      <w:pPr>
        <w:spacing w:after="0" w:line="240" w:lineRule="auto"/>
        <w:ind w:left="1440" w:right="1166"/>
        <w:rPr>
          <w:rFonts w:eastAsia="Times New Roman" w:cs="Times New Roman"/>
          <w:szCs w:val="24"/>
        </w:rPr>
      </w:pPr>
      <w:r w:rsidRPr="002B2FF7">
        <w:rPr>
          <w:rFonts w:eastAsia="Times New Roman" w:cs="Times New Roman"/>
          <w:szCs w:val="24"/>
        </w:rPr>
        <w:t>. . . .</w:t>
      </w:r>
    </w:p>
    <w:p w:rsidR="002B2FF7" w:rsidRPr="002B2FF7" w:rsidRDefault="002B2FF7" w:rsidP="002B2FF7">
      <w:pPr>
        <w:spacing w:after="0" w:line="240" w:lineRule="auto"/>
        <w:ind w:left="1440" w:right="1166"/>
        <w:rPr>
          <w:rFonts w:eastAsia="Times New Roman" w:cs="Times New Roman"/>
          <w:szCs w:val="24"/>
        </w:rPr>
      </w:pPr>
    </w:p>
    <w:p w:rsidR="002B2FF7" w:rsidRPr="002B2FF7" w:rsidRDefault="002B2FF7" w:rsidP="002B2FF7">
      <w:pPr>
        <w:spacing w:after="0" w:line="240" w:lineRule="auto"/>
        <w:ind w:left="1440" w:right="1166"/>
        <w:rPr>
          <w:rFonts w:eastAsia="Times New Roman" w:cs="Times New Roman"/>
          <w:szCs w:val="24"/>
        </w:rPr>
      </w:pPr>
      <w:r w:rsidRPr="002B2FF7">
        <w:rPr>
          <w:rFonts w:eastAsia="Times New Roman" w:cs="Times New Roman"/>
          <w:szCs w:val="24"/>
        </w:rPr>
        <w:t>On May 4, 2015, PECO sent a high bill field investigator to the Complain</w:t>
      </w:r>
      <w:r w:rsidR="004C3B1B">
        <w:rPr>
          <w:rFonts w:eastAsia="Times New Roman" w:cs="Times New Roman"/>
          <w:szCs w:val="24"/>
        </w:rPr>
        <w:t>an</w:t>
      </w:r>
      <w:r w:rsidRPr="002B2FF7">
        <w:rPr>
          <w:rFonts w:eastAsia="Times New Roman" w:cs="Times New Roman"/>
          <w:szCs w:val="24"/>
        </w:rPr>
        <w:t>t’s residence to investigate her high bill concerns.  During the visit, the technician conducted a thorough appliance analysis which justified the usage billed.  The technician p</w:t>
      </w:r>
      <w:r w:rsidR="004C3B1B">
        <w:rPr>
          <w:rFonts w:eastAsia="Times New Roman" w:cs="Times New Roman"/>
          <w:szCs w:val="24"/>
        </w:rPr>
        <w:t>er</w:t>
      </w:r>
      <w:r w:rsidRPr="002B2FF7">
        <w:rPr>
          <w:rFonts w:eastAsia="Times New Roman" w:cs="Times New Roman"/>
          <w:szCs w:val="24"/>
        </w:rPr>
        <w:t xml:space="preserve">formed passing load tests to determine the accuracy of the meter.  The technician performed testing and determined there were no foreign wiring issues. </w:t>
      </w:r>
    </w:p>
    <w:p w:rsidR="002B2FF7" w:rsidRPr="002B2FF7" w:rsidRDefault="002B2FF7" w:rsidP="002B2FF7">
      <w:pPr>
        <w:spacing w:after="0" w:line="360" w:lineRule="auto"/>
        <w:ind w:left="1440" w:right="1166"/>
        <w:rPr>
          <w:rFonts w:eastAsia="Times New Roman" w:cs="Times New Roman"/>
          <w:szCs w:val="24"/>
        </w:rPr>
      </w:pPr>
    </w:p>
    <w:p w:rsidR="002B2FF7" w:rsidRPr="002B2FF7" w:rsidRDefault="002B2FF7" w:rsidP="002B2FF7">
      <w:pPr>
        <w:spacing w:after="0" w:line="360" w:lineRule="auto"/>
        <w:ind w:left="1440" w:right="1166" w:hanging="1440"/>
        <w:rPr>
          <w:rFonts w:eastAsia="Times New Roman" w:cs="Times New Roman"/>
          <w:szCs w:val="24"/>
        </w:rPr>
      </w:pPr>
      <w:r w:rsidRPr="002B2FF7">
        <w:rPr>
          <w:rFonts w:eastAsia="Times New Roman" w:cs="Times New Roman"/>
          <w:szCs w:val="24"/>
        </w:rPr>
        <w:t>As relief, PECO requested dismissal of the Complaint.</w:t>
      </w:r>
    </w:p>
    <w:p w:rsidR="002B2FF7" w:rsidRPr="002B2FF7" w:rsidRDefault="002B2FF7" w:rsidP="002B2FF7">
      <w:pPr>
        <w:spacing w:after="0" w:line="360" w:lineRule="auto"/>
        <w:ind w:left="1440" w:right="1166" w:hanging="1440"/>
        <w:rPr>
          <w:rFonts w:eastAsia="Times New Roman" w:cs="Times New Roman"/>
          <w:szCs w:val="24"/>
        </w:rPr>
      </w:pPr>
    </w:p>
    <w:p w:rsidR="002B2FF7" w:rsidRPr="002B2FF7" w:rsidRDefault="002B2FF7" w:rsidP="002B2FF7">
      <w:pPr>
        <w:spacing w:after="0" w:line="360" w:lineRule="auto"/>
        <w:ind w:firstLine="1440"/>
        <w:rPr>
          <w:rFonts w:eastAsia="Times New Roman" w:cs="Times New Roman"/>
          <w:szCs w:val="24"/>
        </w:rPr>
      </w:pPr>
      <w:r w:rsidRPr="002B2FF7">
        <w:rPr>
          <w:rFonts w:eastAsia="Times New Roman" w:cs="Times New Roman"/>
          <w:szCs w:val="24"/>
        </w:rPr>
        <w:t xml:space="preserve">By Hearing Notice dated December 23, 2015, the Parties were informed that a call-in telephone hearing was scheduled before me on Tuesday, February 16, 2016, at 10:00 a.m.  On December 28, 2015, I issued a Prehearing Order informing the Parties about the applicable procedural rules for the hearing.  </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The call-in telephone hearing convened as scheduled on February 16, 2016.  However, due to technical difficulties with the telephone equipment, a further hearing was scheduled.  By Further Hearing Notice dated February 18, 2016, the Parties were informed that a further telephonic hearing was scheduled before me on Monday, April 4, 2016, at 10:00 a.m.</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 xml:space="preserve">The further telephonic hearing convened as scheduled.  Complainant was present and represented herself.  Ms. Sanders offered direct testimony.  She was cross-examined, but she did not sponsor any exhibits.  </w:t>
      </w:r>
    </w:p>
    <w:p w:rsidR="002B2FF7" w:rsidRPr="002B2FF7" w:rsidRDefault="002B2FF7" w:rsidP="002B2FF7">
      <w:pPr>
        <w:spacing w:after="0" w:line="360" w:lineRule="auto"/>
        <w:rPr>
          <w:rFonts w:eastAsia="Times New Roman" w:cs="Times New Roman"/>
          <w:szCs w:val="24"/>
        </w:rPr>
      </w:pPr>
    </w:p>
    <w:p w:rsidR="00377F05"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Shawane L. Lee, Esquire, represented PECO and called as witnesses, Michael Begley, a regulatory assessor, and Thomas Lerro, a high bill foreman.  PECO’s witnesses</w:t>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lastRenderedPageBreak/>
        <w:t xml:space="preserve">sponsored Exhibits 1 through 7, which were admitted into the record. </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ind w:firstLine="1440"/>
        <w:rPr>
          <w:rFonts w:eastAsia="Times New Roman" w:cs="Times New Roman"/>
          <w:snapToGrid w:val="0"/>
          <w:szCs w:val="24"/>
        </w:rPr>
      </w:pPr>
      <w:r w:rsidRPr="002B2FF7">
        <w:rPr>
          <w:rFonts w:eastAsia="Times New Roman" w:cs="Times New Roman"/>
          <w:snapToGrid w:val="0"/>
          <w:szCs w:val="24"/>
        </w:rPr>
        <w:t>The two hearings generated a combined transcript totaling 93 pages.  The transcript for the February 16, 2016 hearing was filed with the Commission’s Secretary’s Bureau (Secretary) on February 26, 2016.  The transcript for the April 4, 2016 hearing was filed with the Secretary on April 20, 2016, and received by me on May 3, 2016.  The record was closed by an interim order dated May 5, 2016.  This case is procedurally ready for decision.</w:t>
      </w:r>
    </w:p>
    <w:p w:rsidR="002B2FF7" w:rsidRPr="002B2FF7" w:rsidRDefault="002B2FF7" w:rsidP="002B2FF7">
      <w:pPr>
        <w:spacing w:after="0" w:line="360" w:lineRule="auto"/>
        <w:ind w:firstLine="1440"/>
        <w:rPr>
          <w:rFonts w:eastAsia="Times New Roman" w:cs="Times New Roman"/>
          <w:snapToGrid w:val="0"/>
          <w:szCs w:val="24"/>
        </w:rPr>
      </w:pPr>
    </w:p>
    <w:p w:rsidR="002B2FF7" w:rsidRPr="002B2FF7" w:rsidRDefault="002B2FF7" w:rsidP="002B2FF7">
      <w:pPr>
        <w:spacing w:after="0" w:line="360" w:lineRule="auto"/>
        <w:jc w:val="center"/>
        <w:rPr>
          <w:rFonts w:eastAsia="Times New Roman" w:cs="Times New Roman"/>
          <w:snapToGrid w:val="0"/>
          <w:szCs w:val="24"/>
          <w:u w:val="single"/>
        </w:rPr>
      </w:pPr>
      <w:r w:rsidRPr="002B2FF7">
        <w:rPr>
          <w:rFonts w:eastAsia="Times New Roman" w:cs="Times New Roman"/>
          <w:snapToGrid w:val="0"/>
          <w:szCs w:val="24"/>
          <w:u w:val="single"/>
        </w:rPr>
        <w:t>FINDINGS OF FACT</w:t>
      </w:r>
    </w:p>
    <w:p w:rsidR="002B2FF7" w:rsidRPr="002B2FF7" w:rsidRDefault="002B2FF7" w:rsidP="002B2FF7">
      <w:pPr>
        <w:spacing w:after="0" w:line="360" w:lineRule="auto"/>
        <w:rPr>
          <w:rFonts w:eastAsia="Times New Roman" w:cs="Times New Roman"/>
          <w:snapToGrid w:val="0"/>
          <w:szCs w:val="24"/>
        </w:rPr>
      </w:pPr>
    </w:p>
    <w:p w:rsidR="002B2FF7" w:rsidRPr="002B2FF7" w:rsidRDefault="002B2FF7" w:rsidP="002B2FF7">
      <w:pPr>
        <w:spacing w:after="0" w:line="360" w:lineRule="auto"/>
        <w:rPr>
          <w:rFonts w:eastAsia="Times New Roman" w:cs="Times New Roman"/>
          <w:snapToGrid w:val="0"/>
          <w:szCs w:val="24"/>
        </w:rPr>
      </w:pPr>
      <w:r w:rsidRPr="002B2FF7">
        <w:rPr>
          <w:rFonts w:eastAsia="Times New Roman" w:cs="Times New Roman"/>
          <w:snapToGrid w:val="0"/>
          <w:szCs w:val="24"/>
        </w:rPr>
        <w:t>A.</w:t>
      </w:r>
      <w:r w:rsidRPr="002B2FF7">
        <w:rPr>
          <w:rFonts w:eastAsia="Times New Roman" w:cs="Times New Roman"/>
          <w:snapToGrid w:val="0"/>
          <w:szCs w:val="24"/>
        </w:rPr>
        <w:tab/>
      </w:r>
      <w:r w:rsidRPr="002B2FF7">
        <w:rPr>
          <w:rFonts w:eastAsia="Times New Roman" w:cs="Times New Roman"/>
          <w:snapToGrid w:val="0"/>
          <w:szCs w:val="24"/>
          <w:u w:val="single"/>
        </w:rPr>
        <w:t>The Parties and Service Address Description</w:t>
      </w:r>
    </w:p>
    <w:p w:rsidR="002B2FF7" w:rsidRPr="002B2FF7" w:rsidRDefault="002B2FF7" w:rsidP="002B2FF7">
      <w:pPr>
        <w:spacing w:after="0" w:line="360" w:lineRule="auto"/>
        <w:rPr>
          <w:rFonts w:eastAsia="Times New Roman" w:cs="Times New Roman"/>
          <w:snapToGrid w:val="0"/>
          <w:szCs w:val="24"/>
        </w:rPr>
      </w:pPr>
    </w:p>
    <w:p w:rsidR="002B2FF7" w:rsidRPr="002B2FF7" w:rsidRDefault="002B2FF7" w:rsidP="002B2FF7">
      <w:pPr>
        <w:spacing w:after="0" w:line="360" w:lineRule="auto"/>
        <w:contextualSpacing/>
        <w:rPr>
          <w:rFonts w:eastAsia="Times New Roman" w:cs="Times New Roman"/>
          <w:snapToGrid w:val="0"/>
          <w:szCs w:val="24"/>
        </w:rPr>
      </w:pPr>
      <w:r w:rsidRPr="002B2FF7">
        <w:rPr>
          <w:rFonts w:eastAsia="Times New Roman" w:cs="Times New Roman"/>
          <w:snapToGrid w:val="0"/>
          <w:szCs w:val="24"/>
        </w:rPr>
        <w:tab/>
      </w:r>
      <w:r w:rsidRPr="002B2FF7">
        <w:rPr>
          <w:rFonts w:eastAsia="Times New Roman" w:cs="Times New Roman"/>
          <w:snapToGrid w:val="0"/>
          <w:szCs w:val="24"/>
        </w:rPr>
        <w:tab/>
        <w:t>1.</w:t>
      </w:r>
      <w:r w:rsidRPr="002B2FF7">
        <w:rPr>
          <w:rFonts w:eastAsia="Times New Roman" w:cs="Times New Roman"/>
          <w:snapToGrid w:val="0"/>
          <w:szCs w:val="24"/>
        </w:rPr>
        <w:tab/>
        <w:t>Complainant B. Elisa Sanders is a ratepayer of Respondent PECO for electric service at her residence, 1926 Berks Street, Philadelphia, Pennsylvania 19121 (service address).  Tr. 4.</w:t>
      </w:r>
    </w:p>
    <w:p w:rsidR="002B2FF7" w:rsidRPr="002B2FF7" w:rsidRDefault="002B2FF7" w:rsidP="002B2FF7">
      <w:pPr>
        <w:spacing w:after="0" w:line="360" w:lineRule="auto"/>
        <w:contextualSpacing/>
        <w:rPr>
          <w:rFonts w:eastAsia="Times New Roman" w:cs="Times New Roman"/>
          <w:snapToGrid w:val="0"/>
          <w:szCs w:val="24"/>
        </w:rPr>
      </w:pPr>
    </w:p>
    <w:p w:rsidR="002B2FF7" w:rsidRPr="002B2FF7" w:rsidRDefault="002B2FF7" w:rsidP="002B2FF7">
      <w:pPr>
        <w:spacing w:after="0" w:line="360" w:lineRule="auto"/>
        <w:ind w:firstLine="1440"/>
        <w:contextualSpacing/>
        <w:rPr>
          <w:rFonts w:eastAsia="Times New Roman" w:cs="Times New Roman"/>
          <w:snapToGrid w:val="0"/>
          <w:szCs w:val="24"/>
        </w:rPr>
      </w:pPr>
      <w:r w:rsidRPr="002B2FF7">
        <w:rPr>
          <w:rFonts w:eastAsia="Times New Roman" w:cs="Times New Roman"/>
          <w:snapToGrid w:val="0"/>
          <w:szCs w:val="24"/>
        </w:rPr>
        <w:t>2.</w:t>
      </w:r>
      <w:r w:rsidRPr="002B2FF7">
        <w:rPr>
          <w:rFonts w:eastAsia="Times New Roman" w:cs="Times New Roman"/>
          <w:snapToGrid w:val="0"/>
          <w:szCs w:val="24"/>
        </w:rPr>
        <w:tab/>
        <w:t xml:space="preserve">Respondent </w:t>
      </w:r>
      <w:r w:rsidRPr="002B2FF7">
        <w:rPr>
          <w:rFonts w:eastAsia="Times New Roman" w:cs="Times New Roman"/>
          <w:szCs w:val="24"/>
        </w:rPr>
        <w:t>PECO Energy Company i</w:t>
      </w:r>
      <w:r w:rsidRPr="002B2FF7">
        <w:rPr>
          <w:rFonts w:eastAsia="Times New Roman" w:cs="Times New Roman"/>
          <w:snapToGrid w:val="0"/>
          <w:szCs w:val="24"/>
        </w:rPr>
        <w:t>s a jurisdictional utility providing electric service to Pennsylvania customers.  Answer ¶¶ 1-2.</w:t>
      </w:r>
    </w:p>
    <w:p w:rsidR="002B2FF7" w:rsidRPr="002B2FF7" w:rsidRDefault="002B2FF7" w:rsidP="002B2FF7">
      <w:pPr>
        <w:spacing w:after="0" w:line="360" w:lineRule="auto"/>
        <w:rPr>
          <w:rFonts w:eastAsia="Times New Roman" w:cs="Times New Roman"/>
          <w:szCs w:val="24"/>
          <w:u w:val="single"/>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3.</w:t>
      </w:r>
      <w:r w:rsidRPr="002B2FF7">
        <w:rPr>
          <w:rFonts w:eastAsia="Times New Roman" w:cs="Times New Roman"/>
          <w:szCs w:val="24"/>
        </w:rPr>
        <w:tab/>
        <w:t xml:space="preserve">Ms. Sanders established service </w:t>
      </w:r>
      <w:r w:rsidR="00E367E1">
        <w:rPr>
          <w:rFonts w:eastAsia="Times New Roman" w:cs="Times New Roman"/>
          <w:szCs w:val="24"/>
        </w:rPr>
        <w:t>at</w:t>
      </w:r>
      <w:r w:rsidRPr="002B2FF7">
        <w:rPr>
          <w:rFonts w:eastAsia="Times New Roman" w:cs="Times New Roman"/>
          <w:szCs w:val="24"/>
        </w:rPr>
        <w:t xml:space="preserve"> the service address on March 14, 2014.  Tr. 40.</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4.</w:t>
      </w:r>
      <w:r w:rsidRPr="002B2FF7">
        <w:rPr>
          <w:rFonts w:eastAsia="Times New Roman" w:cs="Times New Roman"/>
          <w:szCs w:val="24"/>
        </w:rPr>
        <w:tab/>
        <w:t xml:space="preserve">The service address is a brick townhouse rental unit that has three stories and a basement. </w:t>
      </w:r>
      <w:r w:rsidR="00EA2C52">
        <w:rPr>
          <w:rFonts w:eastAsia="Times New Roman" w:cs="Times New Roman"/>
          <w:szCs w:val="24"/>
        </w:rPr>
        <w:t xml:space="preserve"> </w:t>
      </w:r>
      <w:r w:rsidRPr="002B2FF7">
        <w:rPr>
          <w:rFonts w:eastAsia="Times New Roman" w:cs="Times New Roman"/>
          <w:szCs w:val="24"/>
        </w:rPr>
        <w:t>The townhouse has a living room, four bedrooms, two bathrooms and a kitchen.  Tr. 16-17, 26.</w:t>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r w:rsidRPr="002B2FF7">
        <w:rPr>
          <w:rFonts w:eastAsia="Times New Roman" w:cs="Times New Roman"/>
          <w:szCs w:val="24"/>
        </w:rPr>
        <w:tab/>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5.</w:t>
      </w:r>
      <w:r w:rsidRPr="002B2FF7">
        <w:rPr>
          <w:rFonts w:eastAsia="Times New Roman" w:cs="Times New Roman"/>
          <w:szCs w:val="24"/>
        </w:rPr>
        <w:tab/>
        <w:t>The service address has a central air conditioning system.  Tr. 35.</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6.</w:t>
      </w:r>
      <w:r w:rsidRPr="002B2FF7">
        <w:rPr>
          <w:rFonts w:eastAsia="Times New Roman" w:cs="Times New Roman"/>
          <w:szCs w:val="24"/>
        </w:rPr>
        <w:tab/>
        <w:t>The appliance energy source for the service address is all electric.  Tr. 18.</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7.</w:t>
      </w:r>
      <w:r w:rsidRPr="002B2FF7">
        <w:rPr>
          <w:rFonts w:eastAsia="Times New Roman" w:cs="Times New Roman"/>
          <w:szCs w:val="24"/>
        </w:rPr>
        <w:tab/>
        <w:t xml:space="preserve">The service address has appliances with kilowatt (kWh) monthly potential </w:t>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lastRenderedPageBreak/>
        <w:t>use or consumption as follows:</w:t>
      </w:r>
    </w:p>
    <w:p w:rsidR="002B2FF7" w:rsidRPr="002B2FF7" w:rsidRDefault="002B2FF7" w:rsidP="002B2FF7">
      <w:pPr>
        <w:spacing w:after="0" w:line="360" w:lineRule="auto"/>
        <w:rPr>
          <w:rFonts w:eastAsia="Times New Roman" w:cs="Times New Roman"/>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718"/>
        <w:gridCol w:w="2160"/>
      </w:tblGrid>
      <w:tr w:rsidR="002B2FF7" w:rsidRPr="002B2FF7" w:rsidTr="000F73F8">
        <w:tc>
          <w:tcPr>
            <w:tcW w:w="2718" w:type="dxa"/>
            <w:tcBorders>
              <w:bottom w:val="double" w:sz="4" w:space="0" w:color="auto"/>
              <w:right w:val="single" w:sz="6" w:space="0" w:color="auto"/>
            </w:tcBorders>
            <w:vAlign w:val="center"/>
          </w:tcPr>
          <w:p w:rsidR="002B2FF7" w:rsidRPr="002B2FF7" w:rsidRDefault="002B2FF7" w:rsidP="002B2FF7">
            <w:pPr>
              <w:contextualSpacing/>
              <w:rPr>
                <w:sz w:val="24"/>
                <w:szCs w:val="24"/>
              </w:rPr>
            </w:pPr>
            <w:r w:rsidRPr="002B2FF7">
              <w:rPr>
                <w:sz w:val="24"/>
                <w:szCs w:val="24"/>
              </w:rPr>
              <w:t xml:space="preserve">Appliance </w:t>
            </w:r>
          </w:p>
        </w:tc>
        <w:tc>
          <w:tcPr>
            <w:tcW w:w="2160" w:type="dxa"/>
            <w:tcBorders>
              <w:left w:val="single" w:sz="6" w:space="0" w:color="auto"/>
              <w:bottom w:val="double" w:sz="4" w:space="0" w:color="auto"/>
              <w:right w:val="single" w:sz="6" w:space="0" w:color="auto"/>
            </w:tcBorders>
            <w:vAlign w:val="center"/>
          </w:tcPr>
          <w:p w:rsidR="002B2FF7" w:rsidRPr="002B2FF7" w:rsidRDefault="002B2FF7" w:rsidP="002B2FF7">
            <w:pPr>
              <w:contextualSpacing/>
              <w:rPr>
                <w:sz w:val="24"/>
                <w:szCs w:val="24"/>
              </w:rPr>
            </w:pPr>
            <w:r w:rsidRPr="002B2FF7">
              <w:rPr>
                <w:sz w:val="24"/>
                <w:szCs w:val="24"/>
              </w:rPr>
              <w:t>Average kWh</w:t>
            </w:r>
          </w:p>
          <w:p w:rsidR="002B2FF7" w:rsidRPr="002B2FF7" w:rsidRDefault="002B2FF7" w:rsidP="002B2FF7">
            <w:pPr>
              <w:contextualSpacing/>
              <w:rPr>
                <w:sz w:val="24"/>
                <w:szCs w:val="24"/>
              </w:rPr>
            </w:pPr>
            <w:r w:rsidRPr="002B2FF7">
              <w:rPr>
                <w:sz w:val="24"/>
                <w:szCs w:val="24"/>
              </w:rPr>
              <w:t>Monthly Use</w:t>
            </w:r>
          </w:p>
        </w:tc>
      </w:tr>
      <w:tr w:rsidR="002B2FF7" w:rsidRPr="002B2FF7" w:rsidTr="000F73F8">
        <w:tc>
          <w:tcPr>
            <w:tcW w:w="2718" w:type="dxa"/>
            <w:tcBorders>
              <w:top w:val="double" w:sz="4" w:space="0" w:color="auto"/>
            </w:tcBorders>
          </w:tcPr>
          <w:p w:rsidR="002B2FF7" w:rsidRPr="002B2FF7" w:rsidRDefault="002B2FF7" w:rsidP="002B2FF7">
            <w:pPr>
              <w:spacing w:line="360" w:lineRule="auto"/>
              <w:rPr>
                <w:sz w:val="24"/>
                <w:szCs w:val="24"/>
              </w:rPr>
            </w:pPr>
            <w:r w:rsidRPr="002B2FF7">
              <w:rPr>
                <w:sz w:val="24"/>
                <w:szCs w:val="24"/>
              </w:rPr>
              <w:t>Top/Bottom Refrigerator</w:t>
            </w:r>
          </w:p>
        </w:tc>
        <w:tc>
          <w:tcPr>
            <w:tcW w:w="2160" w:type="dxa"/>
            <w:tcBorders>
              <w:top w:val="double" w:sz="4" w:space="0" w:color="auto"/>
            </w:tcBorders>
          </w:tcPr>
          <w:p w:rsidR="002B2FF7" w:rsidRPr="002B2FF7" w:rsidRDefault="002B2FF7" w:rsidP="002B2FF7">
            <w:pPr>
              <w:spacing w:line="360" w:lineRule="auto"/>
              <w:rPr>
                <w:sz w:val="24"/>
                <w:szCs w:val="24"/>
              </w:rPr>
            </w:pPr>
            <w:r w:rsidRPr="002B2FF7">
              <w:rPr>
                <w:sz w:val="24"/>
                <w:szCs w:val="24"/>
              </w:rPr>
              <w:t>200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Upright Freezer</w:t>
            </w:r>
          </w:p>
        </w:tc>
        <w:tc>
          <w:tcPr>
            <w:tcW w:w="2160" w:type="dxa"/>
          </w:tcPr>
          <w:p w:rsidR="002B2FF7" w:rsidRPr="002B2FF7" w:rsidRDefault="002B2FF7" w:rsidP="002B2FF7">
            <w:pPr>
              <w:spacing w:line="360" w:lineRule="auto"/>
              <w:rPr>
                <w:sz w:val="24"/>
                <w:szCs w:val="24"/>
              </w:rPr>
            </w:pPr>
            <w:r w:rsidRPr="002B2FF7">
              <w:rPr>
                <w:sz w:val="24"/>
                <w:szCs w:val="24"/>
              </w:rPr>
              <w:t>210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Range</w:t>
            </w:r>
          </w:p>
        </w:tc>
        <w:tc>
          <w:tcPr>
            <w:tcW w:w="2160" w:type="dxa"/>
          </w:tcPr>
          <w:p w:rsidR="002B2FF7" w:rsidRPr="002B2FF7" w:rsidRDefault="002B2FF7" w:rsidP="002B2FF7">
            <w:pPr>
              <w:spacing w:line="360" w:lineRule="auto"/>
              <w:rPr>
                <w:sz w:val="24"/>
                <w:szCs w:val="24"/>
              </w:rPr>
            </w:pPr>
            <w:r w:rsidRPr="002B2FF7">
              <w:rPr>
                <w:sz w:val="24"/>
                <w:szCs w:val="24"/>
              </w:rPr>
              <w:t>150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Microwave Oven</w:t>
            </w:r>
          </w:p>
        </w:tc>
        <w:tc>
          <w:tcPr>
            <w:tcW w:w="2160" w:type="dxa"/>
          </w:tcPr>
          <w:p w:rsidR="002B2FF7" w:rsidRPr="002B2FF7" w:rsidRDefault="002B2FF7" w:rsidP="002B2FF7">
            <w:pPr>
              <w:spacing w:line="360" w:lineRule="auto"/>
              <w:rPr>
                <w:sz w:val="24"/>
                <w:szCs w:val="24"/>
              </w:rPr>
            </w:pPr>
            <w:r w:rsidRPr="002B2FF7">
              <w:rPr>
                <w:sz w:val="24"/>
                <w:szCs w:val="24"/>
              </w:rPr>
              <w:t>40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Washer</w:t>
            </w:r>
          </w:p>
        </w:tc>
        <w:tc>
          <w:tcPr>
            <w:tcW w:w="2160" w:type="dxa"/>
          </w:tcPr>
          <w:p w:rsidR="002B2FF7" w:rsidRPr="002B2FF7" w:rsidRDefault="002B2FF7" w:rsidP="002B2FF7">
            <w:pPr>
              <w:spacing w:line="360" w:lineRule="auto"/>
              <w:rPr>
                <w:sz w:val="24"/>
                <w:szCs w:val="24"/>
              </w:rPr>
            </w:pPr>
            <w:r w:rsidRPr="002B2FF7">
              <w:rPr>
                <w:sz w:val="24"/>
                <w:szCs w:val="24"/>
              </w:rPr>
              <w:t>10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Dryer</w:t>
            </w:r>
          </w:p>
        </w:tc>
        <w:tc>
          <w:tcPr>
            <w:tcW w:w="2160" w:type="dxa"/>
          </w:tcPr>
          <w:p w:rsidR="002B2FF7" w:rsidRPr="002B2FF7" w:rsidRDefault="002B2FF7" w:rsidP="002B2FF7">
            <w:pPr>
              <w:spacing w:line="360" w:lineRule="auto"/>
              <w:rPr>
                <w:sz w:val="24"/>
                <w:szCs w:val="24"/>
              </w:rPr>
            </w:pPr>
            <w:r w:rsidRPr="002B2FF7">
              <w:rPr>
                <w:sz w:val="24"/>
                <w:szCs w:val="24"/>
              </w:rPr>
              <w:t>110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Furnace Fan</w:t>
            </w:r>
          </w:p>
        </w:tc>
        <w:tc>
          <w:tcPr>
            <w:tcW w:w="2160" w:type="dxa"/>
          </w:tcPr>
          <w:p w:rsidR="002B2FF7" w:rsidRPr="002B2FF7" w:rsidRDefault="002B2FF7" w:rsidP="002B2FF7">
            <w:pPr>
              <w:spacing w:line="360" w:lineRule="auto"/>
              <w:rPr>
                <w:sz w:val="24"/>
                <w:szCs w:val="24"/>
              </w:rPr>
            </w:pPr>
            <w:r w:rsidRPr="002B2FF7">
              <w:rPr>
                <w:sz w:val="24"/>
                <w:szCs w:val="24"/>
              </w:rPr>
              <w:t>240</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Heat Pump</w:t>
            </w:r>
          </w:p>
        </w:tc>
        <w:tc>
          <w:tcPr>
            <w:tcW w:w="2160" w:type="dxa"/>
          </w:tcPr>
          <w:p w:rsidR="002B2FF7" w:rsidRPr="002B2FF7" w:rsidRDefault="002B2FF7" w:rsidP="002B2FF7">
            <w:pPr>
              <w:spacing w:line="360" w:lineRule="auto"/>
              <w:rPr>
                <w:sz w:val="24"/>
                <w:szCs w:val="24"/>
              </w:rPr>
            </w:pPr>
            <w:r w:rsidRPr="002B2FF7">
              <w:rPr>
                <w:sz w:val="24"/>
                <w:szCs w:val="24"/>
              </w:rPr>
              <w:t>8308</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40 Gallon Water Heater</w:t>
            </w:r>
          </w:p>
        </w:tc>
        <w:tc>
          <w:tcPr>
            <w:tcW w:w="2160" w:type="dxa"/>
          </w:tcPr>
          <w:p w:rsidR="002B2FF7" w:rsidRPr="002B2FF7" w:rsidRDefault="002B2FF7" w:rsidP="002B2FF7">
            <w:pPr>
              <w:spacing w:line="360" w:lineRule="auto"/>
              <w:rPr>
                <w:sz w:val="24"/>
                <w:szCs w:val="24"/>
              </w:rPr>
            </w:pPr>
            <w:r w:rsidRPr="002B2FF7">
              <w:rPr>
                <w:sz w:val="24"/>
                <w:szCs w:val="24"/>
              </w:rPr>
              <w:t>375</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Lighting for 6-8 Rooms</w:t>
            </w:r>
          </w:p>
        </w:tc>
        <w:tc>
          <w:tcPr>
            <w:tcW w:w="2160" w:type="dxa"/>
          </w:tcPr>
          <w:p w:rsidR="002B2FF7" w:rsidRPr="002B2FF7" w:rsidRDefault="002B2FF7" w:rsidP="002B2FF7">
            <w:pPr>
              <w:spacing w:line="360" w:lineRule="auto"/>
              <w:rPr>
                <w:sz w:val="24"/>
                <w:szCs w:val="24"/>
              </w:rPr>
            </w:pPr>
            <w:r w:rsidRPr="002B2FF7">
              <w:rPr>
                <w:sz w:val="24"/>
                <w:szCs w:val="24"/>
              </w:rPr>
              <w:t>67</w:t>
            </w:r>
          </w:p>
        </w:tc>
      </w:tr>
      <w:tr w:rsidR="002B2FF7" w:rsidRPr="002B2FF7" w:rsidTr="000F73F8">
        <w:tc>
          <w:tcPr>
            <w:tcW w:w="2718" w:type="dxa"/>
          </w:tcPr>
          <w:p w:rsidR="002B2FF7" w:rsidRPr="002B2FF7" w:rsidRDefault="002B2FF7" w:rsidP="002B2FF7">
            <w:pPr>
              <w:spacing w:line="360" w:lineRule="auto"/>
              <w:rPr>
                <w:sz w:val="24"/>
                <w:szCs w:val="24"/>
              </w:rPr>
            </w:pPr>
            <w:r w:rsidRPr="002B2FF7">
              <w:rPr>
                <w:sz w:val="24"/>
                <w:szCs w:val="24"/>
              </w:rPr>
              <w:t>Television</w:t>
            </w:r>
          </w:p>
        </w:tc>
        <w:tc>
          <w:tcPr>
            <w:tcW w:w="2160" w:type="dxa"/>
          </w:tcPr>
          <w:p w:rsidR="002B2FF7" w:rsidRPr="002B2FF7" w:rsidRDefault="002B2FF7" w:rsidP="002B2FF7">
            <w:pPr>
              <w:spacing w:line="360" w:lineRule="auto"/>
              <w:rPr>
                <w:sz w:val="24"/>
                <w:szCs w:val="24"/>
              </w:rPr>
            </w:pPr>
            <w:r w:rsidRPr="002B2FF7">
              <w:rPr>
                <w:sz w:val="24"/>
                <w:szCs w:val="24"/>
              </w:rPr>
              <w:t>48</w:t>
            </w:r>
          </w:p>
        </w:tc>
      </w:tr>
    </w:tbl>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240" w:lineRule="auto"/>
        <w:rPr>
          <w:rFonts w:eastAsia="Times New Roman" w:cs="Times New Roman"/>
          <w:szCs w:val="24"/>
        </w:rPr>
      </w:pPr>
      <w:r w:rsidRPr="002B2FF7">
        <w:rPr>
          <w:rFonts w:eastAsia="Times New Roman" w:cs="Times New Roman"/>
          <w:szCs w:val="24"/>
        </w:rPr>
        <w:tab/>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r w:rsidRPr="002B2FF7">
        <w:rPr>
          <w:rFonts w:eastAsia="Times New Roman" w:cs="Times New Roman"/>
          <w:szCs w:val="24"/>
        </w:rPr>
        <w:tab/>
        <w:t xml:space="preserve">    </w:t>
      </w:r>
    </w:p>
    <w:p w:rsidR="002B2FF7" w:rsidRPr="002B2FF7" w:rsidRDefault="002B2FF7" w:rsidP="002B2FF7">
      <w:pPr>
        <w:spacing w:after="0" w:line="240" w:lineRule="auto"/>
        <w:contextualSpacing/>
        <w:rPr>
          <w:rFonts w:eastAsia="Times New Roman" w:cs="Times New Roman"/>
          <w:szCs w:val="24"/>
        </w:rPr>
      </w:pPr>
    </w:p>
    <w:p w:rsidR="002B2FF7" w:rsidRPr="002B2FF7" w:rsidRDefault="002B2FF7" w:rsidP="002B2FF7">
      <w:pPr>
        <w:spacing w:after="0" w:line="240" w:lineRule="auto"/>
        <w:contextualSpacing/>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r w:rsidRPr="002B2FF7">
        <w:rPr>
          <w:rFonts w:eastAsia="Times New Roman" w:cs="Times New Roman"/>
          <w:szCs w:val="24"/>
        </w:rPr>
        <w:tab/>
        <w:t>Table 1</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Tr. 68; Exhibit 6.</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8.</w:t>
      </w:r>
      <w:r w:rsidRPr="002B2FF7">
        <w:rPr>
          <w:rFonts w:eastAsia="Times New Roman" w:cs="Times New Roman"/>
          <w:szCs w:val="24"/>
        </w:rPr>
        <w:tab/>
        <w:t>The service address has the potential to use between 9100 and 9506 kWh of electricity on a monthly average.  Tr. 67-69; Exhibit 6.</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9.</w:t>
      </w:r>
      <w:r w:rsidRPr="002B2FF7">
        <w:rPr>
          <w:rFonts w:eastAsia="Times New Roman" w:cs="Times New Roman"/>
          <w:szCs w:val="24"/>
        </w:rPr>
        <w:tab/>
        <w:t>When Ms. Sanders moved into the service address in early 2014 the heating system was not being maintained by the landlord.  Tr. 27.</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10.</w:t>
      </w:r>
      <w:r w:rsidRPr="002B2FF7">
        <w:rPr>
          <w:rFonts w:eastAsia="Times New Roman" w:cs="Times New Roman"/>
          <w:szCs w:val="24"/>
        </w:rPr>
        <w:tab/>
        <w:t>The filter for the heating system was changed by the landlord in April of 2015; this was the first time the filter was changed since Ms. Sanders moved into the townhouse in early 2014.  Tr. 73-74.</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11.</w:t>
      </w:r>
      <w:r w:rsidRPr="002B2FF7">
        <w:rPr>
          <w:rFonts w:eastAsia="Times New Roman" w:cs="Times New Roman"/>
          <w:szCs w:val="24"/>
        </w:rPr>
        <w:tab/>
        <w:t>In December 2015 the thermostat for service address was changed.  Tr. 28.</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lastRenderedPageBreak/>
        <w:tab/>
      </w:r>
      <w:r w:rsidRPr="002B2FF7">
        <w:rPr>
          <w:rFonts w:eastAsia="Times New Roman" w:cs="Times New Roman"/>
          <w:szCs w:val="24"/>
        </w:rPr>
        <w:tab/>
        <w:t>12.</w:t>
      </w:r>
      <w:r w:rsidRPr="002B2FF7">
        <w:rPr>
          <w:rFonts w:eastAsia="Times New Roman" w:cs="Times New Roman"/>
          <w:szCs w:val="24"/>
        </w:rPr>
        <w:tab/>
        <w:t>In December 2015 an organization weatherized the service address by adding ins</w:t>
      </w:r>
      <w:r w:rsidR="00E367E1">
        <w:rPr>
          <w:rFonts w:eastAsia="Times New Roman" w:cs="Times New Roman"/>
          <w:szCs w:val="24"/>
        </w:rPr>
        <w:t>u</w:t>
      </w:r>
      <w:r w:rsidRPr="002B2FF7">
        <w:rPr>
          <w:rFonts w:eastAsia="Times New Roman" w:cs="Times New Roman"/>
          <w:szCs w:val="24"/>
        </w:rPr>
        <w:t>lation to the windows and doors of the townhouse.  Tr. 28, 88.</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13.</w:t>
      </w:r>
      <w:r w:rsidRPr="002B2FF7">
        <w:rPr>
          <w:rFonts w:eastAsia="Times New Roman" w:cs="Times New Roman"/>
          <w:szCs w:val="24"/>
        </w:rPr>
        <w:tab/>
        <w:t xml:space="preserve"> The lack of proper maintenance of the heating system for the service address increase</w:t>
      </w:r>
      <w:r w:rsidR="00E367E1">
        <w:rPr>
          <w:rFonts w:eastAsia="Times New Roman" w:cs="Times New Roman"/>
          <w:szCs w:val="24"/>
        </w:rPr>
        <w:t>d</w:t>
      </w:r>
      <w:r w:rsidRPr="002B2FF7">
        <w:rPr>
          <w:rFonts w:eastAsia="Times New Roman" w:cs="Times New Roman"/>
          <w:szCs w:val="24"/>
        </w:rPr>
        <w:t xml:space="preserve"> the hours of operation of the heating system.  Tr. 70-73.</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u w:val="single"/>
        </w:rPr>
      </w:pPr>
      <w:r w:rsidRPr="002B2FF7">
        <w:rPr>
          <w:rFonts w:eastAsia="Times New Roman" w:cs="Times New Roman"/>
          <w:szCs w:val="24"/>
        </w:rPr>
        <w:t>B.</w:t>
      </w:r>
      <w:r w:rsidRPr="002B2FF7">
        <w:rPr>
          <w:rFonts w:eastAsia="Times New Roman" w:cs="Times New Roman"/>
          <w:szCs w:val="24"/>
        </w:rPr>
        <w:tab/>
      </w:r>
      <w:r w:rsidRPr="002B2FF7">
        <w:rPr>
          <w:rFonts w:eastAsia="Times New Roman" w:cs="Times New Roman"/>
          <w:szCs w:val="24"/>
          <w:u w:val="single"/>
        </w:rPr>
        <w:t>Customer Assistance Program</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14.</w:t>
      </w:r>
      <w:r w:rsidRPr="002B2FF7">
        <w:rPr>
          <w:rFonts w:eastAsia="Times New Roman" w:cs="Times New Roman"/>
          <w:szCs w:val="24"/>
        </w:rPr>
        <w:tab/>
        <w:t>Prior to receiving electricity at the service address, Ms. Sanders was a customer of PECO at 938 Marcella Street, Philadelphia, Pennsylvania 19124 (Marcella Street).  Tr. 40; Exhibit 2.</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i/>
          <w:szCs w:val="24"/>
        </w:rPr>
      </w:pPr>
      <w:r w:rsidRPr="002B2FF7">
        <w:rPr>
          <w:rFonts w:eastAsia="Times New Roman" w:cs="Times New Roman"/>
          <w:szCs w:val="24"/>
        </w:rPr>
        <w:tab/>
      </w:r>
      <w:r w:rsidRPr="002B2FF7">
        <w:rPr>
          <w:rFonts w:eastAsia="Times New Roman" w:cs="Times New Roman"/>
          <w:szCs w:val="24"/>
        </w:rPr>
        <w:tab/>
        <w:t>15.</w:t>
      </w:r>
      <w:r w:rsidRPr="002B2FF7">
        <w:rPr>
          <w:rFonts w:eastAsia="Times New Roman" w:cs="Times New Roman"/>
          <w:szCs w:val="24"/>
        </w:rPr>
        <w:tab/>
        <w:t xml:space="preserve">On March 10, 2010, while residing at Marcella Street, Ms. Sanders was enrolled in PECO’s Customer Assistance Program (CAP) at Tier C based on a monthly income of $501.00 for two adults and two children.  </w:t>
      </w:r>
      <w:r w:rsidRPr="002B2FF7">
        <w:rPr>
          <w:rFonts w:eastAsia="Times New Roman" w:cs="Times New Roman"/>
          <w:i/>
          <w:szCs w:val="24"/>
        </w:rPr>
        <w:t xml:space="preserve">Id. </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16.</w:t>
      </w:r>
      <w:r w:rsidRPr="002B2FF7">
        <w:rPr>
          <w:rFonts w:eastAsia="Times New Roman" w:cs="Times New Roman"/>
          <w:szCs w:val="24"/>
        </w:rPr>
        <w:tab/>
        <w:t xml:space="preserve">When Ms. Sanders left Marcella Street </w:t>
      </w:r>
      <w:r w:rsidR="00E367E1">
        <w:rPr>
          <w:rFonts w:eastAsia="Times New Roman" w:cs="Times New Roman"/>
          <w:szCs w:val="24"/>
        </w:rPr>
        <w:t xml:space="preserve">in April 2014 </w:t>
      </w:r>
      <w:r w:rsidRPr="002B2FF7">
        <w:rPr>
          <w:rFonts w:eastAsia="Times New Roman" w:cs="Times New Roman"/>
          <w:szCs w:val="24"/>
        </w:rPr>
        <w:t>her CAP balance in the amount of $450.30 was transferred to her service address account.  Tr. 40-42</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17.</w:t>
      </w:r>
      <w:r w:rsidRPr="002B2FF7">
        <w:rPr>
          <w:rFonts w:eastAsia="Times New Roman" w:cs="Times New Roman"/>
          <w:szCs w:val="24"/>
        </w:rPr>
        <w:tab/>
        <w:t>For the service address, PECO billed Ms. Sanders at the CAP rate from April 2014 to December 17, 2014.  Tr. 41.</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i/>
          <w:szCs w:val="24"/>
        </w:rPr>
      </w:pPr>
      <w:r w:rsidRPr="002B2FF7">
        <w:rPr>
          <w:rFonts w:eastAsia="Times New Roman" w:cs="Times New Roman"/>
          <w:szCs w:val="24"/>
        </w:rPr>
        <w:tab/>
      </w:r>
      <w:r w:rsidRPr="002B2FF7">
        <w:rPr>
          <w:rFonts w:eastAsia="Times New Roman" w:cs="Times New Roman"/>
          <w:szCs w:val="24"/>
        </w:rPr>
        <w:tab/>
        <w:t>18.</w:t>
      </w:r>
      <w:r w:rsidRPr="002B2FF7">
        <w:rPr>
          <w:rFonts w:eastAsia="Times New Roman" w:cs="Times New Roman"/>
          <w:szCs w:val="24"/>
        </w:rPr>
        <w:tab/>
        <w:t xml:space="preserve">PECO removed Ms. Sanders from CAP because she did not respond to recertification letters mailed to her on October 31, 2014 and November 17, 2014.  </w:t>
      </w:r>
      <w:r w:rsidRPr="002B2FF7">
        <w:rPr>
          <w:rFonts w:eastAsia="Times New Roman" w:cs="Times New Roman"/>
          <w:i/>
          <w:szCs w:val="24"/>
        </w:rPr>
        <w:t>Id.</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19.</w:t>
      </w:r>
      <w:r w:rsidRPr="002B2FF7">
        <w:rPr>
          <w:rFonts w:eastAsia="Times New Roman" w:cs="Times New Roman"/>
          <w:szCs w:val="24"/>
        </w:rPr>
        <w:tab/>
        <w:t>On January 28, 2015, PECO reenrolled Ms. Sanders in its CAP at Tier D based on a monthly household income of $1,071.10 for two adults and two children.  Tr. 42, 55.</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20.</w:t>
      </w:r>
      <w:r w:rsidRPr="002B2FF7">
        <w:rPr>
          <w:rFonts w:eastAsia="Times New Roman" w:cs="Times New Roman"/>
          <w:szCs w:val="24"/>
        </w:rPr>
        <w:tab/>
        <w:t>Ms. Sanders remains enrolled in CAP</w:t>
      </w:r>
      <w:r w:rsidR="000C777B">
        <w:rPr>
          <w:rFonts w:eastAsia="Times New Roman" w:cs="Times New Roman"/>
          <w:szCs w:val="24"/>
        </w:rPr>
        <w:t>;</w:t>
      </w:r>
      <w:r w:rsidRPr="002B2FF7">
        <w:rPr>
          <w:rFonts w:eastAsia="Times New Roman" w:cs="Times New Roman"/>
          <w:szCs w:val="24"/>
        </w:rPr>
        <w:t xml:space="preserve"> her electric service is on</w:t>
      </w:r>
      <w:r w:rsidR="000C777B">
        <w:rPr>
          <w:rFonts w:eastAsia="Times New Roman" w:cs="Times New Roman"/>
          <w:szCs w:val="24"/>
        </w:rPr>
        <w:t>;</w:t>
      </w:r>
      <w:r w:rsidRPr="002B2FF7">
        <w:rPr>
          <w:rFonts w:eastAsia="Times New Roman" w:cs="Times New Roman"/>
          <w:szCs w:val="24"/>
        </w:rPr>
        <w:t xml:space="preserve"> and her current account balance is $6,884.48, all of which are CAP charges.  Tr. 42, 53.</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u w:val="single"/>
        </w:rPr>
      </w:pPr>
      <w:r w:rsidRPr="002B2FF7">
        <w:rPr>
          <w:rFonts w:eastAsia="Times New Roman" w:cs="Times New Roman"/>
          <w:szCs w:val="24"/>
        </w:rPr>
        <w:lastRenderedPageBreak/>
        <w:t>C.</w:t>
      </w:r>
      <w:r w:rsidRPr="002B2FF7">
        <w:rPr>
          <w:rFonts w:eastAsia="Times New Roman" w:cs="Times New Roman"/>
          <w:szCs w:val="24"/>
        </w:rPr>
        <w:tab/>
      </w:r>
      <w:r w:rsidRPr="002B2FF7">
        <w:rPr>
          <w:rFonts w:eastAsia="Times New Roman" w:cs="Times New Roman"/>
          <w:szCs w:val="24"/>
          <w:u w:val="single"/>
        </w:rPr>
        <w:t>Winter Season Electric Usage 2015 and  2016</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21.</w:t>
      </w:r>
      <w:r w:rsidRPr="002B2FF7">
        <w:rPr>
          <w:rFonts w:eastAsia="Times New Roman" w:cs="Times New Roman"/>
          <w:szCs w:val="24"/>
        </w:rPr>
        <w:tab/>
        <w:t xml:space="preserve">Ms. Sanders considers her summer utility bills </w:t>
      </w:r>
      <w:r w:rsidR="00E367E1">
        <w:rPr>
          <w:rFonts w:eastAsia="Times New Roman" w:cs="Times New Roman"/>
          <w:szCs w:val="24"/>
        </w:rPr>
        <w:t>to be</w:t>
      </w:r>
      <w:r w:rsidRPr="002B2FF7">
        <w:rPr>
          <w:rFonts w:eastAsia="Times New Roman" w:cs="Times New Roman"/>
          <w:szCs w:val="24"/>
        </w:rPr>
        <w:t xml:space="preserve"> affordable; she is only disputing her winter bills.  Tr. 41.</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w:t>
      </w:r>
      <w:r w:rsidR="00E73FD1">
        <w:rPr>
          <w:rFonts w:eastAsia="Times New Roman" w:cs="Times New Roman"/>
          <w:szCs w:val="24"/>
        </w:rPr>
        <w:t>2</w:t>
      </w:r>
      <w:r w:rsidRPr="002B2FF7">
        <w:rPr>
          <w:rFonts w:eastAsia="Times New Roman" w:cs="Times New Roman"/>
          <w:szCs w:val="24"/>
        </w:rPr>
        <w:t>.</w:t>
      </w:r>
      <w:r w:rsidRPr="002B2FF7">
        <w:rPr>
          <w:rFonts w:eastAsia="Times New Roman" w:cs="Times New Roman"/>
          <w:szCs w:val="24"/>
        </w:rPr>
        <w:tab/>
        <w:t xml:space="preserve">Ms. Sanders’ electric usage and costs (excluding late charges) at the CAP rate for the periods November 2014 to January 2015 and November 2015 to January 2016 compare as follows: </w:t>
      </w:r>
    </w:p>
    <w:p w:rsidR="002B2FF7" w:rsidRPr="002B2FF7" w:rsidRDefault="002B2FF7" w:rsidP="002B2FF7">
      <w:pPr>
        <w:spacing w:after="0" w:line="360" w:lineRule="auto"/>
        <w:jc w:val="center"/>
        <w:rPr>
          <w:rFonts w:eastAsia="Times New Roman" w:cs="Times New Roman"/>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178"/>
        <w:gridCol w:w="828"/>
        <w:gridCol w:w="1176"/>
        <w:gridCol w:w="2036"/>
        <w:gridCol w:w="1231"/>
        <w:gridCol w:w="1839"/>
      </w:tblGrid>
      <w:tr w:rsidR="002B2FF7" w:rsidRPr="002B2FF7" w:rsidTr="000F73F8">
        <w:tc>
          <w:tcPr>
            <w:tcW w:w="2178" w:type="dxa"/>
            <w:tcBorders>
              <w:bottom w:val="double" w:sz="4" w:space="0" w:color="auto"/>
              <w:right w:val="single" w:sz="6" w:space="0" w:color="auto"/>
            </w:tcBorders>
            <w:vAlign w:val="center"/>
          </w:tcPr>
          <w:p w:rsidR="002B2FF7" w:rsidRPr="002B2FF7" w:rsidRDefault="002B2FF7" w:rsidP="002B2FF7">
            <w:pPr>
              <w:contextualSpacing/>
              <w:jc w:val="center"/>
              <w:rPr>
                <w:sz w:val="24"/>
                <w:szCs w:val="24"/>
              </w:rPr>
            </w:pPr>
            <w:r w:rsidRPr="002B2FF7">
              <w:rPr>
                <w:sz w:val="24"/>
                <w:szCs w:val="24"/>
              </w:rPr>
              <w:t>Months</w:t>
            </w:r>
          </w:p>
        </w:tc>
        <w:tc>
          <w:tcPr>
            <w:tcW w:w="828" w:type="dxa"/>
            <w:tcBorders>
              <w:bottom w:val="double" w:sz="4" w:space="0" w:color="auto"/>
              <w:right w:val="single" w:sz="6" w:space="0" w:color="auto"/>
            </w:tcBorders>
          </w:tcPr>
          <w:p w:rsidR="002B2FF7" w:rsidRPr="002B2FF7" w:rsidRDefault="002B2FF7" w:rsidP="002B2FF7">
            <w:pPr>
              <w:contextualSpacing/>
              <w:jc w:val="center"/>
              <w:rPr>
                <w:sz w:val="24"/>
                <w:szCs w:val="24"/>
              </w:rPr>
            </w:pPr>
            <w:r w:rsidRPr="002B2FF7">
              <w:rPr>
                <w:sz w:val="24"/>
                <w:szCs w:val="24"/>
              </w:rPr>
              <w:t>kWhs</w:t>
            </w:r>
          </w:p>
        </w:tc>
        <w:tc>
          <w:tcPr>
            <w:tcW w:w="1176" w:type="dxa"/>
            <w:tcBorders>
              <w:left w:val="single" w:sz="6" w:space="0" w:color="auto"/>
              <w:bottom w:val="double" w:sz="4" w:space="0" w:color="auto"/>
              <w:right w:val="triple" w:sz="4" w:space="0" w:color="auto"/>
            </w:tcBorders>
            <w:vAlign w:val="center"/>
          </w:tcPr>
          <w:p w:rsidR="002B2FF7" w:rsidRPr="002B2FF7" w:rsidRDefault="002B2FF7" w:rsidP="002B2FF7">
            <w:pPr>
              <w:contextualSpacing/>
              <w:jc w:val="center"/>
              <w:rPr>
                <w:sz w:val="24"/>
                <w:szCs w:val="24"/>
              </w:rPr>
            </w:pPr>
            <w:r w:rsidRPr="002B2FF7">
              <w:rPr>
                <w:sz w:val="24"/>
                <w:szCs w:val="24"/>
              </w:rPr>
              <w:t>Charge</w:t>
            </w:r>
          </w:p>
        </w:tc>
        <w:tc>
          <w:tcPr>
            <w:tcW w:w="2036" w:type="dxa"/>
            <w:tcBorders>
              <w:left w:val="triple" w:sz="4" w:space="0" w:color="auto"/>
              <w:bottom w:val="double" w:sz="4" w:space="0" w:color="auto"/>
              <w:right w:val="single" w:sz="6" w:space="0" w:color="auto"/>
            </w:tcBorders>
          </w:tcPr>
          <w:p w:rsidR="002B2FF7" w:rsidRPr="002B2FF7" w:rsidRDefault="002B2FF7" w:rsidP="002B2FF7">
            <w:pPr>
              <w:contextualSpacing/>
              <w:jc w:val="center"/>
              <w:rPr>
                <w:sz w:val="24"/>
                <w:szCs w:val="24"/>
              </w:rPr>
            </w:pPr>
            <w:r w:rsidRPr="002B2FF7">
              <w:rPr>
                <w:sz w:val="24"/>
                <w:szCs w:val="24"/>
              </w:rPr>
              <w:t>Months</w:t>
            </w:r>
          </w:p>
        </w:tc>
        <w:tc>
          <w:tcPr>
            <w:tcW w:w="1231" w:type="dxa"/>
            <w:tcBorders>
              <w:left w:val="single" w:sz="6" w:space="0" w:color="auto"/>
              <w:bottom w:val="double" w:sz="4" w:space="0" w:color="auto"/>
              <w:right w:val="single" w:sz="6" w:space="0" w:color="auto"/>
            </w:tcBorders>
          </w:tcPr>
          <w:p w:rsidR="002B2FF7" w:rsidRPr="002B2FF7" w:rsidRDefault="002B2FF7" w:rsidP="002B2FF7">
            <w:pPr>
              <w:contextualSpacing/>
              <w:jc w:val="center"/>
              <w:rPr>
                <w:sz w:val="24"/>
                <w:szCs w:val="24"/>
              </w:rPr>
            </w:pPr>
            <w:r w:rsidRPr="002B2FF7">
              <w:rPr>
                <w:sz w:val="24"/>
                <w:szCs w:val="24"/>
              </w:rPr>
              <w:t>kWhs</w:t>
            </w:r>
          </w:p>
        </w:tc>
        <w:tc>
          <w:tcPr>
            <w:tcW w:w="1839" w:type="dxa"/>
            <w:tcBorders>
              <w:left w:val="single" w:sz="6" w:space="0" w:color="auto"/>
              <w:bottom w:val="double" w:sz="4" w:space="0" w:color="auto"/>
              <w:right w:val="single" w:sz="6" w:space="0" w:color="auto"/>
            </w:tcBorders>
          </w:tcPr>
          <w:p w:rsidR="002B2FF7" w:rsidRPr="002B2FF7" w:rsidRDefault="002B2FF7" w:rsidP="002B2FF7">
            <w:pPr>
              <w:contextualSpacing/>
              <w:jc w:val="center"/>
              <w:rPr>
                <w:sz w:val="24"/>
                <w:szCs w:val="24"/>
              </w:rPr>
            </w:pPr>
            <w:r w:rsidRPr="002B2FF7">
              <w:rPr>
                <w:sz w:val="24"/>
                <w:szCs w:val="24"/>
              </w:rPr>
              <w:t>Charge</w:t>
            </w:r>
          </w:p>
        </w:tc>
      </w:tr>
      <w:tr w:rsidR="002B2FF7" w:rsidRPr="002B2FF7" w:rsidTr="000F73F8">
        <w:tc>
          <w:tcPr>
            <w:tcW w:w="2178" w:type="dxa"/>
            <w:tcBorders>
              <w:top w:val="doub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November  2014</w:t>
            </w:r>
          </w:p>
        </w:tc>
        <w:tc>
          <w:tcPr>
            <w:tcW w:w="828" w:type="dxa"/>
            <w:tcBorders>
              <w:top w:val="doub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1895</w:t>
            </w:r>
          </w:p>
        </w:tc>
        <w:tc>
          <w:tcPr>
            <w:tcW w:w="1176" w:type="dxa"/>
            <w:tcBorders>
              <w:top w:val="double" w:sz="4" w:space="0" w:color="auto"/>
              <w:righ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   69.89</w:t>
            </w:r>
          </w:p>
        </w:tc>
        <w:tc>
          <w:tcPr>
            <w:tcW w:w="2036" w:type="dxa"/>
            <w:tcBorders>
              <w:top w:val="double" w:sz="4" w:space="0" w:color="auto"/>
              <w:lef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November 2015</w:t>
            </w:r>
          </w:p>
        </w:tc>
        <w:tc>
          <w:tcPr>
            <w:tcW w:w="1231" w:type="dxa"/>
            <w:tcBorders>
              <w:top w:val="doub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1022</w:t>
            </w:r>
          </w:p>
        </w:tc>
        <w:tc>
          <w:tcPr>
            <w:tcW w:w="1839" w:type="dxa"/>
            <w:tcBorders>
              <w:top w:val="doub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  71.76</w:t>
            </w:r>
          </w:p>
        </w:tc>
      </w:tr>
      <w:tr w:rsidR="002B2FF7" w:rsidRPr="002B2FF7" w:rsidTr="000F73F8">
        <w:tc>
          <w:tcPr>
            <w:tcW w:w="2178" w:type="dxa"/>
            <w:vAlign w:val="center"/>
          </w:tcPr>
          <w:p w:rsidR="002B2FF7" w:rsidRPr="002B2FF7" w:rsidRDefault="002B2FF7" w:rsidP="002B2FF7">
            <w:pPr>
              <w:spacing w:line="360" w:lineRule="auto"/>
              <w:jc w:val="center"/>
              <w:rPr>
                <w:sz w:val="24"/>
                <w:szCs w:val="24"/>
              </w:rPr>
            </w:pPr>
            <w:r w:rsidRPr="002B2FF7">
              <w:rPr>
                <w:sz w:val="24"/>
                <w:szCs w:val="24"/>
              </w:rPr>
              <w:t>December  2014</w:t>
            </w:r>
          </w:p>
        </w:tc>
        <w:tc>
          <w:tcPr>
            <w:tcW w:w="828" w:type="dxa"/>
            <w:vAlign w:val="center"/>
          </w:tcPr>
          <w:p w:rsidR="002B2FF7" w:rsidRPr="002B2FF7" w:rsidRDefault="002B2FF7" w:rsidP="002B2FF7">
            <w:pPr>
              <w:spacing w:line="360" w:lineRule="auto"/>
              <w:jc w:val="center"/>
              <w:rPr>
                <w:sz w:val="24"/>
                <w:szCs w:val="24"/>
              </w:rPr>
            </w:pPr>
            <w:r w:rsidRPr="002B2FF7">
              <w:rPr>
                <w:sz w:val="24"/>
                <w:szCs w:val="24"/>
              </w:rPr>
              <w:t>7765</w:t>
            </w:r>
          </w:p>
        </w:tc>
        <w:tc>
          <w:tcPr>
            <w:tcW w:w="1176" w:type="dxa"/>
            <w:tcBorders>
              <w:righ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  849.34</w:t>
            </w:r>
          </w:p>
        </w:tc>
        <w:tc>
          <w:tcPr>
            <w:tcW w:w="2036" w:type="dxa"/>
            <w:tcBorders>
              <w:lef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December 2015</w:t>
            </w:r>
          </w:p>
        </w:tc>
        <w:tc>
          <w:tcPr>
            <w:tcW w:w="1231" w:type="dxa"/>
            <w:vAlign w:val="center"/>
          </w:tcPr>
          <w:p w:rsidR="002B2FF7" w:rsidRPr="002B2FF7" w:rsidRDefault="002B2FF7" w:rsidP="002B2FF7">
            <w:pPr>
              <w:spacing w:line="360" w:lineRule="auto"/>
              <w:jc w:val="center"/>
              <w:rPr>
                <w:sz w:val="24"/>
                <w:szCs w:val="24"/>
              </w:rPr>
            </w:pPr>
            <w:r w:rsidRPr="002B2FF7">
              <w:rPr>
                <w:sz w:val="24"/>
                <w:szCs w:val="24"/>
              </w:rPr>
              <w:t>3217</w:t>
            </w:r>
          </w:p>
        </w:tc>
        <w:tc>
          <w:tcPr>
            <w:tcW w:w="1839" w:type="dxa"/>
            <w:vAlign w:val="center"/>
          </w:tcPr>
          <w:p w:rsidR="002B2FF7" w:rsidRPr="002B2FF7" w:rsidRDefault="002B2FF7" w:rsidP="002B2FF7">
            <w:pPr>
              <w:spacing w:line="360" w:lineRule="auto"/>
              <w:jc w:val="center"/>
              <w:rPr>
                <w:sz w:val="24"/>
                <w:szCs w:val="24"/>
              </w:rPr>
            </w:pPr>
            <w:r w:rsidRPr="002B2FF7">
              <w:rPr>
                <w:sz w:val="24"/>
                <w:szCs w:val="24"/>
              </w:rPr>
              <w:t>$324.37</w:t>
            </w:r>
          </w:p>
        </w:tc>
      </w:tr>
      <w:tr w:rsidR="002B2FF7" w:rsidRPr="002B2FF7" w:rsidTr="000F73F8">
        <w:tc>
          <w:tcPr>
            <w:tcW w:w="2178" w:type="dxa"/>
            <w:vAlign w:val="center"/>
          </w:tcPr>
          <w:p w:rsidR="002B2FF7" w:rsidRPr="002B2FF7" w:rsidRDefault="002B2FF7" w:rsidP="002B2FF7">
            <w:pPr>
              <w:spacing w:line="360" w:lineRule="auto"/>
              <w:jc w:val="center"/>
              <w:rPr>
                <w:sz w:val="24"/>
                <w:szCs w:val="24"/>
              </w:rPr>
            </w:pPr>
            <w:r w:rsidRPr="002B2FF7">
              <w:rPr>
                <w:sz w:val="24"/>
                <w:szCs w:val="24"/>
              </w:rPr>
              <w:t>January      2015</w:t>
            </w:r>
          </w:p>
        </w:tc>
        <w:tc>
          <w:tcPr>
            <w:tcW w:w="828" w:type="dxa"/>
            <w:vAlign w:val="center"/>
          </w:tcPr>
          <w:p w:rsidR="002B2FF7" w:rsidRPr="002B2FF7" w:rsidRDefault="002B2FF7" w:rsidP="002B2FF7">
            <w:pPr>
              <w:spacing w:line="360" w:lineRule="auto"/>
              <w:jc w:val="center"/>
              <w:rPr>
                <w:sz w:val="24"/>
                <w:szCs w:val="24"/>
              </w:rPr>
            </w:pPr>
            <w:r w:rsidRPr="002B2FF7">
              <w:rPr>
                <w:sz w:val="24"/>
                <w:szCs w:val="24"/>
              </w:rPr>
              <w:t>8985</w:t>
            </w:r>
          </w:p>
        </w:tc>
        <w:tc>
          <w:tcPr>
            <w:tcW w:w="1176" w:type="dxa"/>
            <w:tcBorders>
              <w:righ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$1,193.03</w:t>
            </w:r>
          </w:p>
        </w:tc>
        <w:tc>
          <w:tcPr>
            <w:tcW w:w="2036" w:type="dxa"/>
            <w:tcBorders>
              <w:left w:val="triple" w:sz="4" w:space="0" w:color="auto"/>
            </w:tcBorders>
            <w:vAlign w:val="center"/>
          </w:tcPr>
          <w:p w:rsidR="002B2FF7" w:rsidRPr="002B2FF7" w:rsidRDefault="002B2FF7" w:rsidP="002B2FF7">
            <w:pPr>
              <w:spacing w:line="360" w:lineRule="auto"/>
              <w:jc w:val="center"/>
              <w:rPr>
                <w:sz w:val="24"/>
                <w:szCs w:val="24"/>
              </w:rPr>
            </w:pPr>
            <w:r w:rsidRPr="002B2FF7">
              <w:rPr>
                <w:sz w:val="24"/>
                <w:szCs w:val="24"/>
              </w:rPr>
              <w:t>January     2016</w:t>
            </w:r>
          </w:p>
        </w:tc>
        <w:tc>
          <w:tcPr>
            <w:tcW w:w="1231" w:type="dxa"/>
            <w:vAlign w:val="center"/>
          </w:tcPr>
          <w:p w:rsidR="002B2FF7" w:rsidRPr="002B2FF7" w:rsidRDefault="002B2FF7" w:rsidP="002B2FF7">
            <w:pPr>
              <w:spacing w:line="360" w:lineRule="auto"/>
              <w:jc w:val="center"/>
              <w:rPr>
                <w:sz w:val="24"/>
                <w:szCs w:val="24"/>
              </w:rPr>
            </w:pPr>
            <w:r w:rsidRPr="002B2FF7">
              <w:rPr>
                <w:sz w:val="24"/>
                <w:szCs w:val="24"/>
              </w:rPr>
              <w:t>4365</w:t>
            </w:r>
          </w:p>
        </w:tc>
        <w:tc>
          <w:tcPr>
            <w:tcW w:w="1839" w:type="dxa"/>
            <w:vAlign w:val="center"/>
          </w:tcPr>
          <w:p w:rsidR="002B2FF7" w:rsidRPr="002B2FF7" w:rsidRDefault="002B2FF7" w:rsidP="002B2FF7">
            <w:pPr>
              <w:spacing w:line="360" w:lineRule="auto"/>
              <w:jc w:val="center"/>
              <w:rPr>
                <w:sz w:val="24"/>
                <w:szCs w:val="24"/>
              </w:rPr>
            </w:pPr>
            <w:r w:rsidRPr="002B2FF7">
              <w:rPr>
                <w:sz w:val="24"/>
                <w:szCs w:val="24"/>
              </w:rPr>
              <w:t>$464.92</w:t>
            </w:r>
          </w:p>
        </w:tc>
      </w:tr>
    </w:tbl>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Table 2</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Tr. 43-49; Exhibit 1.</w:t>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w:t>
      </w:r>
      <w:r w:rsidR="00E73FD1">
        <w:rPr>
          <w:rFonts w:eastAsia="Times New Roman" w:cs="Times New Roman"/>
          <w:szCs w:val="24"/>
        </w:rPr>
        <w:t>3</w:t>
      </w:r>
      <w:r w:rsidRPr="002B2FF7">
        <w:rPr>
          <w:rFonts w:eastAsia="Times New Roman" w:cs="Times New Roman"/>
          <w:szCs w:val="24"/>
        </w:rPr>
        <w:t>.</w:t>
      </w:r>
      <w:r w:rsidRPr="002B2FF7">
        <w:rPr>
          <w:rFonts w:eastAsia="Times New Roman" w:cs="Times New Roman"/>
          <w:szCs w:val="24"/>
        </w:rPr>
        <w:tab/>
        <w:t>After the heating system was serviced and the townhouse weatherized in December 2015, Ms. Sanders’s electric usage and her bill decreased substantially for the months of December 2015 and January 2016 in comparison to the same months for the previous year.  Tr. 49.</w:t>
      </w:r>
    </w:p>
    <w:p w:rsidR="002B2FF7" w:rsidRPr="002B2FF7" w:rsidRDefault="002B2FF7" w:rsidP="002B2FF7">
      <w:pPr>
        <w:spacing w:after="0" w:line="360" w:lineRule="auto"/>
        <w:rPr>
          <w:rFonts w:eastAsia="Times New Roman" w:cs="Times New Roman"/>
          <w:szCs w:val="24"/>
          <w:u w:val="single"/>
        </w:rPr>
      </w:pPr>
    </w:p>
    <w:p w:rsidR="002B2FF7" w:rsidRPr="002B2FF7" w:rsidRDefault="00E431A6" w:rsidP="002B2FF7">
      <w:pPr>
        <w:spacing w:after="0" w:line="360" w:lineRule="auto"/>
        <w:rPr>
          <w:rFonts w:eastAsia="Times New Roman" w:cs="Times New Roman"/>
          <w:szCs w:val="24"/>
        </w:rPr>
      </w:pPr>
      <w:r w:rsidRPr="00E431A6">
        <w:rPr>
          <w:rFonts w:eastAsia="Times New Roman" w:cs="Times New Roman"/>
          <w:szCs w:val="24"/>
        </w:rPr>
        <w:t xml:space="preserve">D. </w:t>
      </w:r>
      <w:r w:rsidRPr="00E431A6">
        <w:rPr>
          <w:rFonts w:eastAsia="Times New Roman" w:cs="Times New Roman"/>
          <w:szCs w:val="24"/>
        </w:rPr>
        <w:tab/>
      </w:r>
      <w:r w:rsidR="002B2FF7" w:rsidRPr="002B2FF7">
        <w:rPr>
          <w:rFonts w:eastAsia="Times New Roman" w:cs="Times New Roman"/>
          <w:szCs w:val="24"/>
          <w:u w:val="single"/>
        </w:rPr>
        <w:t>Foreign Load and Meter Tests</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w:t>
      </w:r>
      <w:r w:rsidR="00E73FD1">
        <w:rPr>
          <w:rFonts w:eastAsia="Times New Roman" w:cs="Times New Roman"/>
          <w:szCs w:val="24"/>
        </w:rPr>
        <w:t>4</w:t>
      </w:r>
      <w:r w:rsidRPr="002B2FF7">
        <w:rPr>
          <w:rFonts w:eastAsia="Times New Roman" w:cs="Times New Roman"/>
          <w:szCs w:val="24"/>
        </w:rPr>
        <w:t>.</w:t>
      </w:r>
      <w:r w:rsidRPr="002B2FF7">
        <w:rPr>
          <w:rFonts w:eastAsia="Times New Roman" w:cs="Times New Roman"/>
          <w:szCs w:val="24"/>
        </w:rPr>
        <w:tab/>
        <w:t>On November 5, 2015, PECO conducted an instrument meter test and foreign wiring test at the service address.  Tr. 52; Exhibit 7.</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w:t>
      </w:r>
      <w:r w:rsidR="00E73FD1">
        <w:rPr>
          <w:rFonts w:eastAsia="Times New Roman" w:cs="Times New Roman"/>
          <w:szCs w:val="24"/>
        </w:rPr>
        <w:t>5</w:t>
      </w:r>
      <w:r w:rsidRPr="002B2FF7">
        <w:rPr>
          <w:rFonts w:eastAsia="Times New Roman" w:cs="Times New Roman"/>
          <w:szCs w:val="24"/>
        </w:rPr>
        <w:t>.</w:t>
      </w:r>
      <w:r w:rsidRPr="002B2FF7">
        <w:rPr>
          <w:rFonts w:eastAsia="Times New Roman" w:cs="Times New Roman"/>
          <w:szCs w:val="24"/>
        </w:rPr>
        <w:tab/>
        <w:t>The meter for the service address tested 100.04 percent accurate.  Tr. 78; Exhibit 7.</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2</w:t>
      </w:r>
      <w:r w:rsidR="00E73FD1">
        <w:rPr>
          <w:rFonts w:eastAsia="Times New Roman" w:cs="Times New Roman"/>
          <w:szCs w:val="24"/>
        </w:rPr>
        <w:t>6</w:t>
      </w:r>
      <w:r w:rsidRPr="002B2FF7">
        <w:rPr>
          <w:rFonts w:eastAsia="Times New Roman" w:cs="Times New Roman"/>
          <w:szCs w:val="24"/>
        </w:rPr>
        <w:t>.</w:t>
      </w:r>
      <w:r w:rsidRPr="002B2FF7">
        <w:rPr>
          <w:rFonts w:eastAsia="Times New Roman" w:cs="Times New Roman"/>
          <w:szCs w:val="24"/>
        </w:rPr>
        <w:tab/>
        <w:t xml:space="preserve">There is no foreign load at the service address.  Tr. 75; Exhibit 7. </w:t>
      </w:r>
    </w:p>
    <w:p w:rsidR="002B2FF7" w:rsidRPr="002B2FF7" w:rsidRDefault="002B2FF7" w:rsidP="002B2FF7">
      <w:pPr>
        <w:spacing w:after="0" w:line="360" w:lineRule="auto"/>
        <w:jc w:val="center"/>
        <w:rPr>
          <w:rFonts w:eastAsia="Times New Roman" w:cs="Times New Roman"/>
          <w:snapToGrid w:val="0"/>
          <w:szCs w:val="24"/>
          <w:u w:val="single"/>
        </w:rPr>
      </w:pPr>
      <w:r w:rsidRPr="002B2FF7">
        <w:rPr>
          <w:rFonts w:eastAsia="Times New Roman" w:cs="Times New Roman"/>
          <w:snapToGrid w:val="0"/>
          <w:szCs w:val="24"/>
          <w:u w:val="single"/>
        </w:rPr>
        <w:lastRenderedPageBreak/>
        <w:t>DISCUSSION</w:t>
      </w:r>
    </w:p>
    <w:p w:rsidR="002B2FF7" w:rsidRPr="002B2FF7" w:rsidRDefault="002B2FF7" w:rsidP="002B2FF7">
      <w:pPr>
        <w:spacing w:after="0" w:line="360" w:lineRule="auto"/>
        <w:jc w:val="center"/>
        <w:rPr>
          <w:rFonts w:eastAsia="Times New Roman" w:cs="Times New Roman"/>
          <w:snapToGrid w:val="0"/>
          <w:szCs w:val="24"/>
          <w:u w:val="single"/>
        </w:rPr>
      </w:pPr>
    </w:p>
    <w:p w:rsidR="002B2FF7" w:rsidRPr="002B2FF7" w:rsidRDefault="002B2FF7" w:rsidP="002B2FF7">
      <w:pPr>
        <w:spacing w:after="0" w:line="240" w:lineRule="auto"/>
        <w:jc w:val="both"/>
        <w:rPr>
          <w:rFonts w:eastAsia="Times New Roman" w:cs="Times New Roman"/>
          <w:szCs w:val="24"/>
        </w:rPr>
      </w:pPr>
      <w:r w:rsidRPr="002B2FF7">
        <w:rPr>
          <w:rFonts w:eastAsia="Times New Roman" w:cs="Times New Roman"/>
          <w:szCs w:val="24"/>
        </w:rPr>
        <w:t>A.</w:t>
      </w:r>
      <w:r w:rsidRPr="002B2FF7">
        <w:rPr>
          <w:rFonts w:eastAsia="Times New Roman" w:cs="Times New Roman"/>
          <w:szCs w:val="24"/>
        </w:rPr>
        <w:tab/>
      </w:r>
      <w:r w:rsidRPr="002B2FF7">
        <w:rPr>
          <w:rFonts w:eastAsia="Times New Roman" w:cs="Times New Roman"/>
          <w:szCs w:val="24"/>
          <w:u w:val="single"/>
        </w:rPr>
        <w:t>Legal Standards</w:t>
      </w:r>
    </w:p>
    <w:p w:rsidR="002B2FF7" w:rsidRPr="002B2FF7" w:rsidRDefault="002B2FF7" w:rsidP="002B2FF7">
      <w:pPr>
        <w:spacing w:after="0" w:line="240" w:lineRule="auto"/>
        <w:jc w:val="both"/>
        <w:rPr>
          <w:rFonts w:eastAsia="Times New Roman" w:cs="Times New Roman"/>
          <w:szCs w:val="24"/>
        </w:rPr>
      </w:pPr>
    </w:p>
    <w:p w:rsidR="002B2FF7" w:rsidRPr="002B2FF7" w:rsidRDefault="002B2FF7" w:rsidP="002B2FF7">
      <w:pPr>
        <w:spacing w:after="0" w:line="240" w:lineRule="auto"/>
        <w:jc w:val="both"/>
        <w:rPr>
          <w:rFonts w:eastAsia="Times New Roman" w:cs="Times New Roman"/>
          <w:szCs w:val="24"/>
        </w:rPr>
      </w:pPr>
    </w:p>
    <w:p w:rsidR="002B2FF7" w:rsidRPr="002B2FF7" w:rsidRDefault="002B2FF7" w:rsidP="002B2FF7">
      <w:pPr>
        <w:spacing w:after="0" w:line="240" w:lineRule="auto"/>
        <w:jc w:val="both"/>
        <w:rPr>
          <w:rFonts w:eastAsia="Times New Roman" w:cs="Times New Roman"/>
          <w:szCs w:val="20"/>
          <w:u w:val="single"/>
        </w:rPr>
      </w:pPr>
      <w:r w:rsidRPr="002B2FF7">
        <w:rPr>
          <w:rFonts w:eastAsia="Times New Roman" w:cs="Times New Roman"/>
          <w:szCs w:val="24"/>
        </w:rPr>
        <w:tab/>
      </w:r>
      <w:r w:rsidRPr="002B2FF7">
        <w:rPr>
          <w:rFonts w:eastAsia="Times New Roman" w:cs="Times New Roman"/>
          <w:szCs w:val="24"/>
        </w:rPr>
        <w:tab/>
        <w:t>1.</w:t>
      </w:r>
      <w:r w:rsidRPr="002B2FF7">
        <w:rPr>
          <w:rFonts w:eastAsia="Times New Roman" w:cs="Times New Roman"/>
          <w:szCs w:val="24"/>
        </w:rPr>
        <w:tab/>
      </w:r>
      <w:r w:rsidRPr="002B2FF7">
        <w:rPr>
          <w:rFonts w:eastAsia="Times New Roman" w:cs="Times New Roman"/>
          <w:szCs w:val="20"/>
          <w:u w:val="single"/>
        </w:rPr>
        <w:t>Complaints and Burden of Proof</w:t>
      </w:r>
    </w:p>
    <w:p w:rsidR="002B2FF7" w:rsidRPr="002B2FF7" w:rsidRDefault="002B2FF7" w:rsidP="002B2FF7">
      <w:pPr>
        <w:spacing w:after="0" w:line="360" w:lineRule="auto"/>
        <w:rPr>
          <w:rFonts w:eastAsia="Times New Roman" w:cs="Times New Roman"/>
          <w:szCs w:val="20"/>
        </w:rPr>
      </w:pPr>
      <w:r w:rsidRPr="002B2FF7">
        <w:rPr>
          <w:rFonts w:eastAsia="Times New Roman" w:cs="Times New Roman"/>
          <w:szCs w:val="20"/>
        </w:rPr>
        <w:tab/>
      </w: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0"/>
        </w:rPr>
        <w:tab/>
      </w:r>
      <w:r w:rsidRPr="002B2FF7">
        <w:rPr>
          <w:rFonts w:eastAsia="Times New Roman" w:cs="Times New Roman"/>
          <w:szCs w:val="20"/>
        </w:rPr>
        <w:tab/>
      </w:r>
      <w:r w:rsidRPr="002B2FF7">
        <w:rPr>
          <w:rFonts w:eastAsia="Times New Roman" w:cs="Times New Roman"/>
          <w:szCs w:val="24"/>
        </w:rPr>
        <w:t xml:space="preserve">Section 701 of the Public Utility Code (Code), 66 Pa.C.S. § 701, provides that any person may complain, in writing, about any act or thing done or omitted to be done by a public utility in violation, or claimed violation, of any law which the Commission has the jurisdiction to administer, or of any regulation or order of the Commission.  </w:t>
      </w:r>
    </w:p>
    <w:p w:rsidR="002B2FF7" w:rsidRPr="002B2FF7" w:rsidRDefault="002B2FF7" w:rsidP="002B2FF7">
      <w:pPr>
        <w:spacing w:after="0" w:line="240" w:lineRule="auto"/>
        <w:ind w:right="1080"/>
        <w:rPr>
          <w:rFonts w:eastAsia="Times New Roman" w:cs="Times New Roman"/>
          <w:szCs w:val="24"/>
        </w:rPr>
      </w:pPr>
    </w:p>
    <w:p w:rsidR="002B2FF7" w:rsidRPr="002B2FF7" w:rsidRDefault="002B2FF7" w:rsidP="002B2FF7">
      <w:pPr>
        <w:tabs>
          <w:tab w:val="left" w:pos="1440"/>
        </w:tabs>
        <w:spacing w:after="0" w:line="360" w:lineRule="auto"/>
        <w:rPr>
          <w:rFonts w:eastAsia="Times New Roman" w:cs="Times New Roman"/>
          <w:szCs w:val="24"/>
        </w:rPr>
      </w:pPr>
      <w:r w:rsidRPr="002B2FF7">
        <w:rPr>
          <w:rFonts w:eastAsia="Times New Roman" w:cs="Times New Roman"/>
          <w:szCs w:val="24"/>
        </w:rPr>
        <w:tab/>
        <w:t xml:space="preserve">As the proponent of a rule or order, the Complainant in this proceeding bears the burden of proof pursuant to Section 332(a) of Code, 66 Pa.C.S. § 332(a).  To establish a sufficient case and satisfy the burden of proof, the Complainant must show that </w:t>
      </w:r>
      <w:r w:rsidR="004C3B1B">
        <w:rPr>
          <w:rFonts w:eastAsia="Times New Roman" w:cs="Times New Roman"/>
          <w:szCs w:val="24"/>
        </w:rPr>
        <w:t>PECO</w:t>
      </w:r>
      <w:r w:rsidRPr="002B2FF7">
        <w:rPr>
          <w:rFonts w:eastAsia="Times New Roman" w:cs="Times New Roman"/>
          <w:szCs w:val="24"/>
        </w:rPr>
        <w:t xml:space="preserve"> is responsible or accountable for the problem described in the Complaint.  </w:t>
      </w:r>
      <w:r w:rsidRPr="002B2FF7">
        <w:rPr>
          <w:rFonts w:eastAsia="Times New Roman" w:cs="Times New Roman"/>
          <w:i/>
          <w:szCs w:val="24"/>
        </w:rPr>
        <w:t>Patterson v. The Bell Telephone Company of Pennsylvania</w:t>
      </w:r>
      <w:r w:rsidRPr="002B2FF7">
        <w:rPr>
          <w:rFonts w:eastAsia="Times New Roman" w:cs="Times New Roman"/>
          <w:szCs w:val="24"/>
        </w:rPr>
        <w:t xml:space="preserve">, 72 Pa. PUC 196 (1990).  Such a showing must be by a preponderance of the evidence.  </w:t>
      </w:r>
      <w:r w:rsidRPr="002B2FF7">
        <w:rPr>
          <w:rFonts w:eastAsia="Times New Roman" w:cs="Times New Roman"/>
          <w:i/>
          <w:iCs/>
          <w:szCs w:val="24"/>
        </w:rPr>
        <w:t xml:space="preserve">Samuel J. Lansberry, Inc. v. </w:t>
      </w:r>
      <w:r w:rsidRPr="002B2FF7">
        <w:rPr>
          <w:rFonts w:eastAsia="Times New Roman" w:cs="Times New Roman"/>
          <w:i/>
          <w:spacing w:val="-3"/>
          <w:szCs w:val="24"/>
        </w:rPr>
        <w:t>Pa. Pub. Util. Comm’n</w:t>
      </w:r>
      <w:r w:rsidRPr="002B2FF7">
        <w:rPr>
          <w:rFonts w:eastAsia="Times New Roman" w:cs="Times New Roman"/>
          <w:szCs w:val="24"/>
        </w:rPr>
        <w:t xml:space="preserve">, 578 A.2d 600 (Pa.Cmwlth. 1990), </w:t>
      </w:r>
      <w:r w:rsidRPr="002B2FF7">
        <w:rPr>
          <w:rFonts w:eastAsia="Times New Roman" w:cs="Times New Roman"/>
          <w:i/>
          <w:szCs w:val="24"/>
        </w:rPr>
        <w:t>alloc. denied,</w:t>
      </w:r>
      <w:r w:rsidRPr="002B2FF7">
        <w:rPr>
          <w:rFonts w:eastAsia="Times New Roman" w:cs="Times New Roman"/>
          <w:szCs w:val="24"/>
        </w:rPr>
        <w:t xml:space="preserve"> 529 Pa. 654, 602 A.2d 863 (1992).  That is, the Complainant’s evidence must be more convincing, by even the smallest amount, than that presented by </w:t>
      </w:r>
      <w:r w:rsidR="004C3B1B">
        <w:rPr>
          <w:rFonts w:eastAsia="Times New Roman" w:cs="Times New Roman"/>
          <w:szCs w:val="24"/>
        </w:rPr>
        <w:t>PECO</w:t>
      </w:r>
      <w:r w:rsidRPr="002B2FF7">
        <w:rPr>
          <w:rFonts w:eastAsia="Times New Roman" w:cs="Times New Roman"/>
          <w:szCs w:val="24"/>
        </w:rPr>
        <w:t xml:space="preserve">.  </w:t>
      </w:r>
      <w:r w:rsidRPr="002B2FF7">
        <w:rPr>
          <w:rFonts w:eastAsia="Times New Roman" w:cs="Times New Roman"/>
          <w:i/>
          <w:szCs w:val="24"/>
        </w:rPr>
        <w:t>Se-Ling Hosiery, Inc. v. Margulies</w:t>
      </w:r>
      <w:r w:rsidRPr="002B2FF7">
        <w:rPr>
          <w:rFonts w:eastAsia="Times New Roman" w:cs="Times New Roman"/>
          <w:szCs w:val="24"/>
        </w:rPr>
        <w:t>, 364 Pa. 45, 70 A.2d 854 (1950).</w:t>
      </w:r>
    </w:p>
    <w:p w:rsidR="002B2FF7" w:rsidRPr="002B2FF7" w:rsidRDefault="002B2FF7" w:rsidP="002B2FF7">
      <w:pPr>
        <w:autoSpaceDE w:val="0"/>
        <w:autoSpaceDN w:val="0"/>
        <w:spacing w:after="0" w:line="360" w:lineRule="auto"/>
        <w:rPr>
          <w:rFonts w:eastAsia="Times New Roman" w:cs="Times New Roman"/>
          <w:szCs w:val="24"/>
        </w:rPr>
      </w:pPr>
    </w:p>
    <w:p w:rsidR="002B2FF7" w:rsidRPr="002B2FF7" w:rsidRDefault="002B2FF7" w:rsidP="002B2FF7">
      <w:pPr>
        <w:autoSpaceDE w:val="0"/>
        <w:autoSpaceDN w:val="0"/>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r w:rsidRPr="002B2FF7">
        <w:rPr>
          <w:rFonts w:eastAsia="Times New Roman" w:cs="Times New Roman"/>
          <w:spacing w:val="-3"/>
          <w:szCs w:val="24"/>
        </w:rPr>
        <w:t xml:space="preserve">Additionally, any finding of fact necessary to support the Commission’s adjudication must be based upon substantial evidence in the record.  </w:t>
      </w:r>
      <w:r w:rsidRPr="002B2FF7">
        <w:rPr>
          <w:rFonts w:eastAsia="Times New Roman" w:cs="Times New Roman"/>
          <w:szCs w:val="24"/>
        </w:rPr>
        <w:t xml:space="preserve">More is required than a mere trace of evidence or a suspicion of the existence of a fact sought to be established.  </w:t>
      </w:r>
      <w:r w:rsidRPr="002B2FF7">
        <w:rPr>
          <w:rFonts w:eastAsia="Times New Roman" w:cs="Times New Roman"/>
          <w:i/>
          <w:szCs w:val="24"/>
        </w:rPr>
        <w:t xml:space="preserve">Norfolk &amp; Western Ry. Co. v. </w:t>
      </w:r>
      <w:r w:rsidRPr="002B2FF7">
        <w:rPr>
          <w:rFonts w:eastAsia="Times New Roman" w:cs="Times New Roman"/>
          <w:i/>
          <w:spacing w:val="-3"/>
          <w:szCs w:val="24"/>
        </w:rPr>
        <w:t>Pa. Pub. Util. Comm’n</w:t>
      </w:r>
      <w:r w:rsidRPr="002B2FF7">
        <w:rPr>
          <w:rFonts w:eastAsia="Times New Roman" w:cs="Times New Roman"/>
          <w:i/>
          <w:szCs w:val="24"/>
        </w:rPr>
        <w:t xml:space="preserve">, </w:t>
      </w:r>
      <w:r w:rsidRPr="002B2FF7">
        <w:rPr>
          <w:rFonts w:eastAsia="Times New Roman" w:cs="Times New Roman"/>
          <w:szCs w:val="24"/>
        </w:rPr>
        <w:t>489 Pa. 109, 413 A.2d 1037 (1980).</w:t>
      </w:r>
    </w:p>
    <w:p w:rsidR="002B2FF7" w:rsidRPr="002B2FF7" w:rsidRDefault="002B2FF7" w:rsidP="002B2FF7">
      <w:pPr>
        <w:tabs>
          <w:tab w:val="left" w:pos="1440"/>
        </w:tabs>
        <w:spacing w:after="0" w:line="360" w:lineRule="auto"/>
        <w:ind w:firstLine="1440"/>
        <w:rPr>
          <w:rFonts w:eastAsia="Times New Roman" w:cs="Times New Roman"/>
          <w:szCs w:val="24"/>
        </w:rPr>
      </w:pPr>
    </w:p>
    <w:p w:rsidR="002B2FF7" w:rsidRPr="002B2FF7" w:rsidRDefault="002B2FF7" w:rsidP="002B2FF7">
      <w:pPr>
        <w:tabs>
          <w:tab w:val="left" w:pos="1440"/>
        </w:tabs>
        <w:spacing w:after="0" w:line="360" w:lineRule="auto"/>
        <w:ind w:firstLine="1440"/>
        <w:rPr>
          <w:rFonts w:eastAsia="Times New Roman" w:cs="Times New Roman"/>
          <w:iCs/>
          <w:color w:val="000000" w:themeColor="text1"/>
          <w:szCs w:val="24"/>
        </w:rPr>
      </w:pPr>
      <w:r w:rsidRPr="002B2FF7">
        <w:rPr>
          <w:rFonts w:eastAsia="Times New Roman" w:cs="Times New Roman"/>
          <w:szCs w:val="24"/>
        </w:rPr>
        <w:t xml:space="preserve">Upon the presentation by the Complainant of evidence sufficient to initially satisfy the burden of proof, the burden of going forward with the evidence to rebut the evidence of the Complainant shifts to </w:t>
      </w:r>
      <w:r w:rsidR="004C3B1B">
        <w:rPr>
          <w:rFonts w:eastAsia="Times New Roman" w:cs="Times New Roman"/>
          <w:szCs w:val="24"/>
        </w:rPr>
        <w:t>PECO</w:t>
      </w:r>
      <w:r w:rsidRPr="002B2FF7">
        <w:rPr>
          <w:rFonts w:eastAsia="Times New Roman" w:cs="Times New Roman"/>
          <w:szCs w:val="24"/>
        </w:rPr>
        <w:t xml:space="preserve">.  If the evidence presented by </w:t>
      </w:r>
      <w:r w:rsidR="004C3B1B">
        <w:rPr>
          <w:rFonts w:eastAsia="Times New Roman" w:cs="Times New Roman"/>
          <w:szCs w:val="24"/>
        </w:rPr>
        <w:t>PECO</w:t>
      </w:r>
      <w:r w:rsidRPr="002B2FF7">
        <w:rPr>
          <w:rFonts w:eastAsia="Times New Roman" w:cs="Times New Roman"/>
          <w:szCs w:val="24"/>
        </w:rPr>
        <w:t xml:space="preserve"> is of co</w:t>
      </w:r>
      <w:r w:rsidRPr="002B2FF7">
        <w:rPr>
          <w:rFonts w:eastAsia="Times New Roman" w:cs="Times New Roman"/>
          <w:szCs w:val="24"/>
        </w:rPr>
        <w:noBreakHyphen/>
        <w:t xml:space="preserve">equal value or “weight,” the burden of proof has not been satisfied.  The Complainant now has to provide some additional evidence to rebut that of </w:t>
      </w:r>
      <w:r w:rsidR="004C3B1B">
        <w:rPr>
          <w:rFonts w:eastAsia="Times New Roman" w:cs="Times New Roman"/>
          <w:szCs w:val="24"/>
        </w:rPr>
        <w:t>PECO</w:t>
      </w:r>
      <w:r w:rsidRPr="002B2FF7">
        <w:rPr>
          <w:rFonts w:eastAsia="Times New Roman" w:cs="Times New Roman"/>
          <w:szCs w:val="24"/>
        </w:rPr>
        <w:t xml:space="preserve">. </w:t>
      </w:r>
      <w:r w:rsidRPr="002B2FF7">
        <w:rPr>
          <w:rFonts w:eastAsia="Times New Roman" w:cs="Times New Roman"/>
          <w:iCs/>
          <w:szCs w:val="24"/>
        </w:rPr>
        <w:t xml:space="preserve"> </w:t>
      </w:r>
      <w:hyperlink r:id="rId8" w:history="1">
        <w:r w:rsidRPr="002B2FF7">
          <w:rPr>
            <w:rFonts w:eastAsia="Times New Roman" w:cs="Times New Roman"/>
            <w:i/>
            <w:iCs/>
            <w:color w:val="000000" w:themeColor="text1"/>
            <w:szCs w:val="24"/>
          </w:rPr>
          <w:t xml:space="preserve">Burleson v. </w:t>
        </w:r>
        <w:r w:rsidRPr="002B2FF7">
          <w:rPr>
            <w:rFonts w:eastAsia="Times New Roman" w:cs="Times New Roman"/>
            <w:i/>
            <w:color w:val="000000" w:themeColor="text1"/>
            <w:spacing w:val="-3"/>
            <w:szCs w:val="24"/>
          </w:rPr>
          <w:t>Pa. Pub. Util. Comm’n</w:t>
        </w:r>
        <w:r w:rsidRPr="002B2FF7">
          <w:rPr>
            <w:rFonts w:eastAsia="Times New Roman" w:cs="Times New Roman"/>
            <w:i/>
            <w:iCs/>
            <w:color w:val="000000" w:themeColor="text1"/>
            <w:szCs w:val="24"/>
          </w:rPr>
          <w:t>,</w:t>
        </w:r>
        <w:r w:rsidRPr="002B2FF7">
          <w:rPr>
            <w:rFonts w:eastAsia="Times New Roman" w:cs="Times New Roman"/>
            <w:iCs/>
            <w:color w:val="000000" w:themeColor="text1"/>
            <w:szCs w:val="24"/>
          </w:rPr>
          <w:t xml:space="preserve"> 443 A.2d</w:t>
        </w:r>
        <w:r w:rsidRPr="002B2FF7">
          <w:rPr>
            <w:rFonts w:eastAsia="Times New Roman" w:cs="Times New Roman"/>
            <w:iCs/>
            <w:color w:val="000000" w:themeColor="text1"/>
            <w:szCs w:val="24"/>
            <w:u w:val="single"/>
          </w:rPr>
          <w:t xml:space="preserve"> </w:t>
        </w:r>
        <w:r w:rsidRPr="002B2FF7">
          <w:rPr>
            <w:rFonts w:eastAsia="Times New Roman" w:cs="Times New Roman"/>
            <w:iCs/>
            <w:color w:val="000000" w:themeColor="text1"/>
            <w:szCs w:val="24"/>
          </w:rPr>
          <w:t xml:space="preserve">1373 (Pa.Cmwlth. 1982), </w:t>
        </w:r>
        <w:r w:rsidRPr="002B2FF7">
          <w:rPr>
            <w:rFonts w:eastAsia="Times New Roman" w:cs="Times New Roman"/>
            <w:i/>
            <w:iCs/>
            <w:color w:val="000000" w:themeColor="text1"/>
            <w:szCs w:val="24"/>
          </w:rPr>
          <w:t>aff’d,</w:t>
        </w:r>
        <w:r w:rsidRPr="002B2FF7">
          <w:rPr>
            <w:rFonts w:eastAsia="Times New Roman" w:cs="Times New Roman"/>
            <w:iCs/>
            <w:color w:val="000000" w:themeColor="text1"/>
            <w:szCs w:val="24"/>
          </w:rPr>
          <w:t xml:space="preserve"> 501 Pa. 433, 461 A.2d 1234 (1983).</w:t>
        </w:r>
      </w:hyperlink>
    </w:p>
    <w:p w:rsidR="002B2FF7" w:rsidRPr="002B2FF7" w:rsidRDefault="002B2FF7" w:rsidP="002B2FF7">
      <w:pPr>
        <w:tabs>
          <w:tab w:val="left" w:pos="1440"/>
        </w:tabs>
        <w:spacing w:after="0" w:line="360" w:lineRule="auto"/>
        <w:ind w:firstLine="1440"/>
        <w:rPr>
          <w:rFonts w:eastAsia="Times New Roman" w:cs="Times New Roman"/>
          <w:szCs w:val="24"/>
        </w:rPr>
      </w:pPr>
      <w:r w:rsidRPr="002B2FF7">
        <w:rPr>
          <w:rFonts w:eastAsia="Times New Roman" w:cs="Times New Roman"/>
          <w:szCs w:val="24"/>
        </w:rPr>
        <w:lastRenderedPageBreak/>
        <w:t xml:space="preserve">While the burden of going forward with the evidence may shift back and forth during a proceeding, the burden of proof never shifts.  The burden of proof always remains on the party seeking affirmative relief from the Commission.  </w:t>
      </w:r>
      <w:r w:rsidRPr="002B2FF7">
        <w:rPr>
          <w:rFonts w:eastAsia="Times New Roman" w:cs="Times New Roman"/>
          <w:i/>
          <w:szCs w:val="24"/>
        </w:rPr>
        <w:t xml:space="preserve">Milkie v. </w:t>
      </w:r>
      <w:r w:rsidRPr="002B2FF7">
        <w:rPr>
          <w:rFonts w:eastAsia="Times New Roman" w:cs="Times New Roman"/>
          <w:i/>
          <w:spacing w:val="-3"/>
          <w:szCs w:val="24"/>
        </w:rPr>
        <w:t>Pa. Pub. Util. Comm’n</w:t>
      </w:r>
      <w:r w:rsidRPr="002B2FF7">
        <w:rPr>
          <w:rFonts w:eastAsia="Times New Roman" w:cs="Times New Roman"/>
          <w:i/>
          <w:szCs w:val="24"/>
        </w:rPr>
        <w:t xml:space="preserve">, </w:t>
      </w:r>
      <w:r w:rsidRPr="002B2FF7">
        <w:rPr>
          <w:rFonts w:eastAsia="Times New Roman" w:cs="Times New Roman"/>
          <w:szCs w:val="24"/>
        </w:rPr>
        <w:t>768 A.2d 1217 (Pa.Cmwlth. 2001).</w:t>
      </w:r>
    </w:p>
    <w:p w:rsidR="002B2FF7" w:rsidRPr="002B2FF7" w:rsidRDefault="002B2FF7" w:rsidP="002B2FF7">
      <w:pPr>
        <w:tabs>
          <w:tab w:val="left" w:pos="1440"/>
        </w:tabs>
        <w:spacing w:after="0" w:line="360" w:lineRule="auto"/>
        <w:ind w:firstLine="1440"/>
        <w:rPr>
          <w:rFonts w:eastAsia="Times New Roman" w:cs="Times New Roman"/>
          <w:szCs w:val="24"/>
        </w:rPr>
      </w:pPr>
    </w:p>
    <w:p w:rsidR="002B2FF7" w:rsidRPr="002B2FF7" w:rsidRDefault="002B2FF7" w:rsidP="002B2FF7">
      <w:pPr>
        <w:spacing w:after="0" w:line="360" w:lineRule="auto"/>
        <w:rPr>
          <w:rFonts w:eastAsia="Times New Roman" w:cs="Times New Roman"/>
          <w:szCs w:val="24"/>
          <w:u w:val="single"/>
        </w:rPr>
      </w:pPr>
      <w:r w:rsidRPr="002B2FF7">
        <w:rPr>
          <w:rFonts w:eastAsia="Times New Roman" w:cs="Times New Roman"/>
          <w:szCs w:val="24"/>
        </w:rPr>
        <w:tab/>
      </w:r>
      <w:r w:rsidRPr="002B2FF7">
        <w:rPr>
          <w:rFonts w:eastAsia="Times New Roman" w:cs="Times New Roman"/>
          <w:szCs w:val="24"/>
        </w:rPr>
        <w:tab/>
        <w:t>2.</w:t>
      </w:r>
      <w:r w:rsidRPr="002B2FF7">
        <w:rPr>
          <w:rFonts w:eastAsia="Times New Roman" w:cs="Times New Roman"/>
          <w:szCs w:val="24"/>
        </w:rPr>
        <w:tab/>
      </w:r>
      <w:r w:rsidRPr="002B2FF7">
        <w:rPr>
          <w:rFonts w:eastAsia="Times New Roman" w:cs="Times New Roman"/>
          <w:szCs w:val="24"/>
          <w:u w:val="single"/>
        </w:rPr>
        <w:t>Termination of Service</w:t>
      </w:r>
    </w:p>
    <w:p w:rsidR="002B2FF7" w:rsidRPr="002B2FF7" w:rsidRDefault="002B2FF7" w:rsidP="002B2FF7">
      <w:pPr>
        <w:widowControl w:val="0"/>
        <w:spacing w:after="0" w:line="360" w:lineRule="auto"/>
        <w:rPr>
          <w:rFonts w:eastAsia="Times New Roman" w:cs="Times New Roman"/>
          <w:snapToGrid w:val="0"/>
          <w:szCs w:val="24"/>
        </w:rPr>
      </w:pPr>
    </w:p>
    <w:p w:rsidR="002B2FF7" w:rsidRPr="002B2FF7" w:rsidRDefault="002B2FF7" w:rsidP="002B2FF7">
      <w:pPr>
        <w:widowControl w:val="0"/>
        <w:spacing w:after="0" w:line="360" w:lineRule="auto"/>
        <w:rPr>
          <w:rFonts w:eastAsia="Times New Roman" w:cs="Times New Roman"/>
          <w:snapToGrid w:val="0"/>
          <w:szCs w:val="24"/>
        </w:rPr>
      </w:pPr>
      <w:r w:rsidRPr="002B2FF7">
        <w:rPr>
          <w:rFonts w:eastAsia="Times New Roman" w:cs="Times New Roman"/>
          <w:snapToGrid w:val="0"/>
          <w:szCs w:val="24"/>
        </w:rPr>
        <w:tab/>
      </w:r>
      <w:r w:rsidRPr="002B2FF7">
        <w:rPr>
          <w:rFonts w:eastAsia="Times New Roman" w:cs="Times New Roman"/>
          <w:snapToGrid w:val="0"/>
          <w:szCs w:val="24"/>
        </w:rPr>
        <w:tab/>
        <w:t>Section 1406 of the Code permits a utility company to terminate service under certain conditions.  Section 1406, in relevant part, states:</w:t>
      </w:r>
    </w:p>
    <w:p w:rsidR="002B2FF7" w:rsidRPr="002B2FF7" w:rsidRDefault="002B2FF7" w:rsidP="00B8009B">
      <w:pPr>
        <w:widowControl w:val="0"/>
        <w:spacing w:after="0" w:line="240" w:lineRule="auto"/>
        <w:ind w:left="1440" w:right="1080"/>
        <w:rPr>
          <w:rFonts w:eastAsia="Times New Roman" w:cs="Times New Roman"/>
          <w:snapToGrid w:val="0"/>
          <w:szCs w:val="24"/>
        </w:rPr>
      </w:pPr>
    </w:p>
    <w:p w:rsidR="002B2FF7" w:rsidRPr="002B2FF7" w:rsidRDefault="002B2FF7" w:rsidP="002B2FF7">
      <w:pPr>
        <w:widowControl w:val="0"/>
        <w:spacing w:after="0" w:line="240" w:lineRule="auto"/>
        <w:ind w:left="1440" w:right="1080"/>
        <w:rPr>
          <w:rFonts w:eastAsia="Times New Roman" w:cs="Times New Roman"/>
          <w:snapToGrid w:val="0"/>
          <w:szCs w:val="24"/>
        </w:rPr>
      </w:pPr>
      <w:r w:rsidRPr="002B2FF7">
        <w:rPr>
          <w:rFonts w:eastAsia="Times New Roman" w:cs="Times New Roman"/>
          <w:snapToGrid w:val="0"/>
          <w:szCs w:val="24"/>
        </w:rPr>
        <w:tab/>
        <w:t>(a) Authorized termination. — A public utility may notify a customer and terminate service provided to a customer after notice as provided in subsection (b) for any of the following actions by the customer.</w:t>
      </w:r>
    </w:p>
    <w:p w:rsidR="002B2FF7" w:rsidRPr="002B2FF7" w:rsidRDefault="002B2FF7" w:rsidP="00B8009B">
      <w:pPr>
        <w:widowControl w:val="0"/>
        <w:spacing w:after="0" w:line="240" w:lineRule="auto"/>
        <w:ind w:left="1440" w:right="1080"/>
        <w:rPr>
          <w:rFonts w:eastAsia="Times New Roman" w:cs="Times New Roman"/>
          <w:snapToGrid w:val="0"/>
          <w:szCs w:val="24"/>
        </w:rPr>
      </w:pPr>
    </w:p>
    <w:p w:rsidR="002B2FF7" w:rsidRPr="002B2FF7" w:rsidRDefault="002B2FF7" w:rsidP="002B2FF7">
      <w:pPr>
        <w:widowControl w:val="0"/>
        <w:spacing w:after="0" w:line="240" w:lineRule="auto"/>
        <w:ind w:left="1440" w:right="1080"/>
        <w:rPr>
          <w:rFonts w:eastAsia="Times New Roman" w:cs="Times New Roman"/>
          <w:snapToGrid w:val="0"/>
          <w:szCs w:val="24"/>
        </w:rPr>
      </w:pPr>
      <w:r w:rsidRPr="002B2FF7">
        <w:rPr>
          <w:rFonts w:eastAsia="Times New Roman" w:cs="Times New Roman"/>
          <w:snapToGrid w:val="0"/>
          <w:szCs w:val="24"/>
        </w:rPr>
        <w:tab/>
        <w:t xml:space="preserve">    (1)  Nonpayment of an undisputed delinquent account.</w:t>
      </w:r>
    </w:p>
    <w:p w:rsidR="002B2FF7" w:rsidRPr="002B2FF7" w:rsidRDefault="002B2FF7" w:rsidP="00B8009B">
      <w:pPr>
        <w:widowControl w:val="0"/>
        <w:spacing w:after="0" w:line="240" w:lineRule="auto"/>
        <w:ind w:left="1440" w:right="1080"/>
        <w:rPr>
          <w:rFonts w:eastAsia="Times New Roman" w:cs="Times New Roman"/>
          <w:snapToGrid w:val="0"/>
          <w:szCs w:val="24"/>
        </w:rPr>
      </w:pPr>
      <w:r w:rsidRPr="002B2FF7">
        <w:rPr>
          <w:rFonts w:eastAsia="Times New Roman" w:cs="Times New Roman"/>
          <w:snapToGrid w:val="0"/>
          <w:szCs w:val="24"/>
        </w:rPr>
        <w:tab/>
      </w:r>
    </w:p>
    <w:p w:rsidR="00533E21" w:rsidRDefault="00B8009B" w:rsidP="002B2FF7">
      <w:pPr>
        <w:spacing w:after="0" w:line="240" w:lineRule="auto"/>
        <w:rPr>
          <w:rFonts w:eastAsia="Times New Roman" w:cs="Times New Roman"/>
          <w:szCs w:val="24"/>
        </w:rPr>
      </w:pPr>
      <w:r w:rsidRPr="00B8009B">
        <w:rPr>
          <w:rFonts w:eastAsia="Times New Roman" w:cs="Times New Roman"/>
          <w:szCs w:val="24"/>
        </w:rPr>
        <w:t>66 Pa.C.S. § 1406.</w:t>
      </w:r>
    </w:p>
    <w:p w:rsidR="00B8009B" w:rsidRPr="002B2FF7" w:rsidRDefault="00B8009B" w:rsidP="00B8009B">
      <w:pPr>
        <w:spacing w:after="0" w:line="360" w:lineRule="auto"/>
        <w:rPr>
          <w:rFonts w:eastAsia="Times New Roman" w:cs="Times New Roman"/>
          <w:szCs w:val="24"/>
          <w:u w:val="single"/>
        </w:rPr>
      </w:pPr>
      <w:bookmarkStart w:id="0" w:name="_GoBack"/>
      <w:bookmarkEnd w:id="0"/>
    </w:p>
    <w:p w:rsidR="002B2FF7" w:rsidRPr="002B2FF7" w:rsidRDefault="002B2FF7" w:rsidP="002B2FF7">
      <w:pPr>
        <w:autoSpaceDE w:val="0"/>
        <w:autoSpaceDN w:val="0"/>
        <w:spacing w:after="0" w:line="360" w:lineRule="auto"/>
        <w:rPr>
          <w:rFonts w:eastAsia="Times New Roman" w:cs="Times New Roman"/>
          <w:szCs w:val="24"/>
          <w:u w:val="single"/>
        </w:rPr>
      </w:pPr>
      <w:r w:rsidRPr="002B2FF7">
        <w:rPr>
          <w:rFonts w:eastAsia="Times New Roman" w:cs="Times New Roman"/>
          <w:szCs w:val="24"/>
        </w:rPr>
        <w:tab/>
      </w:r>
      <w:r w:rsidRPr="002B2FF7">
        <w:rPr>
          <w:rFonts w:eastAsia="Times New Roman" w:cs="Times New Roman"/>
          <w:szCs w:val="24"/>
        </w:rPr>
        <w:tab/>
        <w:t>3.</w:t>
      </w:r>
      <w:r w:rsidRPr="002B2FF7">
        <w:rPr>
          <w:rFonts w:eastAsia="Times New Roman" w:cs="Times New Roman"/>
          <w:szCs w:val="24"/>
        </w:rPr>
        <w:tab/>
      </w:r>
      <w:r w:rsidRPr="002B2FF7">
        <w:rPr>
          <w:rFonts w:eastAsia="Times New Roman" w:cs="Times New Roman"/>
          <w:szCs w:val="24"/>
          <w:u w:val="single"/>
        </w:rPr>
        <w:t>High Bill Dispute</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t xml:space="preserve">When a customer alleges a high bill dispute, the </w:t>
      </w:r>
      <w:r w:rsidRPr="002B2FF7">
        <w:rPr>
          <w:rFonts w:eastAsia="Times New Roman" w:cs="Times New Roman"/>
          <w:i/>
          <w:szCs w:val="24"/>
        </w:rPr>
        <w:t>Waldron Rule</w:t>
      </w:r>
      <w:r w:rsidRPr="002B2FF7">
        <w:rPr>
          <w:rFonts w:eastAsia="Times New Roman" w:cs="Times New Roman"/>
          <w:szCs w:val="24"/>
        </w:rPr>
        <w:t xml:space="preserve"> applies. </w:t>
      </w:r>
    </w:p>
    <w:p w:rsidR="002B2FF7" w:rsidRPr="002B2FF7" w:rsidRDefault="002B2FF7" w:rsidP="002B2FF7">
      <w:pPr>
        <w:spacing w:after="0" w:line="24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p>
    <w:p w:rsidR="002B2FF7" w:rsidRPr="002B2FF7" w:rsidRDefault="002B2FF7" w:rsidP="002B2FF7">
      <w:pPr>
        <w:spacing w:after="0" w:line="240" w:lineRule="auto"/>
        <w:ind w:left="1440" w:right="1440"/>
        <w:rPr>
          <w:rFonts w:eastAsia="Times New Roman" w:cs="Times New Roman"/>
          <w:szCs w:val="24"/>
        </w:rPr>
      </w:pPr>
      <w:r w:rsidRPr="002B2FF7">
        <w:rPr>
          <w:rFonts w:eastAsia="Times New Roman" w:cs="Times New Roman"/>
          <w:szCs w:val="24"/>
        </w:rPr>
        <w:t xml:space="preserve">In </w:t>
      </w:r>
      <w:r w:rsidRPr="002B2FF7">
        <w:rPr>
          <w:rFonts w:eastAsia="Times New Roman" w:cs="Times New Roman"/>
          <w:i/>
          <w:szCs w:val="24"/>
        </w:rPr>
        <w:t xml:space="preserve">Waldron v. Philadelphia Electric Company, </w:t>
      </w:r>
      <w:r w:rsidRPr="002B2FF7">
        <w:rPr>
          <w:rFonts w:eastAsia="Times New Roman" w:cs="Times New Roman"/>
          <w:szCs w:val="24"/>
        </w:rPr>
        <w:t xml:space="preserve">54 Pa. PUC 98 (1980), the Commission adopted the Michigan Public Service Commission’s (PSC’s) policy annunciated in </w:t>
      </w:r>
      <w:r w:rsidRPr="002B2FF7">
        <w:rPr>
          <w:rFonts w:eastAsia="Times New Roman" w:cs="Times New Roman"/>
          <w:i/>
          <w:szCs w:val="24"/>
        </w:rPr>
        <w:t>Hallifax v. O &amp; A Electric Co-Op</w:t>
      </w:r>
      <w:r w:rsidRPr="002B2FF7">
        <w:rPr>
          <w:rFonts w:eastAsia="Times New Roman" w:cs="Times New Roman"/>
          <w:szCs w:val="24"/>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2B2FF7">
        <w:rPr>
          <w:rFonts w:eastAsia="Times New Roman" w:cs="Times New Roman"/>
          <w:i/>
          <w:szCs w:val="24"/>
        </w:rPr>
        <w:t>Waldron</w:t>
      </w:r>
      <w:r w:rsidRPr="002B2FF7">
        <w:rPr>
          <w:rFonts w:eastAsia="Times New Roman" w:cs="Times New Roman"/>
          <w:szCs w:val="24"/>
        </w:rPr>
        <w:t xml:space="preserve"> at 100.</w:t>
      </w:r>
    </w:p>
    <w:p w:rsidR="002B2FF7" w:rsidRPr="002B2FF7" w:rsidRDefault="002B2FF7" w:rsidP="002B2FF7">
      <w:pPr>
        <w:spacing w:after="0" w:line="360" w:lineRule="auto"/>
        <w:rPr>
          <w:rFonts w:eastAsia="Times New Roman" w:cs="Times New Roman"/>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i/>
          <w:szCs w:val="24"/>
        </w:rPr>
        <w:t>Charisse M. Bennett v. The Peoples Natural Gas Company, LLC</w:t>
      </w:r>
      <w:r w:rsidRPr="002B2FF7">
        <w:rPr>
          <w:rFonts w:eastAsia="Times New Roman" w:cs="Times New Roman"/>
          <w:szCs w:val="24"/>
        </w:rPr>
        <w:t xml:space="preserve">, Docket No. C-2009-2122979, (Opinion and Order entered September 23, 2010, at page 5).  </w:t>
      </w:r>
    </w:p>
    <w:p w:rsidR="001B6A74" w:rsidRDefault="002B2FF7" w:rsidP="002B2FF7">
      <w:pPr>
        <w:autoSpaceDE w:val="0"/>
        <w:autoSpaceDN w:val="0"/>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p>
    <w:p w:rsidR="002B2FF7" w:rsidRDefault="00377F05" w:rsidP="001B6A74">
      <w:pPr>
        <w:autoSpaceDE w:val="0"/>
        <w:autoSpaceDN w:val="0"/>
        <w:spacing w:after="0" w:line="360" w:lineRule="auto"/>
        <w:ind w:left="720" w:firstLine="720"/>
        <w:rPr>
          <w:rFonts w:eastAsia="Times New Roman" w:cs="Times New Roman"/>
          <w:snapToGrid w:val="0"/>
          <w:szCs w:val="24"/>
          <w:u w:val="single"/>
        </w:rPr>
      </w:pPr>
      <w:r>
        <w:rPr>
          <w:rFonts w:eastAsia="Times New Roman" w:cs="Times New Roman"/>
          <w:szCs w:val="24"/>
        </w:rPr>
        <w:lastRenderedPageBreak/>
        <w:t>4</w:t>
      </w:r>
      <w:r w:rsidR="002B2FF7" w:rsidRPr="002B2FF7">
        <w:rPr>
          <w:rFonts w:eastAsia="Times New Roman" w:cs="Times New Roman"/>
          <w:szCs w:val="24"/>
        </w:rPr>
        <w:t>.</w:t>
      </w:r>
      <w:r w:rsidR="002B2FF7" w:rsidRPr="002B2FF7">
        <w:rPr>
          <w:rFonts w:eastAsia="Times New Roman" w:cs="Times New Roman"/>
          <w:szCs w:val="24"/>
        </w:rPr>
        <w:tab/>
      </w:r>
      <w:r w:rsidR="002B2FF7" w:rsidRPr="002B2FF7">
        <w:rPr>
          <w:rFonts w:eastAsia="Times New Roman" w:cs="Times New Roman"/>
          <w:snapToGrid w:val="0"/>
          <w:szCs w:val="24"/>
          <w:u w:val="single"/>
        </w:rPr>
        <w:t>Meter Testing</w:t>
      </w:r>
    </w:p>
    <w:p w:rsidR="001B6A74" w:rsidRPr="002B2FF7" w:rsidRDefault="001B6A74" w:rsidP="001B6A74">
      <w:pPr>
        <w:autoSpaceDE w:val="0"/>
        <w:autoSpaceDN w:val="0"/>
        <w:spacing w:after="0" w:line="360" w:lineRule="auto"/>
        <w:ind w:left="720" w:firstLine="720"/>
        <w:rPr>
          <w:rFonts w:eastAsia="Times New Roman" w:cs="Times New Roman"/>
          <w:snapToGrid w:val="0"/>
          <w:szCs w:val="24"/>
          <w:u w:val="single"/>
        </w:rPr>
      </w:pPr>
    </w:p>
    <w:p w:rsidR="002B2FF7" w:rsidRPr="002B2FF7" w:rsidRDefault="002B2FF7" w:rsidP="002B2FF7">
      <w:pPr>
        <w:spacing w:after="0" w:line="360" w:lineRule="auto"/>
        <w:rPr>
          <w:rFonts w:eastAsia="Times New Roman" w:cs="Times New Roman"/>
          <w:snapToGrid w:val="0"/>
          <w:szCs w:val="24"/>
        </w:rPr>
      </w:pPr>
      <w:r w:rsidRPr="002B2FF7">
        <w:rPr>
          <w:rFonts w:eastAsia="Times New Roman" w:cs="Times New Roman"/>
          <w:snapToGrid w:val="0"/>
          <w:szCs w:val="24"/>
        </w:rPr>
        <w:tab/>
      </w:r>
      <w:r w:rsidRPr="002B2FF7">
        <w:rPr>
          <w:rFonts w:eastAsia="Times New Roman" w:cs="Times New Roman"/>
          <w:snapToGrid w:val="0"/>
          <w:szCs w:val="24"/>
        </w:rPr>
        <w:tab/>
        <w:t>The Commission regulations provide tolerance standards for recording electricity usage within an error variance of 2.0% or less as follows:</w:t>
      </w:r>
    </w:p>
    <w:p w:rsidR="002B2FF7" w:rsidRPr="002B2FF7" w:rsidRDefault="002B2FF7" w:rsidP="002B2FF7">
      <w:pPr>
        <w:spacing w:after="0" w:line="240" w:lineRule="auto"/>
        <w:rPr>
          <w:rFonts w:eastAsia="Times New Roman" w:cs="Times New Roman"/>
          <w:snapToGrid w:val="0"/>
          <w:szCs w:val="24"/>
        </w:rPr>
      </w:pPr>
    </w:p>
    <w:p w:rsidR="002B2FF7" w:rsidRPr="002B2FF7" w:rsidRDefault="002B2FF7" w:rsidP="002B2FF7">
      <w:pPr>
        <w:spacing w:after="0" w:line="360" w:lineRule="auto"/>
        <w:rPr>
          <w:rFonts w:eastAsia="Times New Roman" w:cs="Times New Roman"/>
          <w:snapToGrid w:val="0"/>
          <w:szCs w:val="24"/>
        </w:rPr>
      </w:pPr>
      <w:r w:rsidRPr="002B2FF7">
        <w:rPr>
          <w:rFonts w:eastAsia="Times New Roman" w:cs="Times New Roman"/>
          <w:snapToGrid w:val="0"/>
          <w:szCs w:val="24"/>
        </w:rPr>
        <w:tab/>
      </w:r>
      <w:r w:rsidRPr="002B2FF7">
        <w:rPr>
          <w:rFonts w:eastAsia="Times New Roman" w:cs="Times New Roman"/>
          <w:snapToGrid w:val="0"/>
          <w:szCs w:val="24"/>
        </w:rPr>
        <w:tab/>
      </w:r>
      <w:r w:rsidRPr="002B2FF7">
        <w:rPr>
          <w:rFonts w:eastAsia="Times New Roman" w:cs="Times New Roman"/>
          <w:b/>
          <w:bCs/>
          <w:szCs w:val="24"/>
        </w:rPr>
        <w:t xml:space="preserve">§ 57.20.  </w:t>
      </w:r>
      <w:r w:rsidRPr="002B2FF7">
        <w:rPr>
          <w:rFonts w:eastAsia="Times New Roman" w:cs="Times New Roman"/>
          <w:b/>
          <w:snapToGrid w:val="0"/>
          <w:szCs w:val="24"/>
        </w:rPr>
        <w:t>Watthour Meter Testing.</w:t>
      </w:r>
    </w:p>
    <w:p w:rsidR="002B2FF7" w:rsidRPr="002B2FF7" w:rsidRDefault="002B2FF7" w:rsidP="002B2FF7">
      <w:pPr>
        <w:spacing w:after="0" w:line="240" w:lineRule="auto"/>
        <w:rPr>
          <w:rFonts w:eastAsia="Times New Roman" w:cs="Times New Roman"/>
          <w:snapToGrid w:val="0"/>
          <w:szCs w:val="24"/>
        </w:rPr>
      </w:pPr>
    </w:p>
    <w:p w:rsidR="002B2FF7" w:rsidRPr="002B2FF7" w:rsidRDefault="002B2FF7" w:rsidP="002B2FF7">
      <w:pPr>
        <w:spacing w:after="0" w:line="240" w:lineRule="auto"/>
        <w:ind w:left="1440" w:right="1080"/>
        <w:rPr>
          <w:rFonts w:eastAsia="Times New Roman" w:cs="Times New Roman"/>
          <w:snapToGrid w:val="0"/>
          <w:szCs w:val="24"/>
        </w:rPr>
      </w:pPr>
      <w:r w:rsidRPr="002B2FF7">
        <w:rPr>
          <w:rFonts w:eastAsia="Times New Roman" w:cs="Times New Roman"/>
          <w:snapToGrid w:val="0"/>
          <w:szCs w:val="24"/>
        </w:rPr>
        <w:tab/>
      </w:r>
      <w:r w:rsidRPr="002B2FF7">
        <w:rPr>
          <w:rFonts w:eastAsia="Times New Roman" w:cs="Times New Roman"/>
          <w:szCs w:val="24"/>
        </w:rPr>
        <w:t>(c)   No watthour meter which has an error in registration of more than 2.0% at light load or heavy load may be placed in service or allowed to remain in service without adjustment.  If, upon installation, period or other tests, a watthour meter is found to exceed these limits, it shall be adjusted or removed from service.</w:t>
      </w:r>
      <w:r w:rsidRPr="002B2FF7">
        <w:rPr>
          <w:rFonts w:eastAsia="Times New Roman" w:cs="Times New Roman"/>
          <w:snapToGrid w:val="0"/>
          <w:szCs w:val="24"/>
        </w:rPr>
        <w:tab/>
      </w:r>
      <w:r w:rsidRPr="002B2FF7">
        <w:rPr>
          <w:rFonts w:eastAsia="Times New Roman" w:cs="Times New Roman"/>
          <w:snapToGrid w:val="0"/>
          <w:szCs w:val="24"/>
        </w:rPr>
        <w:tab/>
      </w:r>
    </w:p>
    <w:p w:rsidR="002B2FF7" w:rsidRPr="002B2FF7" w:rsidRDefault="002B2FF7" w:rsidP="002B2FF7">
      <w:pPr>
        <w:spacing w:after="0" w:line="360" w:lineRule="auto"/>
        <w:rPr>
          <w:rFonts w:eastAsia="Times New Roman" w:cs="Times New Roman"/>
          <w:snapToGrid w:val="0"/>
          <w:szCs w:val="24"/>
        </w:rPr>
      </w:pPr>
    </w:p>
    <w:p w:rsidR="002B2FF7" w:rsidRPr="002B2FF7" w:rsidRDefault="002B2FF7" w:rsidP="002B2FF7">
      <w:pPr>
        <w:spacing w:after="0" w:line="360" w:lineRule="auto"/>
        <w:rPr>
          <w:rFonts w:eastAsia="Times New Roman" w:cs="Times New Roman"/>
          <w:szCs w:val="24"/>
        </w:rPr>
      </w:pPr>
      <w:r w:rsidRPr="002B2FF7">
        <w:rPr>
          <w:rFonts w:eastAsia="Times New Roman" w:cs="Times New Roman"/>
          <w:szCs w:val="24"/>
        </w:rPr>
        <w:tab/>
      </w:r>
      <w:r w:rsidRPr="002B2FF7">
        <w:rPr>
          <w:rFonts w:eastAsia="Times New Roman" w:cs="Times New Roman"/>
          <w:szCs w:val="24"/>
        </w:rPr>
        <w:tab/>
      </w:r>
      <w:r w:rsidR="00377F05">
        <w:rPr>
          <w:rFonts w:eastAsia="Times New Roman" w:cs="Times New Roman"/>
          <w:szCs w:val="24"/>
        </w:rPr>
        <w:t>5</w:t>
      </w:r>
      <w:r w:rsidRPr="002B2FF7">
        <w:rPr>
          <w:rFonts w:eastAsia="Times New Roman" w:cs="Times New Roman"/>
          <w:szCs w:val="24"/>
        </w:rPr>
        <w:t>.</w:t>
      </w:r>
      <w:r w:rsidRPr="002B2FF7">
        <w:rPr>
          <w:rFonts w:eastAsia="Times New Roman" w:cs="Times New Roman"/>
          <w:szCs w:val="24"/>
        </w:rPr>
        <w:tab/>
      </w:r>
      <w:r w:rsidRPr="002B2FF7">
        <w:rPr>
          <w:rFonts w:eastAsia="Times New Roman" w:cs="Times New Roman"/>
          <w:szCs w:val="24"/>
          <w:u w:val="single"/>
        </w:rPr>
        <w:t>Payment Arrangements</w:t>
      </w:r>
    </w:p>
    <w:p w:rsidR="002B2FF7" w:rsidRPr="002B2FF7" w:rsidRDefault="002B2FF7" w:rsidP="002B2FF7">
      <w:pPr>
        <w:tabs>
          <w:tab w:val="left" w:pos="1440"/>
        </w:tabs>
        <w:autoSpaceDE w:val="0"/>
        <w:autoSpaceDN w:val="0"/>
        <w:spacing w:after="0" w:line="360" w:lineRule="auto"/>
        <w:rPr>
          <w:rFonts w:eastAsia="Times New Roman" w:cs="Times New Roman"/>
          <w:szCs w:val="24"/>
        </w:rPr>
      </w:pPr>
    </w:p>
    <w:p w:rsidR="002B2FF7" w:rsidRPr="002B2FF7" w:rsidRDefault="002B2FF7" w:rsidP="002B2FF7">
      <w:pPr>
        <w:tabs>
          <w:tab w:val="left" w:pos="1440"/>
        </w:tabs>
        <w:autoSpaceDE w:val="0"/>
        <w:autoSpaceDN w:val="0"/>
        <w:spacing w:after="0" w:line="360" w:lineRule="auto"/>
        <w:rPr>
          <w:rFonts w:eastAsia="Times New Roman" w:cs="Times New Roman"/>
          <w:color w:val="000000"/>
          <w:szCs w:val="24"/>
        </w:rPr>
      </w:pPr>
      <w:r w:rsidRPr="002B2FF7">
        <w:rPr>
          <w:rFonts w:eastAsia="Times New Roman" w:cs="Times New Roman"/>
          <w:szCs w:val="24"/>
        </w:rPr>
        <w:tab/>
        <w:t>Here, Ms. Sanders seeks an affordable payment arrangement from the Commission.  Thus,</w:t>
      </w:r>
      <w:r w:rsidRPr="002B2FF7">
        <w:rPr>
          <w:rFonts w:eastAsia="Times New Roman" w:cs="Times New Roman"/>
          <w:color w:val="FF0000"/>
          <w:szCs w:val="24"/>
        </w:rPr>
        <w:t xml:space="preserve"> </w:t>
      </w:r>
      <w:r w:rsidRPr="002B2FF7">
        <w:rPr>
          <w:rFonts w:eastAsia="Times New Roman" w:cs="Times New Roman"/>
          <w:color w:val="000000"/>
          <w:szCs w:val="24"/>
        </w:rPr>
        <w:t>Chapter 14 of the Code, the Responsible Utility Customer Protection Act, 66 Pa.C.S. § 1401, et seq</w:t>
      </w:r>
      <w:r w:rsidRPr="002B2FF7">
        <w:rPr>
          <w:rFonts w:eastAsia="Times New Roman" w:cs="Times New Roman"/>
          <w:i/>
          <w:color w:val="000000"/>
          <w:szCs w:val="24"/>
        </w:rPr>
        <w:t>.</w:t>
      </w:r>
      <w:r w:rsidRPr="002B2FF7">
        <w:rPr>
          <w:rFonts w:eastAsia="Times New Roman" w:cs="Times New Roman"/>
          <w:color w:val="000000"/>
          <w:szCs w:val="24"/>
        </w:rPr>
        <w:t>, effective December 22, 2014, applies to this proceeding.  Section 1405 of the statute provides as follows:</w:t>
      </w:r>
    </w:p>
    <w:p w:rsidR="002B2FF7" w:rsidRPr="002B2FF7" w:rsidRDefault="002B2FF7" w:rsidP="002B2FF7">
      <w:pPr>
        <w:tabs>
          <w:tab w:val="left" w:pos="1440"/>
        </w:tabs>
        <w:autoSpaceDE w:val="0"/>
        <w:autoSpaceDN w:val="0"/>
        <w:spacing w:after="0" w:line="360" w:lineRule="auto"/>
        <w:rPr>
          <w:rFonts w:eastAsia="Times New Roman" w:cs="Times New Roman"/>
          <w:color w:val="000000"/>
          <w:szCs w:val="24"/>
        </w:rPr>
      </w:pPr>
    </w:p>
    <w:p w:rsidR="002B2FF7" w:rsidRPr="002B2FF7" w:rsidRDefault="002B2FF7" w:rsidP="002B2FF7">
      <w:pPr>
        <w:spacing w:after="0" w:line="240" w:lineRule="auto"/>
        <w:ind w:left="1440" w:right="1440"/>
        <w:rPr>
          <w:rFonts w:cs="Times New Roman"/>
          <w:szCs w:val="24"/>
        </w:rPr>
      </w:pPr>
      <w:r w:rsidRPr="002B2FF7">
        <w:rPr>
          <w:rFonts w:cs="Times New Roman"/>
          <w:b/>
          <w:bCs/>
          <w:szCs w:val="24"/>
        </w:rPr>
        <w:t>§ 1405.  Payment arrangements.</w:t>
      </w:r>
      <w:r w:rsidRPr="002B2FF7">
        <w:rPr>
          <w:rFonts w:cs="Times New Roman"/>
          <w:szCs w:val="24"/>
        </w:rPr>
        <w:t xml:space="preserve"> </w:t>
      </w:r>
    </w:p>
    <w:p w:rsidR="002B2FF7" w:rsidRPr="002B2FF7" w:rsidRDefault="002B2FF7" w:rsidP="002B2FF7">
      <w:pPr>
        <w:spacing w:after="0" w:line="240" w:lineRule="auto"/>
        <w:ind w:left="1440" w:right="1440"/>
        <w:rPr>
          <w:rFonts w:cs="Times New Roman"/>
          <w:szCs w:val="24"/>
        </w:rPr>
      </w:pPr>
    </w:p>
    <w:p w:rsidR="002B2FF7" w:rsidRPr="002B2FF7" w:rsidRDefault="002B2FF7" w:rsidP="002B2FF7">
      <w:pPr>
        <w:tabs>
          <w:tab w:val="left" w:pos="1800"/>
        </w:tabs>
        <w:spacing w:after="0" w:line="240" w:lineRule="auto"/>
        <w:ind w:left="1440" w:right="1440" w:firstLine="360"/>
        <w:rPr>
          <w:rFonts w:cs="Times New Roman"/>
          <w:szCs w:val="24"/>
        </w:rPr>
      </w:pPr>
      <w:r w:rsidRPr="002B2FF7">
        <w:rPr>
          <w:rFonts w:cs="Times New Roman"/>
          <w:b/>
          <w:bCs/>
          <w:szCs w:val="24"/>
        </w:rPr>
        <w:t>(a)  General rule.–</w:t>
      </w:r>
      <w:r w:rsidRPr="002B2FF7">
        <w:rPr>
          <w:rFonts w:cs="Times New Roman"/>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2B2FF7" w:rsidRPr="002B2FF7" w:rsidRDefault="002B2FF7" w:rsidP="002B2FF7">
      <w:pPr>
        <w:tabs>
          <w:tab w:val="left" w:pos="1800"/>
        </w:tabs>
        <w:spacing w:after="0" w:line="240" w:lineRule="auto"/>
        <w:ind w:left="1440" w:right="1440" w:firstLine="360"/>
        <w:rPr>
          <w:rFonts w:cs="Times New Roman"/>
          <w:szCs w:val="24"/>
        </w:rPr>
      </w:pPr>
    </w:p>
    <w:p w:rsidR="002B2FF7" w:rsidRPr="002B2FF7" w:rsidRDefault="002B2FF7" w:rsidP="002B2FF7">
      <w:pPr>
        <w:spacing w:after="0" w:line="240" w:lineRule="auto"/>
        <w:ind w:left="1800" w:right="1080" w:hanging="360"/>
        <w:rPr>
          <w:rFonts w:cs="Times New Roman"/>
          <w:szCs w:val="24"/>
        </w:rPr>
      </w:pPr>
      <w:r w:rsidRPr="002B2FF7">
        <w:rPr>
          <w:rFonts w:cs="Times New Roman"/>
          <w:szCs w:val="24"/>
        </w:rPr>
        <w:t>. . . .</w:t>
      </w:r>
    </w:p>
    <w:p w:rsidR="002B2FF7" w:rsidRPr="002B2FF7" w:rsidRDefault="002B2FF7" w:rsidP="002B2FF7">
      <w:pPr>
        <w:spacing w:after="0" w:line="240" w:lineRule="auto"/>
        <w:ind w:left="1800" w:right="1080" w:hanging="360"/>
        <w:rPr>
          <w:rFonts w:cs="Times New Roman"/>
          <w:szCs w:val="24"/>
        </w:rPr>
      </w:pPr>
    </w:p>
    <w:p w:rsidR="002B2FF7" w:rsidRPr="002B2FF7" w:rsidRDefault="002B2FF7" w:rsidP="002B2FF7">
      <w:pPr>
        <w:spacing w:after="0" w:line="240" w:lineRule="auto"/>
        <w:ind w:left="1440" w:right="1080" w:firstLine="360"/>
        <w:rPr>
          <w:rFonts w:cs="Times New Roman"/>
          <w:szCs w:val="24"/>
        </w:rPr>
      </w:pPr>
      <w:r w:rsidRPr="002B2FF7">
        <w:rPr>
          <w:rFonts w:cs="Times New Roman"/>
          <w:b/>
          <w:bCs/>
          <w:szCs w:val="24"/>
        </w:rPr>
        <w:t xml:space="preserve">(c)  Customer assistance programs. – </w:t>
      </w:r>
      <w:r w:rsidRPr="002B2FF7">
        <w:rPr>
          <w:rFonts w:cs="Times New Roman"/>
          <w:szCs w:val="24"/>
        </w:rPr>
        <w:t>Customer assistance program rates shall be timely paid and shall not be the subject of payment arrangements negotiated or approved by the commission.</w:t>
      </w:r>
    </w:p>
    <w:p w:rsidR="002B2FF7" w:rsidRPr="002B2FF7" w:rsidRDefault="002B2FF7" w:rsidP="002B2FF7">
      <w:pPr>
        <w:spacing w:after="0" w:line="240" w:lineRule="auto"/>
        <w:ind w:left="1440" w:right="1080" w:firstLine="360"/>
        <w:rPr>
          <w:rFonts w:cs="Times New Roman"/>
          <w:b/>
          <w:bCs/>
          <w:szCs w:val="24"/>
        </w:rPr>
      </w:pPr>
    </w:p>
    <w:p w:rsidR="002B2FF7" w:rsidRPr="002B2FF7" w:rsidRDefault="002B2FF7" w:rsidP="002B2FF7">
      <w:pPr>
        <w:spacing w:after="0" w:line="240" w:lineRule="auto"/>
        <w:ind w:left="1440" w:right="1080" w:firstLine="360"/>
        <w:rPr>
          <w:rFonts w:cs="Times New Roman"/>
          <w:szCs w:val="24"/>
        </w:rPr>
      </w:pPr>
      <w:r w:rsidRPr="002B2FF7">
        <w:rPr>
          <w:rFonts w:cs="Times New Roman"/>
          <w:b/>
          <w:bCs/>
          <w:szCs w:val="24"/>
        </w:rPr>
        <w:t>(d)  Number of payment arrangements.–</w:t>
      </w:r>
      <w:r w:rsidRPr="002B2FF7">
        <w:rPr>
          <w:rFonts w:cs="Times New Roman"/>
          <w:szCs w:val="24"/>
        </w:rPr>
        <w:t xml:space="preserve">Absent a change in income, the commission shall not establish or order a public utility to establish a second or subsequent payment arrangement if a customer has defaulted on a previous payment arrangement.  A public utility </w:t>
      </w:r>
      <w:r w:rsidRPr="002B2FF7">
        <w:rPr>
          <w:rFonts w:cs="Times New Roman"/>
          <w:szCs w:val="24"/>
        </w:rPr>
        <w:lastRenderedPageBreak/>
        <w:t>may, at its discretion, enter into a second or subsequent payment arrangement with a customer.</w:t>
      </w:r>
    </w:p>
    <w:p w:rsidR="002B2FF7" w:rsidRPr="002B2FF7" w:rsidRDefault="002B2FF7" w:rsidP="002B2FF7">
      <w:pPr>
        <w:spacing w:after="0" w:line="240" w:lineRule="auto"/>
        <w:ind w:left="1440" w:right="1080" w:firstLine="360"/>
        <w:rPr>
          <w:rFonts w:cs="Times New Roman"/>
          <w:szCs w:val="24"/>
        </w:rPr>
      </w:pPr>
    </w:p>
    <w:p w:rsidR="002B2FF7" w:rsidRDefault="002B2FF7" w:rsidP="002B2FF7">
      <w:pPr>
        <w:spacing w:after="0" w:line="240" w:lineRule="auto"/>
        <w:ind w:left="1440" w:right="1080"/>
        <w:rPr>
          <w:rFonts w:cs="Times New Roman"/>
          <w:szCs w:val="24"/>
        </w:rPr>
      </w:pPr>
      <w:r w:rsidRPr="002B2FF7">
        <w:rPr>
          <w:rFonts w:cs="Times New Roman"/>
          <w:szCs w:val="24"/>
        </w:rPr>
        <w:t>. . . .</w:t>
      </w:r>
    </w:p>
    <w:p w:rsidR="000C777B" w:rsidRPr="002B2FF7" w:rsidRDefault="000C777B" w:rsidP="002B2FF7">
      <w:pPr>
        <w:spacing w:after="0" w:line="240" w:lineRule="auto"/>
        <w:ind w:left="1440" w:right="1080"/>
        <w:rPr>
          <w:rFonts w:cs="Times New Roman"/>
          <w:szCs w:val="24"/>
        </w:rPr>
      </w:pPr>
    </w:p>
    <w:p w:rsidR="002B2FF7" w:rsidRPr="002B2FF7" w:rsidRDefault="002B2FF7" w:rsidP="002B2FF7">
      <w:pPr>
        <w:spacing w:after="0" w:line="240" w:lineRule="auto"/>
        <w:ind w:left="1440" w:right="1080" w:firstLine="360"/>
        <w:rPr>
          <w:rFonts w:cs="Times New Roman"/>
          <w:szCs w:val="24"/>
        </w:rPr>
      </w:pPr>
      <w:r w:rsidRPr="002B2FF7">
        <w:rPr>
          <w:rFonts w:cs="Times New Roman"/>
          <w:b/>
          <w:bCs/>
          <w:szCs w:val="24"/>
        </w:rPr>
        <w:t>(f)  Failure to comply with payment arrangement.–</w:t>
      </w:r>
      <w:r w:rsidRPr="002B2FF7">
        <w:rPr>
          <w:rFonts w:cs="Times New Roman"/>
          <w:szCs w:val="24"/>
        </w:rPr>
        <w:t>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2B2FF7" w:rsidRPr="002B2FF7" w:rsidRDefault="002B2FF7" w:rsidP="002B2FF7">
      <w:pPr>
        <w:spacing w:after="0" w:line="240" w:lineRule="auto"/>
        <w:ind w:left="1440" w:right="1080"/>
        <w:rPr>
          <w:rFonts w:cs="Times New Roman"/>
          <w:szCs w:val="24"/>
        </w:rPr>
      </w:pPr>
    </w:p>
    <w:p w:rsidR="002F3156" w:rsidRPr="00A659D8" w:rsidRDefault="002F3156" w:rsidP="002F3156">
      <w:pPr>
        <w:spacing w:after="0" w:line="240" w:lineRule="auto"/>
        <w:rPr>
          <w:rFonts w:eastAsia="Times New Roman" w:cs="Times New Roman"/>
          <w:szCs w:val="24"/>
          <w:u w:val="single"/>
        </w:rPr>
      </w:pPr>
      <w:r w:rsidRPr="00A659D8">
        <w:rPr>
          <w:rFonts w:eastAsia="Times New Roman" w:cs="Times New Roman"/>
          <w:szCs w:val="24"/>
        </w:rPr>
        <w:t>B.</w:t>
      </w:r>
      <w:r w:rsidRPr="00A659D8">
        <w:rPr>
          <w:rFonts w:eastAsia="Times New Roman" w:cs="Times New Roman"/>
          <w:szCs w:val="24"/>
        </w:rPr>
        <w:tab/>
      </w:r>
      <w:r w:rsidRPr="00A659D8">
        <w:rPr>
          <w:rFonts w:eastAsia="Times New Roman" w:cs="Times New Roman"/>
          <w:szCs w:val="24"/>
          <w:u w:val="single"/>
        </w:rPr>
        <w:t>Analysis</w:t>
      </w:r>
    </w:p>
    <w:p w:rsidR="002F3156" w:rsidRPr="00A659D8" w:rsidRDefault="002F3156" w:rsidP="002F3156">
      <w:pPr>
        <w:spacing w:after="0" w:line="240" w:lineRule="auto"/>
        <w:rPr>
          <w:rFonts w:eastAsia="Times New Roman" w:cs="Times New Roman"/>
          <w:szCs w:val="24"/>
          <w:u w:val="single"/>
        </w:rPr>
      </w:pPr>
    </w:p>
    <w:p w:rsidR="002F3156" w:rsidRPr="00A659D8" w:rsidRDefault="002F3156" w:rsidP="002F3156">
      <w:pPr>
        <w:spacing w:after="0" w:line="240" w:lineRule="auto"/>
        <w:rPr>
          <w:rFonts w:eastAsia="Times New Roman" w:cs="Times New Roman"/>
          <w:szCs w:val="24"/>
          <w:u w:val="single"/>
        </w:rPr>
      </w:pPr>
    </w:p>
    <w:p w:rsidR="002F3156" w:rsidRPr="00A659D8" w:rsidRDefault="002F3156" w:rsidP="002F3156">
      <w:pPr>
        <w:spacing w:after="0" w:line="360" w:lineRule="auto"/>
        <w:rPr>
          <w:rFonts w:eastAsia="Times New Roman" w:cs="Times New Roman"/>
          <w:szCs w:val="24"/>
          <w:u w:val="single"/>
        </w:rPr>
      </w:pPr>
      <w:r w:rsidRPr="00A659D8">
        <w:rPr>
          <w:rFonts w:eastAsia="Times New Roman" w:cs="Times New Roman"/>
          <w:szCs w:val="24"/>
        </w:rPr>
        <w:tab/>
      </w:r>
      <w:r w:rsidRPr="00A659D8">
        <w:rPr>
          <w:rFonts w:eastAsia="Times New Roman" w:cs="Times New Roman"/>
          <w:szCs w:val="24"/>
        </w:rPr>
        <w:tab/>
        <w:t>1.</w:t>
      </w:r>
      <w:r w:rsidRPr="00A659D8">
        <w:rPr>
          <w:rFonts w:eastAsia="Times New Roman" w:cs="Times New Roman"/>
          <w:szCs w:val="24"/>
        </w:rPr>
        <w:tab/>
      </w:r>
      <w:r w:rsidRPr="00A659D8">
        <w:rPr>
          <w:rFonts w:eastAsia="Times New Roman" w:cs="Times New Roman"/>
          <w:szCs w:val="24"/>
          <w:u w:val="single"/>
        </w:rPr>
        <w:t>The Parties’ Positions</w:t>
      </w:r>
    </w:p>
    <w:p w:rsidR="002F3156" w:rsidRPr="00A659D8" w:rsidRDefault="002F3156" w:rsidP="002F3156">
      <w:pPr>
        <w:spacing w:after="0" w:line="360" w:lineRule="auto"/>
        <w:rPr>
          <w:rFonts w:eastAsia="Times New Roman" w:cs="Times New Roman"/>
          <w:szCs w:val="24"/>
          <w:u w:val="single"/>
        </w:rPr>
      </w:pPr>
    </w:p>
    <w:p w:rsidR="002F3156"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t xml:space="preserve">In this proceeding, Ms. Sanders raises several issues:  </w:t>
      </w:r>
      <w:r>
        <w:rPr>
          <w:rFonts w:eastAsia="Times New Roman" w:cs="Times New Roman"/>
          <w:szCs w:val="24"/>
        </w:rPr>
        <w:t xml:space="preserve">threatened or actual </w:t>
      </w:r>
      <w:r w:rsidRPr="00A659D8">
        <w:rPr>
          <w:rFonts w:eastAsia="Times New Roman" w:cs="Times New Roman"/>
          <w:szCs w:val="24"/>
        </w:rPr>
        <w:t>service termination; payment arrangement request</w:t>
      </w:r>
      <w:r>
        <w:rPr>
          <w:rFonts w:eastAsia="Times New Roman" w:cs="Times New Roman"/>
          <w:szCs w:val="24"/>
        </w:rPr>
        <w:t>; and high</w:t>
      </w:r>
      <w:r w:rsidRPr="00A659D8">
        <w:rPr>
          <w:rFonts w:eastAsia="Times New Roman" w:cs="Times New Roman"/>
          <w:szCs w:val="24"/>
        </w:rPr>
        <w:t xml:space="preserve"> billing charges.  According to Ms. Sanders PECO was threatening service termination; </w:t>
      </w:r>
      <w:r>
        <w:rPr>
          <w:rFonts w:eastAsia="Times New Roman" w:cs="Times New Roman"/>
          <w:szCs w:val="24"/>
        </w:rPr>
        <w:t>and</w:t>
      </w:r>
      <w:r w:rsidRPr="00A659D8">
        <w:rPr>
          <w:rFonts w:eastAsia="Times New Roman" w:cs="Times New Roman"/>
          <w:szCs w:val="24"/>
        </w:rPr>
        <w:t xml:space="preserve"> she contends her bills from December 201</w:t>
      </w:r>
      <w:r>
        <w:rPr>
          <w:rFonts w:eastAsia="Times New Roman" w:cs="Times New Roman"/>
          <w:szCs w:val="24"/>
        </w:rPr>
        <w:t>4</w:t>
      </w:r>
      <w:r w:rsidRPr="00A659D8">
        <w:rPr>
          <w:rFonts w:eastAsia="Times New Roman" w:cs="Times New Roman"/>
          <w:szCs w:val="24"/>
        </w:rPr>
        <w:t xml:space="preserve"> through April 201</w:t>
      </w:r>
      <w:r w:rsidR="00E367E1">
        <w:rPr>
          <w:rFonts w:eastAsia="Times New Roman" w:cs="Times New Roman"/>
          <w:szCs w:val="24"/>
        </w:rPr>
        <w:t>5</w:t>
      </w:r>
      <w:r w:rsidRPr="00A659D8">
        <w:rPr>
          <w:rFonts w:eastAsia="Times New Roman" w:cs="Times New Roman"/>
          <w:szCs w:val="24"/>
        </w:rPr>
        <w:t xml:space="preserve"> are extremely high in comparison to other months and the previous year.  </w:t>
      </w:r>
      <w:r w:rsidR="000A77FF">
        <w:rPr>
          <w:rFonts w:eastAsia="Times New Roman" w:cs="Times New Roman"/>
          <w:szCs w:val="24"/>
        </w:rPr>
        <w:t xml:space="preserve">  </w:t>
      </w:r>
      <w:r>
        <w:rPr>
          <w:rFonts w:eastAsia="Times New Roman" w:cs="Times New Roman"/>
          <w:szCs w:val="24"/>
        </w:rPr>
        <w:t>Tr. 13.   Ms. Sanders’ service has not been terminated (Tr. 86), but she would like a lower payment arrangement perhaps $50.00 a month.  Tr. 23.</w:t>
      </w:r>
    </w:p>
    <w:p w:rsidR="002F3156" w:rsidRPr="00A659D8" w:rsidRDefault="002F3156" w:rsidP="002F3156">
      <w:pPr>
        <w:spacing w:after="0" w:line="360" w:lineRule="auto"/>
        <w:rPr>
          <w:rFonts w:eastAsia="Times New Roman" w:cs="Times New Roman"/>
          <w:szCs w:val="24"/>
        </w:rPr>
      </w:pPr>
    </w:p>
    <w:p w:rsidR="002F3156"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t>P</w:t>
      </w:r>
      <w:r>
        <w:rPr>
          <w:rFonts w:eastAsia="Times New Roman" w:cs="Times New Roman"/>
          <w:szCs w:val="24"/>
        </w:rPr>
        <w:t>ECO asserts that an investigation was made into Ms. Sanders’ high bill concerns.  Tr. 52.  PECO submits the investigation revealed that the service address has the potential to use the electricity for which Ms. Sanders i</w:t>
      </w:r>
      <w:r w:rsidR="00E367E1">
        <w:rPr>
          <w:rFonts w:eastAsia="Times New Roman" w:cs="Times New Roman"/>
          <w:szCs w:val="24"/>
        </w:rPr>
        <w:t>s</w:t>
      </w:r>
      <w:r>
        <w:rPr>
          <w:rFonts w:eastAsia="Times New Roman" w:cs="Times New Roman"/>
          <w:szCs w:val="24"/>
        </w:rPr>
        <w:t xml:space="preserve"> being charged.  Tr. 43, 69-70.  Thus, Ms. Sanders’ bills are correct, PECO maintains.  Tr. 80.  Additionally, a meter and foreign load testing were conducted.  PECO contends the accuracy of the meter was confirmed and no foreign wiring was found at the service address.  Lastly, PECO argues the Complaint should be dismissed because Ms. Sanders</w:t>
      </w:r>
      <w:r w:rsidR="00E367E1">
        <w:rPr>
          <w:rFonts w:eastAsia="Times New Roman" w:cs="Times New Roman"/>
          <w:szCs w:val="24"/>
        </w:rPr>
        <w:t>’</w:t>
      </w:r>
      <w:r>
        <w:rPr>
          <w:rFonts w:eastAsia="Times New Roman" w:cs="Times New Roman"/>
          <w:szCs w:val="24"/>
        </w:rPr>
        <w:t xml:space="preserve"> entire account balance is comprised of CAP arrears, which cannot be the subject of a Commission-ordered payment arrangement.  Tr. 42.  Accordingly, PECO requests dismissal of the Complaint.</w:t>
      </w: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t>The issues and the competing positions of the Parties are addressed below.</w:t>
      </w:r>
    </w:p>
    <w:p w:rsidR="002F3156" w:rsidRPr="00A659D8" w:rsidRDefault="002F3156" w:rsidP="002F3156">
      <w:pPr>
        <w:spacing w:after="0" w:line="360" w:lineRule="auto"/>
        <w:rPr>
          <w:rFonts w:eastAsia="Times New Roman" w:cs="Times New Roman"/>
          <w:szCs w:val="24"/>
        </w:rPr>
      </w:pPr>
    </w:p>
    <w:p w:rsidR="002F3156" w:rsidRDefault="00304ADD" w:rsidP="002F3156">
      <w:pPr>
        <w:tabs>
          <w:tab w:val="left" w:pos="1440"/>
        </w:tabs>
        <w:spacing w:after="0" w:line="360" w:lineRule="auto"/>
        <w:rPr>
          <w:rFonts w:eastAsia="Times New Roman" w:cs="Times New Roman"/>
          <w:szCs w:val="24"/>
          <w:u w:val="single"/>
        </w:rPr>
      </w:pPr>
      <w:r>
        <w:rPr>
          <w:rFonts w:eastAsia="Times New Roman" w:cs="Times New Roman"/>
          <w:szCs w:val="24"/>
        </w:rPr>
        <w:lastRenderedPageBreak/>
        <w:tab/>
      </w:r>
      <w:r w:rsidR="002F3156">
        <w:rPr>
          <w:rFonts w:eastAsia="Times New Roman" w:cs="Times New Roman"/>
          <w:szCs w:val="24"/>
        </w:rPr>
        <w:t>2</w:t>
      </w:r>
      <w:r w:rsidR="002F3156" w:rsidRPr="00A659D8">
        <w:rPr>
          <w:rFonts w:eastAsia="Times New Roman" w:cs="Times New Roman"/>
          <w:szCs w:val="24"/>
        </w:rPr>
        <w:t>.</w:t>
      </w:r>
      <w:r w:rsidR="002F3156" w:rsidRPr="00A659D8">
        <w:rPr>
          <w:rFonts w:eastAsia="Times New Roman" w:cs="Times New Roman"/>
          <w:szCs w:val="24"/>
        </w:rPr>
        <w:tab/>
      </w:r>
      <w:r w:rsidR="002F3156" w:rsidRPr="00A659D8">
        <w:rPr>
          <w:rFonts w:eastAsia="Times New Roman" w:cs="Times New Roman"/>
          <w:szCs w:val="24"/>
          <w:u w:val="single"/>
        </w:rPr>
        <w:t>Termination Issue</w:t>
      </w:r>
    </w:p>
    <w:p w:rsidR="00304ADD" w:rsidRPr="00A659D8" w:rsidRDefault="00304ADD" w:rsidP="002F3156">
      <w:pPr>
        <w:tabs>
          <w:tab w:val="left" w:pos="1440"/>
        </w:tabs>
        <w:spacing w:after="0" w:line="360" w:lineRule="auto"/>
        <w:rPr>
          <w:rFonts w:eastAsia="Times New Roman" w:cs="Times New Roman"/>
          <w:szCs w:val="24"/>
          <w:u w:val="single"/>
        </w:rPr>
      </w:pP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t>Although M</w:t>
      </w:r>
      <w:r>
        <w:rPr>
          <w:rFonts w:eastAsia="Times New Roman" w:cs="Times New Roman"/>
          <w:szCs w:val="24"/>
        </w:rPr>
        <w:t>s</w:t>
      </w:r>
      <w:r w:rsidRPr="00A659D8">
        <w:rPr>
          <w:rFonts w:eastAsia="Times New Roman" w:cs="Times New Roman"/>
          <w:szCs w:val="24"/>
        </w:rPr>
        <w:t xml:space="preserve">. </w:t>
      </w:r>
      <w:r>
        <w:rPr>
          <w:rFonts w:eastAsia="Times New Roman" w:cs="Times New Roman"/>
          <w:szCs w:val="24"/>
        </w:rPr>
        <w:t>Sanders alleges PECO was threatening service termination, the only testimony that she presented on this issue is that her service is currently on and she does not want her electricity turned off.  Tr. 31, 86.  However, t</w:t>
      </w:r>
      <w:r w:rsidRPr="00A659D8">
        <w:rPr>
          <w:rFonts w:eastAsia="Times New Roman" w:cs="Times New Roman"/>
          <w:szCs w:val="24"/>
        </w:rPr>
        <w:t xml:space="preserve">he Code permits a utility to terminate service for non-payment of an undisputed bill.  See Section 1406(a)(1) cited above.  Additionally, by law, a public utility is entitled to receive payment for the service it provides.  </w:t>
      </w:r>
      <w:r w:rsidRPr="00A659D8">
        <w:rPr>
          <w:rFonts w:eastAsia="Times New Roman" w:cs="Times New Roman"/>
          <w:i/>
          <w:szCs w:val="24"/>
        </w:rPr>
        <w:t>Scaccia v. West Penn Power Company</w:t>
      </w:r>
      <w:r w:rsidRPr="00A659D8">
        <w:rPr>
          <w:rFonts w:eastAsia="Times New Roman" w:cs="Times New Roman"/>
          <w:szCs w:val="24"/>
        </w:rPr>
        <w:t xml:space="preserve">, 55 Pa. PUC 637 (1982).  Otherwise, unpaid bills are included in the utility’s uncollectible expenses, which all of its remaining customers must pay.  </w:t>
      </w:r>
      <w:r w:rsidRPr="00A659D8">
        <w:rPr>
          <w:rFonts w:eastAsia="Times New Roman" w:cs="Times New Roman"/>
          <w:i/>
          <w:szCs w:val="24"/>
        </w:rPr>
        <w:t>Bolt v. Duquesne Light Company</w:t>
      </w:r>
      <w:r w:rsidRPr="00A659D8">
        <w:rPr>
          <w:rFonts w:eastAsia="Times New Roman" w:cs="Times New Roman"/>
          <w:szCs w:val="24"/>
        </w:rPr>
        <w:t>, Docket No. Z</w:t>
      </w:r>
      <w:r w:rsidRPr="00A659D8">
        <w:rPr>
          <w:rFonts w:eastAsia="Times New Roman" w:cs="Times New Roman"/>
          <w:szCs w:val="24"/>
        </w:rPr>
        <w:noBreakHyphen/>
        <w:t xml:space="preserve">8712758 (Order entered April 8, 1988).  No public utility may receive a greater or lesser rate than the one set forth in its tariff on file with this Commission.  66 Pa.C.S. § 1303.  Neither may a public utility unreasonably discriminate for or against a particular customer by establishing a special rate for them.  66 Pa.C.S. § 1304.  </w:t>
      </w:r>
    </w:p>
    <w:p w:rsidR="002F3156" w:rsidRPr="00A659D8" w:rsidRDefault="002F3156" w:rsidP="002F3156">
      <w:pPr>
        <w:spacing w:after="0" w:line="360" w:lineRule="auto"/>
        <w:rPr>
          <w:rFonts w:eastAsia="Times New Roman" w:cs="Times New Roman"/>
          <w:szCs w:val="24"/>
        </w:rPr>
      </w:pP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zCs w:val="24"/>
        </w:rPr>
        <w:tab/>
      </w:r>
      <w:r w:rsidRPr="00A659D8">
        <w:rPr>
          <w:rFonts w:eastAsia="Times New Roman" w:cs="Times New Roman"/>
          <w:szCs w:val="24"/>
        </w:rPr>
        <w:tab/>
      </w:r>
      <w:r>
        <w:rPr>
          <w:rFonts w:eastAsia="Times New Roman" w:cs="Times New Roman"/>
          <w:szCs w:val="24"/>
        </w:rPr>
        <w:t>Notably, Ms. Sanders is not disputing all of the charges on her outstanding account balance in the amount of $6,884.48.  Tr. 34, 42, 53.  Ms. Sanders is only disputing her charges for the winters of 201</w:t>
      </w:r>
      <w:r w:rsidR="00E367E1">
        <w:rPr>
          <w:rFonts w:eastAsia="Times New Roman" w:cs="Times New Roman"/>
          <w:szCs w:val="24"/>
        </w:rPr>
        <w:t>4</w:t>
      </w:r>
      <w:r>
        <w:rPr>
          <w:rFonts w:eastAsia="Times New Roman" w:cs="Times New Roman"/>
          <w:szCs w:val="24"/>
        </w:rPr>
        <w:t xml:space="preserve"> and 201</w:t>
      </w:r>
      <w:r w:rsidR="00E367E1">
        <w:rPr>
          <w:rFonts w:eastAsia="Times New Roman" w:cs="Times New Roman"/>
          <w:szCs w:val="24"/>
        </w:rPr>
        <w:t>5</w:t>
      </w:r>
      <w:r>
        <w:rPr>
          <w:rFonts w:eastAsia="Times New Roman" w:cs="Times New Roman"/>
          <w:szCs w:val="24"/>
        </w:rPr>
        <w:t>.  Tr. 34.  The amount of charges that Ms. Sanders is disputing is approximately $3,000.00.  See Finding of Fact 22, Table 2 above.  Thus under the Code, PECO could issue notice of termination to Ms. Sanders or terminate service for the undisputed portion of the bill.  Accordingly</w:t>
      </w:r>
      <w:r w:rsidR="000A77FF">
        <w:rPr>
          <w:rFonts w:eastAsia="Times New Roman" w:cs="Times New Roman"/>
          <w:szCs w:val="24"/>
        </w:rPr>
        <w:t>,</w:t>
      </w:r>
      <w:r>
        <w:rPr>
          <w:rFonts w:eastAsia="Times New Roman" w:cs="Times New Roman"/>
          <w:szCs w:val="24"/>
        </w:rPr>
        <w:t xml:space="preserve"> the evidence fails to establish that PECO </w:t>
      </w:r>
      <w:r w:rsidRPr="00A659D8">
        <w:rPr>
          <w:rFonts w:eastAsia="Times New Roman" w:cs="Times New Roman"/>
          <w:szCs w:val="24"/>
        </w:rPr>
        <w:t xml:space="preserve">violated any of the Commission’s regulations or the Code </w:t>
      </w:r>
      <w:r>
        <w:rPr>
          <w:rFonts w:eastAsia="Times New Roman" w:cs="Times New Roman"/>
          <w:szCs w:val="24"/>
        </w:rPr>
        <w:t xml:space="preserve">concerning the threat of termination or actual termination. </w:t>
      </w:r>
      <w:r w:rsidR="00304ADD">
        <w:rPr>
          <w:rFonts w:eastAsia="Times New Roman" w:cs="Times New Roman"/>
          <w:szCs w:val="24"/>
        </w:rPr>
        <w:t xml:space="preserve"> </w:t>
      </w:r>
      <w:r>
        <w:rPr>
          <w:rFonts w:eastAsia="Times New Roman" w:cs="Times New Roman"/>
          <w:szCs w:val="24"/>
        </w:rPr>
        <w:t>Therefore, Ms. Sander</w:t>
      </w:r>
      <w:r w:rsidRPr="00A659D8">
        <w:rPr>
          <w:rFonts w:eastAsia="Times New Roman" w:cs="Times New Roman"/>
          <w:szCs w:val="24"/>
        </w:rPr>
        <w:t>’s termination issue must be dismissed.</w:t>
      </w:r>
    </w:p>
    <w:p w:rsidR="002F3156" w:rsidRDefault="002F3156" w:rsidP="002F3156">
      <w:pPr>
        <w:spacing w:after="0" w:line="360" w:lineRule="auto"/>
        <w:ind w:left="720" w:firstLine="720"/>
        <w:rPr>
          <w:rFonts w:eastAsia="Times New Roman" w:cs="Times New Roman"/>
          <w:szCs w:val="24"/>
        </w:rPr>
      </w:pPr>
    </w:p>
    <w:p w:rsidR="002F3156" w:rsidRPr="00A659D8" w:rsidRDefault="002F3156" w:rsidP="002F3156">
      <w:pPr>
        <w:spacing w:after="0" w:line="360" w:lineRule="auto"/>
        <w:ind w:left="720" w:firstLine="720"/>
        <w:rPr>
          <w:rFonts w:eastAsia="Times New Roman" w:cs="Times New Roman"/>
          <w:szCs w:val="24"/>
        </w:rPr>
      </w:pPr>
      <w:r>
        <w:rPr>
          <w:rFonts w:eastAsia="Times New Roman" w:cs="Times New Roman"/>
          <w:szCs w:val="24"/>
        </w:rPr>
        <w:t>3</w:t>
      </w:r>
      <w:r w:rsidRPr="00A659D8">
        <w:rPr>
          <w:rFonts w:eastAsia="Times New Roman" w:cs="Times New Roman"/>
          <w:szCs w:val="24"/>
        </w:rPr>
        <w:t>.</w:t>
      </w:r>
      <w:r w:rsidRPr="00A659D8">
        <w:rPr>
          <w:rFonts w:eastAsia="Times New Roman" w:cs="Times New Roman"/>
          <w:szCs w:val="24"/>
        </w:rPr>
        <w:tab/>
      </w:r>
      <w:r w:rsidRPr="00955CAF">
        <w:rPr>
          <w:rFonts w:eastAsia="Times New Roman" w:cs="Times New Roman"/>
          <w:szCs w:val="24"/>
          <w:u w:val="single"/>
        </w:rPr>
        <w:t xml:space="preserve">High Charges </w:t>
      </w:r>
      <w:r w:rsidRPr="00A659D8">
        <w:rPr>
          <w:rFonts w:eastAsia="Times New Roman" w:cs="Times New Roman"/>
          <w:szCs w:val="24"/>
          <w:u w:val="single"/>
        </w:rPr>
        <w:t xml:space="preserve">and </w:t>
      </w:r>
      <w:r>
        <w:rPr>
          <w:rFonts w:eastAsia="Times New Roman" w:cs="Times New Roman"/>
          <w:szCs w:val="24"/>
          <w:u w:val="single"/>
        </w:rPr>
        <w:t xml:space="preserve">Potential </w:t>
      </w:r>
      <w:r w:rsidRPr="00A659D8">
        <w:rPr>
          <w:rFonts w:eastAsia="Times New Roman" w:cs="Times New Roman"/>
          <w:szCs w:val="24"/>
          <w:u w:val="single"/>
        </w:rPr>
        <w:t>Energy Usage Issues</w:t>
      </w:r>
    </w:p>
    <w:p w:rsidR="002F3156" w:rsidRPr="00A659D8" w:rsidRDefault="002F3156" w:rsidP="002F3156">
      <w:pPr>
        <w:spacing w:after="0" w:line="360" w:lineRule="auto"/>
        <w:rPr>
          <w:rFonts w:eastAsia="Times New Roman" w:cs="Times New Roman"/>
          <w:szCs w:val="24"/>
        </w:rPr>
      </w:pPr>
    </w:p>
    <w:p w:rsidR="002F3156" w:rsidRDefault="002F3156" w:rsidP="002F3156">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Ms. Sanders urges that her electricity bills for the winter are extremely high.  She contends she makes every effort to conserve electricity at her home. </w:t>
      </w:r>
      <w:r w:rsidR="00FD79DA">
        <w:rPr>
          <w:rFonts w:eastAsia="Times New Roman" w:cs="Times New Roman"/>
          <w:szCs w:val="24"/>
        </w:rPr>
        <w:t xml:space="preserve"> </w:t>
      </w:r>
      <w:r>
        <w:rPr>
          <w:rFonts w:eastAsia="Times New Roman" w:cs="Times New Roman"/>
          <w:szCs w:val="24"/>
        </w:rPr>
        <w:t>Tr. 31, 35.  PECO counters that the meter for the service address tested at 100.04 percent accurate</w:t>
      </w:r>
      <w:r w:rsidR="00304ADD">
        <w:rPr>
          <w:rFonts w:eastAsia="Times New Roman" w:cs="Times New Roman"/>
          <w:szCs w:val="24"/>
        </w:rPr>
        <w:t>.</w:t>
      </w:r>
      <w:r>
        <w:rPr>
          <w:rFonts w:eastAsia="Times New Roman" w:cs="Times New Roman"/>
          <w:szCs w:val="24"/>
        </w:rPr>
        <w:t xml:space="preserve"> </w:t>
      </w:r>
      <w:r w:rsidR="00304ADD">
        <w:rPr>
          <w:rFonts w:eastAsia="Times New Roman" w:cs="Times New Roman"/>
          <w:szCs w:val="24"/>
        </w:rPr>
        <w:t xml:space="preserve"> </w:t>
      </w:r>
      <w:r>
        <w:rPr>
          <w:rFonts w:eastAsia="Times New Roman" w:cs="Times New Roman"/>
          <w:szCs w:val="24"/>
        </w:rPr>
        <w:t xml:space="preserve">Tr. 78.  PECO submits </w:t>
      </w:r>
    </w:p>
    <w:p w:rsidR="002F3156" w:rsidRDefault="002F3156" w:rsidP="002F3156">
      <w:pPr>
        <w:spacing w:after="0" w:line="360" w:lineRule="auto"/>
        <w:rPr>
          <w:rFonts w:eastAsia="Times New Roman" w:cs="Times New Roman"/>
          <w:szCs w:val="24"/>
        </w:rPr>
      </w:pPr>
      <w:r>
        <w:rPr>
          <w:rFonts w:eastAsia="Times New Roman" w:cs="Times New Roman"/>
          <w:szCs w:val="24"/>
        </w:rPr>
        <w:lastRenderedPageBreak/>
        <w:t>that u</w:t>
      </w:r>
      <w:r w:rsidRPr="00A659D8">
        <w:rPr>
          <w:rFonts w:eastAsia="Times New Roman" w:cs="Times New Roman"/>
          <w:szCs w:val="24"/>
        </w:rPr>
        <w:t xml:space="preserve">nder the Commission’s regulations, this test result is within an acceptable 2.0% range of accuracy.  52 Pa.Code § 59.21(f).  </w:t>
      </w:r>
      <w:r>
        <w:rPr>
          <w:rFonts w:eastAsia="Times New Roman" w:cs="Times New Roman"/>
          <w:szCs w:val="24"/>
        </w:rPr>
        <w:t>PECO also contends that there is no foreign wiring</w:t>
      </w:r>
      <w:r w:rsidRPr="00A659D8">
        <w:rPr>
          <w:rFonts w:eastAsia="Times New Roman" w:cs="Times New Roman"/>
          <w:szCs w:val="24"/>
          <w:vertAlign w:val="superscript"/>
        </w:rPr>
        <w:footnoteReference w:id="2"/>
      </w:r>
      <w:r>
        <w:rPr>
          <w:rFonts w:eastAsia="Times New Roman" w:cs="Times New Roman"/>
          <w:szCs w:val="24"/>
        </w:rPr>
        <w:t xml:space="preserve"> at the service address that might account for Ms. Sanders’ high bill claim.  Tr. 75; Exhi</w:t>
      </w:r>
      <w:r w:rsidR="00304ADD">
        <w:rPr>
          <w:rFonts w:eastAsia="Times New Roman" w:cs="Times New Roman"/>
          <w:szCs w:val="24"/>
        </w:rPr>
        <w:t>b</w:t>
      </w:r>
      <w:r>
        <w:rPr>
          <w:rFonts w:eastAsia="Times New Roman" w:cs="Times New Roman"/>
          <w:szCs w:val="24"/>
        </w:rPr>
        <w:t>it 7.</w:t>
      </w:r>
    </w:p>
    <w:p w:rsidR="00304ADD" w:rsidRDefault="002F3156" w:rsidP="002F3156">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p>
    <w:p w:rsidR="002F3156" w:rsidRDefault="002F3156" w:rsidP="00304ADD">
      <w:pPr>
        <w:spacing w:after="0" w:line="360" w:lineRule="auto"/>
        <w:ind w:firstLine="1440"/>
        <w:rPr>
          <w:rFonts w:eastAsia="Times New Roman" w:cs="Times New Roman"/>
          <w:szCs w:val="24"/>
        </w:rPr>
      </w:pPr>
      <w:r w:rsidRPr="00A659D8">
        <w:rPr>
          <w:rFonts w:eastAsia="Times New Roman" w:cs="Times New Roman"/>
          <w:szCs w:val="24"/>
        </w:rPr>
        <w:t xml:space="preserve">However in a high bill dispute case, the Commission has stated that a complainant may overcome the accuracy of a meter test with other evidence under the </w:t>
      </w:r>
      <w:r w:rsidRPr="00A659D8">
        <w:rPr>
          <w:rFonts w:eastAsia="Times New Roman" w:cs="Times New Roman"/>
          <w:i/>
          <w:szCs w:val="24"/>
        </w:rPr>
        <w:t>Waldron</w:t>
      </w:r>
      <w:r w:rsidRPr="00A659D8">
        <w:rPr>
          <w:rFonts w:eastAsia="Times New Roman" w:cs="Times New Roman"/>
          <w:szCs w:val="24"/>
        </w:rPr>
        <w:t xml:space="preserve"> rule or test.  </w:t>
      </w:r>
    </w:p>
    <w:p w:rsidR="002F3156" w:rsidRDefault="002F3156" w:rsidP="002F3156">
      <w:pPr>
        <w:spacing w:after="0" w:line="360" w:lineRule="auto"/>
        <w:rPr>
          <w:rFonts w:ascii="CG Times" w:eastAsia="Times New Roman" w:hAnsi="CG Times" w:cs="CG Times"/>
          <w:szCs w:val="24"/>
        </w:rPr>
      </w:pPr>
      <w:r w:rsidRPr="00A659D8">
        <w:rPr>
          <w:rFonts w:ascii="CG Times" w:eastAsia="Times New Roman" w:hAnsi="CG Times" w:cs="CG Times"/>
          <w:i/>
          <w:szCs w:val="24"/>
        </w:rPr>
        <w:t>Waldron v. Philadelphia Electric Company,</w:t>
      </w:r>
      <w:r w:rsidRPr="00A659D8">
        <w:rPr>
          <w:rFonts w:ascii="CG Times" w:eastAsia="Times New Roman" w:hAnsi="CG Times" w:cs="CG Times"/>
          <w:szCs w:val="24"/>
        </w:rPr>
        <w:t xml:space="preserve"> 54 Pa. PUC 98 (1980).</w:t>
      </w:r>
      <w:r>
        <w:rPr>
          <w:rFonts w:ascii="CG Times" w:eastAsia="Times New Roman" w:hAnsi="CG Times" w:cs="CG Times"/>
          <w:szCs w:val="24"/>
        </w:rPr>
        <w:t xml:space="preserve">  </w:t>
      </w:r>
      <w:r w:rsidRPr="00C71985">
        <w:rPr>
          <w:rFonts w:ascii="CG Times" w:eastAsia="Times New Roman" w:hAnsi="CG Times" w:cs="CG Times"/>
          <w:szCs w:val="24"/>
        </w:rPr>
        <w:t xml:space="preserve">Under the </w:t>
      </w:r>
      <w:r w:rsidRPr="00C71985">
        <w:rPr>
          <w:rFonts w:ascii="CG Times" w:eastAsia="Times New Roman" w:hAnsi="CG Times" w:cs="CG Times"/>
          <w:i/>
          <w:szCs w:val="24"/>
        </w:rPr>
        <w:t>Waldron</w:t>
      </w:r>
      <w:r w:rsidRPr="00C71985">
        <w:rPr>
          <w:rFonts w:ascii="CG Times" w:eastAsia="Times New Roman" w:hAnsi="CG Times" w:cs="CG Times"/>
          <w:szCs w:val="24"/>
        </w:rPr>
        <w:t xml:space="preserve"> rule, a complainant may establish a</w:t>
      </w:r>
      <w:r>
        <w:rPr>
          <w:rFonts w:ascii="CG Times" w:eastAsia="Times New Roman" w:hAnsi="CG Times" w:cs="CG Times"/>
          <w:szCs w:val="24"/>
        </w:rPr>
        <w:t xml:space="preserve"> high bill </w:t>
      </w:r>
      <w:r w:rsidRPr="00C71985">
        <w:rPr>
          <w:rFonts w:ascii="CG Times" w:eastAsia="Times New Roman" w:hAnsi="CG Times" w:cs="CG Times"/>
          <w:i/>
          <w:szCs w:val="24"/>
        </w:rPr>
        <w:t>prima facie</w:t>
      </w:r>
      <w:r w:rsidRPr="00C71985">
        <w:rPr>
          <w:rFonts w:ascii="CG Times" w:eastAsia="Times New Roman" w:hAnsi="CG Times" w:cs="CG Times"/>
          <w:szCs w:val="24"/>
        </w:rPr>
        <w:t xml:space="preserve"> case by showing her power usage for the billing period in question was unchanged from earlier periods, and her bill for the same power was higher than previous bills; or the complainant may provide some other relevant evidence showing that the disputed bills are abnormally high.</w:t>
      </w:r>
      <w:r w:rsidRPr="00C71985">
        <w:rPr>
          <w:rFonts w:ascii="CG Times" w:eastAsia="Times New Roman" w:hAnsi="CG Times" w:cs="CG Times"/>
          <w:szCs w:val="24"/>
          <w:vertAlign w:val="superscript"/>
        </w:rPr>
        <w:footnoteReference w:id="3"/>
      </w:r>
      <w:r w:rsidRPr="00C71985">
        <w:rPr>
          <w:rFonts w:ascii="CG Times" w:eastAsia="Times New Roman" w:hAnsi="CG Times" w:cs="CG Times"/>
          <w:szCs w:val="24"/>
        </w:rPr>
        <w:t xml:space="preserve">  However, comparing Ms. </w:t>
      </w:r>
      <w:r>
        <w:rPr>
          <w:rFonts w:ascii="CG Times" w:eastAsia="Times New Roman" w:hAnsi="CG Times" w:cs="CG Times"/>
          <w:szCs w:val="24"/>
        </w:rPr>
        <w:t>Sanders’ usage for November 2014 to January 201</w:t>
      </w:r>
      <w:r w:rsidR="000A77FF">
        <w:rPr>
          <w:rFonts w:ascii="CG Times" w:eastAsia="Times New Roman" w:hAnsi="CG Times" w:cs="CG Times"/>
          <w:szCs w:val="24"/>
        </w:rPr>
        <w:t>5</w:t>
      </w:r>
      <w:r>
        <w:rPr>
          <w:rFonts w:ascii="CG Times" w:eastAsia="Times New Roman" w:hAnsi="CG Times" w:cs="CG Times"/>
          <w:szCs w:val="24"/>
        </w:rPr>
        <w:t xml:space="preserve"> to November 2015 to January 201</w:t>
      </w:r>
      <w:r w:rsidR="000A77FF">
        <w:rPr>
          <w:rFonts w:ascii="CG Times" w:eastAsia="Times New Roman" w:hAnsi="CG Times" w:cs="CG Times"/>
          <w:szCs w:val="24"/>
        </w:rPr>
        <w:t>6</w:t>
      </w:r>
      <w:r>
        <w:rPr>
          <w:rFonts w:ascii="CG Times" w:eastAsia="Times New Roman" w:hAnsi="CG Times" w:cs="CG Times"/>
          <w:szCs w:val="24"/>
        </w:rPr>
        <w:t xml:space="preserve">, her usage and cost actually decreased.  For example in January 2015, Ms. Sanders used 8,985 kWhs of electricity at a cost of $1,193.03 in comparison to January 2016, when she used 4,365 kWhs at a cost of $464.92.  See, Finding of Fact 22, Table 2 above. </w:t>
      </w:r>
    </w:p>
    <w:p w:rsidR="002F3156" w:rsidRDefault="002F3156" w:rsidP="002F3156">
      <w:pPr>
        <w:spacing w:after="0" w:line="360" w:lineRule="auto"/>
        <w:rPr>
          <w:rFonts w:eastAsia="Times New Roman" w:cs="Times New Roman"/>
          <w:snapToGrid w:val="0"/>
          <w:szCs w:val="24"/>
        </w:rPr>
      </w:pPr>
    </w:p>
    <w:p w:rsidR="002F3156" w:rsidRDefault="002F3156" w:rsidP="002F3156">
      <w:pPr>
        <w:spacing w:after="0" w:line="360" w:lineRule="auto"/>
        <w:rPr>
          <w:rFonts w:eastAsia="Times New Roman" w:cs="Times New Roman"/>
          <w:snapToGrid w:val="0"/>
          <w:szCs w:val="24"/>
        </w:rPr>
      </w:pPr>
      <w:r>
        <w:rPr>
          <w:rFonts w:eastAsia="Times New Roman" w:cs="Times New Roman"/>
          <w:snapToGrid w:val="0"/>
          <w:szCs w:val="24"/>
        </w:rPr>
        <w:tab/>
      </w:r>
      <w:r>
        <w:rPr>
          <w:rFonts w:eastAsia="Times New Roman" w:cs="Times New Roman"/>
          <w:snapToGrid w:val="0"/>
          <w:szCs w:val="24"/>
        </w:rPr>
        <w:tab/>
        <w:t>PECO’s witness, Thomas Lerro, a high bill foreman, attributed the decrease in Ms. Sanders’ electricity consumption and costs to the fact that her townhouse was weatherized in December 2015 and the heat pump was serviced.  On direct examination, Mr. Lerro, who is also a licensed electrician (Tr. 65), explained as follows:</w:t>
      </w:r>
    </w:p>
    <w:p w:rsidR="002F3156" w:rsidRDefault="002F3156" w:rsidP="002F3156">
      <w:pPr>
        <w:spacing w:after="0" w:line="360" w:lineRule="auto"/>
        <w:rPr>
          <w:rFonts w:eastAsia="Times New Roman" w:cs="Times New Roman"/>
          <w:snapToGrid w:val="0"/>
          <w:szCs w:val="24"/>
        </w:rPr>
      </w:pP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Q.</w:t>
      </w:r>
      <w:r>
        <w:rPr>
          <w:rFonts w:eastAsia="Times New Roman" w:cs="Times New Roman"/>
          <w:snapToGrid w:val="0"/>
          <w:szCs w:val="24"/>
        </w:rPr>
        <w:tab/>
        <w:t xml:space="preserve">Is that heat pump - - - the fact that they don’t change filters on it, </w:t>
      </w:r>
      <w:r>
        <w:rPr>
          <w:rFonts w:eastAsia="Times New Roman" w:cs="Times New Roman"/>
          <w:snapToGrid w:val="0"/>
          <w:szCs w:val="24"/>
        </w:rPr>
        <w:tab/>
        <w:t>would that affect the way that heat pump is functioning?</w:t>
      </w:r>
    </w:p>
    <w:p w:rsidR="002F3156" w:rsidRDefault="002F3156" w:rsidP="002F3156">
      <w:pPr>
        <w:tabs>
          <w:tab w:val="left" w:pos="1800"/>
        </w:tabs>
        <w:spacing w:after="0" w:line="240" w:lineRule="auto"/>
        <w:ind w:left="1440" w:right="1080"/>
        <w:rPr>
          <w:rFonts w:eastAsia="Times New Roman" w:cs="Times New Roman"/>
          <w:snapToGrid w:val="0"/>
          <w:szCs w:val="24"/>
        </w:rPr>
      </w:pP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A.</w:t>
      </w:r>
      <w:r>
        <w:rPr>
          <w:rFonts w:eastAsia="Times New Roman" w:cs="Times New Roman"/>
          <w:snapToGrid w:val="0"/>
          <w:szCs w:val="24"/>
        </w:rPr>
        <w:tab/>
        <w:t xml:space="preserve">With the electric heat pump maintenance for coil cleaning, for vent </w:t>
      </w:r>
      <w:r>
        <w:rPr>
          <w:rFonts w:eastAsia="Times New Roman" w:cs="Times New Roman"/>
          <w:snapToGrid w:val="0"/>
          <w:szCs w:val="24"/>
        </w:rPr>
        <w:tab/>
        <w:t xml:space="preserve">cleaning, for filter changes is essential because it does take the air </w:t>
      </w:r>
      <w:r>
        <w:rPr>
          <w:rFonts w:eastAsia="Times New Roman" w:cs="Times New Roman"/>
          <w:snapToGrid w:val="0"/>
          <w:szCs w:val="24"/>
        </w:rPr>
        <w:tab/>
        <w:t xml:space="preserve">from the outside and the inside air and make a change to it and the </w:t>
      </w:r>
      <w:r>
        <w:rPr>
          <w:rFonts w:eastAsia="Times New Roman" w:cs="Times New Roman"/>
          <w:snapToGrid w:val="0"/>
          <w:szCs w:val="24"/>
        </w:rPr>
        <w:lastRenderedPageBreak/>
        <w:tab/>
        <w:t xml:space="preserve">harder it is to breathe - - - it’s actually like if you were trying to </w:t>
      </w:r>
      <w:r>
        <w:rPr>
          <w:rFonts w:eastAsia="Times New Roman" w:cs="Times New Roman"/>
          <w:snapToGrid w:val="0"/>
          <w:szCs w:val="24"/>
        </w:rPr>
        <w:tab/>
        <w:t xml:space="preserve">breath holding your hand over your mouth or a tissue and trying to </w:t>
      </w:r>
      <w:r>
        <w:rPr>
          <w:rFonts w:eastAsia="Times New Roman" w:cs="Times New Roman"/>
          <w:snapToGrid w:val="0"/>
          <w:szCs w:val="24"/>
        </w:rPr>
        <w:tab/>
        <w:t xml:space="preserve">breathe through it, compared with your hand off of it, you would </w:t>
      </w:r>
      <w:r>
        <w:rPr>
          <w:rFonts w:eastAsia="Times New Roman" w:cs="Times New Roman"/>
          <w:snapToGrid w:val="0"/>
          <w:szCs w:val="24"/>
        </w:rPr>
        <w:tab/>
        <w:t xml:space="preserve">breather a lot better.  Essentially a heat pump works the same way.  </w:t>
      </w:r>
      <w:r>
        <w:rPr>
          <w:rFonts w:eastAsia="Times New Roman" w:cs="Times New Roman"/>
          <w:snapToGrid w:val="0"/>
          <w:szCs w:val="24"/>
        </w:rPr>
        <w:tab/>
        <w:t xml:space="preserve">The harder you smother it, the harder the heating unit has to work </w:t>
      </w:r>
      <w:r>
        <w:rPr>
          <w:rFonts w:eastAsia="Times New Roman" w:cs="Times New Roman"/>
          <w:snapToGrid w:val="0"/>
          <w:szCs w:val="24"/>
        </w:rPr>
        <w:tab/>
        <w:t>to try to heat the property.</w:t>
      </w:r>
      <w:r>
        <w:rPr>
          <w:rFonts w:eastAsia="Times New Roman" w:cs="Times New Roman"/>
          <w:snapToGrid w:val="0"/>
          <w:szCs w:val="24"/>
        </w:rPr>
        <w:tab/>
      </w:r>
    </w:p>
    <w:p w:rsidR="002F3156" w:rsidRDefault="002F3156" w:rsidP="002F3156">
      <w:pPr>
        <w:tabs>
          <w:tab w:val="left" w:pos="1800"/>
        </w:tabs>
        <w:spacing w:after="0" w:line="240" w:lineRule="auto"/>
        <w:ind w:left="1440" w:right="1080"/>
        <w:rPr>
          <w:rFonts w:eastAsia="Times New Roman" w:cs="Times New Roman"/>
          <w:snapToGrid w:val="0"/>
          <w:szCs w:val="24"/>
        </w:rPr>
      </w:pP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Q.</w:t>
      </w:r>
      <w:r>
        <w:rPr>
          <w:rFonts w:eastAsia="Times New Roman" w:cs="Times New Roman"/>
          <w:snapToGrid w:val="0"/>
          <w:szCs w:val="24"/>
        </w:rPr>
        <w:tab/>
        <w:t xml:space="preserve">And the harder that the heater has to work to try to heat the </w:t>
      </w:r>
      <w:r>
        <w:rPr>
          <w:rFonts w:eastAsia="Times New Roman" w:cs="Times New Roman"/>
          <w:snapToGrid w:val="0"/>
          <w:szCs w:val="24"/>
        </w:rPr>
        <w:tab/>
        <w:t>property does that use more electric or kilowatt hours?</w:t>
      </w:r>
    </w:p>
    <w:p w:rsidR="002F3156" w:rsidRDefault="002F3156" w:rsidP="002F3156">
      <w:pPr>
        <w:tabs>
          <w:tab w:val="left" w:pos="1800"/>
        </w:tabs>
        <w:spacing w:after="0" w:line="240" w:lineRule="auto"/>
        <w:ind w:left="1440" w:right="1080"/>
        <w:rPr>
          <w:rFonts w:eastAsia="Times New Roman" w:cs="Times New Roman"/>
          <w:snapToGrid w:val="0"/>
          <w:szCs w:val="24"/>
        </w:rPr>
      </w:pP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A.</w:t>
      </w:r>
      <w:r>
        <w:rPr>
          <w:rFonts w:eastAsia="Times New Roman" w:cs="Times New Roman"/>
          <w:snapToGrid w:val="0"/>
          <w:szCs w:val="24"/>
        </w:rPr>
        <w:tab/>
        <w:t>Well, it cause</w:t>
      </w:r>
      <w:r w:rsidR="00E367E1">
        <w:rPr>
          <w:rFonts w:eastAsia="Times New Roman" w:cs="Times New Roman"/>
          <w:snapToGrid w:val="0"/>
          <w:szCs w:val="24"/>
        </w:rPr>
        <w:t>s</w:t>
      </w:r>
      <w:r>
        <w:rPr>
          <w:rFonts w:eastAsia="Times New Roman" w:cs="Times New Roman"/>
          <w:snapToGrid w:val="0"/>
          <w:szCs w:val="24"/>
        </w:rPr>
        <w:t xml:space="preserve"> the unit to run more, and if it is not reaching a </w:t>
      </w:r>
      <w:r>
        <w:rPr>
          <w:rFonts w:eastAsia="Times New Roman" w:cs="Times New Roman"/>
          <w:snapToGrid w:val="0"/>
          <w:szCs w:val="24"/>
        </w:rPr>
        <w:tab/>
        <w:t xml:space="preserve">temperature fast enough, electric heat pumps have an emergency </w:t>
      </w:r>
      <w:r>
        <w:rPr>
          <w:rFonts w:eastAsia="Times New Roman" w:cs="Times New Roman"/>
          <w:snapToGrid w:val="0"/>
          <w:szCs w:val="24"/>
        </w:rPr>
        <w:tab/>
        <w:t xml:space="preserve">back-up system that are all electric.  It basically makes it like a </w:t>
      </w:r>
      <w:r>
        <w:rPr>
          <w:rFonts w:eastAsia="Times New Roman" w:cs="Times New Roman"/>
          <w:snapToGrid w:val="0"/>
          <w:szCs w:val="24"/>
        </w:rPr>
        <w:tab/>
        <w:t>larger space heater.  . . . .</w:t>
      </w: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Q.</w:t>
      </w:r>
      <w:r>
        <w:rPr>
          <w:rFonts w:eastAsia="Times New Roman" w:cs="Times New Roman"/>
          <w:snapToGrid w:val="0"/>
          <w:szCs w:val="24"/>
        </w:rPr>
        <w:tab/>
        <w:t xml:space="preserve">And does the emergency mode - - - unit in the emergency mode </w:t>
      </w:r>
      <w:r>
        <w:rPr>
          <w:rFonts w:eastAsia="Times New Roman" w:cs="Times New Roman"/>
          <w:snapToGrid w:val="0"/>
          <w:szCs w:val="24"/>
        </w:rPr>
        <w:tab/>
        <w:t>account for additional electric usage?</w:t>
      </w:r>
    </w:p>
    <w:p w:rsidR="002F3156" w:rsidRDefault="002F3156" w:rsidP="002F3156">
      <w:pPr>
        <w:tabs>
          <w:tab w:val="left" w:pos="1800"/>
        </w:tabs>
        <w:spacing w:after="0" w:line="240" w:lineRule="auto"/>
        <w:ind w:left="1440" w:right="1080"/>
        <w:rPr>
          <w:rFonts w:eastAsia="Times New Roman" w:cs="Times New Roman"/>
          <w:snapToGrid w:val="0"/>
          <w:szCs w:val="24"/>
        </w:rPr>
      </w:pPr>
    </w:p>
    <w:p w:rsidR="002F3156" w:rsidRDefault="002F3156" w:rsidP="002F3156">
      <w:pPr>
        <w:tabs>
          <w:tab w:val="left" w:pos="1800"/>
        </w:tabs>
        <w:spacing w:after="0" w:line="240" w:lineRule="auto"/>
        <w:ind w:left="1440" w:right="1080"/>
        <w:rPr>
          <w:rFonts w:eastAsia="Times New Roman" w:cs="Times New Roman"/>
          <w:snapToGrid w:val="0"/>
          <w:szCs w:val="24"/>
        </w:rPr>
      </w:pPr>
      <w:r>
        <w:rPr>
          <w:rFonts w:eastAsia="Times New Roman" w:cs="Times New Roman"/>
          <w:snapToGrid w:val="0"/>
          <w:szCs w:val="24"/>
        </w:rPr>
        <w:t xml:space="preserve"> A.</w:t>
      </w:r>
      <w:r>
        <w:rPr>
          <w:rFonts w:eastAsia="Times New Roman" w:cs="Times New Roman"/>
          <w:snapToGrid w:val="0"/>
          <w:szCs w:val="24"/>
        </w:rPr>
        <w:tab/>
        <w:t>Yeah, it would actually triple the usage of a unit.</w:t>
      </w:r>
    </w:p>
    <w:p w:rsidR="002F3156" w:rsidRDefault="002F3156" w:rsidP="002F3156">
      <w:pPr>
        <w:tabs>
          <w:tab w:val="left" w:pos="1800"/>
        </w:tabs>
        <w:spacing w:after="0" w:line="240" w:lineRule="auto"/>
        <w:ind w:left="1440" w:right="1080"/>
        <w:rPr>
          <w:rFonts w:eastAsia="Times New Roman" w:cs="Times New Roman"/>
          <w:snapToGrid w:val="0"/>
          <w:szCs w:val="24"/>
        </w:rPr>
      </w:pPr>
    </w:p>
    <w:p w:rsidR="002F3156" w:rsidRDefault="002F3156" w:rsidP="002F3156">
      <w:pPr>
        <w:spacing w:after="0" w:line="360" w:lineRule="auto"/>
        <w:rPr>
          <w:rFonts w:eastAsia="Times New Roman" w:cs="Times New Roman"/>
          <w:snapToGrid w:val="0"/>
          <w:szCs w:val="24"/>
        </w:rPr>
      </w:pPr>
      <w:r>
        <w:rPr>
          <w:rFonts w:eastAsia="Times New Roman" w:cs="Times New Roman"/>
          <w:snapToGrid w:val="0"/>
          <w:szCs w:val="24"/>
        </w:rPr>
        <w:t xml:space="preserve">Tr. 71-72.  </w:t>
      </w:r>
    </w:p>
    <w:p w:rsidR="002F3156" w:rsidRDefault="002F3156" w:rsidP="002F3156">
      <w:pPr>
        <w:spacing w:after="0" w:line="360" w:lineRule="auto"/>
        <w:rPr>
          <w:rFonts w:eastAsia="Times New Roman" w:cs="Times New Roman"/>
          <w:snapToGrid w:val="0"/>
          <w:szCs w:val="24"/>
        </w:rPr>
      </w:pPr>
    </w:p>
    <w:p w:rsidR="002F3156" w:rsidRDefault="002F3156" w:rsidP="002F3156">
      <w:pPr>
        <w:spacing w:after="0" w:line="360" w:lineRule="auto"/>
        <w:rPr>
          <w:rFonts w:eastAsia="Times New Roman" w:cs="Times New Roman"/>
          <w:snapToGrid w:val="0"/>
          <w:szCs w:val="24"/>
        </w:rPr>
      </w:pPr>
      <w:r>
        <w:rPr>
          <w:rFonts w:eastAsia="Times New Roman" w:cs="Times New Roman"/>
          <w:snapToGrid w:val="0"/>
          <w:szCs w:val="24"/>
        </w:rPr>
        <w:tab/>
      </w:r>
      <w:r>
        <w:rPr>
          <w:rFonts w:eastAsia="Times New Roman" w:cs="Times New Roman"/>
          <w:snapToGrid w:val="0"/>
          <w:szCs w:val="24"/>
        </w:rPr>
        <w:tab/>
        <w:t>Ms. Sanders essentially corroborated Mr. Lerro’s explanation by earlier testifying that her first winter in the townhouse was cold even though the heat was on.  Tr. 36.  When the heater would break the family would put coats on.  Tr. 31.  Ms. Sanders admits that she did see a decrease in her bill after the heat pump was serviced</w:t>
      </w:r>
      <w:r w:rsidR="000C777B">
        <w:rPr>
          <w:rFonts w:eastAsia="Times New Roman" w:cs="Times New Roman"/>
          <w:snapToGrid w:val="0"/>
          <w:szCs w:val="24"/>
        </w:rPr>
        <w:t xml:space="preserve"> and the townhouse weatherized.</w:t>
      </w:r>
      <w:r>
        <w:rPr>
          <w:rFonts w:eastAsia="Times New Roman" w:cs="Times New Roman"/>
          <w:snapToGrid w:val="0"/>
          <w:szCs w:val="24"/>
        </w:rPr>
        <w:t xml:space="preserve"> </w:t>
      </w:r>
      <w:r w:rsidR="000C777B">
        <w:rPr>
          <w:rFonts w:eastAsia="Times New Roman" w:cs="Times New Roman"/>
          <w:snapToGrid w:val="0"/>
          <w:szCs w:val="24"/>
        </w:rPr>
        <w:t xml:space="preserve"> </w:t>
      </w:r>
      <w:r>
        <w:rPr>
          <w:rFonts w:eastAsia="Times New Roman" w:cs="Times New Roman"/>
          <w:snapToGrid w:val="0"/>
          <w:szCs w:val="24"/>
        </w:rPr>
        <w:t xml:space="preserve">Tr. </w:t>
      </w:r>
      <w:r w:rsidR="000C777B">
        <w:rPr>
          <w:rFonts w:eastAsia="Times New Roman" w:cs="Times New Roman"/>
          <w:snapToGrid w:val="0"/>
          <w:szCs w:val="24"/>
        </w:rPr>
        <w:t>87-88</w:t>
      </w:r>
      <w:r>
        <w:rPr>
          <w:rFonts w:eastAsia="Times New Roman" w:cs="Times New Roman"/>
          <w:snapToGrid w:val="0"/>
          <w:szCs w:val="24"/>
        </w:rPr>
        <w:t>.</w:t>
      </w:r>
    </w:p>
    <w:p w:rsidR="002F3156" w:rsidRDefault="002F3156" w:rsidP="002F3156">
      <w:pPr>
        <w:spacing w:after="0" w:line="360" w:lineRule="auto"/>
        <w:rPr>
          <w:rFonts w:eastAsia="Times New Roman" w:cs="Times New Roman"/>
          <w:snapToGrid w:val="0"/>
          <w:szCs w:val="24"/>
        </w:rPr>
      </w:pPr>
    </w:p>
    <w:p w:rsidR="002F3156" w:rsidRDefault="002F3156" w:rsidP="002F3156">
      <w:pPr>
        <w:spacing w:after="0" w:line="360" w:lineRule="auto"/>
        <w:rPr>
          <w:rFonts w:ascii="CG Times" w:eastAsia="Times New Roman" w:hAnsi="CG Times" w:cs="CG Times"/>
          <w:szCs w:val="24"/>
        </w:rPr>
      </w:pPr>
      <w:r>
        <w:rPr>
          <w:rFonts w:eastAsia="Times New Roman" w:cs="Times New Roman"/>
          <w:snapToGrid w:val="0"/>
          <w:szCs w:val="24"/>
        </w:rPr>
        <w:tab/>
      </w:r>
      <w:r>
        <w:rPr>
          <w:rFonts w:eastAsia="Times New Roman" w:cs="Times New Roman"/>
          <w:snapToGrid w:val="0"/>
          <w:szCs w:val="24"/>
        </w:rPr>
        <w:tab/>
        <w:t xml:space="preserve">Ms. Sanders did not present any other evidence </w:t>
      </w:r>
      <w:r w:rsidR="000C777B">
        <w:rPr>
          <w:rFonts w:eastAsia="Times New Roman" w:cs="Times New Roman"/>
          <w:snapToGrid w:val="0"/>
          <w:szCs w:val="24"/>
        </w:rPr>
        <w:t xml:space="preserve">to </w:t>
      </w:r>
      <w:r>
        <w:rPr>
          <w:rFonts w:eastAsia="Times New Roman" w:cs="Times New Roman"/>
          <w:snapToGrid w:val="0"/>
          <w:szCs w:val="24"/>
        </w:rPr>
        <w:t xml:space="preserve">establish her high bill claim, as permitted under the </w:t>
      </w:r>
      <w:r w:rsidRPr="00C71985">
        <w:rPr>
          <w:rFonts w:ascii="CG Times" w:eastAsia="Times New Roman" w:hAnsi="CG Times" w:cs="CG Times"/>
          <w:i/>
          <w:szCs w:val="24"/>
        </w:rPr>
        <w:t>Waldron</w:t>
      </w:r>
      <w:r w:rsidRPr="00C71985">
        <w:rPr>
          <w:rFonts w:ascii="CG Times" w:eastAsia="Times New Roman" w:hAnsi="CG Times" w:cs="CG Times"/>
          <w:szCs w:val="24"/>
        </w:rPr>
        <w:t xml:space="preserve"> rule</w:t>
      </w:r>
      <w:r>
        <w:rPr>
          <w:rFonts w:ascii="CG Times" w:eastAsia="Times New Roman" w:hAnsi="CG Times" w:cs="CG Times"/>
          <w:szCs w:val="24"/>
        </w:rPr>
        <w:t>.  However, PECO established that the service address has the potential for the usage that is being billed.  PECO conducted an appliance analysis at the service address on May 4, 2015.  Tr. 51</w:t>
      </w:r>
      <w:r w:rsidR="000C777B">
        <w:rPr>
          <w:rFonts w:ascii="CG Times" w:eastAsia="Times New Roman" w:hAnsi="CG Times" w:cs="CG Times"/>
          <w:szCs w:val="24"/>
        </w:rPr>
        <w:t>; Exhibit 6.</w:t>
      </w:r>
      <w:r>
        <w:rPr>
          <w:rFonts w:ascii="CG Times" w:eastAsia="Times New Roman" w:hAnsi="CG Times" w:cs="CG Times"/>
          <w:szCs w:val="24"/>
        </w:rPr>
        <w:t xml:space="preserve">  The analysis established that the service address has the potential to use between 9,100 and 9,506 kWhs per month.  Tr. 67-69; Exhibit 6.  The potential consumption is consistent with Ms. Sanders billing charges.  Exhibit 1.  </w:t>
      </w:r>
    </w:p>
    <w:p w:rsidR="002F3156" w:rsidRDefault="002F3156" w:rsidP="002F3156">
      <w:pPr>
        <w:spacing w:after="0" w:line="360" w:lineRule="auto"/>
        <w:rPr>
          <w:rFonts w:ascii="CG Times" w:eastAsia="Times New Roman" w:hAnsi="CG Times" w:cs="CG Times"/>
          <w:szCs w:val="24"/>
        </w:rPr>
      </w:pPr>
    </w:p>
    <w:p w:rsidR="002F3156" w:rsidRDefault="002F3156" w:rsidP="002F3156">
      <w:pPr>
        <w:spacing w:after="0" w:line="360" w:lineRule="auto"/>
        <w:ind w:firstLine="1440"/>
        <w:rPr>
          <w:rFonts w:ascii="CG Times" w:eastAsia="Times New Roman" w:hAnsi="CG Times" w:cs="CG Times"/>
          <w:szCs w:val="24"/>
        </w:rPr>
      </w:pPr>
      <w:r>
        <w:rPr>
          <w:rFonts w:ascii="CG Times" w:eastAsia="Times New Roman" w:hAnsi="CG Times" w:cs="CG Times"/>
          <w:szCs w:val="24"/>
        </w:rPr>
        <w:t xml:space="preserve">Considering all of the foregoing factors, </w:t>
      </w:r>
      <w:r>
        <w:rPr>
          <w:rFonts w:eastAsia="Times New Roman" w:cs="Times New Roman"/>
          <w:szCs w:val="24"/>
        </w:rPr>
        <w:t>Ms. Sander</w:t>
      </w:r>
      <w:r w:rsidRPr="00A659D8">
        <w:rPr>
          <w:rFonts w:eastAsia="Times New Roman" w:cs="Times New Roman"/>
          <w:szCs w:val="24"/>
        </w:rPr>
        <w:t xml:space="preserve">’s </w:t>
      </w:r>
      <w:r>
        <w:rPr>
          <w:rFonts w:eastAsia="Times New Roman" w:cs="Times New Roman"/>
          <w:szCs w:val="24"/>
        </w:rPr>
        <w:t xml:space="preserve">high bill claim </w:t>
      </w:r>
      <w:r w:rsidRPr="00A659D8">
        <w:rPr>
          <w:rFonts w:eastAsia="Times New Roman" w:cs="Times New Roman"/>
          <w:szCs w:val="24"/>
        </w:rPr>
        <w:t>must be dismissed</w:t>
      </w:r>
      <w:r w:rsidR="00E367E1">
        <w:rPr>
          <w:rFonts w:eastAsia="Times New Roman" w:cs="Times New Roman"/>
          <w:szCs w:val="24"/>
        </w:rPr>
        <w:t>.</w:t>
      </w:r>
    </w:p>
    <w:p w:rsidR="002F3156" w:rsidRDefault="002F3156" w:rsidP="002F3156">
      <w:pPr>
        <w:spacing w:after="0" w:line="360" w:lineRule="auto"/>
        <w:rPr>
          <w:rFonts w:ascii="CG Times" w:eastAsia="Times New Roman" w:hAnsi="CG Times" w:cs="CG Times"/>
          <w:szCs w:val="24"/>
        </w:rPr>
      </w:pPr>
    </w:p>
    <w:p w:rsidR="00304ADD" w:rsidRDefault="002F3156" w:rsidP="002F3156">
      <w:pPr>
        <w:spacing w:after="0" w:line="360" w:lineRule="auto"/>
        <w:rPr>
          <w:rFonts w:eastAsia="Times New Roman" w:cs="Times New Roman"/>
          <w:snapToGrid w:val="0"/>
          <w:szCs w:val="24"/>
        </w:rPr>
      </w:pPr>
      <w:r w:rsidRPr="00A659D8">
        <w:rPr>
          <w:rFonts w:eastAsia="Times New Roman" w:cs="Times New Roman"/>
          <w:snapToGrid w:val="0"/>
          <w:szCs w:val="24"/>
        </w:rPr>
        <w:tab/>
      </w:r>
      <w:r w:rsidRPr="00A659D8">
        <w:rPr>
          <w:rFonts w:eastAsia="Times New Roman" w:cs="Times New Roman"/>
          <w:snapToGrid w:val="0"/>
          <w:szCs w:val="24"/>
        </w:rPr>
        <w:tab/>
      </w:r>
    </w:p>
    <w:p w:rsidR="002F3156" w:rsidRPr="00A659D8" w:rsidRDefault="002F3156" w:rsidP="00304ADD">
      <w:pPr>
        <w:spacing w:after="0" w:line="360" w:lineRule="auto"/>
        <w:ind w:left="720" w:firstLine="720"/>
        <w:rPr>
          <w:rFonts w:eastAsia="Times New Roman" w:cs="Times New Roman"/>
          <w:snapToGrid w:val="0"/>
          <w:szCs w:val="24"/>
        </w:rPr>
      </w:pPr>
      <w:r w:rsidRPr="00A659D8">
        <w:rPr>
          <w:rFonts w:eastAsia="Times New Roman" w:cs="Times New Roman"/>
          <w:snapToGrid w:val="0"/>
          <w:szCs w:val="24"/>
        </w:rPr>
        <w:lastRenderedPageBreak/>
        <w:t>4.</w:t>
      </w:r>
      <w:r w:rsidRPr="00A659D8">
        <w:rPr>
          <w:rFonts w:eastAsia="Times New Roman" w:cs="Times New Roman"/>
          <w:snapToGrid w:val="0"/>
          <w:szCs w:val="24"/>
        </w:rPr>
        <w:tab/>
      </w:r>
      <w:r w:rsidRPr="00A659D8">
        <w:rPr>
          <w:rFonts w:eastAsia="Times New Roman" w:cs="Times New Roman"/>
          <w:snapToGrid w:val="0"/>
          <w:szCs w:val="24"/>
          <w:u w:val="single"/>
        </w:rPr>
        <w:t>Payment Arrangement Issue</w:t>
      </w:r>
    </w:p>
    <w:p w:rsidR="002F3156" w:rsidRDefault="002F3156" w:rsidP="002F3156">
      <w:pPr>
        <w:spacing w:after="0" w:line="360" w:lineRule="auto"/>
        <w:rPr>
          <w:rFonts w:eastAsia="Times New Roman" w:cs="Times New Roman"/>
          <w:szCs w:val="24"/>
          <w:highlight w:val="yellow"/>
        </w:rPr>
      </w:pPr>
    </w:p>
    <w:p w:rsidR="002F3156" w:rsidRDefault="002F3156" w:rsidP="002F3156">
      <w:pPr>
        <w:spacing w:after="0" w:line="360" w:lineRule="auto"/>
        <w:ind w:firstLine="1440"/>
        <w:rPr>
          <w:rFonts w:eastAsia="Times New Roman" w:cs="Times New Roman"/>
          <w:szCs w:val="24"/>
        </w:rPr>
      </w:pPr>
      <w:r>
        <w:rPr>
          <w:rFonts w:eastAsia="Times New Roman" w:cs="Times New Roman"/>
          <w:szCs w:val="24"/>
        </w:rPr>
        <w:t xml:space="preserve">In this proceeding Ms. Sanders seeks a payment arrangement for her electric bill. PECO argues that her entire account balance </w:t>
      </w:r>
      <w:r w:rsidR="000C777B">
        <w:rPr>
          <w:rFonts w:eastAsia="Times New Roman" w:cs="Times New Roman"/>
          <w:szCs w:val="24"/>
        </w:rPr>
        <w:t>consists of</w:t>
      </w:r>
      <w:r>
        <w:rPr>
          <w:rFonts w:eastAsia="Times New Roman" w:cs="Times New Roman"/>
          <w:szCs w:val="24"/>
        </w:rPr>
        <w:t xml:space="preserve"> CAP charges.  Tr. 42.  Therefore under the Code, PECO submits that </w:t>
      </w:r>
      <w:r w:rsidR="0072233B">
        <w:rPr>
          <w:rFonts w:eastAsia="Times New Roman" w:cs="Times New Roman"/>
          <w:szCs w:val="24"/>
        </w:rPr>
        <w:t>t</w:t>
      </w:r>
      <w:r>
        <w:rPr>
          <w:rFonts w:eastAsia="Times New Roman" w:cs="Times New Roman"/>
          <w:szCs w:val="24"/>
        </w:rPr>
        <w:t>he Commission is prevented from granting Ms. Sanders a pay</w:t>
      </w:r>
      <w:r w:rsidR="00AD642A">
        <w:rPr>
          <w:rFonts w:eastAsia="Times New Roman" w:cs="Times New Roman"/>
          <w:szCs w:val="24"/>
        </w:rPr>
        <w:t>m</w:t>
      </w:r>
      <w:r>
        <w:rPr>
          <w:rFonts w:eastAsia="Times New Roman" w:cs="Times New Roman"/>
          <w:szCs w:val="24"/>
        </w:rPr>
        <w:t>ent arrangement.</w:t>
      </w:r>
    </w:p>
    <w:p w:rsidR="00304ADD" w:rsidRDefault="00304ADD" w:rsidP="002F3156">
      <w:pPr>
        <w:spacing w:after="0" w:line="360" w:lineRule="auto"/>
        <w:ind w:firstLine="1440"/>
        <w:rPr>
          <w:rFonts w:eastAsia="Times New Roman" w:cs="Times New Roman"/>
          <w:szCs w:val="24"/>
        </w:rPr>
      </w:pPr>
    </w:p>
    <w:p w:rsidR="002F3156" w:rsidRPr="00231F1E" w:rsidRDefault="002F3156" w:rsidP="002F3156">
      <w:pPr>
        <w:spacing w:after="0" w:line="360" w:lineRule="auto"/>
        <w:ind w:firstLine="1440"/>
        <w:rPr>
          <w:rFonts w:eastAsia="Times New Roman" w:cs="Times New Roman"/>
          <w:i/>
          <w:szCs w:val="24"/>
        </w:rPr>
      </w:pPr>
      <w:r w:rsidRPr="00231F1E">
        <w:rPr>
          <w:rFonts w:eastAsia="Times New Roman" w:cs="Times New Roman"/>
          <w:szCs w:val="24"/>
        </w:rPr>
        <w:t xml:space="preserve">The guidelines that the Commission must follow in considering a customer’s request for a payment arrangement are set forth in the </w:t>
      </w:r>
      <w:r>
        <w:rPr>
          <w:rFonts w:eastAsia="Times New Roman" w:cs="Times New Roman"/>
          <w:szCs w:val="24"/>
        </w:rPr>
        <w:t xml:space="preserve">Code under the </w:t>
      </w:r>
      <w:r w:rsidRPr="00A659D8">
        <w:rPr>
          <w:rFonts w:eastAsia="Times New Roman" w:cs="Times New Roman"/>
          <w:szCs w:val="24"/>
        </w:rPr>
        <w:t xml:space="preserve">Responsible Utility Customer Protection Act, 66 Pa.C.S. § 1401, </w:t>
      </w:r>
      <w:r w:rsidRPr="00231F1E">
        <w:rPr>
          <w:rFonts w:eastAsia="Times New Roman" w:cs="Times New Roman"/>
          <w:i/>
          <w:szCs w:val="24"/>
        </w:rPr>
        <w:t>et seq.</w:t>
      </w:r>
      <w:r>
        <w:rPr>
          <w:rFonts w:eastAsia="Times New Roman" w:cs="Times New Roman"/>
          <w:i/>
          <w:szCs w:val="24"/>
        </w:rPr>
        <w:t xml:space="preserve"> </w:t>
      </w:r>
      <w:r w:rsidRPr="00231F1E">
        <w:rPr>
          <w:rFonts w:eastAsia="Times New Roman" w:cs="Times New Roman"/>
          <w:szCs w:val="24"/>
        </w:rPr>
        <w:t>S</w:t>
      </w:r>
      <w:r w:rsidRPr="00A659D8">
        <w:rPr>
          <w:rFonts w:eastAsia="Times New Roman" w:cs="Times New Roman"/>
          <w:szCs w:val="24"/>
        </w:rPr>
        <w:t xml:space="preserve">ection 1405(c) of the Code </w:t>
      </w:r>
      <w:r>
        <w:rPr>
          <w:rFonts w:eastAsia="Times New Roman" w:cs="Times New Roman"/>
          <w:szCs w:val="24"/>
        </w:rPr>
        <w:t xml:space="preserve">prohibits the Commission from granting a customer a payment arrangement on CAP charges.  Thus PECO is correct.  The Commission lacks the power to grant Ms. Sander a payment arrangement because her entire account balance is subject to PECO’s CAP.  Accordingly, Ms. Sanders’ request for a Commission-ordered payment arrange must be denied. </w:t>
      </w:r>
    </w:p>
    <w:p w:rsidR="002F3156" w:rsidRPr="00A659D8" w:rsidRDefault="002F3156" w:rsidP="002F3156">
      <w:pPr>
        <w:spacing w:after="0" w:line="240" w:lineRule="auto"/>
        <w:rPr>
          <w:rFonts w:eastAsia="Times New Roman" w:cs="Times New Roman"/>
          <w:szCs w:val="24"/>
        </w:rPr>
      </w:pPr>
    </w:p>
    <w:p w:rsidR="002F3156" w:rsidRPr="00A659D8" w:rsidRDefault="002F3156" w:rsidP="002F3156">
      <w:pPr>
        <w:spacing w:after="0" w:line="360" w:lineRule="auto"/>
        <w:rPr>
          <w:rFonts w:eastAsia="Times New Roman" w:cs="Times New Roman"/>
          <w:snapToGrid w:val="0"/>
          <w:szCs w:val="24"/>
        </w:rPr>
      </w:pPr>
      <w:r w:rsidRPr="00A659D8">
        <w:rPr>
          <w:rFonts w:eastAsia="Times New Roman" w:cs="Times New Roman"/>
          <w:snapToGrid w:val="0"/>
          <w:szCs w:val="24"/>
        </w:rPr>
        <w:tab/>
      </w:r>
      <w:r w:rsidRPr="00A659D8">
        <w:rPr>
          <w:rFonts w:eastAsia="Times New Roman" w:cs="Times New Roman"/>
          <w:snapToGrid w:val="0"/>
          <w:szCs w:val="24"/>
        </w:rPr>
        <w:tab/>
        <w:t>5.</w:t>
      </w:r>
      <w:r w:rsidRPr="00A659D8">
        <w:rPr>
          <w:rFonts w:eastAsia="Times New Roman" w:cs="Times New Roman"/>
          <w:snapToGrid w:val="0"/>
          <w:szCs w:val="24"/>
        </w:rPr>
        <w:tab/>
      </w:r>
      <w:r w:rsidRPr="00A659D8">
        <w:rPr>
          <w:rFonts w:eastAsia="Times New Roman" w:cs="Times New Roman"/>
          <w:snapToGrid w:val="0"/>
          <w:szCs w:val="24"/>
          <w:u w:val="single"/>
        </w:rPr>
        <w:t>Ruling</w:t>
      </w:r>
    </w:p>
    <w:p w:rsidR="002F3156" w:rsidRPr="00A659D8" w:rsidRDefault="002F3156" w:rsidP="002F3156">
      <w:pPr>
        <w:spacing w:after="0" w:line="360" w:lineRule="auto"/>
        <w:rPr>
          <w:rFonts w:eastAsia="Times New Roman" w:cs="Times New Roman"/>
          <w:snapToGrid w:val="0"/>
          <w:szCs w:val="24"/>
        </w:rPr>
      </w:pP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napToGrid w:val="0"/>
          <w:szCs w:val="24"/>
        </w:rPr>
        <w:tab/>
      </w:r>
      <w:r w:rsidRPr="00A659D8">
        <w:rPr>
          <w:rFonts w:eastAsia="Times New Roman" w:cs="Times New Roman"/>
          <w:snapToGrid w:val="0"/>
          <w:szCs w:val="24"/>
        </w:rPr>
        <w:tab/>
        <w:t>Reviewing the above findings of fact, applicable legal principles and the above analysis, a conclusion is required that M</w:t>
      </w:r>
      <w:r>
        <w:rPr>
          <w:rFonts w:eastAsia="Times New Roman" w:cs="Times New Roman"/>
          <w:snapToGrid w:val="0"/>
          <w:szCs w:val="24"/>
        </w:rPr>
        <w:t>s</w:t>
      </w:r>
      <w:r w:rsidRPr="00A659D8">
        <w:rPr>
          <w:rFonts w:eastAsia="Times New Roman" w:cs="Times New Roman"/>
          <w:snapToGrid w:val="0"/>
          <w:szCs w:val="24"/>
        </w:rPr>
        <w:t xml:space="preserve">. </w:t>
      </w:r>
      <w:r>
        <w:rPr>
          <w:rFonts w:eastAsia="Times New Roman" w:cs="Times New Roman"/>
          <w:snapToGrid w:val="0"/>
          <w:szCs w:val="24"/>
        </w:rPr>
        <w:t xml:space="preserve">Sanders </w:t>
      </w:r>
      <w:r w:rsidRPr="00A659D8">
        <w:rPr>
          <w:rFonts w:eastAsia="Times New Roman" w:cs="Times New Roman"/>
          <w:snapToGrid w:val="0"/>
          <w:szCs w:val="24"/>
        </w:rPr>
        <w:t>did not establish h</w:t>
      </w:r>
      <w:r>
        <w:rPr>
          <w:rFonts w:eastAsia="Times New Roman" w:cs="Times New Roman"/>
          <w:snapToGrid w:val="0"/>
          <w:szCs w:val="24"/>
        </w:rPr>
        <w:t>er</w:t>
      </w:r>
      <w:r w:rsidRPr="00A659D8">
        <w:rPr>
          <w:rFonts w:eastAsia="Times New Roman" w:cs="Times New Roman"/>
          <w:snapToGrid w:val="0"/>
          <w:szCs w:val="24"/>
        </w:rPr>
        <w:t xml:space="preserve"> burden of</w:t>
      </w:r>
      <w:r w:rsidRPr="00A659D8">
        <w:rPr>
          <w:rFonts w:eastAsia="Times New Roman" w:cs="Times New Roman"/>
          <w:szCs w:val="24"/>
        </w:rPr>
        <w:t xml:space="preserve"> pro</w:t>
      </w:r>
      <w:r>
        <w:rPr>
          <w:rFonts w:eastAsia="Times New Roman" w:cs="Times New Roman"/>
          <w:szCs w:val="24"/>
        </w:rPr>
        <w:t xml:space="preserve">of concerning her termination, billing or payment arrangement allegations. </w:t>
      </w:r>
      <w:r w:rsidR="0072233B">
        <w:rPr>
          <w:rFonts w:eastAsia="Times New Roman" w:cs="Times New Roman"/>
          <w:szCs w:val="24"/>
        </w:rPr>
        <w:t xml:space="preserve"> </w:t>
      </w:r>
      <w:r w:rsidRPr="00A659D8">
        <w:rPr>
          <w:rFonts w:eastAsia="Times New Roman" w:cs="Times New Roman"/>
          <w:szCs w:val="24"/>
        </w:rPr>
        <w:t xml:space="preserve">Therefore, the Complaint must be dismissed. </w:t>
      </w:r>
    </w:p>
    <w:p w:rsidR="002F3156" w:rsidRPr="00A659D8" w:rsidRDefault="002F3156" w:rsidP="002F3156">
      <w:pPr>
        <w:keepNext/>
        <w:spacing w:after="0" w:line="360" w:lineRule="auto"/>
        <w:jc w:val="center"/>
        <w:outlineLvl w:val="0"/>
        <w:rPr>
          <w:rFonts w:eastAsia="Times New Roman" w:cs="Times New Roman"/>
          <w:spacing w:val="-3"/>
          <w:szCs w:val="24"/>
          <w:u w:val="single"/>
        </w:rPr>
      </w:pPr>
    </w:p>
    <w:p w:rsidR="002F3156" w:rsidRPr="00A659D8" w:rsidRDefault="002F3156" w:rsidP="002F3156">
      <w:pPr>
        <w:keepNext/>
        <w:spacing w:after="0" w:line="360" w:lineRule="auto"/>
        <w:jc w:val="center"/>
        <w:outlineLvl w:val="0"/>
        <w:rPr>
          <w:rFonts w:eastAsia="Times New Roman" w:cs="Times New Roman"/>
          <w:spacing w:val="-3"/>
          <w:szCs w:val="24"/>
          <w:u w:val="single"/>
        </w:rPr>
      </w:pPr>
      <w:r w:rsidRPr="00A659D8">
        <w:rPr>
          <w:rFonts w:eastAsia="Times New Roman" w:cs="Times New Roman"/>
          <w:spacing w:val="-3"/>
          <w:szCs w:val="24"/>
          <w:u w:val="single"/>
        </w:rPr>
        <w:t>CONCLUSIONS OF LAW</w:t>
      </w:r>
    </w:p>
    <w:p w:rsidR="002F3156" w:rsidRPr="00A659D8" w:rsidRDefault="002F3156" w:rsidP="002F3156">
      <w:pPr>
        <w:keepNext/>
        <w:spacing w:after="0" w:line="360" w:lineRule="auto"/>
        <w:jc w:val="center"/>
        <w:outlineLvl w:val="0"/>
        <w:rPr>
          <w:rFonts w:eastAsia="Times New Roman" w:cs="Times New Roman"/>
          <w:spacing w:val="-3"/>
          <w:szCs w:val="24"/>
          <w:u w:val="single"/>
        </w:rPr>
      </w:pPr>
    </w:p>
    <w:p w:rsidR="002F3156" w:rsidRPr="00A659D8" w:rsidRDefault="002F3156" w:rsidP="002F3156">
      <w:pPr>
        <w:spacing w:after="0" w:line="360" w:lineRule="auto"/>
        <w:rPr>
          <w:rFonts w:eastAsia="Times New Roman" w:cs="Times New Roman"/>
          <w:bCs/>
          <w:snapToGrid w:val="0"/>
          <w:szCs w:val="24"/>
        </w:rPr>
      </w:pPr>
      <w:r w:rsidRPr="00A659D8">
        <w:rPr>
          <w:rFonts w:eastAsia="Times New Roman" w:cs="Times New Roman"/>
          <w:snapToGrid w:val="0"/>
          <w:szCs w:val="24"/>
        </w:rPr>
        <w:tab/>
      </w:r>
      <w:r w:rsidRPr="00A659D8">
        <w:rPr>
          <w:rFonts w:eastAsia="Times New Roman" w:cs="Times New Roman"/>
          <w:snapToGrid w:val="0"/>
          <w:szCs w:val="24"/>
        </w:rPr>
        <w:tab/>
        <w:t>1.</w:t>
      </w:r>
      <w:r w:rsidRPr="00A659D8">
        <w:rPr>
          <w:rFonts w:eastAsia="Times New Roman" w:cs="Times New Roman"/>
          <w:snapToGrid w:val="0"/>
          <w:szCs w:val="24"/>
        </w:rPr>
        <w:tab/>
        <w:t xml:space="preserve">The Commission has jurisdiction over the parties and subject matter of this proceeding.  66 Pa.C.S. </w:t>
      </w:r>
      <w:r w:rsidRPr="00A659D8">
        <w:rPr>
          <w:rFonts w:eastAsia="Times New Roman" w:cs="Times New Roman"/>
          <w:bCs/>
          <w:snapToGrid w:val="0"/>
          <w:szCs w:val="24"/>
        </w:rPr>
        <w:t>§ 701.</w:t>
      </w:r>
    </w:p>
    <w:p w:rsidR="002F3156" w:rsidRPr="00A659D8" w:rsidRDefault="002F3156" w:rsidP="002F3156">
      <w:pPr>
        <w:spacing w:after="0" w:line="360" w:lineRule="auto"/>
        <w:rPr>
          <w:rFonts w:eastAsia="Times New Roman" w:cs="Times New Roman"/>
          <w:snapToGrid w:val="0"/>
          <w:szCs w:val="24"/>
        </w:rPr>
      </w:pPr>
    </w:p>
    <w:p w:rsidR="002F3156" w:rsidRPr="00A659D8" w:rsidRDefault="002F3156" w:rsidP="002F3156">
      <w:pPr>
        <w:tabs>
          <w:tab w:val="left" w:pos="-1620"/>
        </w:tabs>
        <w:spacing w:after="0" w:line="360" w:lineRule="auto"/>
        <w:rPr>
          <w:rFonts w:eastAsia="Times New Roman" w:cs="Times New Roman"/>
          <w:snapToGrid w:val="0"/>
          <w:szCs w:val="24"/>
        </w:rPr>
      </w:pPr>
      <w:r w:rsidRPr="00A659D8">
        <w:rPr>
          <w:rFonts w:eastAsia="Times New Roman" w:cs="Times New Roman"/>
          <w:snapToGrid w:val="0"/>
          <w:szCs w:val="24"/>
        </w:rPr>
        <w:tab/>
      </w:r>
      <w:r w:rsidRPr="00A659D8">
        <w:rPr>
          <w:rFonts w:eastAsia="Times New Roman" w:cs="Times New Roman"/>
          <w:snapToGrid w:val="0"/>
          <w:szCs w:val="24"/>
        </w:rPr>
        <w:tab/>
        <w:t>2.</w:t>
      </w:r>
      <w:r w:rsidRPr="00A659D8">
        <w:rPr>
          <w:rFonts w:eastAsia="Times New Roman" w:cs="Times New Roman"/>
          <w:snapToGrid w:val="0"/>
          <w:szCs w:val="24"/>
        </w:rPr>
        <w:tab/>
        <w:t>Complainant as the proponent of a rule or order has the burden of proof.  66 Pa.C.S. § 332(a).</w:t>
      </w:r>
    </w:p>
    <w:p w:rsidR="002F3156" w:rsidRPr="00A659D8" w:rsidRDefault="002F3156" w:rsidP="002F3156">
      <w:pPr>
        <w:tabs>
          <w:tab w:val="left" w:pos="-1620"/>
        </w:tabs>
        <w:spacing w:after="0" w:line="360" w:lineRule="auto"/>
        <w:rPr>
          <w:rFonts w:eastAsia="Times New Roman" w:cs="Times New Roman"/>
          <w:snapToGrid w:val="0"/>
          <w:szCs w:val="24"/>
        </w:rPr>
      </w:pPr>
    </w:p>
    <w:p w:rsidR="002F3156" w:rsidRPr="00A659D8" w:rsidRDefault="002F3156" w:rsidP="002F3156">
      <w:pPr>
        <w:spacing w:after="0" w:line="360" w:lineRule="auto"/>
        <w:rPr>
          <w:rFonts w:eastAsia="Times New Roman" w:cs="Times New Roman"/>
          <w:szCs w:val="24"/>
        </w:rPr>
      </w:pPr>
      <w:r w:rsidRPr="00A659D8">
        <w:rPr>
          <w:rFonts w:eastAsia="Times New Roman" w:cs="Times New Roman"/>
          <w:szCs w:val="24"/>
        </w:rPr>
        <w:lastRenderedPageBreak/>
        <w:tab/>
      </w:r>
      <w:r w:rsidRPr="00A659D8">
        <w:rPr>
          <w:rFonts w:eastAsia="Times New Roman" w:cs="Times New Roman"/>
          <w:szCs w:val="24"/>
        </w:rPr>
        <w:tab/>
        <w:t>3.</w:t>
      </w:r>
      <w:r w:rsidRPr="00A659D8">
        <w:rPr>
          <w:rFonts w:eastAsia="Times New Roman" w:cs="Times New Roman"/>
          <w:szCs w:val="24"/>
        </w:rPr>
        <w:tab/>
        <w:t xml:space="preserve">Complainant carries the burden of proving Respondent has in some manner violated the provisions of the Public Utility Code or the regulations of the Commission in the course of providing her with electric service.  Section 332 (a) of the Public Utility Code, 66 Pa.C.S. § 332 (a). </w:t>
      </w:r>
    </w:p>
    <w:p w:rsidR="002F3156" w:rsidRPr="00A659D8" w:rsidRDefault="002F3156" w:rsidP="002F3156">
      <w:pPr>
        <w:spacing w:after="0" w:line="360" w:lineRule="auto"/>
        <w:rPr>
          <w:rFonts w:eastAsia="Times New Roman" w:cs="Times New Roman"/>
          <w:szCs w:val="24"/>
        </w:rPr>
      </w:pPr>
    </w:p>
    <w:p w:rsidR="002F3156" w:rsidRPr="00A659D8" w:rsidRDefault="002F3156" w:rsidP="002F3156">
      <w:pPr>
        <w:spacing w:after="0" w:line="360" w:lineRule="auto"/>
        <w:rPr>
          <w:rFonts w:eastAsia="Times New Roman" w:cs="Times New Roman"/>
          <w:snapToGrid w:val="0"/>
          <w:szCs w:val="24"/>
        </w:rPr>
      </w:pPr>
      <w:r w:rsidRPr="00A659D8">
        <w:rPr>
          <w:rFonts w:eastAsia="Times New Roman" w:cs="Times New Roman"/>
          <w:szCs w:val="24"/>
        </w:rPr>
        <w:tab/>
      </w:r>
      <w:r w:rsidRPr="00A659D8">
        <w:rPr>
          <w:rFonts w:eastAsia="Times New Roman" w:cs="Times New Roman"/>
          <w:szCs w:val="24"/>
        </w:rPr>
        <w:tab/>
        <w:t>4.</w:t>
      </w:r>
      <w:r w:rsidRPr="00A659D8">
        <w:rPr>
          <w:rFonts w:eastAsia="Times New Roman" w:cs="Times New Roman"/>
          <w:szCs w:val="24"/>
        </w:rPr>
        <w:tab/>
      </w:r>
      <w:r>
        <w:rPr>
          <w:rFonts w:eastAsia="Times New Roman" w:cs="Times New Roman"/>
          <w:szCs w:val="24"/>
        </w:rPr>
        <w:t xml:space="preserve">Under </w:t>
      </w:r>
      <w:r w:rsidRPr="00A659D8">
        <w:rPr>
          <w:rFonts w:eastAsia="Times New Roman" w:cs="Times New Roman"/>
          <w:snapToGrid w:val="0"/>
          <w:szCs w:val="24"/>
        </w:rPr>
        <w:t>Section 140</w:t>
      </w:r>
      <w:r>
        <w:rPr>
          <w:rFonts w:eastAsia="Times New Roman" w:cs="Times New Roman"/>
          <w:snapToGrid w:val="0"/>
          <w:szCs w:val="24"/>
        </w:rPr>
        <w:t>5(c)</w:t>
      </w:r>
      <w:r w:rsidRPr="00A659D8">
        <w:rPr>
          <w:rFonts w:eastAsia="Times New Roman" w:cs="Times New Roman"/>
          <w:snapToGrid w:val="0"/>
          <w:szCs w:val="24"/>
        </w:rPr>
        <w:t xml:space="preserve"> of the Code, </w:t>
      </w:r>
      <w:r w:rsidRPr="00A659D8">
        <w:rPr>
          <w:rFonts w:eastAsia="Times New Roman" w:cs="Times New Roman"/>
          <w:szCs w:val="24"/>
        </w:rPr>
        <w:t>66 Pa.C.S. § 140</w:t>
      </w:r>
      <w:r>
        <w:rPr>
          <w:rFonts w:eastAsia="Times New Roman" w:cs="Times New Roman"/>
          <w:szCs w:val="24"/>
        </w:rPr>
        <w:t>5(c)</w:t>
      </w:r>
      <w:r w:rsidRPr="00A659D8">
        <w:rPr>
          <w:rFonts w:eastAsia="Times New Roman" w:cs="Times New Roman"/>
          <w:szCs w:val="24"/>
        </w:rPr>
        <w:t xml:space="preserve">, </w:t>
      </w:r>
      <w:r>
        <w:rPr>
          <w:rFonts w:eastAsia="Times New Roman" w:cs="Times New Roman"/>
          <w:szCs w:val="24"/>
        </w:rPr>
        <w:t xml:space="preserve">Customer </w:t>
      </w:r>
      <w:r w:rsidR="00E367E1">
        <w:rPr>
          <w:rFonts w:eastAsia="Times New Roman" w:cs="Times New Roman"/>
          <w:szCs w:val="24"/>
        </w:rPr>
        <w:t>A</w:t>
      </w:r>
      <w:r>
        <w:rPr>
          <w:rFonts w:eastAsia="Times New Roman" w:cs="Times New Roman"/>
          <w:szCs w:val="24"/>
        </w:rPr>
        <w:t xml:space="preserve">ssistance </w:t>
      </w:r>
      <w:r w:rsidR="00E367E1">
        <w:rPr>
          <w:rFonts w:eastAsia="Times New Roman" w:cs="Times New Roman"/>
          <w:szCs w:val="24"/>
        </w:rPr>
        <w:t>P</w:t>
      </w:r>
      <w:r>
        <w:rPr>
          <w:rFonts w:eastAsia="Times New Roman" w:cs="Times New Roman"/>
          <w:szCs w:val="24"/>
        </w:rPr>
        <w:t>rogram rates shall be timely paid and shall not be the subject of payment arra</w:t>
      </w:r>
      <w:r w:rsidR="0072233B">
        <w:rPr>
          <w:rFonts w:eastAsia="Times New Roman" w:cs="Times New Roman"/>
          <w:szCs w:val="24"/>
        </w:rPr>
        <w:t>n</w:t>
      </w:r>
      <w:r>
        <w:rPr>
          <w:rFonts w:eastAsia="Times New Roman" w:cs="Times New Roman"/>
          <w:szCs w:val="24"/>
        </w:rPr>
        <w:t xml:space="preserve">gements negotiated or approved by the Commission. </w:t>
      </w:r>
    </w:p>
    <w:p w:rsidR="002F3156" w:rsidRPr="00A659D8" w:rsidRDefault="002F3156" w:rsidP="002F3156">
      <w:pPr>
        <w:tabs>
          <w:tab w:val="left" w:pos="1440"/>
        </w:tabs>
        <w:spacing w:after="0" w:line="360" w:lineRule="auto"/>
        <w:rPr>
          <w:rFonts w:eastAsia="Times New Roman" w:cs="Times New Roman"/>
          <w:szCs w:val="24"/>
        </w:rPr>
      </w:pPr>
    </w:p>
    <w:p w:rsidR="002F3156" w:rsidRDefault="002F3156" w:rsidP="002F3156">
      <w:pPr>
        <w:spacing w:after="0" w:line="360" w:lineRule="auto"/>
        <w:ind w:firstLine="1440"/>
        <w:rPr>
          <w:rFonts w:eastAsia="Times New Roman" w:cs="Times New Roman"/>
          <w:szCs w:val="24"/>
        </w:rPr>
      </w:pPr>
      <w:r>
        <w:rPr>
          <w:rFonts w:eastAsia="Times New Roman" w:cs="Times New Roman"/>
          <w:szCs w:val="24"/>
        </w:rPr>
        <w:t>5</w:t>
      </w:r>
      <w:r w:rsidRPr="00A659D8">
        <w:rPr>
          <w:rFonts w:eastAsia="Times New Roman" w:cs="Times New Roman"/>
          <w:szCs w:val="24"/>
        </w:rPr>
        <w:t>.</w:t>
      </w:r>
      <w:r w:rsidRPr="00A659D8">
        <w:rPr>
          <w:rFonts w:eastAsia="Times New Roman" w:cs="Times New Roman"/>
          <w:szCs w:val="24"/>
        </w:rPr>
        <w:tab/>
        <w:t>Complainant has not met h</w:t>
      </w:r>
      <w:r w:rsidR="00F30B9D">
        <w:rPr>
          <w:rFonts w:eastAsia="Times New Roman" w:cs="Times New Roman"/>
          <w:szCs w:val="24"/>
        </w:rPr>
        <w:t>er</w:t>
      </w:r>
      <w:r w:rsidRPr="00A659D8">
        <w:rPr>
          <w:rFonts w:eastAsia="Times New Roman" w:cs="Times New Roman"/>
          <w:szCs w:val="24"/>
        </w:rPr>
        <w:t xml:space="preserve"> burden of proof as required under Section </w:t>
      </w:r>
    </w:p>
    <w:p w:rsidR="002F3156" w:rsidRPr="00A659D8" w:rsidRDefault="002F3156" w:rsidP="002F3156">
      <w:pPr>
        <w:spacing w:after="0" w:line="360" w:lineRule="auto"/>
        <w:rPr>
          <w:rFonts w:eastAsia="Times New Roman" w:cs="Times New Roman"/>
          <w:snapToGrid w:val="0"/>
          <w:szCs w:val="24"/>
        </w:rPr>
      </w:pPr>
      <w:r w:rsidRPr="00A659D8">
        <w:rPr>
          <w:rFonts w:eastAsia="Times New Roman" w:cs="Times New Roman"/>
          <w:szCs w:val="24"/>
        </w:rPr>
        <w:t xml:space="preserve">332(a) of the Code.  </w:t>
      </w:r>
      <w:r w:rsidRPr="00A659D8">
        <w:rPr>
          <w:rFonts w:eastAsia="Times New Roman" w:cs="Times New Roman"/>
          <w:snapToGrid w:val="0"/>
          <w:szCs w:val="24"/>
        </w:rPr>
        <w:t>66 Pa.C.S. § 332(a).</w:t>
      </w:r>
    </w:p>
    <w:p w:rsidR="002F3156" w:rsidRPr="00A659D8" w:rsidRDefault="002F3156" w:rsidP="002F3156">
      <w:pPr>
        <w:spacing w:after="0" w:line="360" w:lineRule="auto"/>
        <w:rPr>
          <w:rFonts w:eastAsia="Times New Roman" w:cs="Times New Roman"/>
          <w:spacing w:val="-3"/>
          <w:szCs w:val="24"/>
          <w:u w:val="single"/>
        </w:rPr>
      </w:pPr>
    </w:p>
    <w:p w:rsidR="002F3156" w:rsidRDefault="002F3156" w:rsidP="002F3156">
      <w:pPr>
        <w:tabs>
          <w:tab w:val="left" w:pos="1440"/>
        </w:tabs>
        <w:spacing w:after="0" w:line="360" w:lineRule="auto"/>
        <w:jc w:val="center"/>
        <w:rPr>
          <w:rFonts w:eastAsia="Times New Roman" w:cs="Times New Roman"/>
          <w:szCs w:val="24"/>
          <w:u w:val="single"/>
        </w:rPr>
      </w:pPr>
    </w:p>
    <w:p w:rsidR="002F3156" w:rsidRPr="00A659D8" w:rsidRDefault="002F3156" w:rsidP="002F3156">
      <w:pPr>
        <w:tabs>
          <w:tab w:val="left" w:pos="1440"/>
        </w:tabs>
        <w:spacing w:after="0" w:line="360" w:lineRule="auto"/>
        <w:jc w:val="center"/>
        <w:rPr>
          <w:rFonts w:eastAsia="Times New Roman" w:cs="Times New Roman"/>
          <w:szCs w:val="24"/>
          <w:u w:val="single"/>
        </w:rPr>
      </w:pPr>
      <w:r w:rsidRPr="00A659D8">
        <w:rPr>
          <w:rFonts w:eastAsia="Times New Roman" w:cs="Times New Roman"/>
          <w:szCs w:val="24"/>
          <w:u w:val="single"/>
        </w:rPr>
        <w:t>ORDER</w:t>
      </w: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tabs>
          <w:tab w:val="left" w:pos="1440"/>
        </w:tabs>
        <w:spacing w:after="0" w:line="360" w:lineRule="auto"/>
        <w:rPr>
          <w:rFonts w:eastAsia="Times New Roman" w:cs="Times New Roman"/>
          <w:szCs w:val="24"/>
        </w:rPr>
      </w:pPr>
      <w:r w:rsidRPr="00A659D8">
        <w:rPr>
          <w:rFonts w:eastAsia="Times New Roman" w:cs="Times New Roman"/>
          <w:szCs w:val="24"/>
        </w:rPr>
        <w:tab/>
        <w:t>THEREFORE,</w:t>
      </w: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tabs>
          <w:tab w:val="left" w:pos="1440"/>
        </w:tabs>
        <w:spacing w:after="0" w:line="360" w:lineRule="auto"/>
        <w:rPr>
          <w:rFonts w:eastAsia="Times New Roman" w:cs="Times New Roman"/>
          <w:szCs w:val="24"/>
        </w:rPr>
      </w:pPr>
      <w:r w:rsidRPr="00A659D8">
        <w:rPr>
          <w:rFonts w:eastAsia="Times New Roman" w:cs="Times New Roman"/>
          <w:szCs w:val="24"/>
        </w:rPr>
        <w:tab/>
        <w:t>IT IS ORDERED:</w:t>
      </w: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tabs>
          <w:tab w:val="left" w:pos="1440"/>
        </w:tabs>
        <w:spacing w:after="0" w:line="360" w:lineRule="auto"/>
        <w:ind w:left="90" w:firstLine="1350"/>
        <w:rPr>
          <w:rFonts w:eastAsia="Times New Roman" w:cs="Times New Roman"/>
          <w:szCs w:val="20"/>
        </w:rPr>
      </w:pPr>
      <w:r w:rsidRPr="00A659D8">
        <w:rPr>
          <w:rFonts w:eastAsia="Times New Roman" w:cs="Times New Roman"/>
          <w:szCs w:val="20"/>
        </w:rPr>
        <w:t>1.</w:t>
      </w:r>
      <w:r w:rsidRPr="00A659D8">
        <w:rPr>
          <w:rFonts w:eastAsia="Times New Roman" w:cs="Times New Roman"/>
          <w:szCs w:val="20"/>
        </w:rPr>
        <w:tab/>
        <w:t xml:space="preserve">That the </w:t>
      </w:r>
      <w:r>
        <w:rPr>
          <w:rFonts w:eastAsia="Times New Roman" w:cs="Times New Roman"/>
          <w:szCs w:val="20"/>
        </w:rPr>
        <w:t>Formal C</w:t>
      </w:r>
      <w:r w:rsidRPr="00A659D8">
        <w:rPr>
          <w:rFonts w:eastAsia="Times New Roman" w:cs="Times New Roman"/>
          <w:szCs w:val="20"/>
        </w:rPr>
        <w:t xml:space="preserve">omplaint of </w:t>
      </w:r>
      <w:r>
        <w:rPr>
          <w:rFonts w:eastAsia="Times New Roman" w:cs="Times New Roman"/>
          <w:szCs w:val="20"/>
        </w:rPr>
        <w:t xml:space="preserve">B. Elisa Sanders </w:t>
      </w:r>
      <w:r w:rsidRPr="00A659D8">
        <w:rPr>
          <w:rFonts w:eastAsia="Times New Roman" w:cs="Times New Roman"/>
          <w:szCs w:val="20"/>
        </w:rPr>
        <w:t>against P</w:t>
      </w:r>
      <w:r>
        <w:rPr>
          <w:rFonts w:eastAsia="Times New Roman" w:cs="Times New Roman"/>
          <w:szCs w:val="20"/>
        </w:rPr>
        <w:t xml:space="preserve">ECO Energy </w:t>
      </w:r>
      <w:r w:rsidRPr="00A659D8">
        <w:rPr>
          <w:rFonts w:eastAsia="Times New Roman" w:cs="Times New Roman"/>
          <w:szCs w:val="20"/>
        </w:rPr>
        <w:t xml:space="preserve">Company at Docket No. </w:t>
      </w:r>
      <w:r>
        <w:rPr>
          <w:rFonts w:eastAsia="Times New Roman" w:cs="Times New Roman"/>
          <w:szCs w:val="20"/>
        </w:rPr>
        <w:t>F</w:t>
      </w:r>
      <w:r w:rsidRPr="00A659D8">
        <w:rPr>
          <w:rFonts w:eastAsia="Times New Roman" w:cs="Times New Roman"/>
          <w:szCs w:val="20"/>
        </w:rPr>
        <w:t>-2015-250</w:t>
      </w:r>
      <w:r>
        <w:rPr>
          <w:rFonts w:eastAsia="Times New Roman" w:cs="Times New Roman"/>
          <w:szCs w:val="20"/>
        </w:rPr>
        <w:t>8203</w:t>
      </w:r>
      <w:r w:rsidRPr="00A659D8">
        <w:rPr>
          <w:rFonts w:eastAsia="Times New Roman" w:cs="Times New Roman"/>
          <w:szCs w:val="20"/>
        </w:rPr>
        <w:t xml:space="preserve"> is dismissed.</w:t>
      </w:r>
    </w:p>
    <w:p w:rsidR="002F3156" w:rsidRPr="00A659D8" w:rsidRDefault="002F3156" w:rsidP="002F3156">
      <w:pPr>
        <w:tabs>
          <w:tab w:val="left" w:pos="1440"/>
        </w:tabs>
        <w:spacing w:after="0" w:line="360" w:lineRule="auto"/>
        <w:ind w:left="86" w:firstLine="1354"/>
        <w:rPr>
          <w:rFonts w:eastAsia="Times New Roman" w:cs="Times New Roman"/>
          <w:szCs w:val="20"/>
        </w:rPr>
      </w:pPr>
    </w:p>
    <w:p w:rsidR="002F3156" w:rsidRPr="00A659D8" w:rsidRDefault="002F3156" w:rsidP="002F3156">
      <w:pPr>
        <w:tabs>
          <w:tab w:val="left" w:pos="1440"/>
        </w:tabs>
        <w:spacing w:after="0" w:line="360" w:lineRule="auto"/>
        <w:rPr>
          <w:rFonts w:eastAsia="Times New Roman" w:cs="Times New Roman"/>
          <w:szCs w:val="24"/>
        </w:rPr>
      </w:pPr>
      <w:r w:rsidRPr="00A659D8">
        <w:rPr>
          <w:rFonts w:eastAsia="Times New Roman" w:cs="Times New Roman"/>
          <w:szCs w:val="24"/>
        </w:rPr>
        <w:tab/>
        <w:t>2.</w:t>
      </w:r>
      <w:r w:rsidRPr="00A659D8">
        <w:rPr>
          <w:rFonts w:eastAsia="Times New Roman" w:cs="Times New Roman"/>
          <w:szCs w:val="24"/>
        </w:rPr>
        <w:tab/>
        <w:t xml:space="preserve">That the Secretary shall mark Docket No. </w:t>
      </w:r>
      <w:r>
        <w:rPr>
          <w:rFonts w:eastAsia="Times New Roman" w:cs="Times New Roman"/>
          <w:szCs w:val="24"/>
        </w:rPr>
        <w:t>F</w:t>
      </w:r>
      <w:r w:rsidRPr="00A659D8">
        <w:rPr>
          <w:rFonts w:eastAsia="Times New Roman" w:cs="Times New Roman"/>
          <w:szCs w:val="20"/>
        </w:rPr>
        <w:t>-2015-2508</w:t>
      </w:r>
      <w:r>
        <w:rPr>
          <w:rFonts w:eastAsia="Times New Roman" w:cs="Times New Roman"/>
          <w:szCs w:val="20"/>
        </w:rPr>
        <w:t>203</w:t>
      </w:r>
      <w:r w:rsidRPr="00A659D8">
        <w:rPr>
          <w:rFonts w:eastAsia="Times New Roman" w:cs="Times New Roman"/>
          <w:szCs w:val="20"/>
        </w:rPr>
        <w:t xml:space="preserve"> </w:t>
      </w:r>
      <w:r w:rsidRPr="00A659D8">
        <w:rPr>
          <w:rFonts w:eastAsia="Times New Roman" w:cs="Times New Roman"/>
          <w:szCs w:val="24"/>
        </w:rPr>
        <w:t>closed.</w:t>
      </w: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tabs>
          <w:tab w:val="left" w:pos="1440"/>
        </w:tabs>
        <w:spacing w:after="0" w:line="360" w:lineRule="auto"/>
        <w:rPr>
          <w:rFonts w:eastAsia="Times New Roman" w:cs="Times New Roman"/>
          <w:szCs w:val="24"/>
        </w:rPr>
      </w:pPr>
    </w:p>
    <w:p w:rsidR="002F3156" w:rsidRPr="00A659D8" w:rsidRDefault="002F3156" w:rsidP="002F3156">
      <w:pPr>
        <w:keepLines/>
        <w:widowControl w:val="0"/>
        <w:autoSpaceDE w:val="0"/>
        <w:autoSpaceDN w:val="0"/>
        <w:adjustRightInd w:val="0"/>
        <w:spacing w:after="0" w:line="240" w:lineRule="auto"/>
        <w:jc w:val="both"/>
        <w:rPr>
          <w:rFonts w:eastAsia="Times New Roman" w:cs="Times New Roman"/>
          <w:snapToGrid w:val="0"/>
          <w:szCs w:val="24"/>
          <w:u w:val="single"/>
        </w:rPr>
      </w:pPr>
      <w:r w:rsidRPr="00A659D8">
        <w:rPr>
          <w:rFonts w:eastAsia="Times New Roman" w:cs="Times New Roman"/>
          <w:snapToGrid w:val="0"/>
          <w:szCs w:val="24"/>
        </w:rPr>
        <w:t xml:space="preserve">Date:  </w:t>
      </w:r>
      <w:r w:rsidRPr="00A659D8">
        <w:rPr>
          <w:rFonts w:eastAsia="Times New Roman" w:cs="Times New Roman"/>
          <w:snapToGrid w:val="0"/>
          <w:szCs w:val="24"/>
          <w:u w:val="single"/>
        </w:rPr>
        <w:t xml:space="preserve">July </w:t>
      </w:r>
      <w:r w:rsidR="00304ADD">
        <w:rPr>
          <w:rFonts w:eastAsia="Times New Roman" w:cs="Times New Roman"/>
          <w:snapToGrid w:val="0"/>
          <w:szCs w:val="24"/>
          <w:u w:val="single"/>
        </w:rPr>
        <w:t>29</w:t>
      </w:r>
      <w:r w:rsidRPr="00A659D8">
        <w:rPr>
          <w:rFonts w:eastAsia="Times New Roman" w:cs="Times New Roman"/>
          <w:snapToGrid w:val="0"/>
          <w:szCs w:val="24"/>
          <w:u w:val="single"/>
        </w:rPr>
        <w:t>, 2016</w:t>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u w:val="single"/>
        </w:rPr>
        <w:t xml:space="preserve">                           /s/</w:t>
      </w:r>
      <w:r w:rsidRPr="00A659D8">
        <w:rPr>
          <w:rFonts w:eastAsia="Times New Roman" w:cs="Times New Roman"/>
          <w:snapToGrid w:val="0"/>
          <w:szCs w:val="24"/>
          <w:u w:val="single"/>
        </w:rPr>
        <w:tab/>
      </w:r>
      <w:r w:rsidRPr="00A659D8">
        <w:rPr>
          <w:rFonts w:eastAsia="Times New Roman" w:cs="Times New Roman"/>
          <w:snapToGrid w:val="0"/>
          <w:szCs w:val="24"/>
          <w:u w:val="single"/>
        </w:rPr>
        <w:tab/>
      </w:r>
      <w:r w:rsidRPr="00A659D8">
        <w:rPr>
          <w:rFonts w:eastAsia="Times New Roman" w:cs="Times New Roman"/>
          <w:snapToGrid w:val="0"/>
          <w:szCs w:val="24"/>
          <w:u w:val="single"/>
        </w:rPr>
        <w:tab/>
      </w:r>
      <w:r w:rsidRPr="00A659D8">
        <w:rPr>
          <w:rFonts w:eastAsia="Times New Roman" w:cs="Times New Roman"/>
          <w:snapToGrid w:val="0"/>
          <w:szCs w:val="24"/>
          <w:u w:val="single"/>
        </w:rPr>
        <w:tab/>
        <w:t xml:space="preserve">                                 </w:t>
      </w:r>
    </w:p>
    <w:p w:rsidR="002F3156" w:rsidRPr="00A659D8" w:rsidRDefault="002F3156" w:rsidP="002F3156">
      <w:pPr>
        <w:keepLines/>
        <w:widowControl w:val="0"/>
        <w:autoSpaceDE w:val="0"/>
        <w:autoSpaceDN w:val="0"/>
        <w:adjustRightInd w:val="0"/>
        <w:spacing w:after="0" w:line="240" w:lineRule="auto"/>
        <w:jc w:val="both"/>
        <w:rPr>
          <w:rFonts w:eastAsia="Times New Roman" w:cs="Times New Roman"/>
          <w:snapToGrid w:val="0"/>
          <w:szCs w:val="24"/>
        </w:rPr>
      </w:pP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t>Conrad A. Johnson</w:t>
      </w:r>
    </w:p>
    <w:p w:rsidR="002B2FF7" w:rsidRPr="002B2FF7" w:rsidRDefault="002F3156" w:rsidP="00F30B9D">
      <w:pPr>
        <w:keepLines/>
        <w:widowControl w:val="0"/>
        <w:autoSpaceDE w:val="0"/>
        <w:autoSpaceDN w:val="0"/>
        <w:adjustRightInd w:val="0"/>
        <w:spacing w:after="0" w:line="240" w:lineRule="auto"/>
        <w:jc w:val="both"/>
        <w:rPr>
          <w:rFonts w:eastAsia="Times New Roman" w:cs="Times New Roman"/>
          <w:szCs w:val="24"/>
        </w:rPr>
      </w:pP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r>
      <w:r w:rsidRPr="00A659D8">
        <w:rPr>
          <w:rFonts w:eastAsia="Times New Roman" w:cs="Times New Roman"/>
          <w:snapToGrid w:val="0"/>
          <w:szCs w:val="24"/>
        </w:rPr>
        <w:tab/>
        <w:t>Administrative Law Judge</w:t>
      </w:r>
    </w:p>
    <w:p w:rsidR="008E3AB8" w:rsidRDefault="008E3AB8"/>
    <w:sectPr w:rsidR="008E3AB8" w:rsidSect="00FB0AEC">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36" w:rsidRDefault="00995F36" w:rsidP="002B2FF7">
      <w:pPr>
        <w:spacing w:after="0" w:line="240" w:lineRule="auto"/>
      </w:pPr>
      <w:r>
        <w:separator/>
      </w:r>
    </w:p>
  </w:endnote>
  <w:endnote w:type="continuationSeparator" w:id="0">
    <w:p w:rsidR="00995F36" w:rsidRDefault="00995F36" w:rsidP="002B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87295"/>
      <w:docPartObj>
        <w:docPartGallery w:val="Page Numbers (Bottom of Page)"/>
        <w:docPartUnique/>
      </w:docPartObj>
    </w:sdtPr>
    <w:sdtEndPr>
      <w:rPr>
        <w:noProof/>
      </w:rPr>
    </w:sdtEndPr>
    <w:sdtContent>
      <w:p w:rsidR="00FB0AEC" w:rsidRDefault="00FB0AEC">
        <w:pPr>
          <w:pStyle w:val="Footer"/>
          <w:jc w:val="center"/>
        </w:pPr>
        <w:r>
          <w:fldChar w:fldCharType="begin"/>
        </w:r>
        <w:r>
          <w:instrText xml:space="preserve"> PAGE   \* MERGEFORMAT </w:instrText>
        </w:r>
        <w:r>
          <w:fldChar w:fldCharType="separate"/>
        </w:r>
        <w:r w:rsidR="00B8009B">
          <w:rPr>
            <w:noProof/>
          </w:rPr>
          <w:t>8</w:t>
        </w:r>
        <w:r>
          <w:rPr>
            <w:noProof/>
          </w:rPr>
          <w:fldChar w:fldCharType="end"/>
        </w:r>
      </w:p>
    </w:sdtContent>
  </w:sdt>
  <w:p w:rsidR="00FB0AEC" w:rsidRDefault="00FB0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EC" w:rsidRDefault="00FB0AE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36" w:rsidRDefault="00995F36" w:rsidP="002B2FF7">
      <w:pPr>
        <w:spacing w:after="0" w:line="240" w:lineRule="auto"/>
      </w:pPr>
      <w:r>
        <w:separator/>
      </w:r>
    </w:p>
  </w:footnote>
  <w:footnote w:type="continuationSeparator" w:id="0">
    <w:p w:rsidR="00995F36" w:rsidRDefault="00995F36" w:rsidP="002B2FF7">
      <w:pPr>
        <w:spacing w:after="0" w:line="240" w:lineRule="auto"/>
      </w:pPr>
      <w:r>
        <w:continuationSeparator/>
      </w:r>
    </w:p>
  </w:footnote>
  <w:footnote w:id="1">
    <w:p w:rsidR="002B2FF7" w:rsidRPr="00E73FD1" w:rsidRDefault="002B2FF7" w:rsidP="00E73FD1">
      <w:pPr>
        <w:spacing w:line="240" w:lineRule="auto"/>
        <w:rPr>
          <w:caps/>
          <w:sz w:val="20"/>
          <w:szCs w:val="20"/>
        </w:rPr>
      </w:pPr>
      <w:r w:rsidRPr="00E73FD1">
        <w:rPr>
          <w:rStyle w:val="FootnoteReference"/>
          <w:sz w:val="20"/>
          <w:szCs w:val="20"/>
        </w:rPr>
        <w:footnoteRef/>
      </w:r>
      <w:r>
        <w:t xml:space="preserve"> </w:t>
      </w:r>
      <w:r>
        <w:tab/>
      </w:r>
      <w:r w:rsidRPr="00E73FD1">
        <w:rPr>
          <w:sz w:val="20"/>
          <w:szCs w:val="20"/>
        </w:rPr>
        <w:t xml:space="preserve">On September 17, 2015, the Commission’s Bureau of Consumer Services (BCS) at BCS No. </w:t>
      </w:r>
      <w:r w:rsidRPr="00E73FD1">
        <w:rPr>
          <w:bCs/>
          <w:caps/>
          <w:sz w:val="20"/>
          <w:szCs w:val="20"/>
        </w:rPr>
        <w:t>3334581</w:t>
      </w:r>
      <w:r w:rsidRPr="00E73FD1">
        <w:rPr>
          <w:sz w:val="20"/>
          <w:szCs w:val="20"/>
        </w:rPr>
        <w:t xml:space="preserve"> dismissed Ms. Sanders’ informal complaint, which she filed on April 15, 2015, disputing her high bill and requesting a payment arrangement.</w:t>
      </w:r>
      <w:r w:rsidRPr="00E73FD1">
        <w:rPr>
          <w:bCs/>
          <w:caps/>
          <w:sz w:val="20"/>
          <w:szCs w:val="20"/>
        </w:rPr>
        <w:t xml:space="preserve">  </w:t>
      </w:r>
    </w:p>
    <w:p w:rsidR="002B2FF7" w:rsidRPr="00E73FD1" w:rsidRDefault="002B2FF7" w:rsidP="002B2FF7">
      <w:pPr>
        <w:pStyle w:val="FootnoteText"/>
      </w:pPr>
    </w:p>
  </w:footnote>
  <w:footnote w:id="2">
    <w:p w:rsidR="002F3156" w:rsidRDefault="002F3156" w:rsidP="002F3156">
      <w:pPr>
        <w:pStyle w:val="FootnoteText"/>
      </w:pPr>
      <w:r>
        <w:rPr>
          <w:rStyle w:val="FootnoteReference"/>
        </w:rPr>
        <w:footnoteRef/>
      </w:r>
      <w:r>
        <w:t xml:space="preserve"> </w:t>
      </w:r>
      <w:r>
        <w:tab/>
        <w:t xml:space="preserve">A foreign load or foreign wiring exists when wiring from other parts of a building is connected to a residential rental unit’s meter, thereby providing electricity to parts of a building outside of the residential rental unit, such as a common area, other electrical equipment or another rental unit.  When a foreign load exists the utility is required to place the electric service account in the name of owner/landlord of the building until the foreign load is corrected.  </w:t>
      </w:r>
      <w:r w:rsidRPr="00DA474C">
        <w:t>66 Pa.C.S. § 1529.1.</w:t>
      </w:r>
    </w:p>
    <w:p w:rsidR="002F3156" w:rsidRDefault="002F3156" w:rsidP="002F3156">
      <w:pPr>
        <w:pStyle w:val="FootnoteText"/>
      </w:pPr>
    </w:p>
  </w:footnote>
  <w:footnote w:id="3">
    <w:p w:rsidR="002F3156" w:rsidRPr="000A77FF" w:rsidRDefault="002F3156" w:rsidP="002F3156">
      <w:pPr>
        <w:rPr>
          <w:sz w:val="20"/>
          <w:szCs w:val="20"/>
        </w:rPr>
      </w:pPr>
      <w:r w:rsidRPr="000A77FF">
        <w:rPr>
          <w:rStyle w:val="FootnoteReference"/>
          <w:sz w:val="20"/>
          <w:szCs w:val="20"/>
        </w:rPr>
        <w:footnoteRef/>
      </w:r>
      <w:r w:rsidRPr="000A77FF">
        <w:rPr>
          <w:sz w:val="20"/>
          <w:szCs w:val="20"/>
        </w:rPr>
        <w:t xml:space="preserve">  </w:t>
      </w:r>
      <w:r w:rsidR="000A77FF" w:rsidRPr="000A77FF">
        <w:rPr>
          <w:sz w:val="20"/>
          <w:szCs w:val="20"/>
        </w:rPr>
        <w:tab/>
      </w:r>
      <w:r w:rsidRPr="000A77FF">
        <w:rPr>
          <w:i/>
          <w:sz w:val="20"/>
          <w:szCs w:val="20"/>
        </w:rPr>
        <w:t>Charisse M. Bennett v. The Peoples Natural Gas Company, LLC</w:t>
      </w:r>
      <w:r w:rsidRPr="000A77FF">
        <w:rPr>
          <w:sz w:val="20"/>
          <w:szCs w:val="20"/>
        </w:rPr>
        <w:t xml:space="preserve">, Docket No. C-2009-2122979, (Opinion and Order entered September 23, 2010, at page 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F7"/>
    <w:rsid w:val="000A77FF"/>
    <w:rsid w:val="000C777B"/>
    <w:rsid w:val="00102768"/>
    <w:rsid w:val="001B6A74"/>
    <w:rsid w:val="002B2FF7"/>
    <w:rsid w:val="002D2487"/>
    <w:rsid w:val="002D4DB9"/>
    <w:rsid w:val="002F3156"/>
    <w:rsid w:val="00304ADD"/>
    <w:rsid w:val="00377F05"/>
    <w:rsid w:val="004C3B1B"/>
    <w:rsid w:val="0050255C"/>
    <w:rsid w:val="00533E21"/>
    <w:rsid w:val="0072233B"/>
    <w:rsid w:val="008E3AB8"/>
    <w:rsid w:val="00995F36"/>
    <w:rsid w:val="009D1A65"/>
    <w:rsid w:val="00AD642A"/>
    <w:rsid w:val="00B8009B"/>
    <w:rsid w:val="00B955E2"/>
    <w:rsid w:val="00E367E1"/>
    <w:rsid w:val="00E431A6"/>
    <w:rsid w:val="00E73FD1"/>
    <w:rsid w:val="00EA2C52"/>
    <w:rsid w:val="00F30B9D"/>
    <w:rsid w:val="00FB0AEC"/>
    <w:rsid w:val="00FD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B2FF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B2FF7"/>
    <w:rPr>
      <w:rFonts w:eastAsia="Times New Roman" w:cs="Times New Roman"/>
      <w:sz w:val="20"/>
      <w:szCs w:val="20"/>
    </w:rPr>
  </w:style>
  <w:style w:type="character" w:styleId="FootnoteReference">
    <w:name w:val="footnote reference"/>
    <w:uiPriority w:val="99"/>
    <w:rsid w:val="002B2FF7"/>
    <w:rPr>
      <w:vertAlign w:val="superscript"/>
    </w:rPr>
  </w:style>
  <w:style w:type="table" w:styleId="TableGrid">
    <w:name w:val="Table Grid"/>
    <w:basedOn w:val="TableNormal"/>
    <w:rsid w:val="002B2F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D1"/>
    <w:rPr>
      <w:rFonts w:ascii="Tahoma" w:hAnsi="Tahoma" w:cs="Tahoma"/>
      <w:sz w:val="16"/>
      <w:szCs w:val="16"/>
    </w:rPr>
  </w:style>
  <w:style w:type="paragraph" w:styleId="Header">
    <w:name w:val="header"/>
    <w:basedOn w:val="Normal"/>
    <w:link w:val="HeaderChar"/>
    <w:uiPriority w:val="99"/>
    <w:unhideWhenUsed/>
    <w:rsid w:val="00FB0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EC"/>
  </w:style>
  <w:style w:type="paragraph" w:styleId="Footer">
    <w:name w:val="footer"/>
    <w:basedOn w:val="Normal"/>
    <w:link w:val="FooterChar"/>
    <w:uiPriority w:val="99"/>
    <w:unhideWhenUsed/>
    <w:rsid w:val="00FB0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EC"/>
  </w:style>
  <w:style w:type="character" w:styleId="PlaceholderText">
    <w:name w:val="Placeholder Text"/>
    <w:basedOn w:val="DefaultParagraphFont"/>
    <w:uiPriority w:val="99"/>
    <w:semiHidden/>
    <w:rsid w:val="00533E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B2FF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B2FF7"/>
    <w:rPr>
      <w:rFonts w:eastAsia="Times New Roman" w:cs="Times New Roman"/>
      <w:sz w:val="20"/>
      <w:szCs w:val="20"/>
    </w:rPr>
  </w:style>
  <w:style w:type="character" w:styleId="FootnoteReference">
    <w:name w:val="footnote reference"/>
    <w:uiPriority w:val="99"/>
    <w:rsid w:val="002B2FF7"/>
    <w:rPr>
      <w:vertAlign w:val="superscript"/>
    </w:rPr>
  </w:style>
  <w:style w:type="table" w:styleId="TableGrid">
    <w:name w:val="Table Grid"/>
    <w:basedOn w:val="TableNormal"/>
    <w:rsid w:val="002B2F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D1"/>
    <w:rPr>
      <w:rFonts w:ascii="Tahoma" w:hAnsi="Tahoma" w:cs="Tahoma"/>
      <w:sz w:val="16"/>
      <w:szCs w:val="16"/>
    </w:rPr>
  </w:style>
  <w:style w:type="paragraph" w:styleId="Header">
    <w:name w:val="header"/>
    <w:basedOn w:val="Normal"/>
    <w:link w:val="HeaderChar"/>
    <w:uiPriority w:val="99"/>
    <w:unhideWhenUsed/>
    <w:rsid w:val="00FB0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EC"/>
  </w:style>
  <w:style w:type="paragraph" w:styleId="Footer">
    <w:name w:val="footer"/>
    <w:basedOn w:val="Normal"/>
    <w:link w:val="FooterChar"/>
    <w:uiPriority w:val="99"/>
    <w:unhideWhenUsed/>
    <w:rsid w:val="00FB0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EC"/>
  </w:style>
  <w:style w:type="character" w:styleId="PlaceholderText">
    <w:name w:val="Placeholder Text"/>
    <w:basedOn w:val="DefaultParagraphFont"/>
    <w:uiPriority w:val="99"/>
    <w:semiHidden/>
    <w:rsid w:val="00533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1C"/>
    <w:rsid w:val="001E341C"/>
    <w:rsid w:val="00A8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41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4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834F2-DECC-4939-A4B5-694181C6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Eubanks, Arlene</cp:lastModifiedBy>
  <cp:revision>9</cp:revision>
  <cp:lastPrinted>2016-08-18T14:58:00Z</cp:lastPrinted>
  <dcterms:created xsi:type="dcterms:W3CDTF">2016-07-28T17:49:00Z</dcterms:created>
  <dcterms:modified xsi:type="dcterms:W3CDTF">2016-08-18T15:00:00Z</dcterms:modified>
</cp:coreProperties>
</file>