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0" w:rsidRPr="002A7F81" w:rsidRDefault="008B3BC0" w:rsidP="00D40D85">
      <w:pPr>
        <w:pStyle w:val="Title"/>
        <w:tabs>
          <w:tab w:val="clear" w:pos="360"/>
        </w:tabs>
        <w:spacing w:line="240" w:lineRule="auto"/>
        <w:rPr>
          <w:szCs w:val="24"/>
        </w:rPr>
      </w:pPr>
      <w:r w:rsidRPr="002A7F81">
        <w:rPr>
          <w:szCs w:val="24"/>
        </w:rPr>
        <w:t>BEFORE THE</w:t>
      </w:r>
    </w:p>
    <w:p w:rsidR="008B3BC0" w:rsidRPr="002A7F81" w:rsidRDefault="008B3BC0" w:rsidP="00D40D85">
      <w:pPr>
        <w:jc w:val="center"/>
        <w:rPr>
          <w:b/>
          <w:sz w:val="24"/>
          <w:szCs w:val="24"/>
        </w:rPr>
      </w:pPr>
      <w:r w:rsidRPr="002A7F81">
        <w:rPr>
          <w:b/>
          <w:sz w:val="24"/>
          <w:szCs w:val="24"/>
        </w:rPr>
        <w:t>PENNSYLVANIA PUBLIC UTILITY COMMISSION</w:t>
      </w:r>
    </w:p>
    <w:p w:rsidR="008B3BC0" w:rsidRPr="002A7F81" w:rsidRDefault="008B3BC0" w:rsidP="00D40D85">
      <w:pPr>
        <w:jc w:val="center"/>
        <w:rPr>
          <w:b/>
          <w:sz w:val="24"/>
          <w:szCs w:val="24"/>
        </w:rPr>
      </w:pPr>
    </w:p>
    <w:p w:rsidR="008B3BC0" w:rsidRPr="002A7F81" w:rsidRDefault="008B3BC0" w:rsidP="00D40D85">
      <w:pPr>
        <w:tabs>
          <w:tab w:val="left" w:pos="0"/>
        </w:tabs>
        <w:jc w:val="both"/>
        <w:rPr>
          <w:b/>
          <w:sz w:val="24"/>
          <w:szCs w:val="24"/>
        </w:rPr>
      </w:pPr>
    </w:p>
    <w:p w:rsidR="008B3BC0" w:rsidRPr="00027A40" w:rsidRDefault="008B3BC0" w:rsidP="00D40D85">
      <w:pPr>
        <w:tabs>
          <w:tab w:val="left" w:pos="0"/>
        </w:tabs>
        <w:jc w:val="both"/>
        <w:rPr>
          <w:b/>
          <w:sz w:val="24"/>
          <w:szCs w:val="24"/>
        </w:rPr>
      </w:pPr>
    </w:p>
    <w:p w:rsidR="002B632F" w:rsidRDefault="002B632F" w:rsidP="002B632F">
      <w:pPr>
        <w:tabs>
          <w:tab w:val="left" w:pos="0"/>
        </w:tabs>
        <w:spacing w:line="233" w:lineRule="auto"/>
        <w:jc w:val="both"/>
        <w:rPr>
          <w:b/>
          <w:sz w:val="24"/>
        </w:rPr>
      </w:pPr>
      <w:r>
        <w:rPr>
          <w:sz w:val="24"/>
        </w:rPr>
        <w:t xml:space="preserve">Pamela and Stephen </w:t>
      </w:r>
      <w:proofErr w:type="spellStart"/>
      <w:r>
        <w:rPr>
          <w:sz w:val="24"/>
        </w:rPr>
        <w:t>Goforth</w:t>
      </w:r>
      <w:proofErr w:type="spellEnd"/>
      <w:r>
        <w:rPr>
          <w:sz w:val="24"/>
        </w:rPr>
        <w:tab/>
      </w:r>
      <w:r>
        <w:rPr>
          <w:sz w:val="24"/>
        </w:rPr>
        <w:tab/>
      </w:r>
      <w:r>
        <w:rPr>
          <w:sz w:val="24"/>
        </w:rPr>
        <w:tab/>
      </w:r>
      <w:r>
        <w:rPr>
          <w:sz w:val="24"/>
        </w:rPr>
        <w:tab/>
      </w:r>
      <w:r w:rsidRPr="00560DC5">
        <w:rPr>
          <w:sz w:val="24"/>
        </w:rPr>
        <w:t>:</w:t>
      </w:r>
    </w:p>
    <w:p w:rsidR="002B632F" w:rsidRPr="00560DC5" w:rsidRDefault="002B632F" w:rsidP="002B632F">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2B632F" w:rsidRDefault="002B632F" w:rsidP="002B632F">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r>
      <w:r w:rsidRPr="00560DC5">
        <w:rPr>
          <w:sz w:val="24"/>
        </w:rPr>
        <w:t>:</w:t>
      </w:r>
      <w:r>
        <w:rPr>
          <w:b/>
          <w:sz w:val="24"/>
        </w:rPr>
        <w:tab/>
      </w:r>
      <w:r>
        <w:rPr>
          <w:b/>
          <w:sz w:val="24"/>
        </w:rPr>
        <w:tab/>
      </w:r>
      <w:r>
        <w:rPr>
          <w:sz w:val="24"/>
        </w:rPr>
        <w:t>C-2015-2511725</w:t>
      </w:r>
    </w:p>
    <w:p w:rsidR="002B632F" w:rsidRPr="00560DC5" w:rsidRDefault="002B632F" w:rsidP="002B632F">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2B632F" w:rsidRDefault="002B632F" w:rsidP="002B632F">
      <w:pPr>
        <w:tabs>
          <w:tab w:val="left" w:pos="0"/>
        </w:tabs>
        <w:spacing w:line="233" w:lineRule="auto"/>
        <w:jc w:val="both"/>
        <w:rPr>
          <w:sz w:val="24"/>
        </w:rPr>
      </w:pPr>
      <w:r>
        <w:rPr>
          <w:sz w:val="24"/>
        </w:rPr>
        <w:t>Pennsylvania Electric Company</w:t>
      </w:r>
      <w:r>
        <w:rPr>
          <w:sz w:val="24"/>
        </w:rPr>
        <w:tab/>
      </w:r>
      <w:r>
        <w:rPr>
          <w:sz w:val="24"/>
        </w:rPr>
        <w:tab/>
      </w:r>
      <w:r>
        <w:rPr>
          <w:sz w:val="24"/>
        </w:rPr>
        <w:tab/>
      </w:r>
      <w:r w:rsidRPr="00560DC5">
        <w:rPr>
          <w:sz w:val="24"/>
        </w:rPr>
        <w:t>:</w:t>
      </w:r>
    </w:p>
    <w:p w:rsidR="002B632F" w:rsidRDefault="002B632F" w:rsidP="002B632F">
      <w:pPr>
        <w:tabs>
          <w:tab w:val="left" w:pos="0"/>
        </w:tabs>
        <w:spacing w:line="233" w:lineRule="auto"/>
        <w:jc w:val="both"/>
        <w:rPr>
          <w:b/>
          <w:sz w:val="24"/>
        </w:rPr>
      </w:pPr>
    </w:p>
    <w:p w:rsidR="00027A40" w:rsidRPr="00027A40" w:rsidRDefault="00027A40" w:rsidP="00027A40">
      <w:pPr>
        <w:tabs>
          <w:tab w:val="left" w:pos="-720"/>
          <w:tab w:val="left" w:pos="5040"/>
        </w:tabs>
        <w:suppressAutoHyphens/>
        <w:jc w:val="both"/>
        <w:rPr>
          <w:spacing w:val="-3"/>
          <w:sz w:val="24"/>
          <w:szCs w:val="24"/>
        </w:rPr>
      </w:pPr>
    </w:p>
    <w:p w:rsidR="00027A40" w:rsidRPr="00027A40" w:rsidRDefault="00027A40" w:rsidP="00027A40">
      <w:pPr>
        <w:tabs>
          <w:tab w:val="left" w:pos="-720"/>
          <w:tab w:val="left" w:pos="5040"/>
        </w:tabs>
        <w:suppressAutoHyphens/>
        <w:jc w:val="both"/>
        <w:rPr>
          <w:spacing w:val="-3"/>
          <w:sz w:val="24"/>
          <w:szCs w:val="24"/>
        </w:rPr>
      </w:pPr>
    </w:p>
    <w:p w:rsidR="00027A40" w:rsidRPr="00027A40" w:rsidRDefault="00027A40" w:rsidP="00E8374B">
      <w:pPr>
        <w:tabs>
          <w:tab w:val="center" w:pos="4680"/>
        </w:tabs>
        <w:suppressAutoHyphens/>
        <w:spacing w:line="360" w:lineRule="auto"/>
        <w:jc w:val="center"/>
        <w:rPr>
          <w:b/>
          <w:bCs/>
          <w:spacing w:val="-3"/>
          <w:sz w:val="24"/>
          <w:szCs w:val="24"/>
          <w:u w:val="single"/>
        </w:rPr>
      </w:pPr>
      <w:r w:rsidRPr="00027A40">
        <w:rPr>
          <w:b/>
          <w:bCs/>
          <w:spacing w:val="-3"/>
          <w:sz w:val="24"/>
          <w:szCs w:val="24"/>
          <w:u w:val="single"/>
        </w:rPr>
        <w:t xml:space="preserve">INITIAL DECISION </w:t>
      </w:r>
    </w:p>
    <w:p w:rsidR="00027A40" w:rsidRPr="00027A40" w:rsidRDefault="00027A40" w:rsidP="00027A40">
      <w:pPr>
        <w:tabs>
          <w:tab w:val="center" w:pos="4680"/>
        </w:tabs>
        <w:suppressAutoHyphens/>
        <w:jc w:val="center"/>
        <w:rPr>
          <w:b/>
          <w:bCs/>
          <w:spacing w:val="-3"/>
          <w:sz w:val="24"/>
          <w:szCs w:val="24"/>
          <w:u w:val="single"/>
        </w:rPr>
      </w:pPr>
    </w:p>
    <w:p w:rsidR="00027A40" w:rsidRPr="00027A40" w:rsidRDefault="00027A40" w:rsidP="00027A40">
      <w:pPr>
        <w:tabs>
          <w:tab w:val="center" w:pos="4680"/>
        </w:tabs>
        <w:suppressAutoHyphens/>
        <w:jc w:val="center"/>
        <w:rPr>
          <w:b/>
          <w:bCs/>
          <w:spacing w:val="-3"/>
          <w:sz w:val="24"/>
          <w:szCs w:val="24"/>
          <w:u w:val="single"/>
        </w:rPr>
      </w:pPr>
    </w:p>
    <w:p w:rsidR="00027A40" w:rsidRPr="00027A40" w:rsidRDefault="00027A40" w:rsidP="00027A40">
      <w:pPr>
        <w:tabs>
          <w:tab w:val="center" w:pos="4680"/>
        </w:tabs>
        <w:suppressAutoHyphens/>
        <w:jc w:val="center"/>
        <w:rPr>
          <w:bCs/>
          <w:spacing w:val="-3"/>
          <w:sz w:val="24"/>
          <w:szCs w:val="24"/>
        </w:rPr>
      </w:pPr>
      <w:r w:rsidRPr="00027A40">
        <w:rPr>
          <w:bCs/>
          <w:spacing w:val="-3"/>
          <w:sz w:val="24"/>
          <w:szCs w:val="24"/>
        </w:rPr>
        <w:t xml:space="preserve">Before </w:t>
      </w:r>
    </w:p>
    <w:p w:rsidR="00027A40" w:rsidRPr="00027A40" w:rsidRDefault="00027A40" w:rsidP="00027A40">
      <w:pPr>
        <w:tabs>
          <w:tab w:val="center" w:pos="4680"/>
        </w:tabs>
        <w:suppressAutoHyphens/>
        <w:jc w:val="center"/>
        <w:rPr>
          <w:bCs/>
          <w:spacing w:val="-3"/>
          <w:sz w:val="24"/>
          <w:szCs w:val="24"/>
        </w:rPr>
      </w:pPr>
      <w:r w:rsidRPr="00027A40">
        <w:rPr>
          <w:bCs/>
          <w:spacing w:val="-3"/>
          <w:sz w:val="24"/>
          <w:szCs w:val="24"/>
        </w:rPr>
        <w:t>Jeffrey A. Watson</w:t>
      </w:r>
    </w:p>
    <w:p w:rsidR="00027A40" w:rsidRPr="00027A40" w:rsidRDefault="00027A40" w:rsidP="00027A40">
      <w:pPr>
        <w:tabs>
          <w:tab w:val="center" w:pos="4680"/>
        </w:tabs>
        <w:suppressAutoHyphens/>
        <w:jc w:val="center"/>
        <w:rPr>
          <w:bCs/>
          <w:spacing w:val="-3"/>
          <w:sz w:val="24"/>
          <w:szCs w:val="24"/>
        </w:rPr>
      </w:pPr>
      <w:r w:rsidRPr="00027A40">
        <w:rPr>
          <w:bCs/>
          <w:spacing w:val="-3"/>
          <w:sz w:val="24"/>
          <w:szCs w:val="24"/>
        </w:rPr>
        <w:t>Administrative Law Judge</w:t>
      </w:r>
    </w:p>
    <w:p w:rsidR="00027A40" w:rsidRDefault="00027A40" w:rsidP="00313D92">
      <w:pPr>
        <w:tabs>
          <w:tab w:val="center" w:pos="4680"/>
        </w:tabs>
        <w:suppressAutoHyphens/>
        <w:jc w:val="center"/>
        <w:rPr>
          <w:bCs/>
          <w:spacing w:val="-3"/>
          <w:sz w:val="24"/>
          <w:szCs w:val="24"/>
        </w:rPr>
      </w:pPr>
    </w:p>
    <w:p w:rsidR="00313D92" w:rsidRDefault="00313D92" w:rsidP="00313D92">
      <w:pPr>
        <w:tabs>
          <w:tab w:val="center" w:pos="4680"/>
        </w:tabs>
        <w:suppressAutoHyphens/>
        <w:jc w:val="center"/>
        <w:rPr>
          <w:bCs/>
          <w:spacing w:val="-3"/>
          <w:sz w:val="24"/>
          <w:szCs w:val="24"/>
        </w:rPr>
      </w:pPr>
    </w:p>
    <w:p w:rsidR="00313D92" w:rsidRPr="00313D92" w:rsidRDefault="00313D92" w:rsidP="00027A40">
      <w:pPr>
        <w:tabs>
          <w:tab w:val="center" w:pos="4680"/>
        </w:tabs>
        <w:suppressAutoHyphens/>
        <w:spacing w:line="360" w:lineRule="auto"/>
        <w:jc w:val="center"/>
        <w:rPr>
          <w:bCs/>
          <w:spacing w:val="-3"/>
          <w:sz w:val="24"/>
          <w:szCs w:val="24"/>
          <w:u w:val="single"/>
        </w:rPr>
      </w:pPr>
      <w:r w:rsidRPr="00313D92">
        <w:rPr>
          <w:bCs/>
          <w:spacing w:val="-3"/>
          <w:sz w:val="24"/>
          <w:szCs w:val="24"/>
          <w:u w:val="single"/>
        </w:rPr>
        <w:t>INTRODUCTION</w:t>
      </w:r>
    </w:p>
    <w:p w:rsidR="00E8374B" w:rsidRPr="00027A40" w:rsidRDefault="00E8374B" w:rsidP="00E8374B">
      <w:pPr>
        <w:tabs>
          <w:tab w:val="center" w:pos="4680"/>
        </w:tabs>
        <w:suppressAutoHyphens/>
        <w:jc w:val="center"/>
        <w:rPr>
          <w:bCs/>
          <w:spacing w:val="-3"/>
          <w:sz w:val="24"/>
          <w:szCs w:val="24"/>
        </w:rPr>
      </w:pPr>
    </w:p>
    <w:p w:rsidR="00027A40" w:rsidRPr="005459E8" w:rsidRDefault="005459E8" w:rsidP="005459E8">
      <w:pPr>
        <w:spacing w:line="360" w:lineRule="auto"/>
        <w:ind w:firstLine="1440"/>
        <w:rPr>
          <w:sz w:val="24"/>
          <w:szCs w:val="24"/>
        </w:rPr>
      </w:pPr>
      <w:r w:rsidRPr="005459E8">
        <w:rPr>
          <w:sz w:val="24"/>
          <w:szCs w:val="24"/>
        </w:rPr>
        <w:t xml:space="preserve">Pamela and Stephen </w:t>
      </w:r>
      <w:proofErr w:type="spellStart"/>
      <w:r w:rsidRPr="005459E8">
        <w:rPr>
          <w:sz w:val="24"/>
          <w:szCs w:val="24"/>
        </w:rPr>
        <w:t>Goforth</w:t>
      </w:r>
      <w:proofErr w:type="spellEnd"/>
      <w:r w:rsidR="00E40DC6">
        <w:rPr>
          <w:sz w:val="24"/>
          <w:szCs w:val="24"/>
        </w:rPr>
        <w:t xml:space="preserve"> </w:t>
      </w:r>
      <w:r w:rsidR="00027A40" w:rsidRPr="005459E8">
        <w:rPr>
          <w:sz w:val="24"/>
          <w:szCs w:val="24"/>
        </w:rPr>
        <w:t xml:space="preserve">filed a formal complaint </w:t>
      </w:r>
      <w:r w:rsidR="00E40DC6">
        <w:rPr>
          <w:sz w:val="24"/>
          <w:szCs w:val="24"/>
        </w:rPr>
        <w:t xml:space="preserve">against </w:t>
      </w:r>
      <w:r w:rsidR="0003525B">
        <w:rPr>
          <w:sz w:val="24"/>
          <w:szCs w:val="24"/>
        </w:rPr>
        <w:t xml:space="preserve">Pennsylvania Electric </w:t>
      </w:r>
      <w:r w:rsidRPr="005459E8">
        <w:rPr>
          <w:sz w:val="24"/>
          <w:szCs w:val="24"/>
        </w:rPr>
        <w:t>Company</w:t>
      </w:r>
      <w:r>
        <w:rPr>
          <w:sz w:val="24"/>
          <w:szCs w:val="24"/>
        </w:rPr>
        <w:t xml:space="preserve">, </w:t>
      </w:r>
      <w:r w:rsidR="00027A40" w:rsidRPr="005459E8">
        <w:rPr>
          <w:sz w:val="24"/>
          <w:szCs w:val="24"/>
        </w:rPr>
        <w:t xml:space="preserve">alleging Respondent </w:t>
      </w:r>
      <w:r w:rsidRPr="005459E8">
        <w:rPr>
          <w:sz w:val="24"/>
          <w:szCs w:val="24"/>
        </w:rPr>
        <w:t>was threatening to shut off their service,</w:t>
      </w:r>
      <w:r w:rsidR="00E40DC6">
        <w:rPr>
          <w:sz w:val="24"/>
          <w:szCs w:val="24"/>
        </w:rPr>
        <w:t xml:space="preserve"> the existence of </w:t>
      </w:r>
      <w:r w:rsidRPr="005459E8">
        <w:rPr>
          <w:sz w:val="24"/>
          <w:szCs w:val="24"/>
        </w:rPr>
        <w:t xml:space="preserve">incorrect charges on their bill, and reliability, safety or quality problems with their utility service.  </w:t>
      </w:r>
      <w:r w:rsidR="00E40DC6">
        <w:rPr>
          <w:sz w:val="24"/>
          <w:szCs w:val="24"/>
        </w:rPr>
        <w:t xml:space="preserve">Complainants also requested a payment arrangement.  </w:t>
      </w:r>
      <w:r w:rsidR="00027A40" w:rsidRPr="005459E8">
        <w:rPr>
          <w:sz w:val="24"/>
          <w:szCs w:val="24"/>
        </w:rPr>
        <w:t xml:space="preserve">This decision dismisses the </w:t>
      </w:r>
      <w:r w:rsidR="005E76F5">
        <w:rPr>
          <w:sz w:val="24"/>
          <w:szCs w:val="24"/>
        </w:rPr>
        <w:t xml:space="preserve">portions of the complaint regarding </w:t>
      </w:r>
      <w:r w:rsidR="00E40DC6">
        <w:rPr>
          <w:sz w:val="24"/>
          <w:szCs w:val="24"/>
        </w:rPr>
        <w:t xml:space="preserve">customer service for </w:t>
      </w:r>
      <w:r w:rsidR="00027A40" w:rsidRPr="005459E8">
        <w:rPr>
          <w:sz w:val="24"/>
          <w:szCs w:val="24"/>
        </w:rPr>
        <w:t>failure of Complainant</w:t>
      </w:r>
      <w:r w:rsidRPr="005459E8">
        <w:rPr>
          <w:sz w:val="24"/>
          <w:szCs w:val="24"/>
        </w:rPr>
        <w:t>s</w:t>
      </w:r>
      <w:r w:rsidR="00027A40" w:rsidRPr="005459E8">
        <w:rPr>
          <w:sz w:val="24"/>
          <w:szCs w:val="24"/>
        </w:rPr>
        <w:t xml:space="preserve"> to meet </w:t>
      </w:r>
      <w:r w:rsidRPr="005459E8">
        <w:rPr>
          <w:sz w:val="24"/>
          <w:szCs w:val="24"/>
        </w:rPr>
        <w:t>t</w:t>
      </w:r>
      <w:r w:rsidR="00027A40" w:rsidRPr="005459E8">
        <w:rPr>
          <w:sz w:val="24"/>
          <w:szCs w:val="24"/>
        </w:rPr>
        <w:t>he</w:t>
      </w:r>
      <w:r w:rsidRPr="005459E8">
        <w:rPr>
          <w:sz w:val="24"/>
          <w:szCs w:val="24"/>
        </w:rPr>
        <w:t>i</w:t>
      </w:r>
      <w:r w:rsidR="00027A40" w:rsidRPr="005459E8">
        <w:rPr>
          <w:sz w:val="24"/>
          <w:szCs w:val="24"/>
        </w:rPr>
        <w:t>r burden of proof</w:t>
      </w:r>
      <w:r w:rsidR="00E40DC6">
        <w:rPr>
          <w:sz w:val="24"/>
          <w:szCs w:val="24"/>
        </w:rPr>
        <w:t xml:space="preserve"> and grants the request for a payment arrangement.  </w:t>
      </w:r>
      <w:r w:rsidR="00027A40" w:rsidRPr="005459E8">
        <w:rPr>
          <w:sz w:val="24"/>
          <w:szCs w:val="24"/>
        </w:rPr>
        <w:t xml:space="preserve"> </w:t>
      </w:r>
    </w:p>
    <w:p w:rsidR="00027A40" w:rsidRPr="005459E8" w:rsidRDefault="00027A40" w:rsidP="00027A40">
      <w:pPr>
        <w:tabs>
          <w:tab w:val="center" w:pos="4680"/>
        </w:tabs>
        <w:suppressAutoHyphens/>
        <w:spacing w:line="360" w:lineRule="auto"/>
        <w:jc w:val="center"/>
        <w:rPr>
          <w:bCs/>
          <w:spacing w:val="-3"/>
          <w:sz w:val="24"/>
          <w:szCs w:val="24"/>
        </w:rPr>
      </w:pPr>
    </w:p>
    <w:p w:rsidR="00027A40" w:rsidRPr="00027A40" w:rsidRDefault="00027A40" w:rsidP="00027A40">
      <w:pPr>
        <w:tabs>
          <w:tab w:val="center" w:pos="4680"/>
        </w:tabs>
        <w:suppressAutoHyphens/>
        <w:spacing w:line="360" w:lineRule="auto"/>
        <w:jc w:val="center"/>
        <w:rPr>
          <w:bCs/>
          <w:spacing w:val="-3"/>
          <w:sz w:val="24"/>
          <w:szCs w:val="24"/>
          <w:u w:val="single"/>
        </w:rPr>
      </w:pPr>
      <w:r w:rsidRPr="00027A40">
        <w:rPr>
          <w:bCs/>
          <w:spacing w:val="-3"/>
          <w:sz w:val="24"/>
          <w:szCs w:val="24"/>
          <w:u w:val="single"/>
        </w:rPr>
        <w:t>HISTORY OF THE PROCEEDING</w:t>
      </w:r>
    </w:p>
    <w:p w:rsidR="00027A40" w:rsidRPr="00027A40" w:rsidRDefault="00027A40" w:rsidP="00027A40">
      <w:pPr>
        <w:pStyle w:val="ParaTab1"/>
        <w:tabs>
          <w:tab w:val="left" w:pos="2070"/>
        </w:tabs>
        <w:spacing w:line="360" w:lineRule="auto"/>
        <w:ind w:firstLine="0"/>
        <w:rPr>
          <w:rFonts w:ascii="Times New Roman" w:hAnsi="Times New Roman" w:cs="Times New Roman"/>
        </w:rPr>
      </w:pPr>
    </w:p>
    <w:p w:rsidR="00E87454" w:rsidRPr="00B656BB" w:rsidRDefault="00E8374B" w:rsidP="00E87454">
      <w:pPr>
        <w:spacing w:line="360" w:lineRule="auto"/>
        <w:ind w:firstLine="720"/>
        <w:rPr>
          <w:sz w:val="24"/>
          <w:szCs w:val="24"/>
        </w:rPr>
      </w:pPr>
      <w:r>
        <w:rPr>
          <w:sz w:val="24"/>
          <w:szCs w:val="24"/>
        </w:rPr>
        <w:tab/>
      </w:r>
      <w:r w:rsidR="00E87454" w:rsidRPr="00964981">
        <w:rPr>
          <w:sz w:val="24"/>
          <w:szCs w:val="24"/>
        </w:rPr>
        <w:t xml:space="preserve">On </w:t>
      </w:r>
      <w:r w:rsidR="00E87454">
        <w:rPr>
          <w:sz w:val="24"/>
          <w:szCs w:val="24"/>
        </w:rPr>
        <w:t xml:space="preserve">October 30, 2015, </w:t>
      </w:r>
      <w:r w:rsidR="00E87454">
        <w:rPr>
          <w:sz w:val="24"/>
        </w:rPr>
        <w:t xml:space="preserve">Pamela and Stephen </w:t>
      </w:r>
      <w:proofErr w:type="spellStart"/>
      <w:r w:rsidR="00E87454">
        <w:rPr>
          <w:sz w:val="24"/>
        </w:rPr>
        <w:t>Goforth</w:t>
      </w:r>
      <w:proofErr w:type="spellEnd"/>
      <w:r w:rsidR="00E87454">
        <w:rPr>
          <w:sz w:val="24"/>
          <w:szCs w:val="24"/>
        </w:rPr>
        <w:t xml:space="preserve"> (Mr. and Ms. </w:t>
      </w:r>
      <w:proofErr w:type="spellStart"/>
      <w:r w:rsidR="00E87454">
        <w:rPr>
          <w:sz w:val="24"/>
          <w:szCs w:val="24"/>
        </w:rPr>
        <w:t>Goforth</w:t>
      </w:r>
      <w:proofErr w:type="spellEnd"/>
      <w:r w:rsidR="00E87454">
        <w:rPr>
          <w:sz w:val="24"/>
          <w:szCs w:val="24"/>
        </w:rPr>
        <w:t xml:space="preserve"> or Complainants) </w:t>
      </w:r>
      <w:r w:rsidR="00E87454" w:rsidRPr="00964981">
        <w:rPr>
          <w:sz w:val="24"/>
          <w:szCs w:val="24"/>
        </w:rPr>
        <w:t xml:space="preserve">filed a </w:t>
      </w:r>
      <w:r w:rsidR="00E87454">
        <w:rPr>
          <w:sz w:val="24"/>
          <w:szCs w:val="24"/>
        </w:rPr>
        <w:t xml:space="preserve">formal </w:t>
      </w:r>
      <w:r w:rsidR="00E87454" w:rsidRPr="00964981">
        <w:rPr>
          <w:sz w:val="24"/>
          <w:szCs w:val="24"/>
        </w:rPr>
        <w:t xml:space="preserve">complaint against </w:t>
      </w:r>
      <w:r w:rsidR="00E87454">
        <w:rPr>
          <w:sz w:val="24"/>
        </w:rPr>
        <w:t xml:space="preserve">Pennsylvania Electric Company </w:t>
      </w:r>
      <w:r w:rsidR="00E87454">
        <w:rPr>
          <w:sz w:val="24"/>
          <w:szCs w:val="24"/>
        </w:rPr>
        <w:t>(Company or Respondent).  Complainant</w:t>
      </w:r>
      <w:r w:rsidR="00E07AF4">
        <w:rPr>
          <w:sz w:val="24"/>
          <w:szCs w:val="24"/>
        </w:rPr>
        <w:t>s</w:t>
      </w:r>
      <w:r w:rsidR="00E87454">
        <w:rPr>
          <w:sz w:val="24"/>
          <w:szCs w:val="24"/>
        </w:rPr>
        <w:t xml:space="preserve"> alleged Respondent was threatening to shut off their service or had already shut off their service; </w:t>
      </w:r>
      <w:r w:rsidR="005E76F5">
        <w:rPr>
          <w:sz w:val="24"/>
          <w:szCs w:val="24"/>
        </w:rPr>
        <w:t xml:space="preserve">there are </w:t>
      </w:r>
      <w:r w:rsidR="00E87454">
        <w:rPr>
          <w:sz w:val="24"/>
          <w:szCs w:val="24"/>
        </w:rPr>
        <w:t xml:space="preserve">incorrect charges on their bill; and the existence of reliability, and safety or quality problems with their utility service. </w:t>
      </w:r>
      <w:r w:rsidR="00115DA3">
        <w:rPr>
          <w:sz w:val="24"/>
          <w:szCs w:val="24"/>
        </w:rPr>
        <w:t xml:space="preserve"> </w:t>
      </w:r>
      <w:r w:rsidR="00E40DC6">
        <w:rPr>
          <w:sz w:val="24"/>
          <w:szCs w:val="24"/>
        </w:rPr>
        <w:t xml:space="preserve">Complainants also requested a payment arrangement.  </w:t>
      </w:r>
      <w:r w:rsidR="00E87454">
        <w:rPr>
          <w:sz w:val="24"/>
          <w:szCs w:val="24"/>
        </w:rPr>
        <w:t xml:space="preserve">No </w:t>
      </w:r>
      <w:r w:rsidR="00E40DC6">
        <w:rPr>
          <w:sz w:val="24"/>
          <w:szCs w:val="24"/>
        </w:rPr>
        <w:t xml:space="preserve">other </w:t>
      </w:r>
      <w:r w:rsidR="00E87454">
        <w:rPr>
          <w:sz w:val="24"/>
          <w:szCs w:val="24"/>
        </w:rPr>
        <w:t xml:space="preserve">specific relief was requested in the formal complaint.  </w:t>
      </w:r>
      <w:r w:rsidR="00E87454" w:rsidRPr="00B656BB">
        <w:rPr>
          <w:sz w:val="24"/>
          <w:szCs w:val="24"/>
        </w:rPr>
        <w:lastRenderedPageBreak/>
        <w:t xml:space="preserve">Respondent filed an answer and new matter on </w:t>
      </w:r>
      <w:r w:rsidR="00E87454">
        <w:rPr>
          <w:sz w:val="24"/>
          <w:szCs w:val="24"/>
        </w:rPr>
        <w:t xml:space="preserve">November 24, 2015. </w:t>
      </w:r>
      <w:r w:rsidR="00E07AF4">
        <w:rPr>
          <w:sz w:val="24"/>
          <w:szCs w:val="24"/>
        </w:rPr>
        <w:t xml:space="preserve"> </w:t>
      </w:r>
      <w:r w:rsidR="00E87454">
        <w:rPr>
          <w:sz w:val="24"/>
          <w:szCs w:val="24"/>
        </w:rPr>
        <w:t xml:space="preserve">On December 9, 2015, Complainants filed a reply to answer and </w:t>
      </w:r>
      <w:r w:rsidR="00E87454" w:rsidRPr="00B656BB">
        <w:rPr>
          <w:sz w:val="24"/>
          <w:szCs w:val="24"/>
        </w:rPr>
        <w:t>new matter</w:t>
      </w:r>
      <w:r w:rsidR="00E87454">
        <w:rPr>
          <w:sz w:val="24"/>
          <w:szCs w:val="24"/>
        </w:rPr>
        <w:t>.</w:t>
      </w:r>
      <w:r w:rsidR="00E87454" w:rsidRPr="00B656BB">
        <w:rPr>
          <w:sz w:val="24"/>
          <w:szCs w:val="24"/>
        </w:rPr>
        <w:t xml:space="preserve">  </w:t>
      </w:r>
      <w:r w:rsidR="00E07AF4">
        <w:rPr>
          <w:sz w:val="24"/>
          <w:szCs w:val="24"/>
        </w:rPr>
        <w:t xml:space="preserve">The </w:t>
      </w:r>
      <w:r w:rsidR="005E76F5">
        <w:rPr>
          <w:sz w:val="24"/>
          <w:szCs w:val="24"/>
        </w:rPr>
        <w:t xml:space="preserve">reply to </w:t>
      </w:r>
      <w:r w:rsidR="00E07AF4">
        <w:rPr>
          <w:sz w:val="24"/>
          <w:szCs w:val="24"/>
        </w:rPr>
        <w:t>answer and new matter include</w:t>
      </w:r>
      <w:r w:rsidR="00D308D7">
        <w:rPr>
          <w:sz w:val="24"/>
          <w:szCs w:val="24"/>
        </w:rPr>
        <w:t>d</w:t>
      </w:r>
      <w:r w:rsidR="00E07AF4">
        <w:rPr>
          <w:sz w:val="24"/>
          <w:szCs w:val="24"/>
        </w:rPr>
        <w:t xml:space="preserve"> a cover page and consist</w:t>
      </w:r>
      <w:r w:rsidR="00D308D7">
        <w:rPr>
          <w:sz w:val="24"/>
          <w:szCs w:val="24"/>
        </w:rPr>
        <w:t>ed</w:t>
      </w:r>
      <w:r w:rsidR="00E07AF4">
        <w:rPr>
          <w:sz w:val="24"/>
          <w:szCs w:val="24"/>
        </w:rPr>
        <w:t xml:space="preserve"> of a total of 149 pages.</w:t>
      </w:r>
    </w:p>
    <w:p w:rsidR="00E87454" w:rsidRPr="002C3656" w:rsidRDefault="00E87454" w:rsidP="00E87454">
      <w:pPr>
        <w:spacing w:line="360" w:lineRule="auto"/>
        <w:rPr>
          <w:b/>
          <w:sz w:val="24"/>
          <w:szCs w:val="24"/>
        </w:rPr>
      </w:pPr>
    </w:p>
    <w:p w:rsidR="00E87454" w:rsidRPr="0047496B" w:rsidRDefault="00E87454" w:rsidP="00E87454">
      <w:pPr>
        <w:spacing w:line="360" w:lineRule="auto"/>
        <w:rPr>
          <w:sz w:val="24"/>
          <w:szCs w:val="24"/>
        </w:rPr>
      </w:pPr>
      <w:r>
        <w:rPr>
          <w:sz w:val="24"/>
          <w:szCs w:val="24"/>
        </w:rPr>
        <w:tab/>
      </w:r>
      <w:r>
        <w:rPr>
          <w:sz w:val="24"/>
          <w:szCs w:val="24"/>
        </w:rPr>
        <w:tab/>
      </w:r>
      <w:r w:rsidRPr="0047496B">
        <w:rPr>
          <w:sz w:val="24"/>
          <w:szCs w:val="24"/>
        </w:rPr>
        <w:t xml:space="preserve">On </w:t>
      </w:r>
      <w:r>
        <w:rPr>
          <w:sz w:val="24"/>
          <w:szCs w:val="24"/>
        </w:rPr>
        <w:t xml:space="preserve">December 3, 2015, </w:t>
      </w:r>
      <w:r w:rsidRPr="0047496B">
        <w:rPr>
          <w:sz w:val="24"/>
          <w:szCs w:val="24"/>
        </w:rPr>
        <w:t xml:space="preserve">a hearing notice was issued scheduling the initial telephonic hearing for </w:t>
      </w:r>
      <w:r>
        <w:rPr>
          <w:sz w:val="24"/>
          <w:szCs w:val="24"/>
        </w:rPr>
        <w:t xml:space="preserve">Tuesday, January 26, 2016, </w:t>
      </w:r>
      <w:r w:rsidRPr="0047496B">
        <w:rPr>
          <w:sz w:val="24"/>
          <w:szCs w:val="24"/>
        </w:rPr>
        <w:t>at 10:00 a</w:t>
      </w:r>
      <w:r>
        <w:rPr>
          <w:sz w:val="24"/>
          <w:szCs w:val="24"/>
        </w:rPr>
        <w:t>.</w:t>
      </w:r>
      <w:r w:rsidRPr="0047496B">
        <w:rPr>
          <w:sz w:val="24"/>
          <w:szCs w:val="24"/>
        </w:rPr>
        <w:t>m</w:t>
      </w:r>
      <w:r>
        <w:rPr>
          <w:sz w:val="24"/>
          <w:szCs w:val="24"/>
        </w:rPr>
        <w:t>.</w:t>
      </w:r>
      <w:r w:rsidRPr="0047496B">
        <w:rPr>
          <w:sz w:val="24"/>
          <w:szCs w:val="24"/>
        </w:rPr>
        <w:t xml:space="preserve"> in Pittsburgh.  A prehearing order was issued on </w:t>
      </w:r>
      <w:r>
        <w:rPr>
          <w:sz w:val="24"/>
          <w:szCs w:val="24"/>
        </w:rPr>
        <w:t xml:space="preserve">December 8, 2015, </w:t>
      </w:r>
      <w:r w:rsidRPr="0047496B">
        <w:rPr>
          <w:sz w:val="24"/>
          <w:szCs w:val="24"/>
        </w:rPr>
        <w:t>which set forth various requirements for a formal proceeding before the Commission</w:t>
      </w:r>
      <w:r>
        <w:rPr>
          <w:sz w:val="24"/>
          <w:szCs w:val="24"/>
        </w:rPr>
        <w:t xml:space="preserve">, including the process by which to submit proposed exhibits to the opposing party and the undersigned presiding officer prior to the hearing.  </w:t>
      </w:r>
      <w:r w:rsidRPr="0047496B">
        <w:rPr>
          <w:sz w:val="24"/>
          <w:szCs w:val="24"/>
        </w:rPr>
        <w:t xml:space="preserve">  </w:t>
      </w:r>
    </w:p>
    <w:p w:rsidR="00E87454" w:rsidRPr="0047496B" w:rsidRDefault="00E87454" w:rsidP="00E87454">
      <w:pPr>
        <w:spacing w:line="360" w:lineRule="auto"/>
        <w:rPr>
          <w:sz w:val="24"/>
          <w:szCs w:val="24"/>
        </w:rPr>
      </w:pPr>
    </w:p>
    <w:p w:rsidR="00E87454" w:rsidRDefault="00E87454" w:rsidP="00E87454">
      <w:pPr>
        <w:spacing w:line="360" w:lineRule="auto"/>
        <w:rPr>
          <w:sz w:val="24"/>
          <w:szCs w:val="24"/>
        </w:rPr>
      </w:pPr>
      <w:r w:rsidRPr="0047496B">
        <w:rPr>
          <w:sz w:val="24"/>
          <w:szCs w:val="24"/>
        </w:rPr>
        <w:tab/>
      </w:r>
      <w:r w:rsidRPr="0047496B">
        <w:rPr>
          <w:sz w:val="24"/>
          <w:szCs w:val="24"/>
        </w:rPr>
        <w:tab/>
        <w:t xml:space="preserve">On </w:t>
      </w:r>
      <w:r>
        <w:rPr>
          <w:sz w:val="24"/>
          <w:szCs w:val="24"/>
        </w:rPr>
        <w:t xml:space="preserve">January 26, 2016, </w:t>
      </w:r>
      <w:r w:rsidRPr="0047496B">
        <w:rPr>
          <w:sz w:val="24"/>
          <w:szCs w:val="24"/>
        </w:rPr>
        <w:t>the hearing was convened as scheduled.  M</w:t>
      </w:r>
      <w:r>
        <w:rPr>
          <w:sz w:val="24"/>
          <w:szCs w:val="24"/>
        </w:rPr>
        <w:t>r</w:t>
      </w:r>
      <w:r w:rsidRPr="0047496B">
        <w:rPr>
          <w:sz w:val="24"/>
          <w:szCs w:val="24"/>
        </w:rPr>
        <w:t xml:space="preserve">. </w:t>
      </w:r>
      <w:r>
        <w:rPr>
          <w:sz w:val="24"/>
          <w:szCs w:val="24"/>
        </w:rPr>
        <w:t>and Ms. </w:t>
      </w:r>
      <w:proofErr w:type="spellStart"/>
      <w:r>
        <w:rPr>
          <w:sz w:val="24"/>
          <w:szCs w:val="24"/>
        </w:rPr>
        <w:t>Goforth</w:t>
      </w:r>
      <w:proofErr w:type="spellEnd"/>
      <w:r>
        <w:rPr>
          <w:sz w:val="24"/>
          <w:szCs w:val="24"/>
        </w:rPr>
        <w:t xml:space="preserve"> </w:t>
      </w:r>
      <w:r w:rsidRPr="0047496B">
        <w:rPr>
          <w:sz w:val="24"/>
          <w:szCs w:val="24"/>
        </w:rPr>
        <w:t xml:space="preserve">appeared </w:t>
      </w:r>
      <w:r>
        <w:rPr>
          <w:sz w:val="24"/>
          <w:szCs w:val="24"/>
        </w:rPr>
        <w:t>without legal counsel and presented testimony.  Margaret A. Morris, </w:t>
      </w:r>
      <w:r w:rsidRPr="0047496B">
        <w:rPr>
          <w:sz w:val="24"/>
          <w:szCs w:val="24"/>
        </w:rPr>
        <w:t>Esquire, appeared on behalf of Respondent</w:t>
      </w:r>
      <w:r>
        <w:rPr>
          <w:sz w:val="24"/>
          <w:szCs w:val="24"/>
        </w:rPr>
        <w:t xml:space="preserve"> </w:t>
      </w:r>
      <w:r w:rsidRPr="0047496B">
        <w:rPr>
          <w:sz w:val="24"/>
          <w:szCs w:val="24"/>
        </w:rPr>
        <w:t xml:space="preserve">and presented </w:t>
      </w:r>
      <w:r>
        <w:rPr>
          <w:sz w:val="24"/>
          <w:szCs w:val="24"/>
        </w:rPr>
        <w:t xml:space="preserve">testimony from one </w:t>
      </w:r>
      <w:r w:rsidRPr="0047496B">
        <w:rPr>
          <w:sz w:val="24"/>
          <w:szCs w:val="24"/>
        </w:rPr>
        <w:t>witness.</w:t>
      </w:r>
      <w:r w:rsidRPr="0047496B">
        <w:rPr>
          <w:b/>
          <w:sz w:val="24"/>
          <w:szCs w:val="24"/>
        </w:rPr>
        <w:t xml:space="preserve"> </w:t>
      </w:r>
      <w:r>
        <w:rPr>
          <w:b/>
          <w:sz w:val="24"/>
          <w:szCs w:val="24"/>
        </w:rPr>
        <w:t xml:space="preserve"> </w:t>
      </w:r>
      <w:r w:rsidR="00E40DC6" w:rsidRPr="00E40DC6">
        <w:rPr>
          <w:sz w:val="24"/>
          <w:szCs w:val="24"/>
        </w:rPr>
        <w:t>Respondent E</w:t>
      </w:r>
      <w:r w:rsidRPr="0047496B">
        <w:rPr>
          <w:sz w:val="24"/>
          <w:szCs w:val="24"/>
        </w:rPr>
        <w:t xml:space="preserve">xhibits </w:t>
      </w:r>
      <w:r w:rsidR="00E40DC6">
        <w:rPr>
          <w:sz w:val="24"/>
          <w:szCs w:val="24"/>
        </w:rPr>
        <w:t xml:space="preserve">1 and 2 </w:t>
      </w:r>
      <w:r w:rsidRPr="0047496B">
        <w:rPr>
          <w:sz w:val="24"/>
          <w:szCs w:val="24"/>
        </w:rPr>
        <w:t xml:space="preserve">were </w:t>
      </w:r>
      <w:r w:rsidR="00E40DC6">
        <w:rPr>
          <w:sz w:val="24"/>
          <w:szCs w:val="24"/>
        </w:rPr>
        <w:t>offered</w:t>
      </w:r>
      <w:r w:rsidRPr="0047496B">
        <w:rPr>
          <w:sz w:val="24"/>
          <w:szCs w:val="24"/>
        </w:rPr>
        <w:t xml:space="preserve"> by </w:t>
      </w:r>
      <w:r>
        <w:rPr>
          <w:sz w:val="24"/>
          <w:szCs w:val="24"/>
        </w:rPr>
        <w:t>Respondent</w:t>
      </w:r>
      <w:r w:rsidR="00E40DC6">
        <w:rPr>
          <w:sz w:val="24"/>
          <w:szCs w:val="24"/>
        </w:rPr>
        <w:t xml:space="preserve"> and admitted into evidence.  </w:t>
      </w:r>
      <w:r w:rsidR="00E07AF4">
        <w:rPr>
          <w:sz w:val="24"/>
          <w:szCs w:val="24"/>
        </w:rPr>
        <w:t xml:space="preserve">At the hearing, </w:t>
      </w:r>
      <w:r>
        <w:rPr>
          <w:sz w:val="24"/>
          <w:szCs w:val="24"/>
        </w:rPr>
        <w:t xml:space="preserve">Complainants indicated that Attorney Morris </w:t>
      </w:r>
      <w:r w:rsidR="00D308D7">
        <w:rPr>
          <w:sz w:val="24"/>
          <w:szCs w:val="24"/>
        </w:rPr>
        <w:t xml:space="preserve">had previously </w:t>
      </w:r>
      <w:r>
        <w:rPr>
          <w:sz w:val="24"/>
          <w:szCs w:val="24"/>
        </w:rPr>
        <w:t xml:space="preserve">provided Ms. </w:t>
      </w:r>
      <w:proofErr w:type="spellStart"/>
      <w:r>
        <w:rPr>
          <w:sz w:val="24"/>
          <w:szCs w:val="24"/>
        </w:rPr>
        <w:t>Goforth</w:t>
      </w:r>
      <w:proofErr w:type="spellEnd"/>
      <w:r>
        <w:rPr>
          <w:sz w:val="24"/>
          <w:szCs w:val="24"/>
        </w:rPr>
        <w:t xml:space="preserve"> with an email and engaged in a telephone conference regarding the submission of proposed exhibits.  Ms. </w:t>
      </w:r>
      <w:proofErr w:type="spellStart"/>
      <w:r>
        <w:rPr>
          <w:sz w:val="24"/>
          <w:szCs w:val="24"/>
        </w:rPr>
        <w:t>Goforth</w:t>
      </w:r>
      <w:proofErr w:type="spellEnd"/>
      <w:r>
        <w:rPr>
          <w:sz w:val="24"/>
          <w:szCs w:val="24"/>
        </w:rPr>
        <w:t xml:space="preserve"> </w:t>
      </w:r>
      <w:r w:rsidR="00E40DC6">
        <w:rPr>
          <w:sz w:val="24"/>
          <w:szCs w:val="24"/>
        </w:rPr>
        <w:t xml:space="preserve">stated </w:t>
      </w:r>
      <w:r>
        <w:rPr>
          <w:sz w:val="24"/>
          <w:szCs w:val="24"/>
        </w:rPr>
        <w:t>that she provided Attorney Morris with copies of her proposed exhibits</w:t>
      </w:r>
      <w:r w:rsidR="00D308D7">
        <w:rPr>
          <w:sz w:val="24"/>
          <w:szCs w:val="24"/>
        </w:rPr>
        <w:t>,</w:t>
      </w:r>
      <w:r>
        <w:rPr>
          <w:sz w:val="24"/>
          <w:szCs w:val="24"/>
        </w:rPr>
        <w:t xml:space="preserve"> including a copy for the undersigned presiding officer, </w:t>
      </w:r>
      <w:proofErr w:type="gramStart"/>
      <w:r w:rsidR="00E40DC6">
        <w:rPr>
          <w:sz w:val="24"/>
          <w:szCs w:val="24"/>
        </w:rPr>
        <w:t>which</w:t>
      </w:r>
      <w:proofErr w:type="gramEnd"/>
      <w:r w:rsidR="00E40DC6">
        <w:rPr>
          <w:sz w:val="24"/>
          <w:szCs w:val="24"/>
        </w:rPr>
        <w:t xml:space="preserve"> was sent </w:t>
      </w:r>
      <w:r>
        <w:rPr>
          <w:sz w:val="24"/>
          <w:szCs w:val="24"/>
        </w:rPr>
        <w:t>to the Commission’s Secretary.  No proposed exhibits were sent to the undersigned presiding officer</w:t>
      </w:r>
      <w:r w:rsidR="00E07AF4">
        <w:rPr>
          <w:sz w:val="24"/>
          <w:szCs w:val="24"/>
        </w:rPr>
        <w:t xml:space="preserve"> prior to the hearing</w:t>
      </w:r>
      <w:r>
        <w:rPr>
          <w:sz w:val="24"/>
          <w:szCs w:val="24"/>
        </w:rPr>
        <w:t xml:space="preserve">.    </w:t>
      </w:r>
    </w:p>
    <w:p w:rsidR="00871E2F" w:rsidRPr="0047496B" w:rsidRDefault="00871E2F" w:rsidP="00E87454">
      <w:pPr>
        <w:spacing w:line="360" w:lineRule="auto"/>
        <w:rPr>
          <w:sz w:val="24"/>
          <w:szCs w:val="24"/>
        </w:rPr>
      </w:pPr>
    </w:p>
    <w:p w:rsidR="00E87454" w:rsidRDefault="00E87454" w:rsidP="00E87454">
      <w:pPr>
        <w:spacing w:line="360" w:lineRule="auto"/>
        <w:rPr>
          <w:sz w:val="24"/>
          <w:szCs w:val="24"/>
        </w:rPr>
      </w:pPr>
      <w:r w:rsidRPr="0047496B">
        <w:rPr>
          <w:sz w:val="24"/>
          <w:szCs w:val="24"/>
        </w:rPr>
        <w:tab/>
      </w:r>
      <w:r w:rsidRPr="0047496B">
        <w:rPr>
          <w:sz w:val="24"/>
          <w:szCs w:val="24"/>
        </w:rPr>
        <w:tab/>
      </w:r>
      <w:r>
        <w:rPr>
          <w:sz w:val="24"/>
          <w:szCs w:val="24"/>
        </w:rPr>
        <w:t xml:space="preserve">During the hearing, Respondent made a request to submit late-filed exhibits, consisting of the proposed exhibits that Ms. </w:t>
      </w:r>
      <w:proofErr w:type="spellStart"/>
      <w:r>
        <w:rPr>
          <w:sz w:val="24"/>
          <w:szCs w:val="24"/>
        </w:rPr>
        <w:t>Goforth</w:t>
      </w:r>
      <w:proofErr w:type="spellEnd"/>
      <w:r>
        <w:rPr>
          <w:sz w:val="24"/>
          <w:szCs w:val="24"/>
        </w:rPr>
        <w:t xml:space="preserve"> </w:t>
      </w:r>
      <w:r w:rsidR="00E40DC6">
        <w:rPr>
          <w:sz w:val="24"/>
          <w:szCs w:val="24"/>
        </w:rPr>
        <w:t>stated</w:t>
      </w:r>
      <w:r>
        <w:rPr>
          <w:sz w:val="24"/>
          <w:szCs w:val="24"/>
        </w:rPr>
        <w:t xml:space="preserve"> she sent to Attorney Morris by email on or about January 19, 2016 and to the Commission’s Secretary by mail on or about January 20, 2016.  In addition, Ms. </w:t>
      </w:r>
      <w:proofErr w:type="spellStart"/>
      <w:r>
        <w:rPr>
          <w:sz w:val="24"/>
          <w:szCs w:val="24"/>
        </w:rPr>
        <w:t>Goforth</w:t>
      </w:r>
      <w:proofErr w:type="spellEnd"/>
      <w:r>
        <w:rPr>
          <w:sz w:val="24"/>
          <w:szCs w:val="24"/>
        </w:rPr>
        <w:t xml:space="preserve"> identified a letter that she received from Pennsylvania Electric Company which was on Respondent’s letterhead</w:t>
      </w:r>
      <w:r w:rsidR="00E07AF4">
        <w:rPr>
          <w:sz w:val="24"/>
          <w:szCs w:val="24"/>
        </w:rPr>
        <w:t xml:space="preserve">.  </w:t>
      </w:r>
      <w:r>
        <w:rPr>
          <w:sz w:val="24"/>
          <w:szCs w:val="24"/>
        </w:rPr>
        <w:t xml:space="preserve">Ms. </w:t>
      </w:r>
      <w:proofErr w:type="spellStart"/>
      <w:r>
        <w:rPr>
          <w:sz w:val="24"/>
          <w:szCs w:val="24"/>
        </w:rPr>
        <w:t>Goforth</w:t>
      </w:r>
      <w:proofErr w:type="spellEnd"/>
      <w:r>
        <w:rPr>
          <w:sz w:val="24"/>
          <w:szCs w:val="24"/>
        </w:rPr>
        <w:t xml:space="preserve"> indicated an interest in having that letter admitted into evidence but was unable to locate the letter at the time of the hearing.  The undersigned presiding officer advised the parties that a ruling would be made on the request by Complainants after reviewing the transcript of the hearing in this proceeding.  The transcript</w:t>
      </w:r>
      <w:r w:rsidR="00E40DC6">
        <w:rPr>
          <w:sz w:val="24"/>
          <w:szCs w:val="24"/>
        </w:rPr>
        <w:t>, consist</w:t>
      </w:r>
      <w:r w:rsidR="00F25755">
        <w:rPr>
          <w:sz w:val="24"/>
          <w:szCs w:val="24"/>
        </w:rPr>
        <w:t>ing</w:t>
      </w:r>
      <w:r w:rsidR="00E40DC6">
        <w:rPr>
          <w:sz w:val="24"/>
          <w:szCs w:val="24"/>
        </w:rPr>
        <w:t xml:space="preserve"> of 185 pages, </w:t>
      </w:r>
      <w:r>
        <w:rPr>
          <w:sz w:val="24"/>
          <w:szCs w:val="24"/>
        </w:rPr>
        <w:t>was received and reviewed by the undersigned presiding officer subsequent to the hearing in this matter.</w:t>
      </w:r>
    </w:p>
    <w:p w:rsidR="00E87454" w:rsidRDefault="00E87454" w:rsidP="00E87454">
      <w:pPr>
        <w:tabs>
          <w:tab w:val="left" w:pos="2160"/>
        </w:tabs>
        <w:spacing w:line="360" w:lineRule="auto"/>
        <w:ind w:firstLine="1440"/>
        <w:rPr>
          <w:bCs/>
          <w:spacing w:val="-3"/>
          <w:sz w:val="24"/>
          <w:szCs w:val="24"/>
        </w:rPr>
      </w:pPr>
      <w:r>
        <w:rPr>
          <w:sz w:val="24"/>
          <w:szCs w:val="24"/>
        </w:rPr>
        <w:lastRenderedPageBreak/>
        <w:t xml:space="preserve">On </w:t>
      </w:r>
      <w:r w:rsidRPr="000E215B">
        <w:rPr>
          <w:sz w:val="24"/>
          <w:szCs w:val="24"/>
        </w:rPr>
        <w:t>May 2, 2016</w:t>
      </w:r>
      <w:r>
        <w:rPr>
          <w:sz w:val="24"/>
          <w:szCs w:val="24"/>
        </w:rPr>
        <w:t xml:space="preserve">, an interim order was entered permitting </w:t>
      </w:r>
      <w:r>
        <w:rPr>
          <w:bCs/>
          <w:spacing w:val="-3"/>
          <w:sz w:val="24"/>
          <w:szCs w:val="24"/>
        </w:rPr>
        <w:t xml:space="preserve">Complainants to submit late-filed exhibits consisting of </w:t>
      </w:r>
      <w:r>
        <w:rPr>
          <w:sz w:val="24"/>
          <w:szCs w:val="24"/>
        </w:rPr>
        <w:t xml:space="preserve">the proposed exhibits that Ms. </w:t>
      </w:r>
      <w:proofErr w:type="spellStart"/>
      <w:r>
        <w:rPr>
          <w:sz w:val="24"/>
          <w:szCs w:val="24"/>
        </w:rPr>
        <w:t>Goforth</w:t>
      </w:r>
      <w:proofErr w:type="spellEnd"/>
      <w:r>
        <w:rPr>
          <w:sz w:val="24"/>
          <w:szCs w:val="24"/>
        </w:rPr>
        <w:t xml:space="preserve"> indicated that she sent to Attorney Morris by email on or about January 19, 2016 and a copy of the letter identified by Ms.</w:t>
      </w:r>
      <w:r w:rsidR="00D52632">
        <w:rPr>
          <w:sz w:val="24"/>
          <w:szCs w:val="24"/>
        </w:rPr>
        <w:t> </w:t>
      </w:r>
      <w:proofErr w:type="spellStart"/>
      <w:r>
        <w:rPr>
          <w:sz w:val="24"/>
          <w:szCs w:val="24"/>
        </w:rPr>
        <w:t>Goforth</w:t>
      </w:r>
      <w:proofErr w:type="spellEnd"/>
      <w:r>
        <w:rPr>
          <w:sz w:val="24"/>
          <w:szCs w:val="24"/>
        </w:rPr>
        <w:t xml:space="preserve"> which she alleged to have received from Pennsylvania Electric Company</w:t>
      </w:r>
      <w:r w:rsidR="00E07AF4">
        <w:rPr>
          <w:sz w:val="24"/>
          <w:szCs w:val="24"/>
        </w:rPr>
        <w:t>,</w:t>
      </w:r>
      <w:r>
        <w:rPr>
          <w:sz w:val="24"/>
          <w:szCs w:val="24"/>
        </w:rPr>
        <w:t xml:space="preserve"> </w:t>
      </w:r>
      <w:r>
        <w:rPr>
          <w:bCs/>
          <w:spacing w:val="-3"/>
          <w:sz w:val="24"/>
          <w:szCs w:val="24"/>
        </w:rPr>
        <w:t>on or before May 20, 2016</w:t>
      </w:r>
      <w:r w:rsidRPr="00942BE4">
        <w:rPr>
          <w:bCs/>
          <w:spacing w:val="-3"/>
          <w:sz w:val="24"/>
          <w:szCs w:val="24"/>
        </w:rPr>
        <w:t xml:space="preserve">. </w:t>
      </w:r>
      <w:r w:rsidR="00115DA3">
        <w:rPr>
          <w:bCs/>
          <w:spacing w:val="-3"/>
          <w:sz w:val="24"/>
          <w:szCs w:val="24"/>
        </w:rPr>
        <w:t xml:space="preserve"> </w:t>
      </w:r>
      <w:r>
        <w:rPr>
          <w:bCs/>
          <w:spacing w:val="-3"/>
          <w:sz w:val="24"/>
          <w:szCs w:val="24"/>
        </w:rPr>
        <w:t>A</w:t>
      </w:r>
      <w:r w:rsidRPr="00942BE4">
        <w:rPr>
          <w:sz w:val="24"/>
          <w:szCs w:val="24"/>
        </w:rPr>
        <w:t xml:space="preserve">ny </w:t>
      </w:r>
      <w:r w:rsidRPr="00942BE4">
        <w:rPr>
          <w:bCs/>
          <w:spacing w:val="-3"/>
          <w:sz w:val="24"/>
          <w:szCs w:val="24"/>
        </w:rPr>
        <w:t xml:space="preserve">objections </w:t>
      </w:r>
      <w:r>
        <w:rPr>
          <w:bCs/>
          <w:spacing w:val="-3"/>
          <w:sz w:val="24"/>
          <w:szCs w:val="24"/>
        </w:rPr>
        <w:t xml:space="preserve">to any </w:t>
      </w:r>
      <w:r w:rsidRPr="00942BE4">
        <w:rPr>
          <w:bCs/>
          <w:spacing w:val="-3"/>
          <w:sz w:val="24"/>
          <w:szCs w:val="24"/>
        </w:rPr>
        <w:t>late</w:t>
      </w:r>
      <w:r>
        <w:rPr>
          <w:bCs/>
          <w:spacing w:val="-3"/>
          <w:sz w:val="24"/>
          <w:szCs w:val="24"/>
        </w:rPr>
        <w:t>-</w:t>
      </w:r>
      <w:r w:rsidRPr="00942BE4">
        <w:rPr>
          <w:bCs/>
          <w:spacing w:val="-3"/>
          <w:sz w:val="24"/>
          <w:szCs w:val="24"/>
        </w:rPr>
        <w:t>filed exhibits</w:t>
      </w:r>
      <w:r>
        <w:rPr>
          <w:bCs/>
          <w:spacing w:val="-3"/>
          <w:sz w:val="24"/>
          <w:szCs w:val="24"/>
        </w:rPr>
        <w:t xml:space="preserve"> were to be </w:t>
      </w:r>
      <w:r w:rsidRPr="00942BE4">
        <w:rPr>
          <w:bCs/>
          <w:spacing w:val="-3"/>
          <w:sz w:val="24"/>
          <w:szCs w:val="24"/>
        </w:rPr>
        <w:t xml:space="preserve">filed </w:t>
      </w:r>
      <w:r>
        <w:rPr>
          <w:bCs/>
          <w:spacing w:val="-3"/>
          <w:sz w:val="24"/>
          <w:szCs w:val="24"/>
        </w:rPr>
        <w:t>on or before May 30, 2016</w:t>
      </w:r>
      <w:r w:rsidRPr="00942BE4">
        <w:rPr>
          <w:bCs/>
          <w:spacing w:val="-3"/>
          <w:sz w:val="24"/>
          <w:szCs w:val="24"/>
        </w:rPr>
        <w:t xml:space="preserve">. </w:t>
      </w:r>
      <w:r>
        <w:rPr>
          <w:bCs/>
          <w:spacing w:val="-3"/>
          <w:sz w:val="24"/>
          <w:szCs w:val="24"/>
        </w:rPr>
        <w:t xml:space="preserve">  On May 20, 2016, proposed late-filed exhibits were received by the Office of Administrative Law Judge in Harrisburg, Pennsylvania.  The proposed late-filed exhibits were forwarded to the undersigned presiding officer and received on May 25, 2016.  The late-filed exhibits were marked by the undersigned presiding officer and are identified as follows:</w:t>
      </w:r>
    </w:p>
    <w:p w:rsidR="00BD6E27" w:rsidRDefault="00BD6E27" w:rsidP="00BD6E27">
      <w:pPr>
        <w:tabs>
          <w:tab w:val="left" w:pos="2160"/>
        </w:tabs>
        <w:ind w:firstLine="1440"/>
        <w:rPr>
          <w:bCs/>
          <w:spacing w:val="-3"/>
          <w:sz w:val="24"/>
          <w:szCs w:val="24"/>
        </w:rPr>
      </w:pPr>
    </w:p>
    <w:p w:rsidR="00E87454" w:rsidRDefault="00E87454" w:rsidP="00CD0E8A">
      <w:pPr>
        <w:pStyle w:val="ListParagraph"/>
        <w:numPr>
          <w:ilvl w:val="0"/>
          <w:numId w:val="16"/>
        </w:numPr>
        <w:tabs>
          <w:tab w:val="left" w:pos="2160"/>
        </w:tabs>
        <w:rPr>
          <w:bCs/>
          <w:spacing w:val="-3"/>
          <w:sz w:val="24"/>
          <w:szCs w:val="24"/>
        </w:rPr>
      </w:pPr>
      <w:r>
        <w:rPr>
          <w:bCs/>
          <w:spacing w:val="-3"/>
          <w:sz w:val="24"/>
          <w:szCs w:val="24"/>
        </w:rPr>
        <w:t>1</w:t>
      </w:r>
      <w:r w:rsidR="00CD0E8A">
        <w:rPr>
          <w:bCs/>
          <w:spacing w:val="-3"/>
          <w:sz w:val="24"/>
          <w:szCs w:val="24"/>
        </w:rPr>
        <w:t>-</w:t>
      </w:r>
      <w:r w:rsidRPr="00B2252A">
        <w:rPr>
          <w:bCs/>
          <w:spacing w:val="-3"/>
          <w:sz w:val="24"/>
          <w:szCs w:val="24"/>
        </w:rPr>
        <w:t xml:space="preserve">page correspondence from Rosemary Chiavetta, Secretary to Pamela </w:t>
      </w:r>
      <w:proofErr w:type="spellStart"/>
      <w:r w:rsidRPr="00B2252A">
        <w:rPr>
          <w:bCs/>
          <w:spacing w:val="-3"/>
          <w:sz w:val="24"/>
          <w:szCs w:val="24"/>
        </w:rPr>
        <w:t>Goforth</w:t>
      </w:r>
      <w:proofErr w:type="spellEnd"/>
      <w:r w:rsidRPr="00B2252A">
        <w:rPr>
          <w:bCs/>
          <w:spacing w:val="-3"/>
          <w:sz w:val="24"/>
          <w:szCs w:val="24"/>
        </w:rPr>
        <w:t xml:space="preserve"> dated January 27, 2016.</w:t>
      </w:r>
    </w:p>
    <w:p w:rsidR="00CD0E8A" w:rsidRPr="00B2252A" w:rsidRDefault="00CD0E8A" w:rsidP="00CD0E8A">
      <w:pPr>
        <w:pStyle w:val="ListParagraph"/>
        <w:tabs>
          <w:tab w:val="left" w:pos="2160"/>
        </w:tabs>
        <w:ind w:left="1800"/>
        <w:rPr>
          <w:bCs/>
          <w:spacing w:val="-3"/>
          <w:sz w:val="24"/>
          <w:szCs w:val="24"/>
        </w:rPr>
      </w:pPr>
    </w:p>
    <w:p w:rsidR="00E87454" w:rsidRDefault="00E87454" w:rsidP="00CD0E8A">
      <w:pPr>
        <w:pStyle w:val="ListParagraph"/>
        <w:numPr>
          <w:ilvl w:val="0"/>
          <w:numId w:val="16"/>
        </w:numPr>
        <w:tabs>
          <w:tab w:val="left" w:pos="2160"/>
        </w:tabs>
        <w:rPr>
          <w:bCs/>
          <w:spacing w:val="-3"/>
          <w:sz w:val="24"/>
          <w:szCs w:val="24"/>
        </w:rPr>
      </w:pPr>
      <w:r>
        <w:rPr>
          <w:bCs/>
          <w:spacing w:val="-3"/>
          <w:sz w:val="24"/>
          <w:szCs w:val="24"/>
        </w:rPr>
        <w:t>17</w:t>
      </w:r>
      <w:r w:rsidR="00CD0E8A">
        <w:rPr>
          <w:bCs/>
          <w:spacing w:val="-3"/>
          <w:sz w:val="24"/>
          <w:szCs w:val="24"/>
        </w:rPr>
        <w:t>-</w:t>
      </w:r>
      <w:r>
        <w:rPr>
          <w:bCs/>
          <w:spacing w:val="-3"/>
          <w:sz w:val="24"/>
          <w:szCs w:val="24"/>
        </w:rPr>
        <w:t>page document which purports to be a letter to Representative Glenn Thompson &amp; PUC JUDGE which is designated as having been originally received by the Commission Secretary’s Bureau on January 20, 2016.</w:t>
      </w:r>
    </w:p>
    <w:p w:rsidR="00CD0E8A" w:rsidRDefault="00CD0E8A" w:rsidP="00CD0E8A">
      <w:pPr>
        <w:pStyle w:val="ListParagraph"/>
        <w:tabs>
          <w:tab w:val="left" w:pos="2160"/>
        </w:tabs>
        <w:ind w:left="1800"/>
        <w:rPr>
          <w:bCs/>
          <w:spacing w:val="-3"/>
          <w:sz w:val="24"/>
          <w:szCs w:val="24"/>
        </w:rPr>
      </w:pPr>
    </w:p>
    <w:p w:rsidR="00E87454" w:rsidRDefault="00E87454" w:rsidP="00CD0E8A">
      <w:pPr>
        <w:pStyle w:val="ListParagraph"/>
        <w:numPr>
          <w:ilvl w:val="0"/>
          <w:numId w:val="16"/>
        </w:numPr>
        <w:tabs>
          <w:tab w:val="left" w:pos="2160"/>
        </w:tabs>
        <w:rPr>
          <w:bCs/>
          <w:spacing w:val="-3"/>
          <w:sz w:val="24"/>
          <w:szCs w:val="24"/>
        </w:rPr>
      </w:pPr>
      <w:r>
        <w:rPr>
          <w:bCs/>
          <w:spacing w:val="-3"/>
          <w:sz w:val="24"/>
          <w:szCs w:val="24"/>
        </w:rPr>
        <w:t>16</w:t>
      </w:r>
      <w:r w:rsidR="00CD0E8A">
        <w:rPr>
          <w:bCs/>
          <w:spacing w:val="-3"/>
          <w:sz w:val="24"/>
          <w:szCs w:val="24"/>
        </w:rPr>
        <w:t>-</w:t>
      </w:r>
      <w:r>
        <w:rPr>
          <w:bCs/>
          <w:spacing w:val="-3"/>
          <w:sz w:val="24"/>
          <w:szCs w:val="24"/>
        </w:rPr>
        <w:t xml:space="preserve">page document which purports to be a letter to Representative Glenn Thompson &amp; PUC JUDGE which is designated as having been originally received by the Commission Secretary’s Bureau on January 20, 2016, and which indicates it was forwarded to </w:t>
      </w:r>
      <w:proofErr w:type="spellStart"/>
      <w:r>
        <w:rPr>
          <w:bCs/>
          <w:spacing w:val="-3"/>
          <w:sz w:val="24"/>
          <w:szCs w:val="24"/>
        </w:rPr>
        <w:t>Margette</w:t>
      </w:r>
      <w:proofErr w:type="spellEnd"/>
      <w:r>
        <w:rPr>
          <w:bCs/>
          <w:spacing w:val="-3"/>
          <w:sz w:val="24"/>
          <w:szCs w:val="24"/>
        </w:rPr>
        <w:t xml:space="preserve"> Morris, Esq., as a “Hearing Exhibit” January 19, 2016.</w:t>
      </w:r>
    </w:p>
    <w:p w:rsidR="00CD0E8A" w:rsidRDefault="00CD0E8A" w:rsidP="00CD0E8A">
      <w:pPr>
        <w:pStyle w:val="ListParagraph"/>
        <w:tabs>
          <w:tab w:val="left" w:pos="2160"/>
        </w:tabs>
        <w:ind w:left="1800"/>
        <w:rPr>
          <w:bCs/>
          <w:spacing w:val="-3"/>
          <w:sz w:val="24"/>
          <w:szCs w:val="24"/>
        </w:rPr>
      </w:pPr>
    </w:p>
    <w:p w:rsidR="00E87454" w:rsidRDefault="00E87454" w:rsidP="00CD0E8A">
      <w:pPr>
        <w:pStyle w:val="ListParagraph"/>
        <w:numPr>
          <w:ilvl w:val="0"/>
          <w:numId w:val="16"/>
        </w:numPr>
        <w:tabs>
          <w:tab w:val="left" w:pos="2160"/>
        </w:tabs>
        <w:rPr>
          <w:bCs/>
          <w:spacing w:val="-3"/>
          <w:sz w:val="24"/>
          <w:szCs w:val="24"/>
        </w:rPr>
      </w:pPr>
      <w:r>
        <w:rPr>
          <w:bCs/>
          <w:spacing w:val="-3"/>
          <w:sz w:val="24"/>
          <w:szCs w:val="24"/>
        </w:rPr>
        <w:t>18</w:t>
      </w:r>
      <w:r w:rsidR="00CD0E8A">
        <w:rPr>
          <w:bCs/>
          <w:spacing w:val="-3"/>
          <w:sz w:val="24"/>
          <w:szCs w:val="24"/>
        </w:rPr>
        <w:t>-</w:t>
      </w:r>
      <w:r>
        <w:rPr>
          <w:bCs/>
          <w:spacing w:val="-3"/>
          <w:sz w:val="24"/>
          <w:szCs w:val="24"/>
        </w:rPr>
        <w:t xml:space="preserve">page document entitled </w:t>
      </w:r>
      <w:proofErr w:type="spellStart"/>
      <w:r>
        <w:rPr>
          <w:bCs/>
          <w:spacing w:val="-3"/>
          <w:sz w:val="24"/>
          <w:szCs w:val="24"/>
        </w:rPr>
        <w:t>Goforth</w:t>
      </w:r>
      <w:proofErr w:type="spellEnd"/>
      <w:r>
        <w:rPr>
          <w:bCs/>
          <w:spacing w:val="-3"/>
          <w:sz w:val="24"/>
          <w:szCs w:val="24"/>
        </w:rPr>
        <w:t xml:space="preserve"> v PEC v </w:t>
      </w:r>
      <w:proofErr w:type="gramStart"/>
      <w:r>
        <w:rPr>
          <w:bCs/>
          <w:spacing w:val="-3"/>
          <w:sz w:val="24"/>
          <w:szCs w:val="24"/>
        </w:rPr>
        <w:t>PUC  Docket</w:t>
      </w:r>
      <w:proofErr w:type="gramEnd"/>
      <w:r>
        <w:rPr>
          <w:bCs/>
          <w:spacing w:val="-3"/>
          <w:sz w:val="24"/>
          <w:szCs w:val="24"/>
        </w:rPr>
        <w:t xml:space="preserve"> No C-2015-2511725  Exhibit Hearing Judge.</w:t>
      </w:r>
    </w:p>
    <w:p w:rsidR="00CD0E8A" w:rsidRDefault="00CD0E8A" w:rsidP="00CD0E8A">
      <w:pPr>
        <w:pStyle w:val="ListParagraph"/>
        <w:tabs>
          <w:tab w:val="left" w:pos="2160"/>
        </w:tabs>
        <w:ind w:left="1800"/>
        <w:rPr>
          <w:bCs/>
          <w:spacing w:val="-3"/>
          <w:sz w:val="24"/>
          <w:szCs w:val="24"/>
        </w:rPr>
      </w:pPr>
    </w:p>
    <w:p w:rsidR="00E87454" w:rsidRDefault="00E87454" w:rsidP="00CD0E8A">
      <w:pPr>
        <w:pStyle w:val="ListParagraph"/>
        <w:numPr>
          <w:ilvl w:val="0"/>
          <w:numId w:val="16"/>
        </w:numPr>
        <w:tabs>
          <w:tab w:val="left" w:pos="2160"/>
        </w:tabs>
        <w:rPr>
          <w:bCs/>
          <w:spacing w:val="-3"/>
          <w:sz w:val="24"/>
          <w:szCs w:val="24"/>
        </w:rPr>
      </w:pPr>
      <w:r>
        <w:rPr>
          <w:bCs/>
          <w:spacing w:val="-3"/>
          <w:sz w:val="24"/>
          <w:szCs w:val="24"/>
        </w:rPr>
        <w:t>19</w:t>
      </w:r>
      <w:r w:rsidR="00CD0E8A">
        <w:rPr>
          <w:bCs/>
          <w:spacing w:val="-3"/>
          <w:sz w:val="24"/>
          <w:szCs w:val="24"/>
        </w:rPr>
        <w:t>-</w:t>
      </w:r>
      <w:r>
        <w:rPr>
          <w:bCs/>
          <w:spacing w:val="-3"/>
          <w:sz w:val="24"/>
          <w:szCs w:val="24"/>
        </w:rPr>
        <w:t xml:space="preserve">page document entitled </w:t>
      </w:r>
      <w:proofErr w:type="spellStart"/>
      <w:r>
        <w:rPr>
          <w:bCs/>
          <w:spacing w:val="-3"/>
          <w:sz w:val="24"/>
          <w:szCs w:val="24"/>
        </w:rPr>
        <w:t>Goforth</w:t>
      </w:r>
      <w:proofErr w:type="spellEnd"/>
      <w:r>
        <w:rPr>
          <w:bCs/>
          <w:spacing w:val="-3"/>
          <w:sz w:val="24"/>
          <w:szCs w:val="24"/>
        </w:rPr>
        <w:t xml:space="preserve"> v PEC v </w:t>
      </w:r>
      <w:proofErr w:type="gramStart"/>
      <w:r>
        <w:rPr>
          <w:bCs/>
          <w:spacing w:val="-3"/>
          <w:sz w:val="24"/>
          <w:szCs w:val="24"/>
        </w:rPr>
        <w:t>PUC  Docket</w:t>
      </w:r>
      <w:proofErr w:type="gramEnd"/>
      <w:r>
        <w:rPr>
          <w:bCs/>
          <w:spacing w:val="-3"/>
          <w:sz w:val="24"/>
          <w:szCs w:val="24"/>
        </w:rPr>
        <w:t xml:space="preserve"> No C-2015-2511725  Exhibit Hearing Judge, which is designated as having been originally received by the Commission Secretary’s Bureau on January 20, 2016.</w:t>
      </w:r>
    </w:p>
    <w:p w:rsidR="00CD0E8A" w:rsidRDefault="00CD0E8A" w:rsidP="00CD0E8A">
      <w:pPr>
        <w:pStyle w:val="ListParagraph"/>
        <w:tabs>
          <w:tab w:val="left" w:pos="2160"/>
        </w:tabs>
        <w:ind w:left="1800"/>
        <w:rPr>
          <w:bCs/>
          <w:spacing w:val="-3"/>
          <w:sz w:val="24"/>
          <w:szCs w:val="24"/>
        </w:rPr>
      </w:pPr>
    </w:p>
    <w:p w:rsidR="00E87454" w:rsidRDefault="00E87454" w:rsidP="00CD0E8A">
      <w:pPr>
        <w:pStyle w:val="ListParagraph"/>
        <w:numPr>
          <w:ilvl w:val="0"/>
          <w:numId w:val="16"/>
        </w:numPr>
        <w:tabs>
          <w:tab w:val="left" w:pos="2160"/>
        </w:tabs>
        <w:rPr>
          <w:bCs/>
          <w:spacing w:val="-3"/>
          <w:sz w:val="24"/>
          <w:szCs w:val="24"/>
        </w:rPr>
      </w:pPr>
      <w:r>
        <w:rPr>
          <w:bCs/>
          <w:spacing w:val="-3"/>
          <w:sz w:val="24"/>
          <w:szCs w:val="24"/>
        </w:rPr>
        <w:t>18</w:t>
      </w:r>
      <w:r w:rsidR="00CD0E8A">
        <w:rPr>
          <w:bCs/>
          <w:spacing w:val="-3"/>
          <w:sz w:val="24"/>
          <w:szCs w:val="24"/>
        </w:rPr>
        <w:t>-</w:t>
      </w:r>
      <w:r>
        <w:rPr>
          <w:bCs/>
          <w:spacing w:val="-3"/>
          <w:sz w:val="24"/>
          <w:szCs w:val="24"/>
        </w:rPr>
        <w:t>page document ent</w:t>
      </w:r>
      <w:r w:rsidR="00115DA3">
        <w:rPr>
          <w:bCs/>
          <w:spacing w:val="-3"/>
          <w:sz w:val="24"/>
          <w:szCs w:val="24"/>
        </w:rPr>
        <w:t xml:space="preserve">itled Docket No C-2015-2511725 </w:t>
      </w:r>
      <w:r>
        <w:rPr>
          <w:bCs/>
          <w:spacing w:val="-3"/>
          <w:sz w:val="24"/>
          <w:szCs w:val="24"/>
        </w:rPr>
        <w:t xml:space="preserve">Exhibit Hearing Judge </w:t>
      </w:r>
      <w:proofErr w:type="spellStart"/>
      <w:r>
        <w:rPr>
          <w:bCs/>
          <w:spacing w:val="-3"/>
          <w:sz w:val="24"/>
          <w:szCs w:val="24"/>
        </w:rPr>
        <w:t>Goforth</w:t>
      </w:r>
      <w:proofErr w:type="spellEnd"/>
      <w:r>
        <w:rPr>
          <w:bCs/>
          <w:spacing w:val="-3"/>
          <w:sz w:val="24"/>
          <w:szCs w:val="24"/>
        </w:rPr>
        <w:t xml:space="preserve"> v PEC v PUC.</w:t>
      </w:r>
    </w:p>
    <w:p w:rsidR="00E87454" w:rsidRPr="00FA1833" w:rsidRDefault="00E87454" w:rsidP="00E87454">
      <w:pPr>
        <w:tabs>
          <w:tab w:val="left" w:pos="2160"/>
        </w:tabs>
        <w:spacing w:line="360" w:lineRule="auto"/>
        <w:rPr>
          <w:bCs/>
          <w:spacing w:val="-3"/>
          <w:sz w:val="24"/>
          <w:szCs w:val="24"/>
        </w:rPr>
      </w:pPr>
      <w:r>
        <w:rPr>
          <w:bCs/>
          <w:spacing w:val="-3"/>
          <w:sz w:val="24"/>
          <w:szCs w:val="24"/>
        </w:rPr>
        <w:tab/>
      </w:r>
    </w:p>
    <w:p w:rsidR="00E87454" w:rsidRDefault="00E87454" w:rsidP="00E87454">
      <w:pPr>
        <w:tabs>
          <w:tab w:val="left" w:pos="2160"/>
        </w:tabs>
        <w:spacing w:line="360" w:lineRule="auto"/>
        <w:ind w:firstLine="1440"/>
        <w:rPr>
          <w:sz w:val="24"/>
          <w:szCs w:val="24"/>
        </w:rPr>
      </w:pPr>
      <w:r>
        <w:rPr>
          <w:sz w:val="24"/>
          <w:szCs w:val="24"/>
        </w:rPr>
        <w:t xml:space="preserve">The </w:t>
      </w:r>
      <w:r w:rsidRPr="000E215B">
        <w:rPr>
          <w:sz w:val="24"/>
          <w:szCs w:val="24"/>
        </w:rPr>
        <w:t>May 2, 2016</w:t>
      </w:r>
      <w:r>
        <w:rPr>
          <w:sz w:val="24"/>
          <w:szCs w:val="24"/>
        </w:rPr>
        <w:t xml:space="preserve"> interim order permitt</w:t>
      </w:r>
      <w:r w:rsidR="00E07AF4">
        <w:rPr>
          <w:sz w:val="24"/>
          <w:szCs w:val="24"/>
        </w:rPr>
        <w:t>ed</w:t>
      </w:r>
      <w:r>
        <w:rPr>
          <w:sz w:val="24"/>
          <w:szCs w:val="24"/>
        </w:rPr>
        <w:t xml:space="preserve"> </w:t>
      </w:r>
      <w:r>
        <w:rPr>
          <w:bCs/>
          <w:spacing w:val="-3"/>
          <w:sz w:val="24"/>
          <w:szCs w:val="24"/>
        </w:rPr>
        <w:t xml:space="preserve">Complainants to submit late-filed exhibits consisting of </w:t>
      </w:r>
      <w:r>
        <w:rPr>
          <w:sz w:val="24"/>
          <w:szCs w:val="24"/>
        </w:rPr>
        <w:t xml:space="preserve">the proposed exhibits that Ms. </w:t>
      </w:r>
      <w:proofErr w:type="spellStart"/>
      <w:r>
        <w:rPr>
          <w:sz w:val="24"/>
          <w:szCs w:val="24"/>
        </w:rPr>
        <w:t>Goforth</w:t>
      </w:r>
      <w:proofErr w:type="spellEnd"/>
      <w:r>
        <w:rPr>
          <w:sz w:val="24"/>
          <w:szCs w:val="24"/>
        </w:rPr>
        <w:t xml:space="preserve"> indicated that she sent to Attorney</w:t>
      </w:r>
      <w:r w:rsidR="00115DA3">
        <w:rPr>
          <w:sz w:val="24"/>
          <w:szCs w:val="24"/>
        </w:rPr>
        <w:t> </w:t>
      </w:r>
      <w:r>
        <w:rPr>
          <w:sz w:val="24"/>
          <w:szCs w:val="24"/>
        </w:rPr>
        <w:t>Morris by email on or about January 19, 2016 and a copy of the letter identified by Ms.</w:t>
      </w:r>
      <w:r w:rsidR="00115DA3">
        <w:rPr>
          <w:sz w:val="24"/>
          <w:szCs w:val="24"/>
        </w:rPr>
        <w:t> </w:t>
      </w:r>
      <w:proofErr w:type="spellStart"/>
      <w:r>
        <w:rPr>
          <w:sz w:val="24"/>
          <w:szCs w:val="24"/>
        </w:rPr>
        <w:t>Goforth</w:t>
      </w:r>
      <w:proofErr w:type="spellEnd"/>
      <w:r>
        <w:rPr>
          <w:sz w:val="24"/>
          <w:szCs w:val="24"/>
        </w:rPr>
        <w:t xml:space="preserve">  which she alleged to have received from Pennsylvania Electric Company</w:t>
      </w:r>
      <w:r w:rsidR="00E07AF4">
        <w:rPr>
          <w:sz w:val="24"/>
          <w:szCs w:val="24"/>
        </w:rPr>
        <w:t xml:space="preserve">.  </w:t>
      </w:r>
      <w:r>
        <w:rPr>
          <w:bCs/>
          <w:spacing w:val="-3"/>
          <w:sz w:val="24"/>
          <w:szCs w:val="24"/>
        </w:rPr>
        <w:t>T</w:t>
      </w:r>
      <w:r>
        <w:rPr>
          <w:sz w:val="24"/>
          <w:szCs w:val="24"/>
        </w:rPr>
        <w:t xml:space="preserve">he letter identified </w:t>
      </w:r>
      <w:r w:rsidR="00506052">
        <w:rPr>
          <w:sz w:val="24"/>
          <w:szCs w:val="24"/>
        </w:rPr>
        <w:t xml:space="preserve">by Ms. </w:t>
      </w:r>
      <w:proofErr w:type="spellStart"/>
      <w:r w:rsidR="00506052">
        <w:rPr>
          <w:sz w:val="24"/>
          <w:szCs w:val="24"/>
        </w:rPr>
        <w:t>Goforth</w:t>
      </w:r>
      <w:proofErr w:type="spellEnd"/>
      <w:r w:rsidR="00506052">
        <w:rPr>
          <w:sz w:val="24"/>
          <w:szCs w:val="24"/>
        </w:rPr>
        <w:t xml:space="preserve"> </w:t>
      </w:r>
      <w:r>
        <w:rPr>
          <w:sz w:val="24"/>
          <w:szCs w:val="24"/>
        </w:rPr>
        <w:t xml:space="preserve">which she </w:t>
      </w:r>
      <w:r w:rsidR="00FC33E0">
        <w:rPr>
          <w:sz w:val="24"/>
          <w:szCs w:val="24"/>
        </w:rPr>
        <w:t xml:space="preserve">said she </w:t>
      </w:r>
      <w:r>
        <w:rPr>
          <w:sz w:val="24"/>
          <w:szCs w:val="24"/>
        </w:rPr>
        <w:t xml:space="preserve">alleged to have received from Pennsylvania Electric Company was not included as a late-filed exhibit.  </w:t>
      </w:r>
    </w:p>
    <w:p w:rsidR="00E87454" w:rsidRDefault="00BD6E27" w:rsidP="00BD6E27">
      <w:pPr>
        <w:tabs>
          <w:tab w:val="left" w:pos="1440"/>
          <w:tab w:val="left" w:pos="2160"/>
        </w:tabs>
        <w:spacing w:line="360" w:lineRule="auto"/>
        <w:rPr>
          <w:bCs/>
          <w:spacing w:val="-3"/>
          <w:sz w:val="24"/>
          <w:szCs w:val="24"/>
        </w:rPr>
      </w:pPr>
      <w:r>
        <w:rPr>
          <w:bCs/>
          <w:spacing w:val="-3"/>
          <w:sz w:val="24"/>
          <w:szCs w:val="24"/>
        </w:rPr>
        <w:lastRenderedPageBreak/>
        <w:tab/>
      </w:r>
      <w:r w:rsidR="00E87454" w:rsidRPr="00FA1833">
        <w:rPr>
          <w:bCs/>
          <w:spacing w:val="-3"/>
          <w:sz w:val="24"/>
          <w:szCs w:val="24"/>
        </w:rPr>
        <w:t xml:space="preserve">On May 31, 2016, Respondent filed objections to the late-filed exhibits proposed by Complainants.  </w:t>
      </w:r>
      <w:r w:rsidR="00E87454">
        <w:rPr>
          <w:bCs/>
          <w:spacing w:val="-3"/>
          <w:sz w:val="24"/>
          <w:szCs w:val="24"/>
        </w:rPr>
        <w:t xml:space="preserve">An Interim Order was entered on July 6, 2016 denying Complainants’ request to admit their proposed late-filed exhibits.  </w:t>
      </w:r>
    </w:p>
    <w:p w:rsidR="00E87454" w:rsidRDefault="00E87454" w:rsidP="00E87454">
      <w:pPr>
        <w:tabs>
          <w:tab w:val="left" w:pos="2160"/>
        </w:tabs>
        <w:spacing w:line="360" w:lineRule="auto"/>
        <w:rPr>
          <w:bCs/>
          <w:spacing w:val="-3"/>
          <w:sz w:val="24"/>
          <w:szCs w:val="24"/>
        </w:rPr>
      </w:pPr>
    </w:p>
    <w:p w:rsidR="00E87454" w:rsidRPr="00A22917" w:rsidRDefault="00BD6E27" w:rsidP="00BD6E27">
      <w:pPr>
        <w:tabs>
          <w:tab w:val="left" w:pos="1440"/>
          <w:tab w:val="left" w:pos="2160"/>
        </w:tabs>
        <w:spacing w:line="360" w:lineRule="auto"/>
        <w:rPr>
          <w:sz w:val="24"/>
          <w:szCs w:val="24"/>
        </w:rPr>
      </w:pPr>
      <w:r>
        <w:rPr>
          <w:bCs/>
          <w:spacing w:val="-3"/>
          <w:sz w:val="24"/>
          <w:szCs w:val="24"/>
        </w:rPr>
        <w:tab/>
      </w:r>
      <w:r w:rsidR="00E87454">
        <w:rPr>
          <w:bCs/>
          <w:spacing w:val="-3"/>
          <w:sz w:val="24"/>
          <w:szCs w:val="24"/>
        </w:rPr>
        <w:t>On July 1</w:t>
      </w:r>
      <w:r w:rsidR="00115DA3">
        <w:rPr>
          <w:bCs/>
          <w:spacing w:val="-3"/>
          <w:sz w:val="24"/>
          <w:szCs w:val="24"/>
        </w:rPr>
        <w:t>8</w:t>
      </w:r>
      <w:r w:rsidR="00E87454">
        <w:rPr>
          <w:bCs/>
          <w:spacing w:val="-3"/>
          <w:sz w:val="24"/>
          <w:szCs w:val="24"/>
        </w:rPr>
        <w:t>, 2016 an Interim Order was entered closing the hearing record.</w:t>
      </w:r>
    </w:p>
    <w:p w:rsidR="003548D7" w:rsidRDefault="003548D7" w:rsidP="008670DF">
      <w:pPr>
        <w:spacing w:line="360" w:lineRule="auto"/>
        <w:ind w:firstLine="720"/>
        <w:contextualSpacing/>
        <w:rPr>
          <w:sz w:val="24"/>
        </w:rPr>
      </w:pPr>
    </w:p>
    <w:p w:rsidR="00027A40" w:rsidRPr="00027A40" w:rsidRDefault="00027A40" w:rsidP="00027A40">
      <w:pPr>
        <w:tabs>
          <w:tab w:val="left" w:pos="1440"/>
          <w:tab w:val="center" w:pos="4680"/>
        </w:tabs>
        <w:suppressAutoHyphens/>
        <w:spacing w:line="360" w:lineRule="auto"/>
        <w:rPr>
          <w:sz w:val="24"/>
          <w:szCs w:val="24"/>
        </w:rPr>
      </w:pPr>
      <w:r w:rsidRPr="00027A40">
        <w:rPr>
          <w:b/>
          <w:sz w:val="24"/>
          <w:szCs w:val="24"/>
        </w:rPr>
        <w:tab/>
      </w:r>
      <w:r w:rsidRPr="00027A40">
        <w:rPr>
          <w:sz w:val="24"/>
          <w:szCs w:val="24"/>
        </w:rPr>
        <w:t xml:space="preserve">For the reasons set forth below, </w:t>
      </w:r>
      <w:r w:rsidR="00E40DC6">
        <w:rPr>
          <w:sz w:val="24"/>
          <w:szCs w:val="24"/>
        </w:rPr>
        <w:t xml:space="preserve">all of the claims alleging customer service violations </w:t>
      </w:r>
      <w:r w:rsidRPr="00027A40">
        <w:rPr>
          <w:sz w:val="24"/>
          <w:szCs w:val="24"/>
        </w:rPr>
        <w:t>will be d</w:t>
      </w:r>
      <w:r w:rsidR="00CA050C">
        <w:rPr>
          <w:sz w:val="24"/>
          <w:szCs w:val="24"/>
        </w:rPr>
        <w:t>enied,</w:t>
      </w:r>
      <w:r w:rsidR="00E40DC6">
        <w:rPr>
          <w:sz w:val="24"/>
          <w:szCs w:val="24"/>
        </w:rPr>
        <w:t xml:space="preserve"> and Complainants</w:t>
      </w:r>
      <w:r w:rsidR="001240CF">
        <w:rPr>
          <w:sz w:val="24"/>
          <w:szCs w:val="24"/>
        </w:rPr>
        <w:t>’</w:t>
      </w:r>
      <w:r w:rsidR="00E40DC6">
        <w:rPr>
          <w:sz w:val="24"/>
          <w:szCs w:val="24"/>
        </w:rPr>
        <w:t xml:space="preserve"> request for a payment arrangement will be granted.  </w:t>
      </w:r>
    </w:p>
    <w:p w:rsidR="00027A40" w:rsidRPr="00027A40" w:rsidRDefault="00027A40" w:rsidP="00027A40">
      <w:pPr>
        <w:tabs>
          <w:tab w:val="left" w:pos="1440"/>
          <w:tab w:val="center" w:pos="4680"/>
        </w:tabs>
        <w:suppressAutoHyphens/>
        <w:spacing w:line="360" w:lineRule="auto"/>
        <w:rPr>
          <w:sz w:val="24"/>
          <w:szCs w:val="24"/>
        </w:rPr>
      </w:pPr>
    </w:p>
    <w:p w:rsidR="00027A40" w:rsidRPr="00027A40" w:rsidRDefault="00577B97" w:rsidP="00577B97">
      <w:pPr>
        <w:ind w:left="2880" w:firstLine="720"/>
        <w:rPr>
          <w:sz w:val="24"/>
          <w:szCs w:val="24"/>
          <w:u w:val="single"/>
        </w:rPr>
      </w:pPr>
      <w:r>
        <w:rPr>
          <w:sz w:val="24"/>
          <w:szCs w:val="24"/>
          <w:u w:val="single"/>
        </w:rPr>
        <w:t>FI</w:t>
      </w:r>
      <w:r w:rsidR="00027A40" w:rsidRPr="00027A40">
        <w:rPr>
          <w:sz w:val="24"/>
          <w:szCs w:val="24"/>
          <w:u w:val="single"/>
        </w:rPr>
        <w:t>NDINGS OF FACT</w:t>
      </w:r>
    </w:p>
    <w:p w:rsidR="00027A40" w:rsidRPr="00027A40" w:rsidRDefault="00027A40" w:rsidP="00027A40">
      <w:pPr>
        <w:spacing w:line="360" w:lineRule="auto"/>
        <w:rPr>
          <w:sz w:val="24"/>
          <w:szCs w:val="24"/>
        </w:rPr>
      </w:pPr>
    </w:p>
    <w:p w:rsidR="00027A40" w:rsidRPr="00027A40" w:rsidRDefault="00027A40" w:rsidP="00027A40">
      <w:pPr>
        <w:spacing w:line="360" w:lineRule="auto"/>
        <w:rPr>
          <w:sz w:val="24"/>
          <w:szCs w:val="24"/>
        </w:rPr>
      </w:pPr>
      <w:r w:rsidRPr="00027A40">
        <w:rPr>
          <w:sz w:val="24"/>
          <w:szCs w:val="24"/>
        </w:rPr>
        <w:tab/>
      </w:r>
      <w:r w:rsidRPr="00027A40">
        <w:rPr>
          <w:sz w:val="24"/>
          <w:szCs w:val="24"/>
        </w:rPr>
        <w:tab/>
        <w:t>1.</w:t>
      </w:r>
      <w:r w:rsidRPr="00027A40">
        <w:rPr>
          <w:sz w:val="24"/>
          <w:szCs w:val="24"/>
        </w:rPr>
        <w:tab/>
        <w:t>Complainant</w:t>
      </w:r>
      <w:r w:rsidR="00E07AF4">
        <w:rPr>
          <w:sz w:val="24"/>
          <w:szCs w:val="24"/>
        </w:rPr>
        <w:t xml:space="preserve">s are </w:t>
      </w:r>
      <w:r w:rsidR="00E07AF4">
        <w:rPr>
          <w:sz w:val="24"/>
        </w:rPr>
        <w:t xml:space="preserve">Pamela </w:t>
      </w:r>
      <w:proofErr w:type="spellStart"/>
      <w:r w:rsidR="00E07AF4">
        <w:rPr>
          <w:sz w:val="24"/>
        </w:rPr>
        <w:t>Goforth</w:t>
      </w:r>
      <w:proofErr w:type="spellEnd"/>
      <w:r w:rsidR="00E07AF4">
        <w:rPr>
          <w:sz w:val="24"/>
        </w:rPr>
        <w:t xml:space="preserve"> and Stephen </w:t>
      </w:r>
      <w:proofErr w:type="spellStart"/>
      <w:r w:rsidR="00E07AF4">
        <w:rPr>
          <w:sz w:val="24"/>
        </w:rPr>
        <w:t>Goforth</w:t>
      </w:r>
      <w:proofErr w:type="spellEnd"/>
      <w:r w:rsidR="00E07AF4">
        <w:rPr>
          <w:sz w:val="24"/>
          <w:szCs w:val="24"/>
        </w:rPr>
        <w:t xml:space="preserve"> </w:t>
      </w:r>
      <w:r w:rsidRPr="00027A40">
        <w:rPr>
          <w:sz w:val="24"/>
          <w:szCs w:val="24"/>
        </w:rPr>
        <w:t xml:space="preserve">who reside at </w:t>
      </w:r>
      <w:r w:rsidR="00E07AF4">
        <w:rPr>
          <w:sz w:val="24"/>
          <w:szCs w:val="24"/>
        </w:rPr>
        <w:t>55</w:t>
      </w:r>
      <w:r w:rsidR="0046363A">
        <w:rPr>
          <w:sz w:val="24"/>
          <w:szCs w:val="24"/>
        </w:rPr>
        <w:t> </w:t>
      </w:r>
      <w:r w:rsidR="00E07AF4">
        <w:rPr>
          <w:sz w:val="24"/>
          <w:szCs w:val="24"/>
        </w:rPr>
        <w:t>Oak Grove Street, Oil City,</w:t>
      </w:r>
      <w:r w:rsidRPr="00027A40">
        <w:rPr>
          <w:sz w:val="24"/>
          <w:szCs w:val="24"/>
        </w:rPr>
        <w:t xml:space="preserve"> Pennsylvania (service location or service address).  </w:t>
      </w:r>
      <w:r w:rsidR="00E07AF4">
        <w:rPr>
          <w:sz w:val="24"/>
          <w:szCs w:val="24"/>
        </w:rPr>
        <w:t>Formal Complaint at p. 1.</w:t>
      </w:r>
    </w:p>
    <w:p w:rsidR="00027A40" w:rsidRPr="00027A40" w:rsidRDefault="00027A40" w:rsidP="00027A40">
      <w:pPr>
        <w:spacing w:line="360" w:lineRule="auto"/>
        <w:rPr>
          <w:sz w:val="24"/>
          <w:szCs w:val="24"/>
        </w:rPr>
      </w:pPr>
    </w:p>
    <w:p w:rsidR="00027A40" w:rsidRDefault="00027A40" w:rsidP="00027A40">
      <w:pPr>
        <w:spacing w:line="360" w:lineRule="auto"/>
        <w:rPr>
          <w:sz w:val="24"/>
          <w:szCs w:val="24"/>
        </w:rPr>
      </w:pPr>
      <w:r w:rsidRPr="00027A40">
        <w:rPr>
          <w:sz w:val="24"/>
          <w:szCs w:val="24"/>
        </w:rPr>
        <w:tab/>
      </w:r>
      <w:r w:rsidRPr="00027A40">
        <w:rPr>
          <w:sz w:val="24"/>
          <w:szCs w:val="24"/>
        </w:rPr>
        <w:tab/>
        <w:t>2.</w:t>
      </w:r>
      <w:r w:rsidRPr="00027A40">
        <w:rPr>
          <w:sz w:val="24"/>
          <w:szCs w:val="24"/>
        </w:rPr>
        <w:tab/>
        <w:t xml:space="preserve">Respondent in this case is </w:t>
      </w:r>
      <w:r w:rsidR="00E07AF4">
        <w:rPr>
          <w:sz w:val="24"/>
        </w:rPr>
        <w:t>Pennsylvania Electric Company</w:t>
      </w:r>
      <w:r w:rsidRPr="00027A40">
        <w:rPr>
          <w:sz w:val="24"/>
          <w:szCs w:val="24"/>
        </w:rPr>
        <w:t xml:space="preserve">.  </w:t>
      </w:r>
    </w:p>
    <w:p w:rsidR="00A6053A" w:rsidRPr="00027A40" w:rsidRDefault="00A6053A" w:rsidP="00027A40">
      <w:pPr>
        <w:spacing w:line="360" w:lineRule="auto"/>
        <w:rPr>
          <w:sz w:val="24"/>
          <w:szCs w:val="24"/>
        </w:rPr>
      </w:pPr>
    </w:p>
    <w:p w:rsidR="003B4FB4" w:rsidRDefault="00A6053A" w:rsidP="00A6053A">
      <w:pPr>
        <w:spacing w:line="360" w:lineRule="auto"/>
        <w:ind w:firstLine="1440"/>
        <w:rPr>
          <w:sz w:val="24"/>
          <w:szCs w:val="24"/>
        </w:rPr>
      </w:pPr>
      <w:r>
        <w:rPr>
          <w:sz w:val="24"/>
          <w:szCs w:val="24"/>
        </w:rPr>
        <w:t>3</w:t>
      </w:r>
      <w:r w:rsidRPr="00027A40">
        <w:rPr>
          <w:sz w:val="24"/>
          <w:szCs w:val="24"/>
        </w:rPr>
        <w:t>.</w:t>
      </w:r>
      <w:r w:rsidRPr="00027A40">
        <w:rPr>
          <w:sz w:val="24"/>
          <w:szCs w:val="24"/>
        </w:rPr>
        <w:tab/>
        <w:t>Complainant</w:t>
      </w:r>
      <w:r w:rsidR="00E07AF4">
        <w:rPr>
          <w:sz w:val="24"/>
          <w:szCs w:val="24"/>
        </w:rPr>
        <w:t xml:space="preserve"> </w:t>
      </w:r>
      <w:r w:rsidR="00E07AF4">
        <w:rPr>
          <w:sz w:val="24"/>
        </w:rPr>
        <w:t xml:space="preserve">Stephen </w:t>
      </w:r>
      <w:proofErr w:type="spellStart"/>
      <w:r w:rsidR="00E07AF4">
        <w:rPr>
          <w:sz w:val="24"/>
        </w:rPr>
        <w:t>Goforth</w:t>
      </w:r>
      <w:proofErr w:type="spellEnd"/>
      <w:r w:rsidR="00E07AF4">
        <w:rPr>
          <w:sz w:val="24"/>
          <w:szCs w:val="24"/>
        </w:rPr>
        <w:t xml:space="preserve"> </w:t>
      </w:r>
      <w:r w:rsidR="00482CBD">
        <w:rPr>
          <w:sz w:val="24"/>
          <w:szCs w:val="24"/>
        </w:rPr>
        <w:t xml:space="preserve">initiated electric service at </w:t>
      </w:r>
      <w:r w:rsidR="00E07AF4">
        <w:rPr>
          <w:sz w:val="24"/>
          <w:szCs w:val="24"/>
        </w:rPr>
        <w:t xml:space="preserve">the service address on June 23, 2010.  </w:t>
      </w:r>
      <w:proofErr w:type="gramStart"/>
      <w:r w:rsidR="009D0E0E" w:rsidRPr="00027A40">
        <w:rPr>
          <w:sz w:val="24"/>
          <w:szCs w:val="24"/>
        </w:rPr>
        <w:t xml:space="preserve">N.T. </w:t>
      </w:r>
      <w:r w:rsidR="009D0E0E">
        <w:rPr>
          <w:sz w:val="24"/>
          <w:szCs w:val="24"/>
        </w:rPr>
        <w:t>122.</w:t>
      </w:r>
      <w:proofErr w:type="gramEnd"/>
      <w:r w:rsidR="009D0E0E">
        <w:rPr>
          <w:sz w:val="24"/>
          <w:szCs w:val="24"/>
        </w:rPr>
        <w:t xml:space="preserve">  </w:t>
      </w:r>
    </w:p>
    <w:p w:rsidR="003B4FB4" w:rsidRDefault="003B4FB4" w:rsidP="00A6053A">
      <w:pPr>
        <w:spacing w:line="360" w:lineRule="auto"/>
        <w:ind w:firstLine="1440"/>
        <w:rPr>
          <w:sz w:val="24"/>
          <w:szCs w:val="24"/>
        </w:rPr>
      </w:pPr>
    </w:p>
    <w:p w:rsidR="00A6053A" w:rsidRPr="00027A40" w:rsidRDefault="003B4FB4" w:rsidP="00A6053A">
      <w:pPr>
        <w:spacing w:line="360" w:lineRule="auto"/>
        <w:ind w:firstLine="1440"/>
        <w:rPr>
          <w:sz w:val="24"/>
          <w:szCs w:val="24"/>
        </w:rPr>
      </w:pPr>
      <w:r>
        <w:rPr>
          <w:sz w:val="24"/>
          <w:szCs w:val="24"/>
        </w:rPr>
        <w:t>4.</w:t>
      </w:r>
      <w:r>
        <w:rPr>
          <w:sz w:val="24"/>
          <w:szCs w:val="24"/>
        </w:rPr>
        <w:tab/>
        <w:t xml:space="preserve">Complainants </w:t>
      </w:r>
      <w:r w:rsidR="009D0E0E">
        <w:rPr>
          <w:sz w:val="24"/>
          <w:szCs w:val="24"/>
        </w:rPr>
        <w:t xml:space="preserve">enrolled with Reliant Energy North East, an electric generation supplier (EGS) on August 4, 2015.  </w:t>
      </w:r>
      <w:proofErr w:type="gramStart"/>
      <w:r w:rsidR="009D0E0E">
        <w:rPr>
          <w:sz w:val="24"/>
          <w:szCs w:val="24"/>
        </w:rPr>
        <w:t>N</w:t>
      </w:r>
      <w:r w:rsidR="00A6053A" w:rsidRPr="00027A40">
        <w:rPr>
          <w:sz w:val="24"/>
          <w:szCs w:val="24"/>
        </w:rPr>
        <w:t>.T.</w:t>
      </w:r>
      <w:r w:rsidR="000B10D5">
        <w:rPr>
          <w:sz w:val="24"/>
          <w:szCs w:val="24"/>
        </w:rPr>
        <w:t xml:space="preserve"> </w:t>
      </w:r>
      <w:r w:rsidR="009D0E0E">
        <w:rPr>
          <w:sz w:val="24"/>
          <w:szCs w:val="24"/>
        </w:rPr>
        <w:t>124</w:t>
      </w:r>
      <w:r w:rsidR="00482CBD">
        <w:rPr>
          <w:sz w:val="24"/>
          <w:szCs w:val="24"/>
        </w:rPr>
        <w:t>.</w:t>
      </w:r>
      <w:proofErr w:type="gramEnd"/>
      <w:r w:rsidR="00A6053A" w:rsidRPr="00027A40">
        <w:rPr>
          <w:sz w:val="24"/>
          <w:szCs w:val="24"/>
        </w:rPr>
        <w:t xml:space="preserve">  </w:t>
      </w:r>
    </w:p>
    <w:p w:rsidR="00027A40" w:rsidRPr="00027A40" w:rsidRDefault="00027A40" w:rsidP="00027A40">
      <w:pPr>
        <w:spacing w:line="360" w:lineRule="auto"/>
        <w:rPr>
          <w:sz w:val="24"/>
          <w:szCs w:val="24"/>
        </w:rPr>
      </w:pPr>
    </w:p>
    <w:p w:rsidR="009D0E0E" w:rsidRDefault="003B4FB4" w:rsidP="009D0E0E">
      <w:pPr>
        <w:spacing w:line="360" w:lineRule="auto"/>
        <w:ind w:firstLine="1440"/>
        <w:rPr>
          <w:sz w:val="24"/>
          <w:szCs w:val="24"/>
        </w:rPr>
      </w:pPr>
      <w:r>
        <w:rPr>
          <w:sz w:val="24"/>
          <w:szCs w:val="24"/>
        </w:rPr>
        <w:t>5</w:t>
      </w:r>
      <w:r w:rsidR="00027A40" w:rsidRPr="00027A40">
        <w:rPr>
          <w:sz w:val="24"/>
          <w:szCs w:val="24"/>
        </w:rPr>
        <w:t>.</w:t>
      </w:r>
      <w:r w:rsidR="00027A40" w:rsidRPr="00027A40">
        <w:rPr>
          <w:sz w:val="24"/>
          <w:szCs w:val="24"/>
        </w:rPr>
        <w:tab/>
      </w:r>
      <w:r w:rsidR="009D0E0E">
        <w:rPr>
          <w:sz w:val="24"/>
          <w:szCs w:val="24"/>
        </w:rPr>
        <w:t xml:space="preserve">Complainants enrolled with </w:t>
      </w:r>
      <w:proofErr w:type="spellStart"/>
      <w:r w:rsidR="009D0E0E">
        <w:rPr>
          <w:sz w:val="24"/>
          <w:szCs w:val="24"/>
        </w:rPr>
        <w:t>Sperion</w:t>
      </w:r>
      <w:proofErr w:type="spellEnd"/>
      <w:r w:rsidR="009D0E0E">
        <w:rPr>
          <w:sz w:val="24"/>
          <w:szCs w:val="24"/>
        </w:rPr>
        <w:t xml:space="preserve"> Energy, an EGS, on January 16, 2016.  </w:t>
      </w:r>
      <w:proofErr w:type="gramStart"/>
      <w:r w:rsidR="009D0E0E">
        <w:rPr>
          <w:sz w:val="24"/>
          <w:szCs w:val="24"/>
        </w:rPr>
        <w:t>N</w:t>
      </w:r>
      <w:r w:rsidR="009D0E0E" w:rsidRPr="00027A40">
        <w:rPr>
          <w:sz w:val="24"/>
          <w:szCs w:val="24"/>
        </w:rPr>
        <w:t>.T.</w:t>
      </w:r>
      <w:r w:rsidR="000B10D5">
        <w:rPr>
          <w:sz w:val="24"/>
          <w:szCs w:val="24"/>
        </w:rPr>
        <w:t xml:space="preserve"> </w:t>
      </w:r>
      <w:r w:rsidR="009D0E0E">
        <w:rPr>
          <w:sz w:val="24"/>
          <w:szCs w:val="24"/>
        </w:rPr>
        <w:t>124.</w:t>
      </w:r>
      <w:proofErr w:type="gramEnd"/>
      <w:r w:rsidR="009D0E0E" w:rsidRPr="00027A40">
        <w:rPr>
          <w:sz w:val="24"/>
          <w:szCs w:val="24"/>
        </w:rPr>
        <w:t xml:space="preserve">  </w:t>
      </w:r>
    </w:p>
    <w:p w:rsidR="006429CA" w:rsidRPr="00027A40" w:rsidRDefault="006429CA" w:rsidP="009D0E0E">
      <w:pPr>
        <w:spacing w:line="360" w:lineRule="auto"/>
        <w:ind w:firstLine="1440"/>
        <w:rPr>
          <w:sz w:val="24"/>
          <w:szCs w:val="24"/>
        </w:rPr>
      </w:pPr>
    </w:p>
    <w:p w:rsidR="00502D6C" w:rsidRDefault="003B4FB4" w:rsidP="00502D6C">
      <w:pPr>
        <w:spacing w:line="360" w:lineRule="auto"/>
        <w:ind w:firstLine="1440"/>
        <w:rPr>
          <w:sz w:val="24"/>
          <w:szCs w:val="24"/>
        </w:rPr>
      </w:pPr>
      <w:r>
        <w:rPr>
          <w:sz w:val="24"/>
          <w:szCs w:val="24"/>
        </w:rPr>
        <w:t>6</w:t>
      </w:r>
      <w:r w:rsidR="00027A40" w:rsidRPr="00027A40">
        <w:rPr>
          <w:sz w:val="24"/>
          <w:szCs w:val="24"/>
        </w:rPr>
        <w:t>.</w:t>
      </w:r>
      <w:r w:rsidR="00027A40" w:rsidRPr="00027A40">
        <w:rPr>
          <w:sz w:val="24"/>
          <w:szCs w:val="24"/>
        </w:rPr>
        <w:tab/>
      </w:r>
      <w:r w:rsidR="00502D6C" w:rsidRPr="00027A40">
        <w:rPr>
          <w:sz w:val="24"/>
          <w:szCs w:val="24"/>
        </w:rPr>
        <w:t>Complainant</w:t>
      </w:r>
      <w:r w:rsidR="009D0E0E">
        <w:rPr>
          <w:sz w:val="24"/>
          <w:szCs w:val="24"/>
        </w:rPr>
        <w:t>s and Respondent entered into two Company</w:t>
      </w:r>
      <w:r w:rsidR="000F1FF1">
        <w:rPr>
          <w:sz w:val="24"/>
          <w:szCs w:val="24"/>
        </w:rPr>
        <w:t>-</w:t>
      </w:r>
      <w:r w:rsidR="009D0E0E">
        <w:rPr>
          <w:sz w:val="24"/>
          <w:szCs w:val="24"/>
        </w:rPr>
        <w:t xml:space="preserve">approved payment arrangements on March 24, 2014 and on October 29, 2014.  </w:t>
      </w:r>
      <w:r w:rsidR="00502D6C" w:rsidRPr="00027A40">
        <w:rPr>
          <w:sz w:val="24"/>
          <w:szCs w:val="24"/>
        </w:rPr>
        <w:t>N.T.</w:t>
      </w:r>
      <w:r w:rsidR="00502D6C">
        <w:rPr>
          <w:sz w:val="24"/>
          <w:szCs w:val="24"/>
        </w:rPr>
        <w:t xml:space="preserve"> </w:t>
      </w:r>
      <w:r w:rsidR="009D0E0E">
        <w:rPr>
          <w:sz w:val="24"/>
          <w:szCs w:val="24"/>
        </w:rPr>
        <w:t>124-125</w:t>
      </w:r>
      <w:r w:rsidR="00502D6C">
        <w:rPr>
          <w:sz w:val="24"/>
          <w:szCs w:val="24"/>
        </w:rPr>
        <w:t>.</w:t>
      </w:r>
      <w:r w:rsidR="00502D6C" w:rsidRPr="00027A40">
        <w:rPr>
          <w:sz w:val="24"/>
          <w:szCs w:val="24"/>
        </w:rPr>
        <w:t xml:space="preserve">  </w:t>
      </w:r>
    </w:p>
    <w:p w:rsidR="00AD3D31" w:rsidRPr="00027A40" w:rsidRDefault="00AD3D31" w:rsidP="00502D6C">
      <w:pPr>
        <w:spacing w:line="360" w:lineRule="auto"/>
        <w:ind w:firstLine="1440"/>
        <w:rPr>
          <w:sz w:val="24"/>
          <w:szCs w:val="24"/>
        </w:rPr>
      </w:pPr>
    </w:p>
    <w:p w:rsidR="00502D6C" w:rsidRDefault="003B4FB4" w:rsidP="00502D6C">
      <w:pPr>
        <w:spacing w:line="360" w:lineRule="auto"/>
        <w:ind w:firstLine="1440"/>
        <w:rPr>
          <w:sz w:val="24"/>
          <w:szCs w:val="24"/>
        </w:rPr>
      </w:pPr>
      <w:r>
        <w:rPr>
          <w:sz w:val="24"/>
          <w:szCs w:val="24"/>
        </w:rPr>
        <w:t>7</w:t>
      </w:r>
      <w:r w:rsidR="00A62070">
        <w:rPr>
          <w:sz w:val="24"/>
          <w:szCs w:val="24"/>
        </w:rPr>
        <w:t>.</w:t>
      </w:r>
      <w:r w:rsidR="00A62070">
        <w:rPr>
          <w:sz w:val="24"/>
          <w:szCs w:val="24"/>
        </w:rPr>
        <w:tab/>
      </w:r>
      <w:r w:rsidR="009D0E0E">
        <w:rPr>
          <w:sz w:val="24"/>
          <w:szCs w:val="24"/>
        </w:rPr>
        <w:t xml:space="preserve">The second payment arrangement is still in </w:t>
      </w:r>
      <w:proofErr w:type="gramStart"/>
      <w:r w:rsidR="009D0E0E">
        <w:rPr>
          <w:sz w:val="24"/>
          <w:szCs w:val="24"/>
        </w:rPr>
        <w:t>effect,</w:t>
      </w:r>
      <w:proofErr w:type="gramEnd"/>
      <w:r w:rsidR="009D0E0E">
        <w:rPr>
          <w:sz w:val="24"/>
          <w:szCs w:val="24"/>
        </w:rPr>
        <w:t xml:space="preserve"> however, there is an outstanding amount due of $379.47 </w:t>
      </w:r>
      <w:r w:rsidR="00897178">
        <w:rPr>
          <w:sz w:val="24"/>
          <w:szCs w:val="24"/>
        </w:rPr>
        <w:t xml:space="preserve">to bring the payment arrangement current.  </w:t>
      </w:r>
      <w:proofErr w:type="gramStart"/>
      <w:r w:rsidR="00502D6C" w:rsidRPr="00027A40">
        <w:rPr>
          <w:sz w:val="24"/>
          <w:szCs w:val="24"/>
        </w:rPr>
        <w:t>N.T.</w:t>
      </w:r>
      <w:r w:rsidR="00502D6C">
        <w:rPr>
          <w:sz w:val="24"/>
          <w:szCs w:val="24"/>
        </w:rPr>
        <w:t xml:space="preserve"> </w:t>
      </w:r>
      <w:r w:rsidR="00897178">
        <w:rPr>
          <w:sz w:val="24"/>
          <w:szCs w:val="24"/>
        </w:rPr>
        <w:t>125</w:t>
      </w:r>
      <w:r w:rsidR="00502D6C">
        <w:rPr>
          <w:sz w:val="24"/>
          <w:szCs w:val="24"/>
        </w:rPr>
        <w:t>.</w:t>
      </w:r>
      <w:proofErr w:type="gramEnd"/>
      <w:r w:rsidR="00502D6C" w:rsidRPr="00027A40">
        <w:rPr>
          <w:sz w:val="24"/>
          <w:szCs w:val="24"/>
        </w:rPr>
        <w:t xml:space="preserve">  </w:t>
      </w:r>
    </w:p>
    <w:p w:rsidR="002451C5" w:rsidRDefault="003B4FB4" w:rsidP="002451C5">
      <w:pPr>
        <w:spacing w:line="360" w:lineRule="auto"/>
        <w:ind w:firstLine="1440"/>
        <w:rPr>
          <w:sz w:val="24"/>
          <w:szCs w:val="24"/>
        </w:rPr>
      </w:pPr>
      <w:r>
        <w:rPr>
          <w:sz w:val="24"/>
          <w:szCs w:val="24"/>
        </w:rPr>
        <w:lastRenderedPageBreak/>
        <w:t>8</w:t>
      </w:r>
      <w:r w:rsidR="00027A40" w:rsidRPr="00027A40">
        <w:rPr>
          <w:sz w:val="24"/>
          <w:szCs w:val="24"/>
        </w:rPr>
        <w:t>.</w:t>
      </w:r>
      <w:r w:rsidR="00027A40" w:rsidRPr="00027A40">
        <w:rPr>
          <w:sz w:val="24"/>
          <w:szCs w:val="24"/>
        </w:rPr>
        <w:tab/>
      </w:r>
      <w:r w:rsidR="00897178">
        <w:rPr>
          <w:sz w:val="24"/>
          <w:szCs w:val="24"/>
        </w:rPr>
        <w:t xml:space="preserve">At the time of the hearing, Complainants had an account balance of $963.88.  </w:t>
      </w:r>
      <w:proofErr w:type="gramStart"/>
      <w:r w:rsidR="002451C5" w:rsidRPr="00027A40">
        <w:rPr>
          <w:sz w:val="24"/>
          <w:szCs w:val="24"/>
        </w:rPr>
        <w:t>N.T.</w:t>
      </w:r>
      <w:r w:rsidR="002451C5">
        <w:rPr>
          <w:sz w:val="24"/>
          <w:szCs w:val="24"/>
        </w:rPr>
        <w:t xml:space="preserve"> </w:t>
      </w:r>
      <w:r w:rsidR="00897178">
        <w:rPr>
          <w:sz w:val="24"/>
          <w:szCs w:val="24"/>
        </w:rPr>
        <w:t>129</w:t>
      </w:r>
      <w:r w:rsidR="002451C5">
        <w:rPr>
          <w:sz w:val="24"/>
          <w:szCs w:val="24"/>
        </w:rPr>
        <w:t>.</w:t>
      </w:r>
      <w:proofErr w:type="gramEnd"/>
      <w:r w:rsidR="002451C5" w:rsidRPr="00027A40">
        <w:rPr>
          <w:sz w:val="24"/>
          <w:szCs w:val="24"/>
        </w:rPr>
        <w:t xml:space="preserve">  </w:t>
      </w:r>
    </w:p>
    <w:p w:rsidR="007F3470" w:rsidRDefault="007F3470" w:rsidP="002451C5">
      <w:pPr>
        <w:spacing w:line="360" w:lineRule="auto"/>
        <w:ind w:firstLine="1440"/>
        <w:rPr>
          <w:sz w:val="24"/>
          <w:szCs w:val="24"/>
        </w:rPr>
      </w:pPr>
    </w:p>
    <w:p w:rsidR="007F3470" w:rsidRDefault="003B4FB4" w:rsidP="002451C5">
      <w:pPr>
        <w:spacing w:line="360" w:lineRule="auto"/>
        <w:ind w:firstLine="1440"/>
        <w:rPr>
          <w:sz w:val="24"/>
          <w:szCs w:val="24"/>
        </w:rPr>
      </w:pPr>
      <w:r>
        <w:rPr>
          <w:sz w:val="24"/>
          <w:szCs w:val="24"/>
        </w:rPr>
        <w:t>9</w:t>
      </w:r>
      <w:r w:rsidR="007F3470">
        <w:rPr>
          <w:sz w:val="24"/>
          <w:szCs w:val="24"/>
        </w:rPr>
        <w:t>.</w:t>
      </w:r>
      <w:r w:rsidR="007F3470">
        <w:rPr>
          <w:sz w:val="24"/>
          <w:szCs w:val="24"/>
        </w:rPr>
        <w:tab/>
      </w:r>
      <w:r w:rsidR="00897178">
        <w:rPr>
          <w:sz w:val="24"/>
          <w:szCs w:val="24"/>
        </w:rPr>
        <w:t xml:space="preserve">On October 29, 2015, the Company issued a termination notice advising </w:t>
      </w:r>
      <w:r w:rsidR="00E40DC6">
        <w:rPr>
          <w:sz w:val="24"/>
          <w:szCs w:val="24"/>
        </w:rPr>
        <w:t xml:space="preserve">Complainants that their </w:t>
      </w:r>
      <w:r w:rsidR="00897178">
        <w:rPr>
          <w:sz w:val="24"/>
          <w:szCs w:val="24"/>
        </w:rPr>
        <w:t xml:space="preserve">service would be terminated on November 12, 2015 resulting from a delinquent balance of $731. </w:t>
      </w:r>
      <w:r w:rsidR="007F3470">
        <w:rPr>
          <w:sz w:val="24"/>
          <w:szCs w:val="24"/>
        </w:rPr>
        <w:t xml:space="preserve"> N.T. </w:t>
      </w:r>
      <w:r w:rsidR="00897178">
        <w:rPr>
          <w:sz w:val="24"/>
          <w:szCs w:val="24"/>
        </w:rPr>
        <w:t>129</w:t>
      </w:r>
      <w:r w:rsidR="007F3470">
        <w:rPr>
          <w:sz w:val="24"/>
          <w:szCs w:val="24"/>
        </w:rPr>
        <w:t>-</w:t>
      </w:r>
      <w:r w:rsidR="00897178">
        <w:rPr>
          <w:sz w:val="24"/>
          <w:szCs w:val="24"/>
        </w:rPr>
        <w:t>130.</w:t>
      </w:r>
      <w:r w:rsidR="007F3470">
        <w:rPr>
          <w:sz w:val="24"/>
          <w:szCs w:val="24"/>
        </w:rPr>
        <w:t xml:space="preserve">   </w:t>
      </w:r>
    </w:p>
    <w:p w:rsidR="002451C5" w:rsidRDefault="002451C5" w:rsidP="00027A40">
      <w:pPr>
        <w:spacing w:line="360" w:lineRule="auto"/>
        <w:ind w:firstLine="1440"/>
        <w:rPr>
          <w:sz w:val="24"/>
          <w:szCs w:val="24"/>
        </w:rPr>
      </w:pPr>
    </w:p>
    <w:p w:rsidR="006030BE" w:rsidRDefault="003B4FB4" w:rsidP="00027A40">
      <w:pPr>
        <w:spacing w:line="360" w:lineRule="auto"/>
        <w:ind w:firstLine="1440"/>
        <w:rPr>
          <w:sz w:val="24"/>
          <w:szCs w:val="24"/>
        </w:rPr>
      </w:pPr>
      <w:r>
        <w:rPr>
          <w:sz w:val="24"/>
          <w:szCs w:val="24"/>
        </w:rPr>
        <w:t>10</w:t>
      </w:r>
      <w:r w:rsidR="00027A40" w:rsidRPr="00027A40">
        <w:rPr>
          <w:sz w:val="24"/>
          <w:szCs w:val="24"/>
        </w:rPr>
        <w:t>.</w:t>
      </w:r>
      <w:r w:rsidR="00027A40" w:rsidRPr="00027A40">
        <w:rPr>
          <w:sz w:val="24"/>
          <w:szCs w:val="24"/>
        </w:rPr>
        <w:tab/>
      </w:r>
      <w:r w:rsidR="00142DB5">
        <w:rPr>
          <w:sz w:val="24"/>
          <w:szCs w:val="24"/>
        </w:rPr>
        <w:t xml:space="preserve">Service was not terminated because Complainants filed a </w:t>
      </w:r>
      <w:r w:rsidR="006030BE">
        <w:rPr>
          <w:sz w:val="24"/>
          <w:szCs w:val="24"/>
        </w:rPr>
        <w:t xml:space="preserve">formal complaint after receiving the termination notice.  </w:t>
      </w:r>
      <w:r w:rsidR="00027A40" w:rsidRPr="00027A40">
        <w:rPr>
          <w:sz w:val="24"/>
          <w:szCs w:val="24"/>
        </w:rPr>
        <w:t xml:space="preserve">N.T. </w:t>
      </w:r>
      <w:r w:rsidR="006030BE">
        <w:rPr>
          <w:sz w:val="24"/>
          <w:szCs w:val="24"/>
        </w:rPr>
        <w:t>74-75, 129-130.</w:t>
      </w:r>
    </w:p>
    <w:p w:rsidR="006030BE" w:rsidRDefault="006030BE" w:rsidP="00027A40">
      <w:pPr>
        <w:spacing w:line="360" w:lineRule="auto"/>
        <w:ind w:firstLine="1440"/>
        <w:rPr>
          <w:sz w:val="24"/>
          <w:szCs w:val="24"/>
        </w:rPr>
      </w:pPr>
    </w:p>
    <w:p w:rsidR="00027A40" w:rsidRPr="00027A40" w:rsidRDefault="006030BE" w:rsidP="00027A40">
      <w:pPr>
        <w:spacing w:line="360" w:lineRule="auto"/>
        <w:ind w:firstLine="1440"/>
        <w:rPr>
          <w:sz w:val="24"/>
          <w:szCs w:val="24"/>
        </w:rPr>
      </w:pPr>
      <w:r>
        <w:rPr>
          <w:sz w:val="24"/>
          <w:szCs w:val="24"/>
        </w:rPr>
        <w:t>11.</w:t>
      </w:r>
      <w:r>
        <w:rPr>
          <w:sz w:val="24"/>
          <w:szCs w:val="24"/>
        </w:rPr>
        <w:tab/>
        <w:t xml:space="preserve">The reason that Complainants filed their formal complaint was to stop the termination of their electric service.  </w:t>
      </w:r>
      <w:proofErr w:type="gramStart"/>
      <w:r>
        <w:rPr>
          <w:sz w:val="24"/>
          <w:szCs w:val="24"/>
        </w:rPr>
        <w:t>N.T. 75.</w:t>
      </w:r>
      <w:proofErr w:type="gramEnd"/>
    </w:p>
    <w:p w:rsidR="00027A40" w:rsidRDefault="00027A40" w:rsidP="00027A40">
      <w:pPr>
        <w:spacing w:line="360" w:lineRule="auto"/>
        <w:ind w:firstLine="1440"/>
        <w:rPr>
          <w:b/>
          <w:sz w:val="24"/>
          <w:szCs w:val="24"/>
        </w:rPr>
      </w:pPr>
    </w:p>
    <w:p w:rsidR="00203688" w:rsidRDefault="007F3470" w:rsidP="00027A40">
      <w:pPr>
        <w:spacing w:line="360" w:lineRule="auto"/>
        <w:ind w:firstLine="1440"/>
        <w:rPr>
          <w:sz w:val="24"/>
          <w:szCs w:val="24"/>
        </w:rPr>
      </w:pPr>
      <w:r>
        <w:rPr>
          <w:sz w:val="24"/>
          <w:szCs w:val="24"/>
        </w:rPr>
        <w:t>1</w:t>
      </w:r>
      <w:r w:rsidR="006030BE">
        <w:rPr>
          <w:sz w:val="24"/>
          <w:szCs w:val="24"/>
        </w:rPr>
        <w:t>2</w:t>
      </w:r>
      <w:r w:rsidR="00203688" w:rsidRPr="00203688">
        <w:rPr>
          <w:sz w:val="24"/>
          <w:szCs w:val="24"/>
        </w:rPr>
        <w:t>.</w:t>
      </w:r>
      <w:r w:rsidR="00203688" w:rsidRPr="00203688">
        <w:rPr>
          <w:sz w:val="24"/>
          <w:szCs w:val="24"/>
        </w:rPr>
        <w:tab/>
      </w:r>
      <w:r w:rsidR="006030BE">
        <w:rPr>
          <w:sz w:val="24"/>
          <w:szCs w:val="24"/>
        </w:rPr>
        <w:t>Complainants received a letter, on some unknown date prior to filing the formal complaint, containing Respondent</w:t>
      </w:r>
      <w:r w:rsidR="00115DA3">
        <w:rPr>
          <w:sz w:val="24"/>
          <w:szCs w:val="24"/>
        </w:rPr>
        <w:t>’</w:t>
      </w:r>
      <w:r w:rsidR="006030BE">
        <w:rPr>
          <w:sz w:val="24"/>
          <w:szCs w:val="24"/>
        </w:rPr>
        <w:t>s name and telephone number at the top of the letterhead.</w:t>
      </w:r>
      <w:r w:rsidR="00310237">
        <w:rPr>
          <w:sz w:val="24"/>
          <w:szCs w:val="24"/>
        </w:rPr>
        <w:t xml:space="preserve">  </w:t>
      </w:r>
      <w:r w:rsidR="00203688">
        <w:rPr>
          <w:sz w:val="24"/>
          <w:szCs w:val="24"/>
        </w:rPr>
        <w:t xml:space="preserve"> </w:t>
      </w:r>
      <w:proofErr w:type="gramStart"/>
      <w:r w:rsidR="00203688">
        <w:rPr>
          <w:sz w:val="24"/>
          <w:szCs w:val="24"/>
        </w:rPr>
        <w:t xml:space="preserve">N.T. </w:t>
      </w:r>
      <w:r w:rsidR="006030BE">
        <w:rPr>
          <w:sz w:val="24"/>
          <w:szCs w:val="24"/>
        </w:rPr>
        <w:t>23</w:t>
      </w:r>
      <w:r w:rsidR="00310237">
        <w:rPr>
          <w:sz w:val="24"/>
          <w:szCs w:val="24"/>
        </w:rPr>
        <w:t>.</w:t>
      </w:r>
      <w:proofErr w:type="gramEnd"/>
      <w:r w:rsidR="00310237">
        <w:rPr>
          <w:sz w:val="24"/>
          <w:szCs w:val="24"/>
        </w:rPr>
        <w:t xml:space="preserve">  </w:t>
      </w:r>
    </w:p>
    <w:p w:rsidR="00310237" w:rsidRDefault="00310237" w:rsidP="00027A40">
      <w:pPr>
        <w:spacing w:line="360" w:lineRule="auto"/>
        <w:ind w:firstLine="1440"/>
        <w:rPr>
          <w:sz w:val="24"/>
          <w:szCs w:val="24"/>
        </w:rPr>
      </w:pPr>
    </w:p>
    <w:p w:rsidR="000425E1" w:rsidRDefault="000425E1" w:rsidP="00027A40">
      <w:pPr>
        <w:spacing w:line="360" w:lineRule="auto"/>
        <w:ind w:firstLine="1440"/>
        <w:rPr>
          <w:sz w:val="24"/>
          <w:szCs w:val="24"/>
        </w:rPr>
      </w:pPr>
      <w:r>
        <w:rPr>
          <w:sz w:val="24"/>
          <w:szCs w:val="24"/>
        </w:rPr>
        <w:t>1</w:t>
      </w:r>
      <w:r w:rsidR="00A16EBE">
        <w:rPr>
          <w:sz w:val="24"/>
          <w:szCs w:val="24"/>
        </w:rPr>
        <w:t>3</w:t>
      </w:r>
      <w:r>
        <w:rPr>
          <w:sz w:val="24"/>
          <w:szCs w:val="24"/>
        </w:rPr>
        <w:t>.</w:t>
      </w:r>
      <w:r>
        <w:rPr>
          <w:sz w:val="24"/>
          <w:szCs w:val="24"/>
        </w:rPr>
        <w:tab/>
      </w:r>
      <w:r w:rsidR="006030BE">
        <w:rPr>
          <w:sz w:val="24"/>
          <w:szCs w:val="24"/>
        </w:rPr>
        <w:t>The letter referenced Complainants</w:t>
      </w:r>
      <w:r w:rsidR="00115DA3">
        <w:rPr>
          <w:sz w:val="24"/>
          <w:szCs w:val="24"/>
        </w:rPr>
        <w:t>’</w:t>
      </w:r>
      <w:r w:rsidR="006030BE">
        <w:rPr>
          <w:sz w:val="24"/>
          <w:szCs w:val="24"/>
        </w:rPr>
        <w:t xml:space="preserve"> </w:t>
      </w:r>
      <w:r w:rsidR="00FC33E0">
        <w:rPr>
          <w:sz w:val="24"/>
          <w:szCs w:val="24"/>
        </w:rPr>
        <w:t xml:space="preserve">monthly </w:t>
      </w:r>
      <w:r w:rsidR="006030BE">
        <w:rPr>
          <w:sz w:val="24"/>
          <w:szCs w:val="24"/>
        </w:rPr>
        <w:t xml:space="preserve">energy use </w:t>
      </w:r>
      <w:r w:rsidR="00F754BC">
        <w:rPr>
          <w:sz w:val="24"/>
          <w:szCs w:val="24"/>
        </w:rPr>
        <w:t>of approximately 1300 kilowatt hours as compared</w:t>
      </w:r>
      <w:r w:rsidR="006030BE">
        <w:rPr>
          <w:sz w:val="24"/>
          <w:szCs w:val="24"/>
        </w:rPr>
        <w:t xml:space="preserve"> to</w:t>
      </w:r>
      <w:r w:rsidR="00F754BC">
        <w:rPr>
          <w:sz w:val="24"/>
          <w:szCs w:val="24"/>
        </w:rPr>
        <w:t xml:space="preserve"> approximately 900 kilowatt hours used </w:t>
      </w:r>
      <w:r w:rsidR="00DF1785">
        <w:rPr>
          <w:sz w:val="24"/>
          <w:szCs w:val="24"/>
        </w:rPr>
        <w:t>at ot</w:t>
      </w:r>
      <w:r w:rsidR="006030BE">
        <w:rPr>
          <w:sz w:val="24"/>
          <w:szCs w:val="24"/>
        </w:rPr>
        <w:t xml:space="preserve">her households in their area.  </w:t>
      </w:r>
      <w:proofErr w:type="gramStart"/>
      <w:r w:rsidR="006030BE">
        <w:rPr>
          <w:sz w:val="24"/>
          <w:szCs w:val="24"/>
        </w:rPr>
        <w:t>N.T. 23</w:t>
      </w:r>
      <w:r w:rsidR="00DF1785">
        <w:rPr>
          <w:sz w:val="24"/>
          <w:szCs w:val="24"/>
        </w:rPr>
        <w:t>, 60</w:t>
      </w:r>
      <w:r w:rsidR="006030BE">
        <w:rPr>
          <w:sz w:val="24"/>
          <w:szCs w:val="24"/>
        </w:rPr>
        <w:t>.</w:t>
      </w:r>
      <w:proofErr w:type="gramEnd"/>
      <w:r w:rsidR="006030BE">
        <w:rPr>
          <w:sz w:val="24"/>
          <w:szCs w:val="24"/>
        </w:rPr>
        <w:t xml:space="preserve"> </w:t>
      </w:r>
      <w:r w:rsidR="006030BE">
        <w:rPr>
          <w:rStyle w:val="FootnoteReference"/>
          <w:sz w:val="24"/>
          <w:szCs w:val="24"/>
        </w:rPr>
        <w:footnoteReference w:id="1"/>
      </w:r>
    </w:p>
    <w:p w:rsidR="00A16EBE" w:rsidRDefault="00A16EBE" w:rsidP="00027A40">
      <w:pPr>
        <w:spacing w:line="360" w:lineRule="auto"/>
        <w:ind w:firstLine="1440"/>
        <w:rPr>
          <w:sz w:val="24"/>
          <w:szCs w:val="24"/>
        </w:rPr>
      </w:pPr>
    </w:p>
    <w:p w:rsidR="00A16EBE" w:rsidRDefault="00206BB9" w:rsidP="00310237">
      <w:pPr>
        <w:spacing w:line="360" w:lineRule="auto"/>
        <w:ind w:firstLine="1440"/>
        <w:rPr>
          <w:sz w:val="24"/>
          <w:szCs w:val="24"/>
        </w:rPr>
      </w:pPr>
      <w:r>
        <w:rPr>
          <w:sz w:val="24"/>
          <w:szCs w:val="24"/>
        </w:rPr>
        <w:t>1</w:t>
      </w:r>
      <w:r w:rsidR="00A16EBE">
        <w:rPr>
          <w:sz w:val="24"/>
          <w:szCs w:val="24"/>
        </w:rPr>
        <w:t>4</w:t>
      </w:r>
      <w:r>
        <w:rPr>
          <w:sz w:val="24"/>
          <w:szCs w:val="24"/>
        </w:rPr>
        <w:t>.</w:t>
      </w:r>
      <w:r>
        <w:rPr>
          <w:sz w:val="24"/>
          <w:szCs w:val="24"/>
        </w:rPr>
        <w:tab/>
      </w:r>
      <w:r w:rsidR="00A16EBE">
        <w:rPr>
          <w:sz w:val="24"/>
          <w:szCs w:val="24"/>
        </w:rPr>
        <w:t xml:space="preserve">Ms. </w:t>
      </w:r>
      <w:proofErr w:type="spellStart"/>
      <w:r w:rsidR="00A16EBE">
        <w:rPr>
          <w:sz w:val="24"/>
          <w:szCs w:val="24"/>
        </w:rPr>
        <w:t>Goforth</w:t>
      </w:r>
      <w:proofErr w:type="spellEnd"/>
      <w:r w:rsidR="00A16EBE">
        <w:rPr>
          <w:sz w:val="24"/>
          <w:szCs w:val="24"/>
        </w:rPr>
        <w:t xml:space="preserve"> called the telephone number on the letterhead, believing that she was speaking with a female representative of the Company, who then put a male on the telephone to speak with her.  N.T. 25-27.</w:t>
      </w:r>
    </w:p>
    <w:p w:rsidR="00506052" w:rsidRDefault="00506052" w:rsidP="00310237">
      <w:pPr>
        <w:spacing w:line="360" w:lineRule="auto"/>
        <w:ind w:firstLine="1440"/>
        <w:rPr>
          <w:sz w:val="24"/>
          <w:szCs w:val="24"/>
        </w:rPr>
      </w:pPr>
    </w:p>
    <w:p w:rsidR="00A16EBE" w:rsidRDefault="00867E07" w:rsidP="00310237">
      <w:pPr>
        <w:spacing w:line="360" w:lineRule="auto"/>
        <w:ind w:firstLine="1440"/>
        <w:rPr>
          <w:sz w:val="24"/>
          <w:szCs w:val="24"/>
        </w:rPr>
      </w:pPr>
      <w:r>
        <w:rPr>
          <w:sz w:val="24"/>
          <w:szCs w:val="24"/>
        </w:rPr>
        <w:t>15.</w:t>
      </w:r>
      <w:r>
        <w:rPr>
          <w:sz w:val="24"/>
          <w:szCs w:val="24"/>
        </w:rPr>
        <w:tab/>
        <w:t xml:space="preserve">Complainant actually reached a call center </w:t>
      </w:r>
      <w:r w:rsidR="006E19A0">
        <w:rPr>
          <w:sz w:val="24"/>
          <w:szCs w:val="24"/>
        </w:rPr>
        <w:t xml:space="preserve">located </w:t>
      </w:r>
      <w:r>
        <w:rPr>
          <w:sz w:val="24"/>
          <w:szCs w:val="24"/>
        </w:rPr>
        <w:t xml:space="preserve">in Mexico operated by </w:t>
      </w:r>
      <w:r w:rsidR="006E19A0">
        <w:rPr>
          <w:sz w:val="24"/>
          <w:szCs w:val="24"/>
        </w:rPr>
        <w:t xml:space="preserve">a third party, and not </w:t>
      </w:r>
      <w:proofErr w:type="gramStart"/>
      <w:r w:rsidR="006E19A0">
        <w:rPr>
          <w:sz w:val="24"/>
          <w:szCs w:val="24"/>
        </w:rPr>
        <w:t>Respondent</w:t>
      </w:r>
      <w:proofErr w:type="gramEnd"/>
      <w:r w:rsidR="006E19A0">
        <w:rPr>
          <w:sz w:val="24"/>
          <w:szCs w:val="24"/>
        </w:rPr>
        <w:t xml:space="preserve">.  </w:t>
      </w:r>
      <w:proofErr w:type="gramStart"/>
      <w:r w:rsidR="006E19A0">
        <w:rPr>
          <w:sz w:val="24"/>
          <w:szCs w:val="24"/>
        </w:rPr>
        <w:t xml:space="preserve">N.T. </w:t>
      </w:r>
      <w:r w:rsidR="00F754BC">
        <w:rPr>
          <w:sz w:val="24"/>
          <w:szCs w:val="24"/>
        </w:rPr>
        <w:t xml:space="preserve">34, 92, </w:t>
      </w:r>
      <w:r>
        <w:rPr>
          <w:sz w:val="24"/>
          <w:szCs w:val="24"/>
        </w:rPr>
        <w:t>142,</w:t>
      </w:r>
      <w:r w:rsidR="006E19A0">
        <w:rPr>
          <w:sz w:val="24"/>
          <w:szCs w:val="24"/>
        </w:rPr>
        <w:t xml:space="preserve"> 148, 162.</w:t>
      </w:r>
      <w:proofErr w:type="gramEnd"/>
      <w:r w:rsidR="006E19A0">
        <w:rPr>
          <w:sz w:val="24"/>
          <w:szCs w:val="24"/>
        </w:rPr>
        <w:t xml:space="preserve"> </w:t>
      </w:r>
    </w:p>
    <w:p w:rsidR="000018D8" w:rsidRDefault="000018D8" w:rsidP="00310237">
      <w:pPr>
        <w:spacing w:line="360" w:lineRule="auto"/>
        <w:ind w:firstLine="1440"/>
        <w:rPr>
          <w:sz w:val="24"/>
          <w:szCs w:val="24"/>
        </w:rPr>
      </w:pPr>
    </w:p>
    <w:p w:rsidR="00027A40" w:rsidRPr="00027A40" w:rsidRDefault="00A16EBE" w:rsidP="00027A40">
      <w:pPr>
        <w:spacing w:line="360" w:lineRule="auto"/>
        <w:ind w:firstLine="1440"/>
        <w:rPr>
          <w:sz w:val="24"/>
          <w:szCs w:val="24"/>
        </w:rPr>
      </w:pPr>
      <w:r>
        <w:rPr>
          <w:sz w:val="24"/>
          <w:szCs w:val="24"/>
        </w:rPr>
        <w:lastRenderedPageBreak/>
        <w:t>1</w:t>
      </w:r>
      <w:r w:rsidR="00875EDB">
        <w:rPr>
          <w:sz w:val="24"/>
          <w:szCs w:val="24"/>
        </w:rPr>
        <w:t>6</w:t>
      </w:r>
      <w:r>
        <w:rPr>
          <w:sz w:val="24"/>
          <w:szCs w:val="24"/>
        </w:rPr>
        <w:t>.</w:t>
      </w:r>
      <w:r>
        <w:rPr>
          <w:sz w:val="24"/>
          <w:szCs w:val="24"/>
        </w:rPr>
        <w:tab/>
      </w:r>
      <w:r w:rsidR="00EB0E6D">
        <w:rPr>
          <w:sz w:val="24"/>
          <w:szCs w:val="24"/>
        </w:rPr>
        <w:t xml:space="preserve">Ms. </w:t>
      </w:r>
      <w:proofErr w:type="spellStart"/>
      <w:r w:rsidR="00EB0E6D">
        <w:rPr>
          <w:sz w:val="24"/>
          <w:szCs w:val="24"/>
        </w:rPr>
        <w:t>Goforth</w:t>
      </w:r>
      <w:proofErr w:type="spellEnd"/>
      <w:r w:rsidR="00EB0E6D">
        <w:rPr>
          <w:sz w:val="24"/>
          <w:szCs w:val="24"/>
        </w:rPr>
        <w:t xml:space="preserve"> asked </w:t>
      </w:r>
      <w:r w:rsidR="00E40DC6">
        <w:rPr>
          <w:sz w:val="24"/>
          <w:szCs w:val="24"/>
        </w:rPr>
        <w:t xml:space="preserve">one of the </w:t>
      </w:r>
      <w:r w:rsidR="00EB0E6D">
        <w:rPr>
          <w:sz w:val="24"/>
          <w:szCs w:val="24"/>
        </w:rPr>
        <w:t>representative</w:t>
      </w:r>
      <w:r w:rsidR="00E40DC6">
        <w:rPr>
          <w:sz w:val="24"/>
          <w:szCs w:val="24"/>
        </w:rPr>
        <w:t>s</w:t>
      </w:r>
      <w:r w:rsidR="00EB0E6D">
        <w:rPr>
          <w:sz w:val="24"/>
          <w:szCs w:val="24"/>
        </w:rPr>
        <w:t xml:space="preserve"> if the Company could lower her bill and was told she could call the </w:t>
      </w:r>
      <w:r w:rsidR="00E40DC6">
        <w:rPr>
          <w:sz w:val="24"/>
          <w:szCs w:val="24"/>
        </w:rPr>
        <w:t xml:space="preserve">Pennsylvania </w:t>
      </w:r>
      <w:r w:rsidR="00EB0E6D">
        <w:rPr>
          <w:sz w:val="24"/>
          <w:szCs w:val="24"/>
        </w:rPr>
        <w:t>Public Utility Commission</w:t>
      </w:r>
      <w:r w:rsidR="00E40DC6">
        <w:rPr>
          <w:sz w:val="24"/>
          <w:szCs w:val="24"/>
        </w:rPr>
        <w:t xml:space="preserve"> (Commission)</w:t>
      </w:r>
      <w:r w:rsidR="00EB0E6D">
        <w:rPr>
          <w:sz w:val="24"/>
          <w:szCs w:val="24"/>
        </w:rPr>
        <w:t xml:space="preserve">.  </w:t>
      </w:r>
      <w:proofErr w:type="gramStart"/>
      <w:r w:rsidR="00027A40" w:rsidRPr="00027A40">
        <w:rPr>
          <w:sz w:val="24"/>
          <w:szCs w:val="24"/>
        </w:rPr>
        <w:t xml:space="preserve">N.T. </w:t>
      </w:r>
      <w:r w:rsidR="00EB0E6D">
        <w:rPr>
          <w:sz w:val="24"/>
          <w:szCs w:val="24"/>
        </w:rPr>
        <w:t>28</w:t>
      </w:r>
      <w:r w:rsidR="008F04D3">
        <w:rPr>
          <w:sz w:val="24"/>
          <w:szCs w:val="24"/>
        </w:rPr>
        <w:t>.</w:t>
      </w:r>
      <w:proofErr w:type="gramEnd"/>
      <w:r w:rsidR="00027A40" w:rsidRPr="00027A40">
        <w:rPr>
          <w:sz w:val="24"/>
          <w:szCs w:val="24"/>
        </w:rPr>
        <w:t xml:space="preserve"> </w:t>
      </w:r>
    </w:p>
    <w:p w:rsidR="00027A40" w:rsidRDefault="00027A40" w:rsidP="00027A40">
      <w:pPr>
        <w:spacing w:line="360" w:lineRule="auto"/>
        <w:ind w:firstLine="1440"/>
        <w:rPr>
          <w:b/>
          <w:sz w:val="24"/>
          <w:szCs w:val="24"/>
        </w:rPr>
      </w:pPr>
    </w:p>
    <w:p w:rsidR="003101A8" w:rsidRDefault="003101A8" w:rsidP="003101A8">
      <w:pPr>
        <w:spacing w:line="360" w:lineRule="auto"/>
        <w:ind w:firstLine="1440"/>
        <w:rPr>
          <w:sz w:val="24"/>
          <w:szCs w:val="24"/>
        </w:rPr>
      </w:pPr>
      <w:r w:rsidRPr="00027A40">
        <w:rPr>
          <w:sz w:val="24"/>
          <w:szCs w:val="24"/>
        </w:rPr>
        <w:t>1</w:t>
      </w:r>
      <w:r w:rsidR="00F754BC">
        <w:rPr>
          <w:sz w:val="24"/>
          <w:szCs w:val="24"/>
        </w:rPr>
        <w:t>7</w:t>
      </w:r>
      <w:r w:rsidRPr="00027A40">
        <w:rPr>
          <w:sz w:val="24"/>
          <w:szCs w:val="24"/>
        </w:rPr>
        <w:t>.</w:t>
      </w:r>
      <w:r w:rsidRPr="00027A40">
        <w:rPr>
          <w:sz w:val="24"/>
          <w:szCs w:val="24"/>
        </w:rPr>
        <w:tab/>
      </w:r>
      <w:r w:rsidR="00EB0E6D">
        <w:rPr>
          <w:sz w:val="24"/>
          <w:szCs w:val="24"/>
        </w:rPr>
        <w:t xml:space="preserve">The female representative gave Ms. </w:t>
      </w:r>
      <w:proofErr w:type="spellStart"/>
      <w:r w:rsidR="00EB0E6D">
        <w:rPr>
          <w:sz w:val="24"/>
          <w:szCs w:val="24"/>
        </w:rPr>
        <w:t>Goforth</w:t>
      </w:r>
      <w:proofErr w:type="spellEnd"/>
      <w:r w:rsidR="00EB0E6D">
        <w:rPr>
          <w:sz w:val="24"/>
          <w:szCs w:val="24"/>
        </w:rPr>
        <w:t xml:space="preserve"> another telephone number to </w:t>
      </w:r>
      <w:r w:rsidR="00867E07">
        <w:rPr>
          <w:sz w:val="24"/>
          <w:szCs w:val="24"/>
        </w:rPr>
        <w:t xml:space="preserve">call </w:t>
      </w:r>
      <w:r w:rsidR="00EB0E6D">
        <w:rPr>
          <w:sz w:val="24"/>
          <w:szCs w:val="24"/>
        </w:rPr>
        <w:t xml:space="preserve">regarding her bill with Respondent.  </w:t>
      </w:r>
      <w:r w:rsidRPr="00027A40">
        <w:rPr>
          <w:sz w:val="24"/>
          <w:szCs w:val="24"/>
        </w:rPr>
        <w:t xml:space="preserve">N.T. </w:t>
      </w:r>
      <w:r w:rsidR="00867E07">
        <w:rPr>
          <w:sz w:val="24"/>
          <w:szCs w:val="24"/>
        </w:rPr>
        <w:t>28</w:t>
      </w:r>
      <w:r w:rsidR="007F3470">
        <w:rPr>
          <w:sz w:val="24"/>
          <w:szCs w:val="24"/>
        </w:rPr>
        <w:t>-</w:t>
      </w:r>
      <w:r w:rsidR="00867E07">
        <w:rPr>
          <w:sz w:val="24"/>
          <w:szCs w:val="24"/>
        </w:rPr>
        <w:t xml:space="preserve">29.  </w:t>
      </w:r>
      <w:r w:rsidRPr="00027A40">
        <w:rPr>
          <w:sz w:val="24"/>
          <w:szCs w:val="24"/>
        </w:rPr>
        <w:t xml:space="preserve"> </w:t>
      </w:r>
    </w:p>
    <w:p w:rsidR="00F754BC" w:rsidRDefault="00F754BC" w:rsidP="003101A8">
      <w:pPr>
        <w:spacing w:line="360" w:lineRule="auto"/>
        <w:ind w:firstLine="1440"/>
        <w:rPr>
          <w:sz w:val="24"/>
          <w:szCs w:val="24"/>
        </w:rPr>
      </w:pPr>
    </w:p>
    <w:p w:rsidR="00F754BC" w:rsidRDefault="00F754BC" w:rsidP="00F754BC">
      <w:pPr>
        <w:spacing w:line="360" w:lineRule="auto"/>
        <w:ind w:firstLine="1440"/>
        <w:rPr>
          <w:sz w:val="24"/>
          <w:szCs w:val="24"/>
        </w:rPr>
      </w:pPr>
      <w:r>
        <w:rPr>
          <w:sz w:val="24"/>
          <w:szCs w:val="24"/>
        </w:rPr>
        <w:t>18.</w:t>
      </w:r>
      <w:r>
        <w:rPr>
          <w:sz w:val="24"/>
          <w:szCs w:val="24"/>
        </w:rPr>
        <w:tab/>
        <w:t xml:space="preserve">Ms. </w:t>
      </w:r>
      <w:proofErr w:type="spellStart"/>
      <w:r>
        <w:rPr>
          <w:sz w:val="24"/>
          <w:szCs w:val="24"/>
        </w:rPr>
        <w:t>Goforth</w:t>
      </w:r>
      <w:proofErr w:type="spellEnd"/>
      <w:r>
        <w:rPr>
          <w:sz w:val="24"/>
          <w:szCs w:val="24"/>
        </w:rPr>
        <w:t xml:space="preserve"> complained that she was caused to expend her time and the cost of electricity to call the number on the letter that she received regarding her electric usage and energy efficiency.  N.T. 30-31, 38-39.</w:t>
      </w:r>
    </w:p>
    <w:p w:rsidR="00F754BC" w:rsidRDefault="00F754BC" w:rsidP="00F754BC">
      <w:pPr>
        <w:spacing w:line="360" w:lineRule="auto"/>
        <w:ind w:firstLine="1440"/>
        <w:rPr>
          <w:sz w:val="24"/>
          <w:szCs w:val="24"/>
        </w:rPr>
      </w:pPr>
    </w:p>
    <w:p w:rsidR="00F754BC" w:rsidRDefault="00F754BC" w:rsidP="00F754BC">
      <w:pPr>
        <w:spacing w:line="360" w:lineRule="auto"/>
        <w:ind w:firstLine="1440"/>
        <w:rPr>
          <w:sz w:val="24"/>
          <w:szCs w:val="24"/>
        </w:rPr>
      </w:pPr>
      <w:r>
        <w:rPr>
          <w:sz w:val="24"/>
          <w:szCs w:val="24"/>
        </w:rPr>
        <w:t xml:space="preserve">19.  </w:t>
      </w:r>
      <w:r w:rsidR="00DF1785">
        <w:rPr>
          <w:sz w:val="24"/>
          <w:szCs w:val="24"/>
        </w:rPr>
        <w:tab/>
      </w:r>
      <w:r>
        <w:rPr>
          <w:sz w:val="24"/>
          <w:szCs w:val="24"/>
        </w:rPr>
        <w:t xml:space="preserve">Ms. </w:t>
      </w:r>
      <w:proofErr w:type="spellStart"/>
      <w:r>
        <w:rPr>
          <w:sz w:val="24"/>
          <w:szCs w:val="24"/>
        </w:rPr>
        <w:t>Goforth</w:t>
      </w:r>
      <w:proofErr w:type="spellEnd"/>
      <w:r>
        <w:rPr>
          <w:sz w:val="24"/>
          <w:szCs w:val="24"/>
        </w:rPr>
        <w:t xml:space="preserve"> also complained that the female who answered her call in response to the letter should have been able to address her concerns, instead of providing Ms.</w:t>
      </w:r>
      <w:r w:rsidR="00115DA3">
        <w:rPr>
          <w:sz w:val="24"/>
          <w:szCs w:val="24"/>
        </w:rPr>
        <w:t> </w:t>
      </w:r>
      <w:proofErr w:type="spellStart"/>
      <w:r>
        <w:rPr>
          <w:sz w:val="24"/>
          <w:szCs w:val="24"/>
        </w:rPr>
        <w:t>Goforth</w:t>
      </w:r>
      <w:proofErr w:type="spellEnd"/>
      <w:r>
        <w:rPr>
          <w:sz w:val="24"/>
          <w:szCs w:val="24"/>
        </w:rPr>
        <w:t xml:space="preserve"> with another number to call.  N.T. 51-53.  </w:t>
      </w:r>
    </w:p>
    <w:p w:rsidR="00DF1785" w:rsidRDefault="00DF1785" w:rsidP="00F754BC">
      <w:pPr>
        <w:spacing w:line="360" w:lineRule="auto"/>
        <w:ind w:firstLine="1440"/>
        <w:rPr>
          <w:sz w:val="24"/>
          <w:szCs w:val="24"/>
        </w:rPr>
      </w:pPr>
    </w:p>
    <w:p w:rsidR="00DF1785" w:rsidRDefault="00DF1785" w:rsidP="00F754BC">
      <w:pPr>
        <w:spacing w:line="360" w:lineRule="auto"/>
        <w:ind w:firstLine="1440"/>
        <w:rPr>
          <w:sz w:val="24"/>
          <w:szCs w:val="24"/>
        </w:rPr>
      </w:pPr>
      <w:r>
        <w:rPr>
          <w:sz w:val="24"/>
          <w:szCs w:val="24"/>
        </w:rPr>
        <w:t>20.</w:t>
      </w:r>
      <w:r>
        <w:rPr>
          <w:sz w:val="24"/>
          <w:szCs w:val="24"/>
        </w:rPr>
        <w:tab/>
        <w:t xml:space="preserve">Mr. </w:t>
      </w:r>
      <w:proofErr w:type="spellStart"/>
      <w:r>
        <w:rPr>
          <w:sz w:val="24"/>
          <w:szCs w:val="24"/>
        </w:rPr>
        <w:t>Goforth</w:t>
      </w:r>
      <w:proofErr w:type="spellEnd"/>
      <w:r>
        <w:rPr>
          <w:sz w:val="24"/>
          <w:szCs w:val="24"/>
        </w:rPr>
        <w:t xml:space="preserve"> has a gross monthly income of approximately $1,398.  N.T.</w:t>
      </w:r>
      <w:r w:rsidR="00115DA3">
        <w:rPr>
          <w:sz w:val="24"/>
          <w:szCs w:val="24"/>
        </w:rPr>
        <w:t> </w:t>
      </w:r>
      <w:r>
        <w:rPr>
          <w:sz w:val="24"/>
          <w:szCs w:val="24"/>
        </w:rPr>
        <w:t>73, 107-108.</w:t>
      </w:r>
    </w:p>
    <w:p w:rsidR="00DF1785" w:rsidRDefault="00DF1785" w:rsidP="00F754BC">
      <w:pPr>
        <w:spacing w:line="360" w:lineRule="auto"/>
        <w:ind w:firstLine="1440"/>
        <w:rPr>
          <w:sz w:val="24"/>
          <w:szCs w:val="24"/>
        </w:rPr>
      </w:pPr>
    </w:p>
    <w:p w:rsidR="00DF1785" w:rsidRDefault="00DF1785" w:rsidP="00DF1785">
      <w:pPr>
        <w:spacing w:line="360" w:lineRule="auto"/>
        <w:ind w:firstLine="1440"/>
        <w:rPr>
          <w:sz w:val="24"/>
          <w:szCs w:val="24"/>
        </w:rPr>
      </w:pPr>
      <w:r>
        <w:rPr>
          <w:sz w:val="24"/>
          <w:szCs w:val="24"/>
        </w:rPr>
        <w:t>21.</w:t>
      </w:r>
      <w:r>
        <w:rPr>
          <w:sz w:val="24"/>
          <w:szCs w:val="24"/>
        </w:rPr>
        <w:tab/>
        <w:t xml:space="preserve">Ms. </w:t>
      </w:r>
      <w:proofErr w:type="spellStart"/>
      <w:r>
        <w:rPr>
          <w:sz w:val="24"/>
          <w:szCs w:val="24"/>
        </w:rPr>
        <w:t>Goforth</w:t>
      </w:r>
      <w:proofErr w:type="spellEnd"/>
      <w:r>
        <w:rPr>
          <w:sz w:val="24"/>
          <w:szCs w:val="24"/>
        </w:rPr>
        <w:t xml:space="preserve"> has a gross annual income of approximately $200.  </w:t>
      </w:r>
      <w:proofErr w:type="gramStart"/>
      <w:r>
        <w:rPr>
          <w:sz w:val="24"/>
          <w:szCs w:val="24"/>
        </w:rPr>
        <w:t>N.T. 73.</w:t>
      </w:r>
      <w:proofErr w:type="gramEnd"/>
      <w:r>
        <w:rPr>
          <w:sz w:val="24"/>
          <w:szCs w:val="24"/>
        </w:rPr>
        <w:t xml:space="preserve">  </w:t>
      </w:r>
    </w:p>
    <w:p w:rsidR="00DF1785" w:rsidRDefault="00DF1785" w:rsidP="00DF1785">
      <w:pPr>
        <w:spacing w:line="360" w:lineRule="auto"/>
        <w:ind w:firstLine="1440"/>
        <w:rPr>
          <w:sz w:val="24"/>
          <w:szCs w:val="24"/>
        </w:rPr>
      </w:pPr>
    </w:p>
    <w:p w:rsidR="00DF1785" w:rsidRDefault="00DF1785" w:rsidP="00DF1785">
      <w:pPr>
        <w:spacing w:line="360" w:lineRule="auto"/>
        <w:ind w:firstLine="1440"/>
        <w:rPr>
          <w:sz w:val="24"/>
          <w:szCs w:val="24"/>
        </w:rPr>
      </w:pPr>
      <w:r>
        <w:rPr>
          <w:sz w:val="24"/>
          <w:szCs w:val="24"/>
        </w:rPr>
        <w:t>22.</w:t>
      </w:r>
      <w:r>
        <w:rPr>
          <w:sz w:val="24"/>
          <w:szCs w:val="24"/>
        </w:rPr>
        <w:tab/>
        <w:t xml:space="preserve">The household consists of Mr. and Ms. </w:t>
      </w:r>
      <w:proofErr w:type="spellStart"/>
      <w:r>
        <w:rPr>
          <w:sz w:val="24"/>
          <w:szCs w:val="24"/>
        </w:rPr>
        <w:t>Goforth</w:t>
      </w:r>
      <w:proofErr w:type="spellEnd"/>
      <w:r>
        <w:rPr>
          <w:sz w:val="24"/>
          <w:szCs w:val="24"/>
        </w:rPr>
        <w:t xml:space="preserve">.  </w:t>
      </w:r>
      <w:proofErr w:type="gramStart"/>
      <w:r>
        <w:rPr>
          <w:sz w:val="24"/>
          <w:szCs w:val="24"/>
        </w:rPr>
        <w:t>N.T. 107.</w:t>
      </w:r>
      <w:proofErr w:type="gramEnd"/>
    </w:p>
    <w:p w:rsidR="00F650F0" w:rsidRDefault="00F650F0" w:rsidP="00DF1785">
      <w:pPr>
        <w:spacing w:line="360" w:lineRule="auto"/>
        <w:ind w:firstLine="1440"/>
        <w:rPr>
          <w:sz w:val="24"/>
          <w:szCs w:val="24"/>
        </w:rPr>
      </w:pPr>
    </w:p>
    <w:p w:rsidR="00F650F0" w:rsidRPr="00F650F0" w:rsidRDefault="00F650F0" w:rsidP="00F650F0">
      <w:pPr>
        <w:spacing w:line="360" w:lineRule="auto"/>
        <w:ind w:firstLine="1440"/>
        <w:rPr>
          <w:sz w:val="24"/>
          <w:szCs w:val="24"/>
        </w:rPr>
      </w:pPr>
      <w:r>
        <w:rPr>
          <w:sz w:val="24"/>
          <w:szCs w:val="24"/>
        </w:rPr>
        <w:t>23.</w:t>
      </w:r>
      <w:r>
        <w:rPr>
          <w:sz w:val="24"/>
          <w:szCs w:val="24"/>
        </w:rPr>
        <w:tab/>
      </w:r>
      <w:r w:rsidRPr="00F650F0">
        <w:rPr>
          <w:sz w:val="24"/>
          <w:szCs w:val="24"/>
        </w:rPr>
        <w:t xml:space="preserve">The Commission has never directed a payment arrangement for Complainants.  </w:t>
      </w:r>
      <w:proofErr w:type="gramStart"/>
      <w:r w:rsidRPr="00F650F0">
        <w:rPr>
          <w:sz w:val="24"/>
          <w:szCs w:val="24"/>
        </w:rPr>
        <w:t>N.T. 125.</w:t>
      </w:r>
      <w:proofErr w:type="gramEnd"/>
      <w:r w:rsidRPr="00F650F0">
        <w:rPr>
          <w:sz w:val="24"/>
          <w:szCs w:val="24"/>
        </w:rPr>
        <w:t xml:space="preserve">    </w:t>
      </w:r>
    </w:p>
    <w:p w:rsidR="00F650F0" w:rsidRDefault="00F650F0" w:rsidP="00DF1785">
      <w:pPr>
        <w:spacing w:line="360" w:lineRule="auto"/>
        <w:ind w:firstLine="1440"/>
        <w:rPr>
          <w:sz w:val="24"/>
          <w:szCs w:val="24"/>
        </w:rPr>
      </w:pPr>
    </w:p>
    <w:p w:rsidR="00027A40" w:rsidRPr="00027A40" w:rsidRDefault="00027A40" w:rsidP="00027A40">
      <w:pPr>
        <w:pStyle w:val="ParaTab1"/>
        <w:tabs>
          <w:tab w:val="left" w:pos="2070"/>
        </w:tabs>
        <w:spacing w:line="360" w:lineRule="auto"/>
        <w:ind w:firstLine="0"/>
        <w:jc w:val="center"/>
        <w:rPr>
          <w:rFonts w:ascii="Times New Roman" w:hAnsi="Times New Roman" w:cs="Times New Roman"/>
          <w:u w:val="single"/>
        </w:rPr>
      </w:pPr>
      <w:r w:rsidRPr="00027A40">
        <w:rPr>
          <w:rFonts w:ascii="Times New Roman" w:hAnsi="Times New Roman" w:cs="Times New Roman"/>
          <w:u w:val="single"/>
        </w:rPr>
        <w:t>DISCUSSION</w:t>
      </w:r>
    </w:p>
    <w:p w:rsidR="00027A40" w:rsidRDefault="00027A40" w:rsidP="00027A40">
      <w:pPr>
        <w:pStyle w:val="ParaTab1"/>
        <w:tabs>
          <w:tab w:val="left" w:pos="2070"/>
        </w:tabs>
        <w:spacing w:line="360" w:lineRule="auto"/>
        <w:ind w:firstLine="0"/>
        <w:rPr>
          <w:rFonts w:ascii="Times New Roman" w:hAnsi="Times New Roman" w:cs="Times New Roman"/>
          <w:u w:val="single"/>
        </w:rPr>
      </w:pPr>
    </w:p>
    <w:p w:rsidR="005E76F5" w:rsidRDefault="005E76F5" w:rsidP="00027A40">
      <w:pPr>
        <w:pStyle w:val="ParaTab1"/>
        <w:tabs>
          <w:tab w:val="left" w:pos="2070"/>
        </w:tabs>
        <w:spacing w:line="360" w:lineRule="auto"/>
        <w:ind w:firstLine="0"/>
        <w:rPr>
          <w:rFonts w:ascii="Times New Roman" w:hAnsi="Times New Roman" w:cs="Times New Roman"/>
          <w:u w:val="single"/>
        </w:rPr>
      </w:pPr>
      <w:r>
        <w:rPr>
          <w:rFonts w:ascii="Times New Roman" w:hAnsi="Times New Roman" w:cs="Times New Roman"/>
          <w:u w:val="single"/>
        </w:rPr>
        <w:t>Burden of Proof</w:t>
      </w:r>
    </w:p>
    <w:p w:rsidR="005E76F5" w:rsidRPr="00027A40" w:rsidRDefault="005E76F5" w:rsidP="00027A40">
      <w:pPr>
        <w:pStyle w:val="ParaTab1"/>
        <w:tabs>
          <w:tab w:val="left" w:pos="2070"/>
        </w:tabs>
        <w:spacing w:line="360" w:lineRule="auto"/>
        <w:ind w:firstLine="0"/>
        <w:rPr>
          <w:rFonts w:ascii="Times New Roman" w:hAnsi="Times New Roman" w:cs="Times New Roman"/>
          <w:u w:val="single"/>
        </w:rPr>
      </w:pPr>
    </w:p>
    <w:p w:rsidR="00027A40" w:rsidRPr="00027A40" w:rsidRDefault="00027A40" w:rsidP="00027A40">
      <w:pPr>
        <w:spacing w:line="360" w:lineRule="auto"/>
        <w:ind w:firstLine="1440"/>
        <w:rPr>
          <w:sz w:val="24"/>
          <w:szCs w:val="24"/>
        </w:rPr>
      </w:pPr>
      <w:r w:rsidRPr="00027A40">
        <w:rPr>
          <w:sz w:val="24"/>
          <w:szCs w:val="24"/>
        </w:rPr>
        <w:t xml:space="preserve">Section 332(a) of the Public Utility Code, </w:t>
      </w:r>
      <w:hyperlink r:id="rId9" w:tgtFrame="_top" w:history="1">
        <w:proofErr w:type="gramStart"/>
        <w:r w:rsidRPr="00027A40">
          <w:rPr>
            <w:sz w:val="24"/>
            <w:szCs w:val="24"/>
          </w:rPr>
          <w:t xml:space="preserve">66 </w:t>
        </w:r>
        <w:proofErr w:type="spellStart"/>
        <w:r w:rsidRPr="00027A40">
          <w:rPr>
            <w:sz w:val="24"/>
            <w:szCs w:val="24"/>
          </w:rPr>
          <w:t>Pa.C.S</w:t>
        </w:r>
        <w:proofErr w:type="spellEnd"/>
        <w:proofErr w:type="gramEnd"/>
        <w:r w:rsidRPr="00027A40">
          <w:rPr>
            <w:sz w:val="24"/>
            <w:szCs w:val="24"/>
          </w:rPr>
          <w:t>. § 332(a)</w:t>
        </w:r>
      </w:hyperlink>
      <w:r w:rsidRPr="00027A40">
        <w:rPr>
          <w:sz w:val="24"/>
          <w:szCs w:val="24"/>
        </w:rPr>
        <w:t xml:space="preserve">, provides that the party seeking relief from the Commission has the “burden of proof.”  “Burden of proof” is a duty </w:t>
      </w:r>
      <w:r w:rsidRPr="00027A40">
        <w:rPr>
          <w:sz w:val="24"/>
          <w:szCs w:val="24"/>
        </w:rPr>
        <w:lastRenderedPageBreak/>
        <w:t xml:space="preserve">to establish a fact by a “preponderance of the evidence.”  The term “preponderance of the evidence” means that one party has presented evidence which is more convincing, by even the smallest amount, than the evidence presented by the other party.  </w:t>
      </w:r>
      <w:hyperlink r:id="rId10" w:tgtFrame="_top" w:history="1">
        <w:proofErr w:type="gramStart"/>
        <w:r w:rsidRPr="00027A40">
          <w:rPr>
            <w:i/>
            <w:iCs/>
            <w:sz w:val="24"/>
            <w:szCs w:val="24"/>
          </w:rPr>
          <w:t>Se-Ling Hosiery v. Margulies,</w:t>
        </w:r>
        <w:r w:rsidRPr="00027A40">
          <w:rPr>
            <w:sz w:val="24"/>
            <w:szCs w:val="24"/>
          </w:rPr>
          <w:t xml:space="preserve"> 364 Pa. 54, 70 A.2d 854 (1950)</w:t>
        </w:r>
      </w:hyperlink>
      <w:r w:rsidRPr="00027A40">
        <w:rPr>
          <w:sz w:val="24"/>
          <w:szCs w:val="24"/>
        </w:rPr>
        <w:t>.</w:t>
      </w:r>
      <w:proofErr w:type="gramEnd"/>
      <w:r w:rsidRPr="00027A40">
        <w:rPr>
          <w:sz w:val="24"/>
          <w:szCs w:val="24"/>
        </w:rPr>
        <w:t xml:space="preserve"> </w:t>
      </w:r>
      <w:r w:rsidR="00F834BD">
        <w:rPr>
          <w:sz w:val="24"/>
          <w:szCs w:val="24"/>
        </w:rPr>
        <w:t xml:space="preserve"> </w:t>
      </w:r>
      <w:r w:rsidRPr="00027A40">
        <w:rPr>
          <w:sz w:val="24"/>
          <w:szCs w:val="24"/>
        </w:rPr>
        <w:t xml:space="preserve">In other words, “preponderance” is not dependent on the number of witnesses testifying on either side but rather on the credibility of the testimony in light of all the evidence in a case.  </w:t>
      </w:r>
      <w:hyperlink r:id="rId11" w:tgtFrame="_top" w:history="1">
        <w:r w:rsidRPr="00027A40">
          <w:rPr>
            <w:i/>
            <w:iCs/>
            <w:sz w:val="24"/>
            <w:szCs w:val="24"/>
          </w:rPr>
          <w:t>Burch v. Reading Co.,</w:t>
        </w:r>
        <w:r w:rsidRPr="00027A40">
          <w:rPr>
            <w:sz w:val="24"/>
            <w:szCs w:val="24"/>
          </w:rPr>
          <w:t xml:space="preserve"> 240 F.2d 574 (3d Cir. 1957)</w:t>
        </w:r>
      </w:hyperlink>
      <w:r w:rsidRPr="00027A40">
        <w:rPr>
          <w:sz w:val="24"/>
          <w:szCs w:val="24"/>
        </w:rPr>
        <w:t xml:space="preserve"> cert. denied, </w:t>
      </w:r>
      <w:hyperlink r:id="rId12" w:tgtFrame="_top" w:history="1">
        <w:r w:rsidRPr="00027A40">
          <w:rPr>
            <w:sz w:val="24"/>
            <w:szCs w:val="24"/>
          </w:rPr>
          <w:t>353 U.S. 965 (1957)</w:t>
        </w:r>
      </w:hyperlink>
      <w:r w:rsidRPr="00027A40">
        <w:rPr>
          <w:sz w:val="24"/>
          <w:szCs w:val="24"/>
        </w:rPr>
        <w:t xml:space="preserve">.  The Pennsylvania Supreme Court has characterized a preponderance of the evidence as tantamount to a “more likely than not” inquiry.  </w:t>
      </w:r>
      <w:hyperlink r:id="rId13" w:tgtFrame="_top" w:history="1">
        <w:r w:rsidRPr="00027A40">
          <w:rPr>
            <w:i/>
            <w:iCs/>
            <w:sz w:val="24"/>
            <w:szCs w:val="24"/>
          </w:rPr>
          <w:t xml:space="preserve">Commonwealth v. $6,425 Seized From </w:t>
        </w:r>
        <w:proofErr w:type="spellStart"/>
        <w:r w:rsidRPr="00027A40">
          <w:rPr>
            <w:i/>
            <w:iCs/>
            <w:sz w:val="24"/>
            <w:szCs w:val="24"/>
          </w:rPr>
          <w:t>Esquilin</w:t>
        </w:r>
        <w:proofErr w:type="spellEnd"/>
        <w:r w:rsidRPr="00027A40">
          <w:rPr>
            <w:i/>
            <w:iCs/>
            <w:sz w:val="24"/>
            <w:szCs w:val="24"/>
          </w:rPr>
          <w:t>,</w:t>
        </w:r>
        <w:r w:rsidRPr="00027A40">
          <w:rPr>
            <w:sz w:val="24"/>
            <w:szCs w:val="24"/>
          </w:rPr>
          <w:t xml:space="preserve"> 583 Pa. 544, 555, 580 A.2d 523, 529 (2005)</w:t>
        </w:r>
      </w:hyperlink>
      <w:r w:rsidRPr="00027A40">
        <w:rPr>
          <w:sz w:val="24"/>
          <w:szCs w:val="24"/>
        </w:rPr>
        <w:t>.</w:t>
      </w:r>
    </w:p>
    <w:p w:rsidR="00027A40" w:rsidRPr="00027A40" w:rsidRDefault="00027A40" w:rsidP="00027A40">
      <w:pPr>
        <w:spacing w:line="360" w:lineRule="auto"/>
        <w:ind w:firstLine="1440"/>
        <w:rPr>
          <w:sz w:val="24"/>
          <w:szCs w:val="24"/>
        </w:rPr>
      </w:pPr>
    </w:p>
    <w:p w:rsidR="00027A40" w:rsidRPr="00027A40" w:rsidRDefault="00027A40" w:rsidP="00027A40">
      <w:pPr>
        <w:spacing w:line="360" w:lineRule="auto"/>
        <w:ind w:firstLine="1440"/>
        <w:rPr>
          <w:sz w:val="24"/>
          <w:szCs w:val="24"/>
        </w:rPr>
      </w:pPr>
      <w:r w:rsidRPr="00027A40">
        <w:rPr>
          <w:sz w:val="24"/>
          <w:szCs w:val="24"/>
        </w:rPr>
        <w:t xml:space="preserve">Upon the presentation by a complainant of a </w:t>
      </w:r>
      <w:r w:rsidRPr="00027A40">
        <w:rPr>
          <w:i/>
          <w:sz w:val="24"/>
          <w:szCs w:val="24"/>
        </w:rPr>
        <w:t>prima facie</w:t>
      </w:r>
      <w:r w:rsidRPr="00027A40">
        <w:rPr>
          <w:sz w:val="24"/>
          <w:szCs w:val="24"/>
        </w:rPr>
        <w:t xml:space="preserve"> case, i.e., evidence sufficient to initially satisfy the burden of proof, the burden of going forward with the evidence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proofErr w:type="gramStart"/>
      <w:r w:rsidRPr="00027A40">
        <w:rPr>
          <w:i/>
          <w:sz w:val="24"/>
          <w:szCs w:val="24"/>
        </w:rPr>
        <w:t>Burleson v. Pa. Pub.</w:t>
      </w:r>
      <w:proofErr w:type="gramEnd"/>
      <w:r w:rsidRPr="00027A40">
        <w:rPr>
          <w:i/>
          <w:sz w:val="24"/>
          <w:szCs w:val="24"/>
        </w:rPr>
        <w:t xml:space="preserve"> Util. </w:t>
      </w:r>
      <w:proofErr w:type="spellStart"/>
      <w:r w:rsidRPr="00027A40">
        <w:rPr>
          <w:i/>
          <w:sz w:val="24"/>
          <w:szCs w:val="24"/>
        </w:rPr>
        <w:t>Comm’n</w:t>
      </w:r>
      <w:proofErr w:type="spellEnd"/>
      <w:r w:rsidRPr="00027A40">
        <w:rPr>
          <w:sz w:val="24"/>
          <w:szCs w:val="24"/>
        </w:rPr>
        <w:t>, 443 A.2d 1373 (</w:t>
      </w:r>
      <w:proofErr w:type="spellStart"/>
      <w:r w:rsidRPr="00027A40">
        <w:rPr>
          <w:sz w:val="24"/>
          <w:szCs w:val="24"/>
        </w:rPr>
        <w:t>Pa.Cmwlth</w:t>
      </w:r>
      <w:proofErr w:type="spellEnd"/>
      <w:r w:rsidRPr="00027A40">
        <w:rPr>
          <w:sz w:val="24"/>
          <w:szCs w:val="24"/>
        </w:rPr>
        <w:t xml:space="preserve">. 1982), aff’d, 501 Pa. 433, 461 A.2d 1234 (1983).  While the burden of going forward with the evidence may shift back and forth during a proceeding, the burden of proof never shifts.  The burden of proof always remains on the party seeking affirmative relief from the Commission.  </w:t>
      </w:r>
      <w:proofErr w:type="spellStart"/>
      <w:proofErr w:type="gramStart"/>
      <w:r w:rsidRPr="00027A40">
        <w:rPr>
          <w:i/>
          <w:sz w:val="24"/>
          <w:szCs w:val="24"/>
        </w:rPr>
        <w:t>Milkie</w:t>
      </w:r>
      <w:proofErr w:type="spellEnd"/>
      <w:r w:rsidRPr="00027A40">
        <w:rPr>
          <w:i/>
          <w:sz w:val="24"/>
          <w:szCs w:val="24"/>
        </w:rPr>
        <w:t xml:space="preserve"> v. Pa. Pub.</w:t>
      </w:r>
      <w:proofErr w:type="gramEnd"/>
      <w:r w:rsidRPr="00027A40">
        <w:rPr>
          <w:i/>
          <w:sz w:val="24"/>
          <w:szCs w:val="24"/>
        </w:rPr>
        <w:t xml:space="preserve"> </w:t>
      </w:r>
      <w:proofErr w:type="gramStart"/>
      <w:r w:rsidRPr="00027A40">
        <w:rPr>
          <w:i/>
          <w:sz w:val="24"/>
          <w:szCs w:val="24"/>
        </w:rPr>
        <w:t xml:space="preserve">Util. </w:t>
      </w:r>
      <w:proofErr w:type="spellStart"/>
      <w:r w:rsidRPr="00027A40">
        <w:rPr>
          <w:i/>
          <w:sz w:val="24"/>
          <w:szCs w:val="24"/>
        </w:rPr>
        <w:t>Comm’n</w:t>
      </w:r>
      <w:proofErr w:type="spellEnd"/>
      <w:r w:rsidRPr="00027A40">
        <w:rPr>
          <w:sz w:val="24"/>
          <w:szCs w:val="24"/>
        </w:rPr>
        <w:t>, 768 A2d 1217 (</w:t>
      </w:r>
      <w:proofErr w:type="spellStart"/>
      <w:r w:rsidRPr="00027A40">
        <w:rPr>
          <w:sz w:val="24"/>
          <w:szCs w:val="24"/>
        </w:rPr>
        <w:t>Pa.Cmwlth</w:t>
      </w:r>
      <w:proofErr w:type="spellEnd"/>
      <w:r w:rsidRPr="00027A40">
        <w:rPr>
          <w:sz w:val="24"/>
          <w:szCs w:val="24"/>
        </w:rPr>
        <w:t>. 2001).</w:t>
      </w:r>
      <w:proofErr w:type="gramEnd"/>
    </w:p>
    <w:p w:rsidR="00027A40" w:rsidRPr="00027A40" w:rsidRDefault="00027A40" w:rsidP="00027A40">
      <w:pPr>
        <w:spacing w:line="360" w:lineRule="auto"/>
        <w:ind w:firstLine="1440"/>
        <w:rPr>
          <w:sz w:val="24"/>
          <w:szCs w:val="24"/>
        </w:rPr>
      </w:pPr>
    </w:p>
    <w:p w:rsidR="00C17596" w:rsidRPr="00C17596" w:rsidRDefault="00C17596" w:rsidP="00C17596">
      <w:pPr>
        <w:spacing w:line="360" w:lineRule="auto"/>
        <w:rPr>
          <w:sz w:val="24"/>
          <w:szCs w:val="24"/>
          <w:u w:val="single"/>
        </w:rPr>
      </w:pPr>
      <w:r w:rsidRPr="00C17596">
        <w:rPr>
          <w:sz w:val="24"/>
          <w:szCs w:val="24"/>
          <w:u w:val="single"/>
        </w:rPr>
        <w:t>Threat to Terminate Service</w:t>
      </w:r>
    </w:p>
    <w:p w:rsidR="00C17596" w:rsidRDefault="00C17596" w:rsidP="00C17596">
      <w:pPr>
        <w:spacing w:line="360" w:lineRule="auto"/>
        <w:rPr>
          <w:sz w:val="24"/>
          <w:szCs w:val="24"/>
        </w:rPr>
      </w:pPr>
    </w:p>
    <w:p w:rsidR="00996629" w:rsidRPr="00027A40" w:rsidRDefault="00027A40" w:rsidP="003F2D07">
      <w:pPr>
        <w:spacing w:line="360" w:lineRule="auto"/>
        <w:ind w:firstLine="1440"/>
        <w:rPr>
          <w:sz w:val="24"/>
          <w:szCs w:val="24"/>
        </w:rPr>
      </w:pPr>
      <w:r w:rsidRPr="00596C70">
        <w:rPr>
          <w:sz w:val="24"/>
          <w:szCs w:val="24"/>
        </w:rPr>
        <w:t>Complainant</w:t>
      </w:r>
      <w:r w:rsidR="00FC33E0">
        <w:rPr>
          <w:sz w:val="24"/>
          <w:szCs w:val="24"/>
        </w:rPr>
        <w:t>s</w:t>
      </w:r>
      <w:r w:rsidRPr="00596C70">
        <w:rPr>
          <w:sz w:val="24"/>
          <w:szCs w:val="24"/>
        </w:rPr>
        <w:t xml:space="preserve"> </w:t>
      </w:r>
      <w:r w:rsidR="0042730D" w:rsidRPr="00596C70">
        <w:rPr>
          <w:sz w:val="24"/>
          <w:szCs w:val="24"/>
        </w:rPr>
        <w:t xml:space="preserve">first assert </w:t>
      </w:r>
      <w:r w:rsidR="003B4FB4" w:rsidRPr="00596C70">
        <w:rPr>
          <w:sz w:val="24"/>
          <w:szCs w:val="24"/>
        </w:rPr>
        <w:t>that</w:t>
      </w:r>
      <w:r w:rsidR="003B4FB4" w:rsidRPr="000E00DF">
        <w:rPr>
          <w:b/>
          <w:sz w:val="24"/>
          <w:szCs w:val="24"/>
        </w:rPr>
        <w:t xml:space="preserve"> </w:t>
      </w:r>
      <w:r w:rsidR="00775433">
        <w:rPr>
          <w:sz w:val="24"/>
          <w:szCs w:val="24"/>
        </w:rPr>
        <w:t>Respondent was threatening to shut off their service or had already shut off their service</w:t>
      </w:r>
      <w:r w:rsidR="00996629">
        <w:rPr>
          <w:sz w:val="24"/>
          <w:szCs w:val="24"/>
        </w:rPr>
        <w:t xml:space="preserve">.  On October 29, 2015, the Company issued a termination notice advising that service would be terminated on November 12, 2015 resulting from a delinquent balance of $731.  Service was not terminated because Complainants filed a formal complaint after receiving the termination notice.  </w:t>
      </w:r>
      <w:r w:rsidR="00996629" w:rsidRPr="00EA260E">
        <w:rPr>
          <w:sz w:val="24"/>
          <w:szCs w:val="24"/>
        </w:rPr>
        <w:t xml:space="preserve">No evidence was presented that </w:t>
      </w:r>
      <w:r w:rsidR="00115DA3">
        <w:rPr>
          <w:sz w:val="24"/>
          <w:szCs w:val="24"/>
        </w:rPr>
        <w:t>Complainants</w:t>
      </w:r>
      <w:r w:rsidR="00EA260E">
        <w:rPr>
          <w:sz w:val="24"/>
          <w:szCs w:val="24"/>
        </w:rPr>
        <w:t xml:space="preserve"> did not owe the delinquent balance alleged by Respondent</w:t>
      </w:r>
      <w:r w:rsidR="00157048">
        <w:rPr>
          <w:sz w:val="24"/>
          <w:szCs w:val="24"/>
        </w:rPr>
        <w:t xml:space="preserve"> </w:t>
      </w:r>
      <w:r w:rsidR="00EA260E">
        <w:rPr>
          <w:sz w:val="24"/>
          <w:szCs w:val="24"/>
        </w:rPr>
        <w:t xml:space="preserve">or that Respondent failed to abide by any law or regulation regarding the termination notice that was sent to Complainants.  In fact, </w:t>
      </w:r>
      <w:r w:rsidR="00EA260E">
        <w:rPr>
          <w:sz w:val="24"/>
          <w:szCs w:val="24"/>
        </w:rPr>
        <w:lastRenderedPageBreak/>
        <w:t xml:space="preserve">according to the testimony of Mr. </w:t>
      </w:r>
      <w:proofErr w:type="spellStart"/>
      <w:r w:rsidR="00EA260E">
        <w:rPr>
          <w:sz w:val="24"/>
          <w:szCs w:val="24"/>
        </w:rPr>
        <w:t>Goforth</w:t>
      </w:r>
      <w:proofErr w:type="spellEnd"/>
      <w:r w:rsidR="00EA260E">
        <w:rPr>
          <w:sz w:val="24"/>
          <w:szCs w:val="24"/>
        </w:rPr>
        <w:t>, t</w:t>
      </w:r>
      <w:r w:rsidR="00996629">
        <w:rPr>
          <w:sz w:val="24"/>
          <w:szCs w:val="24"/>
        </w:rPr>
        <w:t xml:space="preserve">he entire reason that Complainants filed their formal complaint was to stop the termination of their electric service.  </w:t>
      </w:r>
      <w:proofErr w:type="gramStart"/>
      <w:r w:rsidR="00EA260E">
        <w:rPr>
          <w:sz w:val="24"/>
          <w:szCs w:val="24"/>
        </w:rPr>
        <w:t>(</w:t>
      </w:r>
      <w:r w:rsidR="00996629">
        <w:rPr>
          <w:sz w:val="24"/>
          <w:szCs w:val="24"/>
        </w:rPr>
        <w:t>N.T. 75.</w:t>
      </w:r>
      <w:r w:rsidR="00EA260E">
        <w:rPr>
          <w:sz w:val="24"/>
          <w:szCs w:val="24"/>
        </w:rPr>
        <w:t>)</w:t>
      </w:r>
      <w:proofErr w:type="gramEnd"/>
      <w:r w:rsidR="00EA260E">
        <w:rPr>
          <w:sz w:val="24"/>
          <w:szCs w:val="24"/>
        </w:rPr>
        <w:t xml:space="preserve">  </w:t>
      </w:r>
    </w:p>
    <w:p w:rsidR="0001364A" w:rsidRDefault="0001364A" w:rsidP="003F2D07">
      <w:pPr>
        <w:spacing w:line="360" w:lineRule="auto"/>
        <w:ind w:right="36" w:firstLine="1440"/>
        <w:rPr>
          <w:b/>
          <w:sz w:val="24"/>
          <w:szCs w:val="24"/>
        </w:rPr>
      </w:pPr>
    </w:p>
    <w:p w:rsidR="00A82C04" w:rsidRPr="00027A40" w:rsidRDefault="0001364A" w:rsidP="003F2D07">
      <w:pPr>
        <w:spacing w:line="360" w:lineRule="auto"/>
        <w:ind w:firstLine="1440"/>
        <w:rPr>
          <w:sz w:val="24"/>
          <w:szCs w:val="24"/>
        </w:rPr>
      </w:pPr>
      <w:r>
        <w:rPr>
          <w:sz w:val="24"/>
          <w:szCs w:val="24"/>
        </w:rPr>
        <w:t xml:space="preserve">“Mere bald assertions … do not constitute evidence.”  </w:t>
      </w:r>
      <w:proofErr w:type="gramStart"/>
      <w:r w:rsidRPr="00027A40">
        <w:rPr>
          <w:i/>
          <w:sz w:val="24"/>
          <w:szCs w:val="24"/>
        </w:rPr>
        <w:t>Pennsylvania Bureau of Corrections v. City of Pittsburgh</w:t>
      </w:r>
      <w:r>
        <w:rPr>
          <w:sz w:val="24"/>
          <w:szCs w:val="24"/>
        </w:rPr>
        <w:t xml:space="preserve">, 516 Pa. 75, 532 A.2d 12 (1987); </w:t>
      </w:r>
      <w:proofErr w:type="spellStart"/>
      <w:r w:rsidRPr="00027A40">
        <w:rPr>
          <w:i/>
          <w:sz w:val="24"/>
          <w:szCs w:val="24"/>
        </w:rPr>
        <w:t>MidAtlantic</w:t>
      </w:r>
      <w:proofErr w:type="spellEnd"/>
      <w:r w:rsidRPr="00027A40">
        <w:rPr>
          <w:i/>
          <w:sz w:val="24"/>
          <w:szCs w:val="24"/>
        </w:rPr>
        <w:t xml:space="preserve"> Power Supply Association of Pennsylvania v. Pa. Pub.</w:t>
      </w:r>
      <w:proofErr w:type="gramEnd"/>
      <w:r w:rsidRPr="00027A40">
        <w:rPr>
          <w:i/>
          <w:sz w:val="24"/>
          <w:szCs w:val="24"/>
        </w:rPr>
        <w:t xml:space="preserve"> Util. </w:t>
      </w:r>
      <w:proofErr w:type="spellStart"/>
      <w:r w:rsidRPr="00027A40">
        <w:rPr>
          <w:i/>
          <w:sz w:val="24"/>
          <w:szCs w:val="24"/>
        </w:rPr>
        <w:t>Comm’n</w:t>
      </w:r>
      <w:proofErr w:type="spellEnd"/>
      <w:r>
        <w:rPr>
          <w:sz w:val="24"/>
          <w:szCs w:val="24"/>
        </w:rPr>
        <w:t>, 746 A.2d 1196, 1200 (</w:t>
      </w:r>
      <w:proofErr w:type="spellStart"/>
      <w:r>
        <w:rPr>
          <w:sz w:val="24"/>
          <w:szCs w:val="24"/>
        </w:rPr>
        <w:t>Pa.Cmwlth</w:t>
      </w:r>
      <w:proofErr w:type="spellEnd"/>
      <w:r>
        <w:rPr>
          <w:sz w:val="24"/>
          <w:szCs w:val="24"/>
        </w:rPr>
        <w:t xml:space="preserve">. 2000); see also, </w:t>
      </w:r>
      <w:proofErr w:type="spellStart"/>
      <w:r w:rsidRPr="00027A40">
        <w:rPr>
          <w:i/>
          <w:sz w:val="24"/>
          <w:szCs w:val="24"/>
        </w:rPr>
        <w:t>Steffy’s</w:t>
      </w:r>
      <w:proofErr w:type="spellEnd"/>
      <w:r w:rsidRPr="00027A40">
        <w:rPr>
          <w:i/>
          <w:sz w:val="24"/>
          <w:szCs w:val="24"/>
        </w:rPr>
        <w:t xml:space="preserve"> Pattern Shop v. Frontier Communications of Pennsylvania</w:t>
      </w:r>
      <w:r>
        <w:rPr>
          <w:sz w:val="24"/>
          <w:szCs w:val="24"/>
        </w:rPr>
        <w:t>, Inc., R-00994808, (Opinion and Order entered March 3, 2000).  Complainant</w:t>
      </w:r>
      <w:r w:rsidR="00964566">
        <w:rPr>
          <w:sz w:val="24"/>
          <w:szCs w:val="24"/>
        </w:rPr>
        <w:t>s</w:t>
      </w:r>
      <w:r>
        <w:rPr>
          <w:sz w:val="24"/>
          <w:szCs w:val="24"/>
        </w:rPr>
        <w:t xml:space="preserve"> ha</w:t>
      </w:r>
      <w:r w:rsidR="00964566">
        <w:rPr>
          <w:sz w:val="24"/>
          <w:szCs w:val="24"/>
        </w:rPr>
        <w:t>ve</w:t>
      </w:r>
      <w:r>
        <w:rPr>
          <w:sz w:val="24"/>
          <w:szCs w:val="24"/>
        </w:rPr>
        <w:t xml:space="preserve"> not established a </w:t>
      </w:r>
      <w:r w:rsidRPr="00340838">
        <w:rPr>
          <w:i/>
          <w:sz w:val="24"/>
          <w:szCs w:val="24"/>
        </w:rPr>
        <w:t>prima facie</w:t>
      </w:r>
      <w:r>
        <w:rPr>
          <w:sz w:val="24"/>
          <w:szCs w:val="24"/>
        </w:rPr>
        <w:t xml:space="preserve"> case that the termination notice provided by Respond</w:t>
      </w:r>
      <w:r w:rsidR="009E2A81">
        <w:rPr>
          <w:sz w:val="24"/>
          <w:szCs w:val="24"/>
        </w:rPr>
        <w:t>e</w:t>
      </w:r>
      <w:r>
        <w:rPr>
          <w:sz w:val="24"/>
          <w:szCs w:val="24"/>
        </w:rPr>
        <w:t xml:space="preserve">nt </w:t>
      </w:r>
      <w:r w:rsidR="009E2A81">
        <w:rPr>
          <w:sz w:val="24"/>
          <w:szCs w:val="24"/>
        </w:rPr>
        <w:t xml:space="preserve">violated any rule, regulation or order of the Commission.  </w:t>
      </w:r>
      <w:r>
        <w:rPr>
          <w:sz w:val="24"/>
          <w:szCs w:val="24"/>
        </w:rPr>
        <w:t>Complainant</w:t>
      </w:r>
      <w:r w:rsidR="00964566">
        <w:rPr>
          <w:sz w:val="24"/>
          <w:szCs w:val="24"/>
        </w:rPr>
        <w:t>s</w:t>
      </w:r>
      <w:r>
        <w:rPr>
          <w:sz w:val="24"/>
          <w:szCs w:val="24"/>
        </w:rPr>
        <w:t xml:space="preserve"> did not present any credible evidence to establish that Respondent improperly </w:t>
      </w:r>
      <w:r w:rsidR="009E2A81">
        <w:rPr>
          <w:sz w:val="24"/>
          <w:szCs w:val="24"/>
        </w:rPr>
        <w:t xml:space="preserve">provided them with a termination notice. </w:t>
      </w:r>
      <w:r>
        <w:rPr>
          <w:sz w:val="24"/>
          <w:szCs w:val="24"/>
        </w:rPr>
        <w:t xml:space="preserve"> </w:t>
      </w:r>
      <w:r w:rsidR="00A82C04">
        <w:rPr>
          <w:sz w:val="24"/>
          <w:szCs w:val="24"/>
        </w:rPr>
        <w:t>Accordingly, no relief is available to Complainants regarding this claim.</w:t>
      </w:r>
    </w:p>
    <w:p w:rsidR="0001364A" w:rsidRDefault="0001364A" w:rsidP="00717766">
      <w:pPr>
        <w:spacing w:line="360" w:lineRule="auto"/>
        <w:ind w:right="36" w:firstLine="1440"/>
        <w:rPr>
          <w:sz w:val="24"/>
          <w:szCs w:val="24"/>
        </w:rPr>
      </w:pPr>
    </w:p>
    <w:p w:rsidR="00C17596" w:rsidRPr="00C17596" w:rsidRDefault="00C17596" w:rsidP="00C17596">
      <w:pPr>
        <w:spacing w:line="360" w:lineRule="auto"/>
        <w:ind w:right="36"/>
        <w:rPr>
          <w:sz w:val="24"/>
          <w:szCs w:val="24"/>
          <w:u w:val="single"/>
        </w:rPr>
      </w:pPr>
      <w:r w:rsidRPr="00C17596">
        <w:rPr>
          <w:sz w:val="24"/>
          <w:szCs w:val="24"/>
          <w:u w:val="single"/>
        </w:rPr>
        <w:t>Incorrect Charges on Bill</w:t>
      </w:r>
    </w:p>
    <w:p w:rsidR="00C17596" w:rsidRDefault="00C17596" w:rsidP="00C17596">
      <w:pPr>
        <w:spacing w:line="360" w:lineRule="auto"/>
        <w:ind w:right="36"/>
        <w:rPr>
          <w:sz w:val="24"/>
          <w:szCs w:val="24"/>
        </w:rPr>
      </w:pPr>
    </w:p>
    <w:p w:rsidR="00A53AEA" w:rsidRDefault="00157048" w:rsidP="00A53AEA">
      <w:pPr>
        <w:spacing w:line="360" w:lineRule="auto"/>
        <w:ind w:firstLine="1440"/>
        <w:rPr>
          <w:sz w:val="24"/>
          <w:szCs w:val="24"/>
        </w:rPr>
      </w:pPr>
      <w:r w:rsidRPr="00157048">
        <w:rPr>
          <w:sz w:val="24"/>
          <w:szCs w:val="24"/>
        </w:rPr>
        <w:t>Next, Complainants allege the existence of</w:t>
      </w:r>
      <w:r>
        <w:rPr>
          <w:sz w:val="24"/>
          <w:szCs w:val="24"/>
        </w:rPr>
        <w:t xml:space="preserve"> incorrect charges on their bill.  When asked for the factual basis for this claim, Ms. </w:t>
      </w:r>
      <w:proofErr w:type="spellStart"/>
      <w:r>
        <w:rPr>
          <w:sz w:val="24"/>
          <w:szCs w:val="24"/>
        </w:rPr>
        <w:t>Goforth</w:t>
      </w:r>
      <w:proofErr w:type="spellEnd"/>
      <w:r>
        <w:rPr>
          <w:sz w:val="24"/>
          <w:szCs w:val="24"/>
        </w:rPr>
        <w:t xml:space="preserve"> stated “Well the incorrect charges on my bill --- or my facts are based on Gospel and the word of God as evidence.”  </w:t>
      </w:r>
      <w:proofErr w:type="gramStart"/>
      <w:r>
        <w:rPr>
          <w:sz w:val="24"/>
          <w:szCs w:val="24"/>
        </w:rPr>
        <w:t>(N.T. 51.)</w:t>
      </w:r>
      <w:proofErr w:type="gramEnd"/>
      <w:r>
        <w:rPr>
          <w:sz w:val="24"/>
          <w:szCs w:val="24"/>
        </w:rPr>
        <w:t xml:space="preserve">  Ms.</w:t>
      </w:r>
      <w:r w:rsidR="00115DA3">
        <w:rPr>
          <w:sz w:val="24"/>
          <w:szCs w:val="24"/>
        </w:rPr>
        <w:t> </w:t>
      </w:r>
      <w:proofErr w:type="spellStart"/>
      <w:r>
        <w:rPr>
          <w:sz w:val="24"/>
          <w:szCs w:val="24"/>
        </w:rPr>
        <w:t>Goforth</w:t>
      </w:r>
      <w:proofErr w:type="spellEnd"/>
      <w:r>
        <w:rPr>
          <w:sz w:val="24"/>
          <w:szCs w:val="24"/>
        </w:rPr>
        <w:t xml:space="preserve"> then explained that she received a letter on the Company</w:t>
      </w:r>
      <w:r w:rsidR="00A53AEA">
        <w:rPr>
          <w:sz w:val="24"/>
          <w:szCs w:val="24"/>
        </w:rPr>
        <w:t>’</w:t>
      </w:r>
      <w:r>
        <w:rPr>
          <w:sz w:val="24"/>
          <w:szCs w:val="24"/>
        </w:rPr>
        <w:t>s letterhead and with its telephone number advising that she used more kilo</w:t>
      </w:r>
      <w:r w:rsidR="00A64A8B">
        <w:rPr>
          <w:sz w:val="24"/>
          <w:szCs w:val="24"/>
        </w:rPr>
        <w:t xml:space="preserve">watt hours than she actually used.  </w:t>
      </w:r>
      <w:r w:rsidR="00A53AEA">
        <w:rPr>
          <w:sz w:val="24"/>
          <w:szCs w:val="24"/>
        </w:rPr>
        <w:t>It appears that the basis of this claim is that Complainants received a letter, on some unknown date prior to filing the formal complaint, containing Respondent</w:t>
      </w:r>
      <w:r w:rsidR="00E03566">
        <w:rPr>
          <w:sz w:val="24"/>
          <w:szCs w:val="24"/>
        </w:rPr>
        <w:t>’</w:t>
      </w:r>
      <w:r w:rsidR="00A53AEA">
        <w:rPr>
          <w:sz w:val="24"/>
          <w:szCs w:val="24"/>
        </w:rPr>
        <w:t>s name and telephone number at the top of the letterhead.  The letter referenced Complainants</w:t>
      </w:r>
      <w:r w:rsidR="00E03566">
        <w:rPr>
          <w:sz w:val="24"/>
          <w:szCs w:val="24"/>
        </w:rPr>
        <w:t>’</w:t>
      </w:r>
      <w:r w:rsidR="00A53AEA">
        <w:rPr>
          <w:sz w:val="24"/>
          <w:szCs w:val="24"/>
        </w:rPr>
        <w:t xml:space="preserve"> </w:t>
      </w:r>
      <w:r w:rsidR="00FC33E0">
        <w:rPr>
          <w:sz w:val="24"/>
          <w:szCs w:val="24"/>
        </w:rPr>
        <w:t xml:space="preserve">monthly </w:t>
      </w:r>
      <w:r w:rsidR="00A53AEA">
        <w:rPr>
          <w:sz w:val="24"/>
          <w:szCs w:val="24"/>
        </w:rPr>
        <w:t>energy use of approximately 1300</w:t>
      </w:r>
      <w:r w:rsidR="00FC33E0">
        <w:rPr>
          <w:sz w:val="24"/>
          <w:szCs w:val="24"/>
        </w:rPr>
        <w:t> </w:t>
      </w:r>
      <w:r w:rsidR="00A53AEA">
        <w:rPr>
          <w:sz w:val="24"/>
          <w:szCs w:val="24"/>
        </w:rPr>
        <w:t xml:space="preserve">kilowatt hours as compared to approximately 900 kilowatt hours used at other households in their area.  In response to the letter, Ms. </w:t>
      </w:r>
      <w:proofErr w:type="spellStart"/>
      <w:r w:rsidR="00A53AEA">
        <w:rPr>
          <w:sz w:val="24"/>
          <w:szCs w:val="24"/>
        </w:rPr>
        <w:t>Goforth</w:t>
      </w:r>
      <w:proofErr w:type="spellEnd"/>
      <w:r w:rsidR="00A53AEA">
        <w:rPr>
          <w:sz w:val="24"/>
          <w:szCs w:val="24"/>
        </w:rPr>
        <w:t xml:space="preserve"> called the telephone number on the letterhead, believing that she was speaking with a female representative of the Company</w:t>
      </w:r>
      <w:r w:rsidR="004C1C72">
        <w:rPr>
          <w:sz w:val="24"/>
          <w:szCs w:val="24"/>
        </w:rPr>
        <w:t xml:space="preserve">. </w:t>
      </w:r>
    </w:p>
    <w:p w:rsidR="004C1C72" w:rsidRDefault="004C1C72" w:rsidP="00A53AEA">
      <w:pPr>
        <w:spacing w:line="360" w:lineRule="auto"/>
        <w:ind w:firstLine="1440"/>
        <w:rPr>
          <w:sz w:val="24"/>
          <w:szCs w:val="24"/>
        </w:rPr>
      </w:pPr>
    </w:p>
    <w:p w:rsidR="00A53AEA" w:rsidRDefault="00A53AEA" w:rsidP="00A53AEA">
      <w:pPr>
        <w:spacing w:line="360" w:lineRule="auto"/>
        <w:ind w:firstLine="1440"/>
        <w:rPr>
          <w:sz w:val="24"/>
          <w:szCs w:val="24"/>
        </w:rPr>
      </w:pPr>
      <w:r>
        <w:rPr>
          <w:sz w:val="24"/>
          <w:szCs w:val="24"/>
        </w:rPr>
        <w:t xml:space="preserve">Based upon the testimony, the number on the letter that Complainant called was </w:t>
      </w:r>
      <w:r w:rsidR="004C1C72">
        <w:rPr>
          <w:sz w:val="24"/>
          <w:szCs w:val="24"/>
        </w:rPr>
        <w:t>answered at</w:t>
      </w:r>
      <w:r>
        <w:rPr>
          <w:sz w:val="24"/>
          <w:szCs w:val="24"/>
        </w:rPr>
        <w:t xml:space="preserve"> a call center located in Mexico operated by a third party, and not </w:t>
      </w:r>
      <w:proofErr w:type="gramStart"/>
      <w:r>
        <w:rPr>
          <w:sz w:val="24"/>
          <w:szCs w:val="24"/>
        </w:rPr>
        <w:t>Respondent</w:t>
      </w:r>
      <w:proofErr w:type="gramEnd"/>
      <w:r>
        <w:rPr>
          <w:sz w:val="24"/>
          <w:szCs w:val="24"/>
        </w:rPr>
        <w:t xml:space="preserve">. </w:t>
      </w:r>
      <w:r w:rsidR="00FE173C">
        <w:rPr>
          <w:sz w:val="24"/>
          <w:szCs w:val="24"/>
        </w:rPr>
        <w:t xml:space="preserve"> The apparent purpose of the letter was to encourage Complainants to call the number on the letter to discuss energy consumption and efficiency issues. </w:t>
      </w:r>
      <w:r>
        <w:rPr>
          <w:sz w:val="24"/>
          <w:szCs w:val="24"/>
        </w:rPr>
        <w:t xml:space="preserve"> Ms. </w:t>
      </w:r>
      <w:proofErr w:type="spellStart"/>
      <w:r>
        <w:rPr>
          <w:sz w:val="24"/>
          <w:szCs w:val="24"/>
        </w:rPr>
        <w:t>Goforth</w:t>
      </w:r>
      <w:proofErr w:type="spellEnd"/>
      <w:r>
        <w:rPr>
          <w:sz w:val="24"/>
          <w:szCs w:val="24"/>
        </w:rPr>
        <w:t xml:space="preserve"> asked the male representative if </w:t>
      </w:r>
      <w:r>
        <w:rPr>
          <w:sz w:val="24"/>
          <w:szCs w:val="24"/>
        </w:rPr>
        <w:lastRenderedPageBreak/>
        <w:t xml:space="preserve">the Company could lower her bill and was told she could call the Public Utility Commission.  In addition, the female representative gave Ms. </w:t>
      </w:r>
      <w:proofErr w:type="spellStart"/>
      <w:r>
        <w:rPr>
          <w:sz w:val="24"/>
          <w:szCs w:val="24"/>
        </w:rPr>
        <w:t>Goforth</w:t>
      </w:r>
      <w:proofErr w:type="spellEnd"/>
      <w:r>
        <w:rPr>
          <w:sz w:val="24"/>
          <w:szCs w:val="24"/>
        </w:rPr>
        <w:t xml:space="preserve"> another telephone number to call regarding her bill with Respondent.  Ms. </w:t>
      </w:r>
      <w:proofErr w:type="spellStart"/>
      <w:r>
        <w:rPr>
          <w:sz w:val="24"/>
          <w:szCs w:val="24"/>
        </w:rPr>
        <w:t>Goforth</w:t>
      </w:r>
      <w:proofErr w:type="spellEnd"/>
      <w:r>
        <w:rPr>
          <w:sz w:val="24"/>
          <w:szCs w:val="24"/>
        </w:rPr>
        <w:t xml:space="preserve"> complained that she was caused to expend her time and the cost of electricity to call the number on the letter that she received regarding her electric usage and energy efficiency.  Ms. </w:t>
      </w:r>
      <w:proofErr w:type="spellStart"/>
      <w:r>
        <w:rPr>
          <w:sz w:val="24"/>
          <w:szCs w:val="24"/>
        </w:rPr>
        <w:t>Goforth</w:t>
      </w:r>
      <w:proofErr w:type="spellEnd"/>
      <w:r>
        <w:rPr>
          <w:sz w:val="24"/>
          <w:szCs w:val="24"/>
        </w:rPr>
        <w:t xml:space="preserve"> also complained that the female who answered her call in response to the letter should have been able to address her concerns, instead of providing Ms. </w:t>
      </w:r>
      <w:proofErr w:type="spellStart"/>
      <w:r>
        <w:rPr>
          <w:sz w:val="24"/>
          <w:szCs w:val="24"/>
        </w:rPr>
        <w:t>Goforth</w:t>
      </w:r>
      <w:proofErr w:type="spellEnd"/>
      <w:r>
        <w:rPr>
          <w:sz w:val="24"/>
          <w:szCs w:val="24"/>
        </w:rPr>
        <w:t xml:space="preserve"> with another number to call.  </w:t>
      </w:r>
    </w:p>
    <w:p w:rsidR="00A53AEA" w:rsidRDefault="00A53AEA" w:rsidP="00A53AEA">
      <w:pPr>
        <w:spacing w:line="360" w:lineRule="auto"/>
        <w:ind w:firstLine="1440"/>
        <w:rPr>
          <w:sz w:val="24"/>
          <w:szCs w:val="24"/>
        </w:rPr>
      </w:pPr>
    </w:p>
    <w:p w:rsidR="00C846A6" w:rsidRDefault="00A53AEA" w:rsidP="00A53AEA">
      <w:pPr>
        <w:spacing w:line="360" w:lineRule="auto"/>
        <w:ind w:firstLine="1440"/>
        <w:rPr>
          <w:sz w:val="24"/>
          <w:szCs w:val="24"/>
        </w:rPr>
      </w:pPr>
      <w:r>
        <w:rPr>
          <w:sz w:val="24"/>
          <w:szCs w:val="24"/>
        </w:rPr>
        <w:t xml:space="preserve">The crux of the complaint is that Ms. </w:t>
      </w:r>
      <w:proofErr w:type="spellStart"/>
      <w:r>
        <w:rPr>
          <w:sz w:val="24"/>
          <w:szCs w:val="24"/>
        </w:rPr>
        <w:t>Goforth</w:t>
      </w:r>
      <w:proofErr w:type="spellEnd"/>
      <w:r>
        <w:rPr>
          <w:sz w:val="24"/>
          <w:szCs w:val="24"/>
        </w:rPr>
        <w:t xml:space="preserve"> testified that she called the number listed on the letter in order to find out how to make her home more energy efficient, and the female who answered her call could not provide her with the requested information.  Instead, Ms.</w:t>
      </w:r>
      <w:r w:rsidR="00E03566">
        <w:rPr>
          <w:sz w:val="24"/>
          <w:szCs w:val="24"/>
        </w:rPr>
        <w:t> </w:t>
      </w:r>
      <w:proofErr w:type="spellStart"/>
      <w:r>
        <w:rPr>
          <w:sz w:val="24"/>
          <w:szCs w:val="24"/>
        </w:rPr>
        <w:t>Goforth</w:t>
      </w:r>
      <w:proofErr w:type="spellEnd"/>
      <w:r>
        <w:rPr>
          <w:sz w:val="24"/>
          <w:szCs w:val="24"/>
        </w:rPr>
        <w:t xml:space="preserve"> was told to call another telephone number.  Ms. </w:t>
      </w:r>
      <w:proofErr w:type="spellStart"/>
      <w:r>
        <w:rPr>
          <w:sz w:val="24"/>
          <w:szCs w:val="24"/>
        </w:rPr>
        <w:t>Goforth</w:t>
      </w:r>
      <w:proofErr w:type="spellEnd"/>
      <w:r>
        <w:rPr>
          <w:sz w:val="24"/>
          <w:szCs w:val="24"/>
        </w:rPr>
        <w:t xml:space="preserve"> explained that the letter caused her to take the time and incur the cost of calling the telephone number on the letter</w:t>
      </w:r>
      <w:r w:rsidR="00CA050C">
        <w:rPr>
          <w:sz w:val="24"/>
          <w:szCs w:val="24"/>
        </w:rPr>
        <w:t>,</w:t>
      </w:r>
      <w:r>
        <w:rPr>
          <w:sz w:val="24"/>
          <w:szCs w:val="24"/>
        </w:rPr>
        <w:t xml:space="preserve"> and </w:t>
      </w:r>
      <w:r w:rsidR="004C1C72">
        <w:rPr>
          <w:sz w:val="24"/>
          <w:szCs w:val="24"/>
        </w:rPr>
        <w:t xml:space="preserve">she </w:t>
      </w:r>
      <w:r>
        <w:rPr>
          <w:sz w:val="24"/>
          <w:szCs w:val="24"/>
        </w:rPr>
        <w:t xml:space="preserve">potentially could have called another number.  She explained that she believed the purpose of the letter and the </w:t>
      </w:r>
      <w:proofErr w:type="gramStart"/>
      <w:r>
        <w:rPr>
          <w:sz w:val="24"/>
          <w:szCs w:val="24"/>
        </w:rPr>
        <w:t>actions of the female representative was</w:t>
      </w:r>
      <w:proofErr w:type="gramEnd"/>
      <w:r>
        <w:rPr>
          <w:sz w:val="24"/>
          <w:szCs w:val="24"/>
        </w:rPr>
        <w:t xml:space="preserve"> to </w:t>
      </w:r>
      <w:r w:rsidR="00C846A6">
        <w:rPr>
          <w:sz w:val="24"/>
          <w:szCs w:val="24"/>
        </w:rPr>
        <w:t xml:space="preserve">steal from her.  </w:t>
      </w:r>
      <w:proofErr w:type="gramStart"/>
      <w:r w:rsidR="00C846A6">
        <w:rPr>
          <w:sz w:val="24"/>
          <w:szCs w:val="24"/>
        </w:rPr>
        <w:t>(N.T. 52).</w:t>
      </w:r>
      <w:proofErr w:type="gramEnd"/>
      <w:r>
        <w:rPr>
          <w:sz w:val="24"/>
          <w:szCs w:val="24"/>
        </w:rPr>
        <w:t xml:space="preserve">  </w:t>
      </w:r>
      <w:r w:rsidR="00C846A6">
        <w:rPr>
          <w:sz w:val="24"/>
          <w:szCs w:val="24"/>
        </w:rPr>
        <w:t>Ms.</w:t>
      </w:r>
      <w:r w:rsidR="00CA050C">
        <w:rPr>
          <w:sz w:val="24"/>
          <w:szCs w:val="24"/>
        </w:rPr>
        <w:t> </w:t>
      </w:r>
      <w:proofErr w:type="spellStart"/>
      <w:r w:rsidR="00C846A6">
        <w:rPr>
          <w:sz w:val="24"/>
          <w:szCs w:val="24"/>
        </w:rPr>
        <w:t>Goforth</w:t>
      </w:r>
      <w:proofErr w:type="spellEnd"/>
      <w:r w:rsidR="00C846A6">
        <w:rPr>
          <w:sz w:val="24"/>
          <w:szCs w:val="24"/>
        </w:rPr>
        <w:t xml:space="preserve"> explained that the female representative was “trying to steal my kilowatt hours and lying about it.”  </w:t>
      </w:r>
      <w:proofErr w:type="gramStart"/>
      <w:r w:rsidR="00C846A6">
        <w:rPr>
          <w:sz w:val="24"/>
          <w:szCs w:val="24"/>
        </w:rPr>
        <w:t>(N.T. 55.)</w:t>
      </w:r>
      <w:proofErr w:type="gramEnd"/>
      <w:r w:rsidR="00C846A6">
        <w:rPr>
          <w:sz w:val="24"/>
          <w:szCs w:val="24"/>
        </w:rPr>
        <w:t xml:space="preserve">  Ms. </w:t>
      </w:r>
      <w:proofErr w:type="spellStart"/>
      <w:r w:rsidR="00C846A6">
        <w:rPr>
          <w:sz w:val="24"/>
          <w:szCs w:val="24"/>
        </w:rPr>
        <w:t>Goforth</w:t>
      </w:r>
      <w:proofErr w:type="spellEnd"/>
      <w:r w:rsidR="00C846A6">
        <w:rPr>
          <w:sz w:val="24"/>
          <w:szCs w:val="24"/>
        </w:rPr>
        <w:t xml:space="preserve"> explained</w:t>
      </w:r>
      <w:r w:rsidR="00CA050C">
        <w:rPr>
          <w:sz w:val="24"/>
          <w:szCs w:val="24"/>
        </w:rPr>
        <w:t>,</w:t>
      </w:r>
      <w:r w:rsidR="00C846A6">
        <w:rPr>
          <w:sz w:val="24"/>
          <w:szCs w:val="24"/>
        </w:rPr>
        <w:t xml:space="preserve"> “After I reprimanded and rebuked her.  She wasn’t going to.  She wanted to get my --- steal my kilowatt hours, my electric and my time.  I have to work out here for that.”  </w:t>
      </w:r>
      <w:proofErr w:type="gramStart"/>
      <w:r w:rsidR="00C846A6">
        <w:rPr>
          <w:sz w:val="24"/>
          <w:szCs w:val="24"/>
        </w:rPr>
        <w:t>(N.T. 55).</w:t>
      </w:r>
      <w:proofErr w:type="gramEnd"/>
      <w:r w:rsidR="001F661B">
        <w:rPr>
          <w:sz w:val="24"/>
          <w:szCs w:val="24"/>
        </w:rPr>
        <w:t xml:space="preserve">  Ms. </w:t>
      </w:r>
      <w:proofErr w:type="spellStart"/>
      <w:r w:rsidR="001F661B">
        <w:rPr>
          <w:sz w:val="24"/>
          <w:szCs w:val="24"/>
        </w:rPr>
        <w:t>Goforth</w:t>
      </w:r>
      <w:proofErr w:type="spellEnd"/>
      <w:r w:rsidR="001F661B">
        <w:rPr>
          <w:sz w:val="24"/>
          <w:szCs w:val="24"/>
        </w:rPr>
        <w:t xml:space="preserve"> continued</w:t>
      </w:r>
      <w:r w:rsidR="00CA050C">
        <w:rPr>
          <w:sz w:val="24"/>
          <w:szCs w:val="24"/>
        </w:rPr>
        <w:t>,</w:t>
      </w:r>
      <w:r w:rsidR="001F661B">
        <w:rPr>
          <w:sz w:val="24"/>
          <w:szCs w:val="24"/>
        </w:rPr>
        <w:t xml:space="preserve"> “The incorrect </w:t>
      </w:r>
      <w:proofErr w:type="gramStart"/>
      <w:r w:rsidR="001F661B">
        <w:rPr>
          <w:sz w:val="24"/>
          <w:szCs w:val="24"/>
        </w:rPr>
        <w:t>charges is</w:t>
      </w:r>
      <w:proofErr w:type="gramEnd"/>
      <w:r w:rsidR="001F661B">
        <w:rPr>
          <w:sz w:val="24"/>
          <w:szCs w:val="24"/>
        </w:rPr>
        <w:t xml:space="preserve"> because of the crooked government.  They’re lying and stealing people’s money.  And they’re getting by with raising our bills.  It shouldn’t be going on.”  </w:t>
      </w:r>
      <w:proofErr w:type="gramStart"/>
      <w:r w:rsidR="001F661B">
        <w:rPr>
          <w:sz w:val="24"/>
          <w:szCs w:val="24"/>
        </w:rPr>
        <w:t>(N.T. 57.)</w:t>
      </w:r>
      <w:proofErr w:type="gramEnd"/>
    </w:p>
    <w:p w:rsidR="00C846A6" w:rsidRDefault="00C846A6" w:rsidP="00A53AEA">
      <w:pPr>
        <w:spacing w:line="360" w:lineRule="auto"/>
        <w:ind w:firstLine="1440"/>
        <w:rPr>
          <w:sz w:val="24"/>
          <w:szCs w:val="24"/>
        </w:rPr>
      </w:pPr>
    </w:p>
    <w:p w:rsidR="00132C14" w:rsidRDefault="00C846A6" w:rsidP="00A53AEA">
      <w:pPr>
        <w:spacing w:line="360" w:lineRule="auto"/>
        <w:ind w:firstLine="1440"/>
        <w:rPr>
          <w:sz w:val="24"/>
          <w:szCs w:val="24"/>
        </w:rPr>
      </w:pPr>
      <w:r>
        <w:rPr>
          <w:sz w:val="24"/>
          <w:szCs w:val="24"/>
        </w:rPr>
        <w:t xml:space="preserve">Neither party produced the letter which is the subject of the dispute at the hearing in this proceeding.  The testimony indicated that during the call, </w:t>
      </w:r>
      <w:r w:rsidR="004C1C72">
        <w:rPr>
          <w:sz w:val="24"/>
          <w:szCs w:val="24"/>
        </w:rPr>
        <w:t xml:space="preserve">Ms. </w:t>
      </w:r>
      <w:proofErr w:type="spellStart"/>
      <w:r w:rsidR="004C1C72">
        <w:rPr>
          <w:sz w:val="24"/>
          <w:szCs w:val="24"/>
        </w:rPr>
        <w:t>Goforth</w:t>
      </w:r>
      <w:proofErr w:type="spellEnd"/>
      <w:r w:rsidR="004C1C72">
        <w:rPr>
          <w:sz w:val="24"/>
          <w:szCs w:val="24"/>
        </w:rPr>
        <w:t xml:space="preserve"> </w:t>
      </w:r>
      <w:r w:rsidR="00FE173C">
        <w:rPr>
          <w:sz w:val="24"/>
          <w:szCs w:val="24"/>
        </w:rPr>
        <w:t>re</w:t>
      </w:r>
      <w:r>
        <w:rPr>
          <w:sz w:val="24"/>
          <w:szCs w:val="24"/>
        </w:rPr>
        <w:t xml:space="preserve">quested how </w:t>
      </w:r>
      <w:r w:rsidR="004C1C72">
        <w:rPr>
          <w:sz w:val="24"/>
          <w:szCs w:val="24"/>
        </w:rPr>
        <w:t>her</w:t>
      </w:r>
      <w:r>
        <w:rPr>
          <w:sz w:val="24"/>
          <w:szCs w:val="24"/>
        </w:rPr>
        <w:t xml:space="preserve"> bill could be reduced.  This certainly could have been the reason to provide Complainants with a</w:t>
      </w:r>
      <w:r w:rsidR="00132C14">
        <w:rPr>
          <w:sz w:val="24"/>
          <w:szCs w:val="24"/>
        </w:rPr>
        <w:t xml:space="preserve">nother telephone number to call or to refer her to the Commission.  In addition, </w:t>
      </w:r>
      <w:r w:rsidR="009922B1">
        <w:rPr>
          <w:sz w:val="24"/>
          <w:szCs w:val="24"/>
        </w:rPr>
        <w:t xml:space="preserve">during the call, </w:t>
      </w:r>
      <w:r w:rsidR="00132C14">
        <w:rPr>
          <w:sz w:val="24"/>
          <w:szCs w:val="24"/>
        </w:rPr>
        <w:t xml:space="preserve">Ms. </w:t>
      </w:r>
      <w:proofErr w:type="spellStart"/>
      <w:r w:rsidR="00132C14">
        <w:rPr>
          <w:sz w:val="24"/>
          <w:szCs w:val="24"/>
        </w:rPr>
        <w:t>Goforth</w:t>
      </w:r>
      <w:proofErr w:type="spellEnd"/>
      <w:r w:rsidR="00132C14">
        <w:rPr>
          <w:sz w:val="24"/>
          <w:szCs w:val="24"/>
        </w:rPr>
        <w:t xml:space="preserve"> </w:t>
      </w:r>
      <w:r w:rsidR="009922B1">
        <w:rPr>
          <w:sz w:val="24"/>
          <w:szCs w:val="24"/>
        </w:rPr>
        <w:t xml:space="preserve">told </w:t>
      </w:r>
      <w:r w:rsidR="00132C14">
        <w:rPr>
          <w:sz w:val="24"/>
          <w:szCs w:val="24"/>
        </w:rPr>
        <w:t xml:space="preserve">the female representative </w:t>
      </w:r>
      <w:r w:rsidR="009922B1">
        <w:rPr>
          <w:sz w:val="24"/>
          <w:szCs w:val="24"/>
        </w:rPr>
        <w:t xml:space="preserve">that she </w:t>
      </w:r>
      <w:r w:rsidR="00132C14">
        <w:rPr>
          <w:sz w:val="24"/>
          <w:szCs w:val="24"/>
        </w:rPr>
        <w:t xml:space="preserve">was trying to steal from </w:t>
      </w:r>
      <w:r w:rsidR="009922B1">
        <w:rPr>
          <w:sz w:val="24"/>
          <w:szCs w:val="24"/>
        </w:rPr>
        <w:t xml:space="preserve">Ms. </w:t>
      </w:r>
      <w:proofErr w:type="spellStart"/>
      <w:r w:rsidR="009922B1">
        <w:rPr>
          <w:sz w:val="24"/>
          <w:szCs w:val="24"/>
        </w:rPr>
        <w:t>Goforth</w:t>
      </w:r>
      <w:proofErr w:type="spellEnd"/>
      <w:r w:rsidR="00132C14">
        <w:rPr>
          <w:sz w:val="24"/>
          <w:szCs w:val="24"/>
        </w:rPr>
        <w:t xml:space="preserve"> causing Ms. </w:t>
      </w:r>
      <w:proofErr w:type="spellStart"/>
      <w:r w:rsidR="00132C14">
        <w:rPr>
          <w:sz w:val="24"/>
          <w:szCs w:val="24"/>
        </w:rPr>
        <w:t>Goforth</w:t>
      </w:r>
      <w:proofErr w:type="spellEnd"/>
      <w:r w:rsidR="00132C14">
        <w:rPr>
          <w:sz w:val="24"/>
          <w:szCs w:val="24"/>
        </w:rPr>
        <w:t xml:space="preserve"> to rebuke and reprimand the representative.</w:t>
      </w:r>
    </w:p>
    <w:p w:rsidR="00124BA5" w:rsidRDefault="00124BA5" w:rsidP="00124BA5">
      <w:pPr>
        <w:pStyle w:val="PlainText"/>
      </w:pPr>
    </w:p>
    <w:p w:rsidR="00124BA5" w:rsidRDefault="00124BA5" w:rsidP="00124BA5">
      <w:pPr>
        <w:pStyle w:val="PlainText"/>
      </w:pPr>
    </w:p>
    <w:p w:rsidR="00124BA5" w:rsidRDefault="00124BA5" w:rsidP="00124BA5">
      <w:pPr>
        <w:pStyle w:val="PlainText"/>
      </w:pPr>
    </w:p>
    <w:p w:rsidR="00124BA5" w:rsidRDefault="00124BA5" w:rsidP="00124BA5">
      <w:pPr>
        <w:pStyle w:val="PlainText"/>
      </w:pPr>
      <w:r>
        <w:t xml:space="preserve"> </w:t>
      </w:r>
    </w:p>
    <w:p w:rsidR="00124BA5" w:rsidRDefault="00124BA5" w:rsidP="00124BA5">
      <w:pPr>
        <w:pStyle w:val="PlainText"/>
      </w:pPr>
    </w:p>
    <w:p w:rsidR="00124BA5" w:rsidRPr="00124BA5" w:rsidRDefault="00124BA5" w:rsidP="00124BA5">
      <w:pPr>
        <w:pStyle w:val="PlainText"/>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124BA5">
        <w:rPr>
          <w:rFonts w:ascii="Times New Roman" w:hAnsi="Times New Roman" w:cs="Times New Roman"/>
          <w:sz w:val="24"/>
          <w:szCs w:val="24"/>
        </w:rPr>
        <w:t>As the proponent of a rule or order, the Complainants in this proceeding bear the burden of proof pursuant to Section 332(a) of the Public Utility Code (Code)</w:t>
      </w:r>
      <w:proofErr w:type="gramStart"/>
      <w:r w:rsidRPr="00124BA5">
        <w:rPr>
          <w:rFonts w:ascii="Times New Roman" w:hAnsi="Times New Roman" w:cs="Times New Roman"/>
          <w:sz w:val="24"/>
          <w:szCs w:val="24"/>
        </w:rPr>
        <w:t>,  66</w:t>
      </w:r>
      <w:proofErr w:type="gramEnd"/>
      <w:r w:rsidRPr="00124BA5">
        <w:rPr>
          <w:rFonts w:ascii="Times New Roman" w:hAnsi="Times New Roman" w:cs="Times New Roman"/>
          <w:sz w:val="24"/>
          <w:szCs w:val="24"/>
        </w:rPr>
        <w:t xml:space="preserve"> </w:t>
      </w:r>
      <w:proofErr w:type="spellStart"/>
      <w:r w:rsidRPr="00124BA5">
        <w:rPr>
          <w:rFonts w:ascii="Times New Roman" w:hAnsi="Times New Roman" w:cs="Times New Roman"/>
          <w:sz w:val="24"/>
          <w:szCs w:val="24"/>
        </w:rPr>
        <w:t>Pa.C.S</w:t>
      </w:r>
      <w:proofErr w:type="spellEnd"/>
      <w:r w:rsidRPr="00124BA5">
        <w:rPr>
          <w:rFonts w:ascii="Times New Roman" w:hAnsi="Times New Roman" w:cs="Times New Roman"/>
          <w:sz w:val="24"/>
          <w:szCs w:val="24"/>
        </w:rPr>
        <w:t>. §</w:t>
      </w:r>
      <w:r>
        <w:rPr>
          <w:rFonts w:ascii="Times New Roman" w:hAnsi="Times New Roman" w:cs="Times New Roman"/>
          <w:sz w:val="24"/>
          <w:szCs w:val="24"/>
        </w:rPr>
        <w:t> </w:t>
      </w:r>
      <w:r w:rsidRPr="00124BA5">
        <w:rPr>
          <w:rFonts w:ascii="Times New Roman" w:hAnsi="Times New Roman" w:cs="Times New Roman"/>
          <w:sz w:val="24"/>
          <w:szCs w:val="24"/>
        </w:rPr>
        <w:t>332(a).  To establish a sufficient case and satisfy the</w:t>
      </w:r>
      <w:r w:rsidR="00F810CE">
        <w:rPr>
          <w:rFonts w:ascii="Times New Roman" w:hAnsi="Times New Roman" w:cs="Times New Roman"/>
          <w:sz w:val="24"/>
          <w:szCs w:val="24"/>
        </w:rPr>
        <w:t xml:space="preserve"> burden of proof, Complainants </w:t>
      </w:r>
      <w:r w:rsidRPr="00124BA5">
        <w:rPr>
          <w:rFonts w:ascii="Times New Roman" w:hAnsi="Times New Roman" w:cs="Times New Roman"/>
          <w:sz w:val="24"/>
          <w:szCs w:val="24"/>
        </w:rPr>
        <w:t xml:space="preserve">must show that the Respondent is responsible or accountable for the problem described in the </w:t>
      </w:r>
      <w:r w:rsidR="00FB1408">
        <w:rPr>
          <w:rFonts w:ascii="Times New Roman" w:hAnsi="Times New Roman" w:cs="Times New Roman"/>
          <w:sz w:val="24"/>
          <w:szCs w:val="24"/>
        </w:rPr>
        <w:t>c</w:t>
      </w:r>
      <w:r w:rsidRPr="00124BA5">
        <w:rPr>
          <w:rFonts w:ascii="Times New Roman" w:hAnsi="Times New Roman" w:cs="Times New Roman"/>
          <w:sz w:val="24"/>
          <w:szCs w:val="24"/>
        </w:rPr>
        <w:t xml:space="preserve">omplaint.  </w:t>
      </w:r>
      <w:proofErr w:type="gramStart"/>
      <w:r w:rsidRPr="00AE2392">
        <w:rPr>
          <w:rFonts w:ascii="Times New Roman" w:hAnsi="Times New Roman" w:cs="Times New Roman"/>
          <w:i/>
          <w:sz w:val="24"/>
          <w:szCs w:val="24"/>
        </w:rPr>
        <w:t>Patterson v.</w:t>
      </w:r>
      <w:proofErr w:type="gramEnd"/>
      <w:r w:rsidRPr="00AE2392">
        <w:rPr>
          <w:rFonts w:ascii="Times New Roman" w:hAnsi="Times New Roman" w:cs="Times New Roman"/>
          <w:i/>
          <w:sz w:val="24"/>
          <w:szCs w:val="24"/>
        </w:rPr>
        <w:t xml:space="preserve"> </w:t>
      </w:r>
      <w:proofErr w:type="gramStart"/>
      <w:r w:rsidRPr="00AE2392">
        <w:rPr>
          <w:rFonts w:ascii="Times New Roman" w:hAnsi="Times New Roman" w:cs="Times New Roman"/>
          <w:i/>
          <w:sz w:val="24"/>
          <w:szCs w:val="24"/>
        </w:rPr>
        <w:t>The Bell Telephone Company of Pennsylvania</w:t>
      </w:r>
      <w:r w:rsidRPr="00124BA5">
        <w:rPr>
          <w:rFonts w:ascii="Times New Roman" w:hAnsi="Times New Roman" w:cs="Times New Roman"/>
          <w:sz w:val="24"/>
          <w:szCs w:val="24"/>
        </w:rPr>
        <w:t>, 72 Pa. PUC 196 (1990).</w:t>
      </w:r>
      <w:proofErr w:type="gramEnd"/>
      <w:r w:rsidRPr="00124BA5">
        <w:rPr>
          <w:rFonts w:ascii="Times New Roman" w:hAnsi="Times New Roman" w:cs="Times New Roman"/>
          <w:sz w:val="24"/>
          <w:szCs w:val="24"/>
        </w:rPr>
        <w:t xml:space="preserve">  Such a showing must be by a preponderance of the evidence.  </w:t>
      </w:r>
      <w:proofErr w:type="gramStart"/>
      <w:r w:rsidRPr="00AE2392">
        <w:rPr>
          <w:rFonts w:ascii="Times New Roman" w:hAnsi="Times New Roman" w:cs="Times New Roman"/>
          <w:i/>
          <w:sz w:val="24"/>
          <w:szCs w:val="24"/>
        </w:rPr>
        <w:t xml:space="preserve">Samuel J. </w:t>
      </w:r>
      <w:proofErr w:type="spellStart"/>
      <w:r w:rsidRPr="00AE2392">
        <w:rPr>
          <w:rFonts w:ascii="Times New Roman" w:hAnsi="Times New Roman" w:cs="Times New Roman"/>
          <w:i/>
          <w:sz w:val="24"/>
          <w:szCs w:val="24"/>
        </w:rPr>
        <w:t>Lansberry</w:t>
      </w:r>
      <w:proofErr w:type="spellEnd"/>
      <w:r w:rsidRPr="00AE2392">
        <w:rPr>
          <w:rFonts w:ascii="Times New Roman" w:hAnsi="Times New Roman" w:cs="Times New Roman"/>
          <w:i/>
          <w:sz w:val="24"/>
          <w:szCs w:val="24"/>
        </w:rPr>
        <w:t>, Inc. v. Pa. Pub.</w:t>
      </w:r>
      <w:proofErr w:type="gramEnd"/>
      <w:r w:rsidRPr="00AE2392">
        <w:rPr>
          <w:rFonts w:ascii="Times New Roman" w:hAnsi="Times New Roman" w:cs="Times New Roman"/>
          <w:i/>
          <w:sz w:val="24"/>
          <w:szCs w:val="24"/>
        </w:rPr>
        <w:t xml:space="preserve"> </w:t>
      </w:r>
      <w:proofErr w:type="gramStart"/>
      <w:r w:rsidRPr="00AE2392">
        <w:rPr>
          <w:rFonts w:ascii="Times New Roman" w:hAnsi="Times New Roman" w:cs="Times New Roman"/>
          <w:i/>
          <w:sz w:val="24"/>
          <w:szCs w:val="24"/>
        </w:rPr>
        <w:t xml:space="preserve">Util. </w:t>
      </w:r>
      <w:proofErr w:type="spellStart"/>
      <w:r w:rsidRPr="00AE2392">
        <w:rPr>
          <w:rFonts w:ascii="Times New Roman" w:hAnsi="Times New Roman" w:cs="Times New Roman"/>
          <w:i/>
          <w:sz w:val="24"/>
          <w:szCs w:val="24"/>
        </w:rPr>
        <w:t>Comm’n</w:t>
      </w:r>
      <w:proofErr w:type="spellEnd"/>
      <w:r w:rsidRPr="00124BA5">
        <w:rPr>
          <w:rFonts w:ascii="Times New Roman" w:hAnsi="Times New Roman" w:cs="Times New Roman"/>
          <w:sz w:val="24"/>
          <w:szCs w:val="24"/>
        </w:rPr>
        <w:t>, 578 A.2d 600 (</w:t>
      </w:r>
      <w:proofErr w:type="spellStart"/>
      <w:r w:rsidRPr="00124BA5">
        <w:rPr>
          <w:rFonts w:ascii="Times New Roman" w:hAnsi="Times New Roman" w:cs="Times New Roman"/>
          <w:sz w:val="24"/>
          <w:szCs w:val="24"/>
        </w:rPr>
        <w:t>Pa.Cmwlth</w:t>
      </w:r>
      <w:proofErr w:type="spellEnd"/>
      <w:r w:rsidRPr="00124BA5">
        <w:rPr>
          <w:rFonts w:ascii="Times New Roman" w:hAnsi="Times New Roman" w:cs="Times New Roman"/>
          <w:sz w:val="24"/>
          <w:szCs w:val="24"/>
        </w:rPr>
        <w:t xml:space="preserve">. 1990), </w:t>
      </w:r>
      <w:proofErr w:type="spellStart"/>
      <w:r w:rsidRPr="00124BA5">
        <w:rPr>
          <w:rFonts w:ascii="Times New Roman" w:hAnsi="Times New Roman" w:cs="Times New Roman"/>
          <w:sz w:val="24"/>
          <w:szCs w:val="24"/>
        </w:rPr>
        <w:t>alloc</w:t>
      </w:r>
      <w:proofErr w:type="spellEnd"/>
      <w:r w:rsidRPr="00124BA5">
        <w:rPr>
          <w:rFonts w:ascii="Times New Roman" w:hAnsi="Times New Roman" w:cs="Times New Roman"/>
          <w:sz w:val="24"/>
          <w:szCs w:val="24"/>
        </w:rPr>
        <w:t>.</w:t>
      </w:r>
      <w:proofErr w:type="gramEnd"/>
      <w:r w:rsidRPr="00124BA5">
        <w:rPr>
          <w:rFonts w:ascii="Times New Roman" w:hAnsi="Times New Roman" w:cs="Times New Roman"/>
          <w:sz w:val="24"/>
          <w:szCs w:val="24"/>
        </w:rPr>
        <w:t xml:space="preserve"> </w:t>
      </w:r>
      <w:proofErr w:type="gramStart"/>
      <w:r w:rsidRPr="00124BA5">
        <w:rPr>
          <w:rFonts w:ascii="Times New Roman" w:hAnsi="Times New Roman" w:cs="Times New Roman"/>
          <w:sz w:val="24"/>
          <w:szCs w:val="24"/>
        </w:rPr>
        <w:t>denied</w:t>
      </w:r>
      <w:proofErr w:type="gramEnd"/>
      <w:r w:rsidRPr="00124BA5">
        <w:rPr>
          <w:rFonts w:ascii="Times New Roman" w:hAnsi="Times New Roman" w:cs="Times New Roman"/>
          <w:sz w:val="24"/>
          <w:szCs w:val="24"/>
        </w:rPr>
        <w:t>, 529 Pa. 654, 602 A.2d 863 (1992).  That is, the Complainant</w:t>
      </w:r>
      <w:r w:rsidR="00F810CE">
        <w:rPr>
          <w:rFonts w:ascii="Times New Roman" w:hAnsi="Times New Roman" w:cs="Times New Roman"/>
          <w:sz w:val="24"/>
          <w:szCs w:val="24"/>
        </w:rPr>
        <w:t>’</w:t>
      </w:r>
      <w:r w:rsidRPr="00124BA5">
        <w:rPr>
          <w:rFonts w:ascii="Times New Roman" w:hAnsi="Times New Roman" w:cs="Times New Roman"/>
          <w:sz w:val="24"/>
          <w:szCs w:val="24"/>
        </w:rPr>
        <w:t xml:space="preserve">s evidence must be more convincing, by even the smallest amount, than that presented by the Respondent.  </w:t>
      </w:r>
      <w:proofErr w:type="gramStart"/>
      <w:r w:rsidRPr="00AE2392">
        <w:rPr>
          <w:rFonts w:ascii="Times New Roman" w:hAnsi="Times New Roman" w:cs="Times New Roman"/>
          <w:i/>
          <w:sz w:val="24"/>
          <w:szCs w:val="24"/>
        </w:rPr>
        <w:t>Se-Ling Hosiery, Inc. v. Margulies</w:t>
      </w:r>
      <w:r w:rsidRPr="00124BA5">
        <w:rPr>
          <w:rFonts w:ascii="Times New Roman" w:hAnsi="Times New Roman" w:cs="Times New Roman"/>
          <w:sz w:val="24"/>
          <w:szCs w:val="24"/>
        </w:rPr>
        <w:t>, 364 Pa. 45, 70 A.2d 854 (1950).</w:t>
      </w:r>
      <w:proofErr w:type="gramEnd"/>
      <w:r w:rsidRPr="00124BA5">
        <w:rPr>
          <w:rFonts w:ascii="Times New Roman" w:hAnsi="Times New Roman" w:cs="Times New Roman"/>
          <w:sz w:val="24"/>
          <w:szCs w:val="24"/>
        </w:rPr>
        <w:t xml:space="preserve">  Additionally, this Commission’s decision must be supported by substantial evidence in the record.  More is required than a mere trace of evidence or a suspicion of the existence of a fact sought to be established.  </w:t>
      </w:r>
      <w:bookmarkStart w:id="0" w:name="_GoBack"/>
      <w:proofErr w:type="gramStart"/>
      <w:r w:rsidRPr="00AE2392">
        <w:rPr>
          <w:rFonts w:ascii="Times New Roman" w:hAnsi="Times New Roman" w:cs="Times New Roman"/>
          <w:i/>
          <w:sz w:val="24"/>
          <w:szCs w:val="24"/>
        </w:rPr>
        <w:t>Norfolk &amp; Western Ry. Co. v. Pa. Pub.</w:t>
      </w:r>
      <w:proofErr w:type="gramEnd"/>
      <w:r w:rsidRPr="00AE2392">
        <w:rPr>
          <w:rFonts w:ascii="Times New Roman" w:hAnsi="Times New Roman" w:cs="Times New Roman"/>
          <w:i/>
          <w:sz w:val="24"/>
          <w:szCs w:val="24"/>
        </w:rPr>
        <w:t xml:space="preserve"> </w:t>
      </w:r>
      <w:proofErr w:type="gramStart"/>
      <w:r w:rsidRPr="00AE2392">
        <w:rPr>
          <w:rFonts w:ascii="Times New Roman" w:hAnsi="Times New Roman" w:cs="Times New Roman"/>
          <w:i/>
          <w:sz w:val="24"/>
          <w:szCs w:val="24"/>
        </w:rPr>
        <w:t xml:space="preserve">Util. </w:t>
      </w:r>
      <w:proofErr w:type="spellStart"/>
      <w:r w:rsidRPr="00AE2392">
        <w:rPr>
          <w:rFonts w:ascii="Times New Roman" w:hAnsi="Times New Roman" w:cs="Times New Roman"/>
          <w:i/>
          <w:sz w:val="24"/>
          <w:szCs w:val="24"/>
        </w:rPr>
        <w:t>Comm’n</w:t>
      </w:r>
      <w:bookmarkEnd w:id="0"/>
      <w:proofErr w:type="spellEnd"/>
      <w:r w:rsidRPr="00124BA5">
        <w:rPr>
          <w:rFonts w:ascii="Times New Roman" w:hAnsi="Times New Roman" w:cs="Times New Roman"/>
          <w:sz w:val="24"/>
          <w:szCs w:val="24"/>
        </w:rPr>
        <w:t>, 489 Pa. 109, 413 A.2d 1037 (1980).</w:t>
      </w:r>
      <w:proofErr w:type="gramEnd"/>
    </w:p>
    <w:p w:rsidR="00124BA5" w:rsidRPr="00124BA5" w:rsidRDefault="00124BA5" w:rsidP="00124BA5">
      <w:pPr>
        <w:pStyle w:val="PlainText"/>
        <w:spacing w:line="360" w:lineRule="auto"/>
        <w:rPr>
          <w:rFonts w:ascii="Times New Roman" w:hAnsi="Times New Roman" w:cs="Times New Roman"/>
          <w:sz w:val="24"/>
          <w:szCs w:val="24"/>
        </w:rPr>
      </w:pPr>
    </w:p>
    <w:p w:rsidR="00124BA5" w:rsidRPr="00124BA5" w:rsidRDefault="00124BA5" w:rsidP="00124BA5">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24BA5">
        <w:rPr>
          <w:rFonts w:ascii="Times New Roman" w:hAnsi="Times New Roman" w:cs="Times New Roman"/>
          <w:sz w:val="24"/>
          <w:szCs w:val="24"/>
        </w:rPr>
        <w:t xml:space="preserve">Complainants aver there were incorrect charges on their bill from Respondent.  In their </w:t>
      </w:r>
      <w:r w:rsidR="00F810CE">
        <w:rPr>
          <w:rFonts w:ascii="Times New Roman" w:hAnsi="Times New Roman" w:cs="Times New Roman"/>
          <w:sz w:val="24"/>
          <w:szCs w:val="24"/>
        </w:rPr>
        <w:t>c</w:t>
      </w:r>
      <w:r w:rsidRPr="00124BA5">
        <w:rPr>
          <w:rFonts w:ascii="Times New Roman" w:hAnsi="Times New Roman" w:cs="Times New Roman"/>
          <w:sz w:val="24"/>
          <w:szCs w:val="24"/>
        </w:rPr>
        <w:t xml:space="preserve">omplaint, Complainants did not provide dates or any explanation regarding the charges they believed </w:t>
      </w:r>
      <w:proofErr w:type="gramStart"/>
      <w:r w:rsidRPr="00124BA5">
        <w:rPr>
          <w:rFonts w:ascii="Times New Roman" w:hAnsi="Times New Roman" w:cs="Times New Roman"/>
          <w:sz w:val="24"/>
          <w:szCs w:val="24"/>
        </w:rPr>
        <w:t>were</w:t>
      </w:r>
      <w:proofErr w:type="gramEnd"/>
      <w:r w:rsidRPr="00124BA5">
        <w:rPr>
          <w:rFonts w:ascii="Times New Roman" w:hAnsi="Times New Roman" w:cs="Times New Roman"/>
          <w:sz w:val="24"/>
          <w:szCs w:val="24"/>
        </w:rPr>
        <w:t xml:space="preserve"> incorrect, nor did they attach any bills which were alleged to contain incorrect charges.  Furthermore, no evidence was presented at the hearing of any incorrect charges on Complainants</w:t>
      </w:r>
      <w:r w:rsidR="00EE07F9">
        <w:rPr>
          <w:rFonts w:ascii="Times New Roman" w:hAnsi="Times New Roman" w:cs="Times New Roman"/>
          <w:sz w:val="24"/>
          <w:szCs w:val="24"/>
        </w:rPr>
        <w:t>’</w:t>
      </w:r>
      <w:r w:rsidRPr="00124BA5">
        <w:rPr>
          <w:rFonts w:ascii="Times New Roman" w:hAnsi="Times New Roman" w:cs="Times New Roman"/>
          <w:sz w:val="24"/>
          <w:szCs w:val="24"/>
        </w:rPr>
        <w:t xml:space="preserve"> billing statements.  The crux of the claim was that Complainants believed they should not have been charged for the electricity used to make the telephone calls in response to the letter they received.  Based upon the testimony presented, there were no relevant facts or circumstances established by Complainants that would support their contention that there were incorrect charges on their bill.  Accordingly, this claim must be dismissed.</w:t>
      </w:r>
    </w:p>
    <w:p w:rsidR="00132C14" w:rsidRDefault="00132C14" w:rsidP="00A53AEA">
      <w:pPr>
        <w:spacing w:line="360" w:lineRule="auto"/>
        <w:ind w:firstLine="1440"/>
        <w:rPr>
          <w:sz w:val="24"/>
          <w:szCs w:val="24"/>
        </w:rPr>
      </w:pPr>
    </w:p>
    <w:p w:rsidR="008273A1" w:rsidRPr="008273A1" w:rsidRDefault="008273A1" w:rsidP="008273A1">
      <w:pPr>
        <w:spacing w:line="360" w:lineRule="auto"/>
        <w:rPr>
          <w:sz w:val="24"/>
          <w:szCs w:val="24"/>
          <w:u w:val="single"/>
        </w:rPr>
      </w:pPr>
      <w:r w:rsidRPr="008273A1">
        <w:rPr>
          <w:sz w:val="24"/>
          <w:szCs w:val="24"/>
          <w:u w:val="single"/>
        </w:rPr>
        <w:t>Unreasonable or Inadequate Service</w:t>
      </w:r>
    </w:p>
    <w:p w:rsidR="008273A1" w:rsidRDefault="008273A1" w:rsidP="008273A1">
      <w:pPr>
        <w:spacing w:line="360" w:lineRule="auto"/>
        <w:rPr>
          <w:sz w:val="24"/>
          <w:szCs w:val="24"/>
        </w:rPr>
      </w:pPr>
    </w:p>
    <w:p w:rsidR="00704FB1" w:rsidRDefault="00E03566" w:rsidP="00704FB1">
      <w:pPr>
        <w:pStyle w:val="BodyText2"/>
        <w:spacing w:after="0" w:line="360" w:lineRule="auto"/>
        <w:ind w:firstLine="720"/>
      </w:pPr>
      <w:bookmarkStart w:id="1" w:name="citeas((Cite_as:_2014_WL_606375,_*4_(Pa."/>
      <w:bookmarkEnd w:id="1"/>
      <w:r>
        <w:tab/>
      </w:r>
      <w:r w:rsidR="00704FB1" w:rsidRPr="00DE2E3B">
        <w:t xml:space="preserve">The primary issue in this proceeding is whether Respondent provided reasonable and adequate customer service as required by 66 </w:t>
      </w:r>
      <w:proofErr w:type="spellStart"/>
      <w:r w:rsidR="00704FB1" w:rsidRPr="00DE2E3B">
        <w:t>Pa.C.S.A</w:t>
      </w:r>
      <w:proofErr w:type="spellEnd"/>
      <w:r w:rsidR="00704FB1" w:rsidRPr="00DE2E3B">
        <w:t xml:space="preserve">. § 1501, or violated any Commission rule, regulation or order.  </w:t>
      </w:r>
    </w:p>
    <w:p w:rsidR="00A164AB" w:rsidRPr="00DE2E3B" w:rsidRDefault="00A164AB" w:rsidP="00704FB1">
      <w:pPr>
        <w:pStyle w:val="BodyText2"/>
        <w:spacing w:after="0" w:line="360" w:lineRule="auto"/>
        <w:ind w:firstLine="720"/>
      </w:pPr>
    </w:p>
    <w:p w:rsidR="00F636A7" w:rsidRPr="00FE173C" w:rsidRDefault="00E03566" w:rsidP="00F636A7">
      <w:pPr>
        <w:pStyle w:val="BodyText"/>
        <w:spacing w:after="0" w:line="360" w:lineRule="auto"/>
        <w:ind w:firstLine="720"/>
      </w:pPr>
      <w:r>
        <w:lastRenderedPageBreak/>
        <w:tab/>
      </w:r>
      <w:r w:rsidR="00F636A7" w:rsidRPr="00FE173C">
        <w:t>Section 1501 of the Public Utility Code mandates that public utilities, such as Respondent, shall render reasonable service:</w:t>
      </w:r>
    </w:p>
    <w:p w:rsidR="00F91D7F" w:rsidRDefault="00F91D7F" w:rsidP="00F636A7">
      <w:pPr>
        <w:ind w:left="1440" w:right="1440"/>
        <w:rPr>
          <w:sz w:val="24"/>
          <w:szCs w:val="24"/>
        </w:rPr>
      </w:pPr>
    </w:p>
    <w:p w:rsidR="00F636A7" w:rsidRPr="00FE173C" w:rsidRDefault="00F636A7" w:rsidP="00F636A7">
      <w:pPr>
        <w:ind w:left="1440" w:right="1440"/>
        <w:rPr>
          <w:sz w:val="24"/>
          <w:szCs w:val="24"/>
        </w:rPr>
      </w:pPr>
      <w:r w:rsidRPr="00FE173C">
        <w:rPr>
          <w:sz w:val="24"/>
          <w:szCs w:val="24"/>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w:t>
      </w:r>
      <w:r w:rsidRPr="00FE173C">
        <w:rPr>
          <w:rStyle w:val="FootnoteReference"/>
          <w:sz w:val="24"/>
          <w:szCs w:val="24"/>
        </w:rPr>
        <w:footnoteReference w:id="2"/>
      </w:r>
    </w:p>
    <w:p w:rsidR="00F636A7" w:rsidRPr="00FE173C" w:rsidRDefault="00F636A7" w:rsidP="008427BA">
      <w:pPr>
        <w:spacing w:line="360" w:lineRule="auto"/>
        <w:ind w:right="1440"/>
        <w:rPr>
          <w:sz w:val="24"/>
          <w:szCs w:val="24"/>
        </w:rPr>
      </w:pPr>
    </w:p>
    <w:p w:rsidR="00F636A7" w:rsidRPr="00FE173C" w:rsidRDefault="00F636A7" w:rsidP="00F636A7">
      <w:pPr>
        <w:ind w:right="1440"/>
        <w:rPr>
          <w:sz w:val="24"/>
          <w:szCs w:val="24"/>
        </w:rPr>
      </w:pPr>
      <w:r w:rsidRPr="00FE173C">
        <w:rPr>
          <w:sz w:val="24"/>
          <w:szCs w:val="24"/>
        </w:rPr>
        <w:t>“Service” is broadly defined in Section 102 of the Code:</w:t>
      </w:r>
    </w:p>
    <w:p w:rsidR="00F91D7F" w:rsidRDefault="00F91D7F" w:rsidP="00F91D7F">
      <w:pPr>
        <w:spacing w:line="360" w:lineRule="auto"/>
        <w:ind w:left="1440" w:right="1440"/>
        <w:rPr>
          <w:sz w:val="24"/>
          <w:szCs w:val="24"/>
        </w:rPr>
      </w:pPr>
    </w:p>
    <w:p w:rsidR="00F636A7" w:rsidRPr="00FE173C" w:rsidRDefault="00F636A7" w:rsidP="00F636A7">
      <w:pPr>
        <w:ind w:left="1440" w:right="1440"/>
        <w:rPr>
          <w:sz w:val="24"/>
          <w:szCs w:val="24"/>
        </w:rPr>
      </w:pPr>
      <w:proofErr w:type="gramStart"/>
      <w:r w:rsidRPr="00FE173C">
        <w:rPr>
          <w:sz w:val="24"/>
          <w:szCs w:val="24"/>
        </w:rPr>
        <w:t>“Service.”</w:t>
      </w:r>
      <w:proofErr w:type="gramEnd"/>
      <w:r w:rsidRPr="00FE173C">
        <w:rPr>
          <w:sz w:val="24"/>
          <w:szCs w:val="24"/>
        </w:rPr>
        <w:t xml:space="preserve">  Used in its broadest and most inclusive sense, includes any and all acts done, rendered, or performed, and any and all things furnished or supplied, and any and all facilities used, furnished, or supplied by public utilities,…in the performance of their duties under this part to their patrons, employees, other public utilities, and the public,…</w:t>
      </w:r>
      <w:r w:rsidRPr="00FE173C">
        <w:rPr>
          <w:rStyle w:val="FootnoteReference"/>
          <w:sz w:val="24"/>
          <w:szCs w:val="24"/>
        </w:rPr>
        <w:footnoteReference w:id="3"/>
      </w:r>
    </w:p>
    <w:p w:rsidR="00F636A7" w:rsidRPr="00FE173C" w:rsidRDefault="00F636A7" w:rsidP="00683F02">
      <w:pPr>
        <w:spacing w:line="360" w:lineRule="auto"/>
        <w:ind w:left="1440" w:right="1440"/>
        <w:rPr>
          <w:sz w:val="24"/>
          <w:szCs w:val="24"/>
        </w:rPr>
      </w:pPr>
    </w:p>
    <w:p w:rsidR="00F636A7" w:rsidRDefault="00E03566" w:rsidP="00683F02">
      <w:pPr>
        <w:pStyle w:val="BodyText"/>
        <w:spacing w:after="0" w:line="360" w:lineRule="auto"/>
        <w:ind w:firstLine="720"/>
      </w:pPr>
      <w:r>
        <w:tab/>
      </w:r>
      <w:r w:rsidR="00F636A7" w:rsidRPr="00DE2E3B">
        <w:t>Complainant</w:t>
      </w:r>
      <w:r>
        <w:t>s</w:t>
      </w:r>
      <w:r w:rsidR="00F636A7" w:rsidRPr="00DE2E3B">
        <w:t xml:space="preserve"> argue that Respondent violated the provisions of 66 </w:t>
      </w:r>
      <w:proofErr w:type="spellStart"/>
      <w:r w:rsidR="00F636A7" w:rsidRPr="00DE2E3B">
        <w:t>Pa.C.S</w:t>
      </w:r>
      <w:proofErr w:type="spellEnd"/>
      <w:r w:rsidR="00F636A7" w:rsidRPr="00DE2E3B">
        <w:t xml:space="preserve">. § 1501.  </w:t>
      </w:r>
      <w:proofErr w:type="gramStart"/>
      <w:r w:rsidR="00F636A7" w:rsidRPr="00DE2E3B">
        <w:t xml:space="preserve">Absent proof by a preponderance of the evidence that Respondent violated the provisions of 66 </w:t>
      </w:r>
      <w:proofErr w:type="spellStart"/>
      <w:r w:rsidR="00F636A7" w:rsidRPr="00DE2E3B">
        <w:t>Pa.C.S</w:t>
      </w:r>
      <w:proofErr w:type="spellEnd"/>
      <w:r w:rsidR="00F636A7" w:rsidRPr="00DE2E3B">
        <w:t>.</w:t>
      </w:r>
      <w:proofErr w:type="gramEnd"/>
      <w:r w:rsidR="00F636A7" w:rsidRPr="00DE2E3B">
        <w:t xml:space="preserve"> § 1501, the Commission has no authority to require any action by Respondent.  </w:t>
      </w:r>
      <w:proofErr w:type="gramStart"/>
      <w:r w:rsidR="00F636A7" w:rsidRPr="00DE2E3B">
        <w:rPr>
          <w:i/>
        </w:rPr>
        <w:t>West Penn Power Co. v. Pa. Pub.</w:t>
      </w:r>
      <w:proofErr w:type="gramEnd"/>
      <w:r w:rsidR="00F636A7" w:rsidRPr="00DE2E3B">
        <w:rPr>
          <w:i/>
        </w:rPr>
        <w:t xml:space="preserve"> </w:t>
      </w:r>
      <w:proofErr w:type="gramStart"/>
      <w:r w:rsidR="00F636A7" w:rsidRPr="00DE2E3B">
        <w:rPr>
          <w:i/>
        </w:rPr>
        <w:t xml:space="preserve">Util. </w:t>
      </w:r>
      <w:proofErr w:type="spellStart"/>
      <w:r w:rsidR="00F636A7" w:rsidRPr="00DE2E3B">
        <w:rPr>
          <w:i/>
        </w:rPr>
        <w:t>Comm’n</w:t>
      </w:r>
      <w:proofErr w:type="spellEnd"/>
      <w:r w:rsidR="00F636A7" w:rsidRPr="00DE2E3B">
        <w:rPr>
          <w:i/>
        </w:rPr>
        <w:t>,</w:t>
      </w:r>
      <w:r w:rsidR="00F636A7" w:rsidRPr="00DE2E3B">
        <w:t xml:space="preserve"> 478 A.2d 947 (</w:t>
      </w:r>
      <w:proofErr w:type="spellStart"/>
      <w:r w:rsidR="00F636A7" w:rsidRPr="00DE2E3B">
        <w:t>Pa.Cmwlth</w:t>
      </w:r>
      <w:proofErr w:type="spellEnd"/>
      <w:r w:rsidR="00F636A7" w:rsidRPr="00DE2E3B">
        <w:t>. 1984).</w:t>
      </w:r>
      <w:proofErr w:type="gramEnd"/>
    </w:p>
    <w:p w:rsidR="00681C61" w:rsidRPr="00DE2E3B" w:rsidRDefault="00681C61" w:rsidP="00683F02">
      <w:pPr>
        <w:pStyle w:val="BodyText"/>
        <w:spacing w:after="0" w:line="360" w:lineRule="auto"/>
        <w:ind w:firstLine="720"/>
      </w:pPr>
    </w:p>
    <w:p w:rsidR="00F636A7" w:rsidRDefault="00F636A7" w:rsidP="00683F02">
      <w:pPr>
        <w:spacing w:line="360" w:lineRule="auto"/>
        <w:rPr>
          <w:sz w:val="24"/>
          <w:szCs w:val="24"/>
        </w:rPr>
      </w:pPr>
      <w:r w:rsidRPr="00F636A7">
        <w:rPr>
          <w:b/>
          <w:sz w:val="24"/>
          <w:szCs w:val="24"/>
        </w:rPr>
        <w:tab/>
      </w:r>
      <w:r w:rsidRPr="00F636A7">
        <w:rPr>
          <w:b/>
          <w:sz w:val="24"/>
          <w:szCs w:val="24"/>
        </w:rPr>
        <w:tab/>
      </w:r>
      <w:r w:rsidRPr="00D14EBA">
        <w:rPr>
          <w:sz w:val="24"/>
          <w:szCs w:val="24"/>
        </w:rPr>
        <w:t>Given this definition of “service”</w:t>
      </w:r>
      <w:r w:rsidR="004315E3">
        <w:rPr>
          <w:sz w:val="24"/>
          <w:szCs w:val="24"/>
        </w:rPr>
        <w:t>,</w:t>
      </w:r>
      <w:r w:rsidRPr="00D14EBA">
        <w:rPr>
          <w:sz w:val="24"/>
          <w:szCs w:val="24"/>
        </w:rPr>
        <w:t xml:space="preserve"> </w:t>
      </w:r>
      <w:r w:rsidR="004C1C72">
        <w:rPr>
          <w:sz w:val="24"/>
          <w:szCs w:val="24"/>
        </w:rPr>
        <w:t>an</w:t>
      </w:r>
      <w:r w:rsidR="00D14EBA" w:rsidRPr="00D14EBA">
        <w:rPr>
          <w:sz w:val="24"/>
          <w:szCs w:val="24"/>
        </w:rPr>
        <w:t xml:space="preserve"> issue in this proceeding is whether the conduct of Respondent in permitting such a letter to be sent, under the circumstances and the conduct of the third party contractor who answered Complainant</w:t>
      </w:r>
      <w:r w:rsidR="00E03566">
        <w:rPr>
          <w:sz w:val="24"/>
          <w:szCs w:val="24"/>
        </w:rPr>
        <w:t>’</w:t>
      </w:r>
      <w:r w:rsidR="00D14EBA" w:rsidRPr="00D14EBA">
        <w:rPr>
          <w:sz w:val="24"/>
          <w:szCs w:val="24"/>
        </w:rPr>
        <w:t xml:space="preserve">s call, constituted unreasonable service by Respondent.  </w:t>
      </w:r>
    </w:p>
    <w:p w:rsidR="00707806" w:rsidRDefault="00707806" w:rsidP="00683F02">
      <w:pPr>
        <w:spacing w:line="360" w:lineRule="auto"/>
        <w:rPr>
          <w:sz w:val="24"/>
          <w:szCs w:val="24"/>
        </w:rPr>
      </w:pPr>
    </w:p>
    <w:p w:rsidR="00F636A7" w:rsidRPr="004F05E8" w:rsidRDefault="00F636A7" w:rsidP="00683F02">
      <w:pPr>
        <w:spacing w:line="360" w:lineRule="auto"/>
        <w:rPr>
          <w:sz w:val="24"/>
          <w:szCs w:val="24"/>
        </w:rPr>
      </w:pPr>
      <w:r w:rsidRPr="00F636A7">
        <w:rPr>
          <w:b/>
          <w:sz w:val="24"/>
          <w:szCs w:val="24"/>
        </w:rPr>
        <w:tab/>
      </w:r>
      <w:r w:rsidRPr="00F636A7">
        <w:rPr>
          <w:b/>
          <w:sz w:val="24"/>
          <w:szCs w:val="24"/>
        </w:rPr>
        <w:tab/>
      </w:r>
      <w:r w:rsidRPr="004F05E8">
        <w:rPr>
          <w:sz w:val="24"/>
          <w:szCs w:val="24"/>
        </w:rPr>
        <w:t>M</w:t>
      </w:r>
      <w:r w:rsidR="00DE6D6D" w:rsidRPr="004F05E8">
        <w:rPr>
          <w:sz w:val="24"/>
          <w:szCs w:val="24"/>
        </w:rPr>
        <w:t>s</w:t>
      </w:r>
      <w:r w:rsidRPr="004F05E8">
        <w:rPr>
          <w:sz w:val="24"/>
          <w:szCs w:val="24"/>
        </w:rPr>
        <w:t xml:space="preserve">. </w:t>
      </w:r>
      <w:proofErr w:type="spellStart"/>
      <w:r w:rsidR="00DE6D6D" w:rsidRPr="004F05E8">
        <w:rPr>
          <w:sz w:val="24"/>
          <w:szCs w:val="24"/>
        </w:rPr>
        <w:t>Goforth</w:t>
      </w:r>
      <w:proofErr w:type="spellEnd"/>
      <w:r w:rsidR="00DE6D6D" w:rsidRPr="004F05E8">
        <w:rPr>
          <w:sz w:val="24"/>
          <w:szCs w:val="24"/>
        </w:rPr>
        <w:t xml:space="preserve"> </w:t>
      </w:r>
      <w:r w:rsidRPr="004F05E8">
        <w:rPr>
          <w:sz w:val="24"/>
          <w:szCs w:val="24"/>
        </w:rPr>
        <w:t xml:space="preserve">contends that </w:t>
      </w:r>
      <w:r w:rsidR="00DE6D6D" w:rsidRPr="004F05E8">
        <w:rPr>
          <w:sz w:val="24"/>
          <w:szCs w:val="24"/>
        </w:rPr>
        <w:t xml:space="preserve">the purpose of the letter was to cause her to expend her time and cost for electricity in calling the number on the letter she received.  Her second claim is that the person who answered her call could not adequately respond to her questions and </w:t>
      </w:r>
      <w:r w:rsidR="00DE6D6D" w:rsidRPr="004F05E8">
        <w:rPr>
          <w:sz w:val="24"/>
          <w:szCs w:val="24"/>
        </w:rPr>
        <w:lastRenderedPageBreak/>
        <w:t xml:space="preserve">provided Ms. </w:t>
      </w:r>
      <w:proofErr w:type="spellStart"/>
      <w:r w:rsidR="00DE6D6D" w:rsidRPr="004F05E8">
        <w:rPr>
          <w:sz w:val="24"/>
          <w:szCs w:val="24"/>
        </w:rPr>
        <w:t>Goforth</w:t>
      </w:r>
      <w:proofErr w:type="spellEnd"/>
      <w:r w:rsidR="00DE6D6D" w:rsidRPr="004F05E8">
        <w:rPr>
          <w:sz w:val="24"/>
          <w:szCs w:val="24"/>
        </w:rPr>
        <w:t xml:space="preserve"> with another number to call, </w:t>
      </w:r>
      <w:r w:rsidRPr="004F05E8">
        <w:rPr>
          <w:sz w:val="24"/>
          <w:szCs w:val="24"/>
        </w:rPr>
        <w:t xml:space="preserve">thereby </w:t>
      </w:r>
      <w:r w:rsidR="00DE6D6D" w:rsidRPr="004F05E8">
        <w:rPr>
          <w:sz w:val="24"/>
          <w:szCs w:val="24"/>
        </w:rPr>
        <w:t xml:space="preserve">intending </w:t>
      </w:r>
      <w:r w:rsidRPr="004F05E8">
        <w:rPr>
          <w:sz w:val="24"/>
          <w:szCs w:val="24"/>
        </w:rPr>
        <w:t xml:space="preserve">Complainant to expend </w:t>
      </w:r>
      <w:r w:rsidR="00DE6D6D" w:rsidRPr="004F05E8">
        <w:rPr>
          <w:sz w:val="24"/>
          <w:szCs w:val="24"/>
        </w:rPr>
        <w:t xml:space="preserve">her </w:t>
      </w:r>
      <w:r w:rsidRPr="004F05E8">
        <w:rPr>
          <w:sz w:val="24"/>
          <w:szCs w:val="24"/>
        </w:rPr>
        <w:t xml:space="preserve">time and expense </w:t>
      </w:r>
      <w:r w:rsidR="004F05E8" w:rsidRPr="004F05E8">
        <w:rPr>
          <w:sz w:val="24"/>
          <w:szCs w:val="24"/>
        </w:rPr>
        <w:t xml:space="preserve">by calling another number and </w:t>
      </w:r>
      <w:r w:rsidRPr="004F05E8">
        <w:rPr>
          <w:sz w:val="24"/>
          <w:szCs w:val="24"/>
        </w:rPr>
        <w:t>re-explaining h</w:t>
      </w:r>
      <w:r w:rsidR="004F05E8" w:rsidRPr="004F05E8">
        <w:rPr>
          <w:sz w:val="24"/>
          <w:szCs w:val="24"/>
        </w:rPr>
        <w:t>er</w:t>
      </w:r>
      <w:r w:rsidRPr="004F05E8">
        <w:rPr>
          <w:sz w:val="24"/>
          <w:szCs w:val="24"/>
        </w:rPr>
        <w:t xml:space="preserve"> problems to multiple representatives. </w:t>
      </w:r>
    </w:p>
    <w:p w:rsidR="00F636A7" w:rsidRDefault="004F05E8" w:rsidP="00683F02">
      <w:pPr>
        <w:spacing w:line="360" w:lineRule="auto"/>
        <w:rPr>
          <w:b/>
          <w:sz w:val="24"/>
          <w:szCs w:val="24"/>
        </w:rPr>
      </w:pPr>
      <w:r>
        <w:rPr>
          <w:b/>
          <w:sz w:val="24"/>
          <w:szCs w:val="24"/>
        </w:rPr>
        <w:tab/>
      </w:r>
    </w:p>
    <w:p w:rsidR="00F636A7" w:rsidRPr="00F636A7" w:rsidRDefault="004F05E8" w:rsidP="00683F02">
      <w:pPr>
        <w:spacing w:line="360" w:lineRule="auto"/>
        <w:rPr>
          <w:sz w:val="24"/>
          <w:szCs w:val="24"/>
        </w:rPr>
      </w:pPr>
      <w:r>
        <w:rPr>
          <w:b/>
          <w:sz w:val="24"/>
          <w:szCs w:val="24"/>
        </w:rPr>
        <w:tab/>
      </w:r>
      <w:r w:rsidR="00E03566">
        <w:rPr>
          <w:b/>
          <w:sz w:val="24"/>
          <w:szCs w:val="24"/>
        </w:rPr>
        <w:tab/>
      </w:r>
      <w:r w:rsidRPr="004F05E8">
        <w:rPr>
          <w:sz w:val="24"/>
          <w:szCs w:val="24"/>
        </w:rPr>
        <w:t>Respondent</w:t>
      </w:r>
      <w:r>
        <w:rPr>
          <w:b/>
          <w:sz w:val="24"/>
          <w:szCs w:val="24"/>
        </w:rPr>
        <w:t xml:space="preserve"> </w:t>
      </w:r>
      <w:r w:rsidR="00F636A7" w:rsidRPr="00F636A7">
        <w:rPr>
          <w:sz w:val="24"/>
          <w:szCs w:val="24"/>
        </w:rPr>
        <w:t xml:space="preserve">provided the testimony of one witness, who was not involved with the contact between Complainant and </w:t>
      </w:r>
      <w:r>
        <w:rPr>
          <w:sz w:val="24"/>
          <w:szCs w:val="24"/>
        </w:rPr>
        <w:t xml:space="preserve">the third party and who had </w:t>
      </w:r>
      <w:r w:rsidR="00964566">
        <w:rPr>
          <w:sz w:val="24"/>
          <w:szCs w:val="24"/>
        </w:rPr>
        <w:t>no</w:t>
      </w:r>
      <w:r w:rsidR="00F636A7" w:rsidRPr="00F636A7">
        <w:rPr>
          <w:sz w:val="24"/>
          <w:szCs w:val="24"/>
        </w:rPr>
        <w:t xml:space="preserve"> </w:t>
      </w:r>
      <w:proofErr w:type="spellStart"/>
      <w:r w:rsidR="00F636A7" w:rsidRPr="00F636A7">
        <w:rPr>
          <w:sz w:val="24"/>
          <w:szCs w:val="24"/>
        </w:rPr>
        <w:t>first</w:t>
      </w:r>
      <w:r w:rsidR="00E03566">
        <w:rPr>
          <w:sz w:val="24"/>
          <w:szCs w:val="24"/>
        </w:rPr>
        <w:t xml:space="preserve"> </w:t>
      </w:r>
      <w:r w:rsidR="00F636A7" w:rsidRPr="00F636A7">
        <w:rPr>
          <w:sz w:val="24"/>
          <w:szCs w:val="24"/>
        </w:rPr>
        <w:t>hand</w:t>
      </w:r>
      <w:proofErr w:type="spellEnd"/>
      <w:r w:rsidR="00F636A7" w:rsidRPr="00F636A7">
        <w:rPr>
          <w:sz w:val="24"/>
          <w:szCs w:val="24"/>
        </w:rPr>
        <w:t xml:space="preserve"> knowledge regarding this matter.  </w:t>
      </w:r>
      <w:r>
        <w:rPr>
          <w:sz w:val="24"/>
          <w:szCs w:val="24"/>
        </w:rPr>
        <w:t>In addition, Respondent failed to provide the undersigned</w:t>
      </w:r>
      <w:r w:rsidR="00E03566">
        <w:rPr>
          <w:sz w:val="24"/>
          <w:szCs w:val="24"/>
        </w:rPr>
        <w:t xml:space="preserve"> presiding officer </w:t>
      </w:r>
      <w:r>
        <w:rPr>
          <w:sz w:val="24"/>
          <w:szCs w:val="24"/>
        </w:rPr>
        <w:t>and Complainant</w:t>
      </w:r>
      <w:r w:rsidR="00E03566">
        <w:rPr>
          <w:sz w:val="24"/>
          <w:szCs w:val="24"/>
        </w:rPr>
        <w:t>s</w:t>
      </w:r>
      <w:r>
        <w:rPr>
          <w:sz w:val="24"/>
          <w:szCs w:val="24"/>
        </w:rPr>
        <w:t xml:space="preserve"> with a copy of the letter to be considered as evidence, when the parties knew that the letter was a major issue in this proceeding.  </w:t>
      </w:r>
      <w:r w:rsidR="00F636A7" w:rsidRPr="00F636A7">
        <w:rPr>
          <w:sz w:val="24"/>
          <w:szCs w:val="24"/>
        </w:rPr>
        <w:t xml:space="preserve"> </w:t>
      </w:r>
      <w:r>
        <w:rPr>
          <w:sz w:val="24"/>
          <w:szCs w:val="24"/>
        </w:rPr>
        <w:t xml:space="preserve">Instead, Respondent attempted to have its witness read the letter from the third party into the record, which was not permitted at the hearing.  </w:t>
      </w:r>
    </w:p>
    <w:p w:rsidR="004F05E8" w:rsidRDefault="004F05E8" w:rsidP="00683F02">
      <w:pPr>
        <w:spacing w:line="360" w:lineRule="auto"/>
        <w:ind w:firstLine="1440"/>
        <w:rPr>
          <w:sz w:val="24"/>
          <w:szCs w:val="24"/>
        </w:rPr>
      </w:pPr>
    </w:p>
    <w:p w:rsidR="00F636A7" w:rsidRDefault="00F636A7" w:rsidP="00683F02">
      <w:pPr>
        <w:spacing w:line="360" w:lineRule="auto"/>
        <w:ind w:firstLine="1440"/>
        <w:rPr>
          <w:sz w:val="24"/>
          <w:szCs w:val="24"/>
        </w:rPr>
      </w:pPr>
      <w:r w:rsidRPr="00F636A7">
        <w:rPr>
          <w:sz w:val="24"/>
          <w:szCs w:val="24"/>
        </w:rPr>
        <w:t xml:space="preserve">The record </w:t>
      </w:r>
      <w:r w:rsidR="004F05E8">
        <w:rPr>
          <w:sz w:val="24"/>
          <w:szCs w:val="24"/>
        </w:rPr>
        <w:t xml:space="preserve">does not </w:t>
      </w:r>
      <w:r w:rsidRPr="00F636A7">
        <w:rPr>
          <w:sz w:val="24"/>
          <w:szCs w:val="24"/>
        </w:rPr>
        <w:t>support</w:t>
      </w:r>
      <w:r w:rsidR="004F05E8">
        <w:rPr>
          <w:sz w:val="24"/>
          <w:szCs w:val="24"/>
        </w:rPr>
        <w:t xml:space="preserve"> a </w:t>
      </w:r>
      <w:r w:rsidRPr="00F636A7">
        <w:rPr>
          <w:sz w:val="24"/>
          <w:szCs w:val="24"/>
        </w:rPr>
        <w:t xml:space="preserve">conclusion that </w:t>
      </w:r>
      <w:r w:rsidR="004F05E8">
        <w:rPr>
          <w:sz w:val="24"/>
          <w:szCs w:val="24"/>
        </w:rPr>
        <w:t>Respondent</w:t>
      </w:r>
      <w:r w:rsidR="003F5023">
        <w:rPr>
          <w:sz w:val="24"/>
          <w:szCs w:val="24"/>
        </w:rPr>
        <w:t>’</w:t>
      </w:r>
      <w:r w:rsidR="004F05E8">
        <w:rPr>
          <w:sz w:val="24"/>
          <w:szCs w:val="24"/>
        </w:rPr>
        <w:t xml:space="preserve">s actions in </w:t>
      </w:r>
      <w:r w:rsidR="00A911CA">
        <w:rPr>
          <w:sz w:val="24"/>
          <w:szCs w:val="24"/>
        </w:rPr>
        <w:t>permitting the letter to be sent or the inability of the person who answered the call to be able to answer Ms.</w:t>
      </w:r>
      <w:r w:rsidR="00E03566">
        <w:rPr>
          <w:sz w:val="24"/>
          <w:szCs w:val="24"/>
        </w:rPr>
        <w:t> </w:t>
      </w:r>
      <w:proofErr w:type="spellStart"/>
      <w:r w:rsidR="00A911CA">
        <w:rPr>
          <w:sz w:val="24"/>
          <w:szCs w:val="24"/>
        </w:rPr>
        <w:t>Goforth</w:t>
      </w:r>
      <w:r w:rsidR="003F5023">
        <w:rPr>
          <w:sz w:val="24"/>
          <w:szCs w:val="24"/>
        </w:rPr>
        <w:t>’</w:t>
      </w:r>
      <w:r w:rsidR="00A911CA">
        <w:rPr>
          <w:sz w:val="24"/>
          <w:szCs w:val="24"/>
        </w:rPr>
        <w:t>s</w:t>
      </w:r>
      <w:proofErr w:type="spellEnd"/>
      <w:r w:rsidR="00A911CA">
        <w:rPr>
          <w:sz w:val="24"/>
          <w:szCs w:val="24"/>
        </w:rPr>
        <w:t xml:space="preserve"> questions, </w:t>
      </w:r>
      <w:r w:rsidRPr="00F636A7">
        <w:rPr>
          <w:sz w:val="24"/>
          <w:szCs w:val="24"/>
        </w:rPr>
        <w:t xml:space="preserve">constitutes a failure to provide reasonable or adequate customer service.  </w:t>
      </w:r>
    </w:p>
    <w:p w:rsidR="00681C61" w:rsidRPr="00F636A7" w:rsidRDefault="00681C61" w:rsidP="00683F02">
      <w:pPr>
        <w:spacing w:line="360" w:lineRule="auto"/>
        <w:ind w:firstLine="1440"/>
        <w:rPr>
          <w:sz w:val="24"/>
          <w:szCs w:val="24"/>
        </w:rPr>
      </w:pPr>
    </w:p>
    <w:p w:rsidR="00F636A7" w:rsidRDefault="00E03566" w:rsidP="00683F02">
      <w:pPr>
        <w:pStyle w:val="ListParagraph"/>
        <w:spacing w:line="360" w:lineRule="auto"/>
        <w:ind w:left="0"/>
        <w:rPr>
          <w:sz w:val="24"/>
          <w:szCs w:val="24"/>
        </w:rPr>
      </w:pPr>
      <w:r>
        <w:rPr>
          <w:sz w:val="24"/>
          <w:szCs w:val="24"/>
        </w:rPr>
        <w:tab/>
      </w:r>
      <w:r>
        <w:rPr>
          <w:sz w:val="24"/>
          <w:szCs w:val="24"/>
        </w:rPr>
        <w:tab/>
      </w:r>
      <w:proofErr w:type="gramStart"/>
      <w:r w:rsidR="00F636A7" w:rsidRPr="00296C90">
        <w:rPr>
          <w:sz w:val="24"/>
          <w:szCs w:val="24"/>
        </w:rPr>
        <w:t xml:space="preserve">The statute at 66 </w:t>
      </w:r>
      <w:proofErr w:type="spellStart"/>
      <w:r w:rsidR="00F636A7" w:rsidRPr="00296C90">
        <w:rPr>
          <w:sz w:val="24"/>
          <w:szCs w:val="24"/>
        </w:rPr>
        <w:t>Pa.C.S</w:t>
      </w:r>
      <w:proofErr w:type="spellEnd"/>
      <w:r w:rsidR="00F636A7" w:rsidRPr="00296C90">
        <w:rPr>
          <w:sz w:val="24"/>
          <w:szCs w:val="24"/>
        </w:rPr>
        <w:t>.</w:t>
      </w:r>
      <w:proofErr w:type="gramEnd"/>
      <w:r w:rsidR="00F636A7" w:rsidRPr="00296C90">
        <w:rPr>
          <w:sz w:val="24"/>
          <w:szCs w:val="24"/>
        </w:rPr>
        <w:t xml:space="preserve"> § 1501 governs allegations of unreasonable or inadequate service.  </w:t>
      </w:r>
      <w:proofErr w:type="gramStart"/>
      <w:r w:rsidR="00F636A7" w:rsidRPr="00296C90">
        <w:rPr>
          <w:sz w:val="24"/>
          <w:szCs w:val="24"/>
        </w:rPr>
        <w:t xml:space="preserve">Pursuant to 66 </w:t>
      </w:r>
      <w:proofErr w:type="spellStart"/>
      <w:r w:rsidR="00F636A7" w:rsidRPr="00296C90">
        <w:rPr>
          <w:sz w:val="24"/>
          <w:szCs w:val="24"/>
        </w:rPr>
        <w:t>Pa.C.S</w:t>
      </w:r>
      <w:proofErr w:type="spellEnd"/>
      <w:r w:rsidR="00F636A7" w:rsidRPr="00296C90">
        <w:rPr>
          <w:sz w:val="24"/>
          <w:szCs w:val="24"/>
        </w:rPr>
        <w:t>.</w:t>
      </w:r>
      <w:proofErr w:type="gramEnd"/>
      <w:r w:rsidR="00F636A7" w:rsidRPr="00296C90">
        <w:rPr>
          <w:sz w:val="24"/>
          <w:szCs w:val="24"/>
        </w:rPr>
        <w:t xml:space="preserve"> § 1501, the Commission has original jurisdiction over the reasonableness and adequacy of public utility service.  </w:t>
      </w:r>
      <w:r w:rsidR="00F636A7" w:rsidRPr="00296C90">
        <w:rPr>
          <w:i/>
          <w:sz w:val="24"/>
          <w:szCs w:val="24"/>
        </w:rPr>
        <w:t>Elkin v. Bell Telephone Co.</w:t>
      </w:r>
      <w:r w:rsidR="00F636A7" w:rsidRPr="00296C90">
        <w:rPr>
          <w:sz w:val="24"/>
          <w:szCs w:val="24"/>
        </w:rPr>
        <w:t>, 372 A.2d 1203 (</w:t>
      </w:r>
      <w:proofErr w:type="spellStart"/>
      <w:r w:rsidR="00F636A7" w:rsidRPr="00296C90">
        <w:rPr>
          <w:sz w:val="24"/>
          <w:szCs w:val="24"/>
        </w:rPr>
        <w:t>Pa.Super</w:t>
      </w:r>
      <w:proofErr w:type="spellEnd"/>
      <w:r w:rsidR="00F636A7" w:rsidRPr="00296C90">
        <w:rPr>
          <w:sz w:val="24"/>
          <w:szCs w:val="24"/>
        </w:rPr>
        <w:t xml:space="preserve">. 1977), </w:t>
      </w:r>
      <w:r w:rsidR="00F636A7" w:rsidRPr="00296C90">
        <w:rPr>
          <w:sz w:val="24"/>
          <w:szCs w:val="24"/>
          <w:u w:val="single"/>
        </w:rPr>
        <w:t>aff’d</w:t>
      </w:r>
      <w:r w:rsidR="00F636A7" w:rsidRPr="00296C90">
        <w:rPr>
          <w:sz w:val="24"/>
          <w:szCs w:val="24"/>
        </w:rPr>
        <w:t xml:space="preserve">, 420 A.2d 371 (Pa. 1977); </w:t>
      </w:r>
      <w:proofErr w:type="spellStart"/>
      <w:r w:rsidR="00F636A7" w:rsidRPr="00296C90">
        <w:rPr>
          <w:i/>
          <w:sz w:val="24"/>
          <w:szCs w:val="24"/>
        </w:rPr>
        <w:t>Behrend</w:t>
      </w:r>
      <w:proofErr w:type="spellEnd"/>
      <w:r w:rsidR="00F636A7" w:rsidRPr="00296C90">
        <w:rPr>
          <w:i/>
          <w:sz w:val="24"/>
          <w:szCs w:val="24"/>
        </w:rPr>
        <w:t xml:space="preserve"> v. Bell Telephone Co</w:t>
      </w:r>
      <w:r w:rsidR="00F636A7" w:rsidRPr="00296C90">
        <w:rPr>
          <w:sz w:val="24"/>
          <w:szCs w:val="24"/>
        </w:rPr>
        <w:t xml:space="preserve">., 243 A.2d 346 (Pa. 1968).  As a general proposition, neither the Public Utility Code nor the Commission’s regulations require public utilities to provide constantly flawless service.  The Public Utility Code </w:t>
      </w:r>
      <w:proofErr w:type="gramStart"/>
      <w:r w:rsidR="00F636A7" w:rsidRPr="00296C90">
        <w:rPr>
          <w:sz w:val="24"/>
          <w:szCs w:val="24"/>
        </w:rPr>
        <w:t xml:space="preserve">at 66 </w:t>
      </w:r>
      <w:proofErr w:type="spellStart"/>
      <w:r w:rsidR="00F636A7" w:rsidRPr="00296C90">
        <w:rPr>
          <w:sz w:val="24"/>
          <w:szCs w:val="24"/>
        </w:rPr>
        <w:t>Pa.C.S</w:t>
      </w:r>
      <w:proofErr w:type="spellEnd"/>
      <w:proofErr w:type="gramEnd"/>
      <w:r w:rsidR="00F636A7" w:rsidRPr="00296C90">
        <w:rPr>
          <w:sz w:val="24"/>
          <w:szCs w:val="24"/>
        </w:rPr>
        <w:t>. § 1501 requires public utilities to provide reasonable and adequate service, not perfect service.</w:t>
      </w:r>
    </w:p>
    <w:p w:rsidR="00202C10" w:rsidRPr="00296C90" w:rsidRDefault="00202C10" w:rsidP="00683F02">
      <w:pPr>
        <w:pStyle w:val="ListParagraph"/>
        <w:spacing w:line="360" w:lineRule="auto"/>
        <w:ind w:left="0"/>
        <w:rPr>
          <w:sz w:val="24"/>
          <w:szCs w:val="24"/>
        </w:rPr>
      </w:pPr>
    </w:p>
    <w:p w:rsidR="00F636A7" w:rsidRPr="00296C90" w:rsidRDefault="00B63F13" w:rsidP="00683F02">
      <w:pPr>
        <w:pStyle w:val="BodyText"/>
        <w:spacing w:after="0" w:line="360" w:lineRule="auto"/>
      </w:pPr>
      <w:r>
        <w:tab/>
      </w:r>
      <w:r w:rsidR="00E03566">
        <w:tab/>
      </w:r>
      <w:proofErr w:type="gramStart"/>
      <w:r w:rsidR="00F636A7" w:rsidRPr="00296C90">
        <w:t xml:space="preserve">In the absence of specific regulations addressing the conduct of public utility customer service representatives, 66 </w:t>
      </w:r>
      <w:proofErr w:type="spellStart"/>
      <w:r w:rsidR="00F636A7" w:rsidRPr="00296C90">
        <w:t>Pa.C.S</w:t>
      </w:r>
      <w:proofErr w:type="spellEnd"/>
      <w:r w:rsidR="00F636A7" w:rsidRPr="00296C90">
        <w:t>.</w:t>
      </w:r>
      <w:proofErr w:type="gramEnd"/>
      <w:r w:rsidR="00F636A7" w:rsidRPr="00296C90">
        <w:t xml:space="preserve"> § 1501 governs a public utility’s obligation to provide reasonable service to its customers.  In </w:t>
      </w:r>
      <w:r w:rsidR="00F636A7" w:rsidRPr="00296C90">
        <w:rPr>
          <w:i/>
        </w:rPr>
        <w:t>Gallagher v. Bell Telephone Co. of Pa.</w:t>
      </w:r>
      <w:r w:rsidR="00F636A7" w:rsidRPr="00296C90">
        <w:t>, Docket No. F-8958314 (</w:t>
      </w:r>
      <w:r w:rsidR="00CA050C">
        <w:t xml:space="preserve">Opinion and </w:t>
      </w:r>
      <w:r w:rsidR="00F636A7" w:rsidRPr="00296C90">
        <w:t xml:space="preserve">Order entered September 23, 2007), the Commission held that a public utility had violated 66 </w:t>
      </w:r>
      <w:proofErr w:type="spellStart"/>
      <w:r w:rsidR="00F636A7" w:rsidRPr="00296C90">
        <w:t>Pa.C.S</w:t>
      </w:r>
      <w:proofErr w:type="spellEnd"/>
      <w:r w:rsidR="00F636A7" w:rsidRPr="00296C90">
        <w:t xml:space="preserve">. § 1501 by allowing its customer service employees to </w:t>
      </w:r>
      <w:r w:rsidR="00F636A7" w:rsidRPr="00296C90">
        <w:lastRenderedPageBreak/>
        <w:t xml:space="preserve">refuse to identify themselves to a complainant, by calling the complainant a rude and filthy name and by hanging up on the complainant.  </w:t>
      </w:r>
    </w:p>
    <w:p w:rsidR="00F636A7" w:rsidRPr="00296C90" w:rsidRDefault="00F636A7" w:rsidP="00683F02">
      <w:pPr>
        <w:pStyle w:val="BodyText"/>
        <w:spacing w:after="0" w:line="360" w:lineRule="auto"/>
      </w:pPr>
    </w:p>
    <w:p w:rsidR="00F86281" w:rsidRDefault="00F636A7" w:rsidP="00683F02">
      <w:pPr>
        <w:pStyle w:val="BodyText"/>
        <w:spacing w:after="0" w:line="360" w:lineRule="auto"/>
      </w:pPr>
      <w:r w:rsidRPr="00296C90">
        <w:tab/>
      </w:r>
      <w:r w:rsidRPr="00296C90">
        <w:tab/>
        <w:t xml:space="preserve">In </w:t>
      </w:r>
      <w:proofErr w:type="spellStart"/>
      <w:r w:rsidRPr="00296C90">
        <w:rPr>
          <w:i/>
        </w:rPr>
        <w:t>Dezort</w:t>
      </w:r>
      <w:proofErr w:type="spellEnd"/>
      <w:r w:rsidRPr="00296C90">
        <w:rPr>
          <w:i/>
        </w:rPr>
        <w:t xml:space="preserve"> v. Verizon Pennsylvania Inc</w:t>
      </w:r>
      <w:r w:rsidRPr="00296C90">
        <w:t xml:space="preserve">., Docket No. C-2009-2099508 (Opinion and Order entered May 7, 2010), the Administrative Law Judge (ALJ) considered a situation where </w:t>
      </w:r>
      <w:r w:rsidR="00E03566">
        <w:t>c</w:t>
      </w:r>
      <w:r w:rsidRPr="00296C90">
        <w:t>omplainant</w:t>
      </w:r>
      <w:r w:rsidR="00E03566">
        <w:t xml:space="preserve"> </w:t>
      </w:r>
      <w:r w:rsidRPr="00296C90">
        <w:t>w</w:t>
      </w:r>
      <w:r w:rsidR="00E03566">
        <w:t>as</w:t>
      </w:r>
      <w:r w:rsidRPr="00296C90">
        <w:t xml:space="preserve"> without telephone service for approximately six days and could not obtain a service appointment for a period of five days.  Complainant alleged that Verizon personnel, through various calls, laughed at him, badgered him and did not treat him properly.  The ALJ found </w:t>
      </w:r>
      <w:r w:rsidR="00E03566">
        <w:t>c</w:t>
      </w:r>
      <w:r w:rsidRPr="00296C90">
        <w:t xml:space="preserve">omplainant was not provided adequate and reasonable service regarding the telephone calls he made to Verizon.  The </w:t>
      </w:r>
      <w:r w:rsidR="00707806">
        <w:t xml:space="preserve">Commission </w:t>
      </w:r>
      <w:r w:rsidRPr="00296C90">
        <w:t xml:space="preserve">concluded </w:t>
      </w:r>
      <w:r w:rsidR="00707806">
        <w:t>that Respondent failed to provide adequate and reasonable service and assessed a civil penalty.</w:t>
      </w:r>
    </w:p>
    <w:p w:rsidR="00707806" w:rsidRPr="00296C90" w:rsidRDefault="00707806" w:rsidP="00683F02">
      <w:pPr>
        <w:pStyle w:val="BodyText"/>
        <w:spacing w:after="0" w:line="360" w:lineRule="auto"/>
      </w:pPr>
    </w:p>
    <w:p w:rsidR="00157048" w:rsidRDefault="00B63F13" w:rsidP="003C7591">
      <w:pPr>
        <w:pStyle w:val="BodyText"/>
        <w:spacing w:after="0" w:line="360" w:lineRule="auto"/>
      </w:pPr>
      <w:r>
        <w:tab/>
      </w:r>
      <w:r w:rsidR="001B1D49">
        <w:tab/>
      </w:r>
      <w:r>
        <w:t xml:space="preserve">Here, the conduct of Respondent and the third party contractor did not rise to such a level to constitute unreasonable service.  </w:t>
      </w:r>
      <w:r w:rsidR="00F636A7" w:rsidRPr="00296C90">
        <w:t xml:space="preserve">Based upon the </w:t>
      </w:r>
      <w:r w:rsidR="00F636A7" w:rsidRPr="00296C90">
        <w:rPr>
          <w:i/>
        </w:rPr>
        <w:t>Gallagher</w:t>
      </w:r>
      <w:r w:rsidR="00F636A7" w:rsidRPr="00296C90">
        <w:t xml:space="preserve"> and </w:t>
      </w:r>
      <w:proofErr w:type="spellStart"/>
      <w:r w:rsidR="00F636A7" w:rsidRPr="00296C90">
        <w:rPr>
          <w:i/>
        </w:rPr>
        <w:t>Dezort</w:t>
      </w:r>
      <w:proofErr w:type="spellEnd"/>
      <w:r w:rsidR="00F636A7" w:rsidRPr="00296C90">
        <w:t xml:space="preserve"> decisions, the </w:t>
      </w:r>
      <w:r w:rsidR="00EB45B2">
        <w:t xml:space="preserve">third party </w:t>
      </w:r>
      <w:r w:rsidR="00F636A7" w:rsidRPr="00296C90">
        <w:t>representative would have to behave in an unreasonable manner toward Complainant</w:t>
      </w:r>
      <w:r w:rsidR="00E03566">
        <w:t>s</w:t>
      </w:r>
      <w:r w:rsidR="00F636A7" w:rsidRPr="00296C90">
        <w:t xml:space="preserve"> for their conduct to constitute a violation of 66 </w:t>
      </w:r>
      <w:proofErr w:type="spellStart"/>
      <w:r w:rsidR="00F636A7" w:rsidRPr="00296C90">
        <w:t>Pa.C.S</w:t>
      </w:r>
      <w:proofErr w:type="spellEnd"/>
      <w:r w:rsidR="00F636A7" w:rsidRPr="00296C90">
        <w:t xml:space="preserve">. § 1501.  I </w:t>
      </w:r>
      <w:r w:rsidR="00EB45B2">
        <w:t xml:space="preserve">cannot </w:t>
      </w:r>
      <w:r w:rsidR="00F636A7" w:rsidRPr="00296C90">
        <w:t xml:space="preserve">find the conduct of the </w:t>
      </w:r>
      <w:r w:rsidR="00EB45B2">
        <w:t xml:space="preserve">representative </w:t>
      </w:r>
      <w:r w:rsidR="00F636A7" w:rsidRPr="00296C90">
        <w:t xml:space="preserve">to be unreasonable </w:t>
      </w:r>
      <w:r w:rsidR="00EB45B2">
        <w:t xml:space="preserve">under the circumstances presented in this proceeding.  </w:t>
      </w:r>
      <w:r w:rsidR="003C7591">
        <w:t>Th</w:t>
      </w:r>
      <w:r w:rsidR="00F636A7" w:rsidRPr="00F636A7">
        <w:t>erefore, this claim will be dismissed.</w:t>
      </w:r>
      <w:r w:rsidR="00EB45B2">
        <w:t xml:space="preserve">  </w:t>
      </w:r>
    </w:p>
    <w:p w:rsidR="00683F02" w:rsidRDefault="00683F02" w:rsidP="00683F02">
      <w:pPr>
        <w:pStyle w:val="BodyText"/>
        <w:spacing w:after="0" w:line="360" w:lineRule="auto"/>
        <w:ind w:firstLine="1440"/>
        <w:rPr>
          <w:b/>
        </w:rPr>
      </w:pPr>
    </w:p>
    <w:p w:rsidR="00EB45B2" w:rsidRPr="00296C90" w:rsidRDefault="001F661B" w:rsidP="00683F02">
      <w:pPr>
        <w:spacing w:line="360" w:lineRule="auto"/>
        <w:ind w:firstLine="1440"/>
        <w:rPr>
          <w:sz w:val="24"/>
          <w:szCs w:val="24"/>
        </w:rPr>
      </w:pPr>
      <w:r w:rsidRPr="00EB45B2">
        <w:rPr>
          <w:sz w:val="24"/>
          <w:szCs w:val="24"/>
        </w:rPr>
        <w:t xml:space="preserve">In their formal complaint, </w:t>
      </w:r>
      <w:r w:rsidR="00132C14" w:rsidRPr="00EB45B2">
        <w:rPr>
          <w:sz w:val="24"/>
          <w:szCs w:val="24"/>
        </w:rPr>
        <w:t xml:space="preserve">Complainants </w:t>
      </w:r>
      <w:r w:rsidRPr="00EB45B2">
        <w:rPr>
          <w:sz w:val="24"/>
          <w:szCs w:val="24"/>
        </w:rPr>
        <w:t xml:space="preserve">further </w:t>
      </w:r>
      <w:r w:rsidR="00132C14" w:rsidRPr="00EB45B2">
        <w:rPr>
          <w:sz w:val="24"/>
          <w:szCs w:val="24"/>
        </w:rPr>
        <w:t xml:space="preserve">averred the existence of reliability, and safety or quality problems with their utility service.  </w:t>
      </w:r>
      <w:r w:rsidRPr="00EB45B2">
        <w:rPr>
          <w:sz w:val="24"/>
          <w:szCs w:val="24"/>
        </w:rPr>
        <w:t xml:space="preserve">When asked what problems Complainants were having, Ms. </w:t>
      </w:r>
      <w:proofErr w:type="spellStart"/>
      <w:r w:rsidRPr="00EB45B2">
        <w:rPr>
          <w:sz w:val="24"/>
          <w:szCs w:val="24"/>
        </w:rPr>
        <w:t>Goforth</w:t>
      </w:r>
      <w:proofErr w:type="spellEnd"/>
      <w:r w:rsidRPr="00EB45B2">
        <w:rPr>
          <w:sz w:val="24"/>
          <w:szCs w:val="24"/>
        </w:rPr>
        <w:t xml:space="preserve"> testified she was not having any reliability or safety issues.  </w:t>
      </w:r>
      <w:proofErr w:type="gramStart"/>
      <w:r w:rsidRPr="00EB45B2">
        <w:rPr>
          <w:sz w:val="24"/>
          <w:szCs w:val="24"/>
        </w:rPr>
        <w:t>(N.T. 57.)</w:t>
      </w:r>
      <w:proofErr w:type="gramEnd"/>
      <w:r w:rsidRPr="00EB45B2">
        <w:rPr>
          <w:sz w:val="24"/>
          <w:szCs w:val="24"/>
        </w:rPr>
        <w:t xml:space="preserve">  </w:t>
      </w:r>
      <w:r w:rsidR="00EB45B2" w:rsidRPr="00EB45B2">
        <w:rPr>
          <w:sz w:val="24"/>
          <w:szCs w:val="24"/>
        </w:rPr>
        <w:t xml:space="preserve">Accordingly, as Complainants failed to present any evidence to support this claim, they have failed to meet their burden of proof that the actions by Respondent constitute unreasonable conduct in violation of 66 </w:t>
      </w:r>
      <w:proofErr w:type="spellStart"/>
      <w:r w:rsidR="00EB45B2" w:rsidRPr="00EB45B2">
        <w:rPr>
          <w:sz w:val="24"/>
          <w:szCs w:val="24"/>
        </w:rPr>
        <w:t>Pa.C.S</w:t>
      </w:r>
      <w:proofErr w:type="spellEnd"/>
      <w:r w:rsidR="00EB45B2" w:rsidRPr="00EB45B2">
        <w:rPr>
          <w:sz w:val="24"/>
          <w:szCs w:val="24"/>
        </w:rPr>
        <w:t>. § 1501</w:t>
      </w:r>
      <w:r w:rsidR="00EB45B2">
        <w:rPr>
          <w:sz w:val="24"/>
          <w:szCs w:val="24"/>
        </w:rPr>
        <w:t xml:space="preserve">.  </w:t>
      </w:r>
      <w:r w:rsidR="00E7456A">
        <w:rPr>
          <w:sz w:val="24"/>
          <w:szCs w:val="24"/>
        </w:rPr>
        <w:t xml:space="preserve">Accordingly, this claim will be dismissed.  </w:t>
      </w:r>
    </w:p>
    <w:p w:rsidR="001F661B" w:rsidRDefault="001F661B" w:rsidP="005A1410">
      <w:pPr>
        <w:spacing w:line="360" w:lineRule="auto"/>
        <w:ind w:firstLine="1440"/>
        <w:rPr>
          <w:sz w:val="24"/>
          <w:szCs w:val="24"/>
        </w:rPr>
      </w:pPr>
    </w:p>
    <w:p w:rsidR="006C3612" w:rsidRPr="00F650F0" w:rsidRDefault="0001364A" w:rsidP="006C3612">
      <w:pPr>
        <w:spacing w:line="360" w:lineRule="auto"/>
        <w:ind w:firstLine="1440"/>
        <w:rPr>
          <w:sz w:val="24"/>
          <w:szCs w:val="24"/>
        </w:rPr>
      </w:pPr>
      <w:r w:rsidRPr="00AB1454">
        <w:rPr>
          <w:sz w:val="24"/>
          <w:szCs w:val="24"/>
        </w:rPr>
        <w:t xml:space="preserve">Finally, Complainants requested approval of a payment arrangement. </w:t>
      </w:r>
      <w:r w:rsidR="009E2A81" w:rsidRPr="00AB1454">
        <w:rPr>
          <w:rStyle w:val="FootnoteReference"/>
          <w:sz w:val="24"/>
          <w:szCs w:val="24"/>
        </w:rPr>
        <w:footnoteReference w:id="4"/>
      </w:r>
      <w:r>
        <w:rPr>
          <w:b/>
          <w:sz w:val="24"/>
          <w:szCs w:val="24"/>
        </w:rPr>
        <w:t xml:space="preserve"> </w:t>
      </w:r>
      <w:r w:rsidR="000B1D79">
        <w:rPr>
          <w:sz w:val="24"/>
          <w:szCs w:val="24"/>
        </w:rPr>
        <w:t xml:space="preserve">  </w:t>
      </w:r>
      <w:r w:rsidR="009E2A81">
        <w:rPr>
          <w:sz w:val="24"/>
          <w:szCs w:val="24"/>
        </w:rPr>
        <w:t xml:space="preserve">At the time of the hearing, Complainants were in default of a </w:t>
      </w:r>
      <w:r w:rsidR="00964566">
        <w:rPr>
          <w:sz w:val="24"/>
          <w:szCs w:val="24"/>
        </w:rPr>
        <w:t>C</w:t>
      </w:r>
      <w:r w:rsidR="009E2A81">
        <w:rPr>
          <w:sz w:val="24"/>
          <w:szCs w:val="24"/>
        </w:rPr>
        <w:t>ompany</w:t>
      </w:r>
      <w:r w:rsidR="00964566">
        <w:rPr>
          <w:sz w:val="24"/>
          <w:szCs w:val="24"/>
        </w:rPr>
        <w:t>-</w:t>
      </w:r>
      <w:r w:rsidR="009E2A81">
        <w:rPr>
          <w:sz w:val="24"/>
          <w:szCs w:val="24"/>
        </w:rPr>
        <w:t xml:space="preserve">approved payment arrangement </w:t>
      </w:r>
      <w:r w:rsidR="009E2A81">
        <w:rPr>
          <w:sz w:val="24"/>
          <w:szCs w:val="24"/>
        </w:rPr>
        <w:lastRenderedPageBreak/>
        <w:t xml:space="preserve">for the budget bill amount plus $45 per month.  </w:t>
      </w:r>
      <w:proofErr w:type="gramStart"/>
      <w:r w:rsidR="009E2A81">
        <w:rPr>
          <w:sz w:val="24"/>
          <w:szCs w:val="24"/>
        </w:rPr>
        <w:t>N.T. 87.</w:t>
      </w:r>
      <w:proofErr w:type="gramEnd"/>
      <w:r w:rsidR="009E2A81">
        <w:rPr>
          <w:sz w:val="24"/>
          <w:szCs w:val="24"/>
        </w:rPr>
        <w:t xml:space="preserve">  </w:t>
      </w:r>
      <w:r w:rsidR="006C3612">
        <w:rPr>
          <w:sz w:val="24"/>
          <w:szCs w:val="24"/>
        </w:rPr>
        <w:t>The evidence established that, although the income to the household fluctuates</w:t>
      </w:r>
      <w:proofErr w:type="gramStart"/>
      <w:r w:rsidR="006C3612">
        <w:rPr>
          <w:sz w:val="24"/>
          <w:szCs w:val="24"/>
        </w:rPr>
        <w:t>,  Mr</w:t>
      </w:r>
      <w:proofErr w:type="gramEnd"/>
      <w:r w:rsidR="006C3612">
        <w:rPr>
          <w:sz w:val="24"/>
          <w:szCs w:val="24"/>
        </w:rPr>
        <w:t xml:space="preserve">. </w:t>
      </w:r>
      <w:proofErr w:type="spellStart"/>
      <w:r w:rsidR="006C3612">
        <w:rPr>
          <w:sz w:val="24"/>
          <w:szCs w:val="24"/>
        </w:rPr>
        <w:t>Goforth</w:t>
      </w:r>
      <w:proofErr w:type="spellEnd"/>
      <w:r w:rsidR="006C3612">
        <w:rPr>
          <w:sz w:val="24"/>
          <w:szCs w:val="24"/>
        </w:rPr>
        <w:t xml:space="preserve"> has a gross monthly income of approximately $1,398 and Ms. </w:t>
      </w:r>
      <w:proofErr w:type="spellStart"/>
      <w:r w:rsidR="006C3612">
        <w:rPr>
          <w:sz w:val="24"/>
          <w:szCs w:val="24"/>
        </w:rPr>
        <w:t>Goforth</w:t>
      </w:r>
      <w:proofErr w:type="spellEnd"/>
      <w:r w:rsidR="006C3612">
        <w:rPr>
          <w:sz w:val="24"/>
          <w:szCs w:val="24"/>
        </w:rPr>
        <w:t xml:space="preserve"> has a gross annual income of approximately $200.  The household consists of Mr. and Ms. </w:t>
      </w:r>
      <w:proofErr w:type="spellStart"/>
      <w:r w:rsidR="006C3612">
        <w:rPr>
          <w:sz w:val="24"/>
          <w:szCs w:val="24"/>
        </w:rPr>
        <w:t>Goforth</w:t>
      </w:r>
      <w:proofErr w:type="spellEnd"/>
      <w:r w:rsidR="006C3612">
        <w:rPr>
          <w:sz w:val="24"/>
          <w:szCs w:val="24"/>
        </w:rPr>
        <w:t xml:space="preserve">.  </w:t>
      </w:r>
      <w:r w:rsidR="00E37AA9">
        <w:rPr>
          <w:sz w:val="24"/>
          <w:szCs w:val="24"/>
        </w:rPr>
        <w:t>Complainants had two payment arrangements approved by the Company, one on March 24, 2014 and the second on October 29, 2014.  At the time of the hearing, the second payment arrangement</w:t>
      </w:r>
      <w:r w:rsidR="005A11DD">
        <w:rPr>
          <w:sz w:val="24"/>
          <w:szCs w:val="24"/>
        </w:rPr>
        <w:t xml:space="preserve">, consisting of an agreement to pay the budget bill plus $42 monthly, for 24 months, </w:t>
      </w:r>
      <w:r w:rsidR="00E37AA9">
        <w:rPr>
          <w:sz w:val="24"/>
          <w:szCs w:val="24"/>
        </w:rPr>
        <w:t>was s</w:t>
      </w:r>
      <w:r w:rsidR="005A11DD">
        <w:rPr>
          <w:sz w:val="24"/>
          <w:szCs w:val="24"/>
        </w:rPr>
        <w:t>till</w:t>
      </w:r>
      <w:r w:rsidR="00E37AA9">
        <w:rPr>
          <w:sz w:val="24"/>
          <w:szCs w:val="24"/>
        </w:rPr>
        <w:t xml:space="preserve"> in effect</w:t>
      </w:r>
      <w:r w:rsidR="005A11DD">
        <w:rPr>
          <w:sz w:val="24"/>
          <w:szCs w:val="24"/>
        </w:rPr>
        <w:t xml:space="preserve">, with an amount of $379.47 to bring it current.  </w:t>
      </w:r>
      <w:r w:rsidR="005A11DD" w:rsidRPr="00F650F0">
        <w:rPr>
          <w:sz w:val="24"/>
          <w:szCs w:val="24"/>
        </w:rPr>
        <w:t xml:space="preserve">The Commission has never directed a payment arrangement for Complainants.    </w:t>
      </w:r>
      <w:r w:rsidR="00E37AA9" w:rsidRPr="00F650F0">
        <w:rPr>
          <w:sz w:val="24"/>
          <w:szCs w:val="24"/>
        </w:rPr>
        <w:t xml:space="preserve">  </w:t>
      </w:r>
    </w:p>
    <w:p w:rsidR="006C3612" w:rsidRDefault="006C3612" w:rsidP="006C3612">
      <w:pPr>
        <w:spacing w:line="360" w:lineRule="auto"/>
        <w:ind w:firstLine="1440"/>
        <w:rPr>
          <w:sz w:val="24"/>
          <w:szCs w:val="24"/>
        </w:rPr>
      </w:pPr>
    </w:p>
    <w:p w:rsidR="00AB1454" w:rsidRDefault="00AB1454" w:rsidP="00AB1454">
      <w:pPr>
        <w:spacing w:line="360" w:lineRule="auto"/>
        <w:ind w:firstLine="1440"/>
        <w:rPr>
          <w:sz w:val="24"/>
          <w:szCs w:val="24"/>
        </w:rPr>
      </w:pPr>
      <w:r w:rsidRPr="00AB1454">
        <w:rPr>
          <w:sz w:val="24"/>
          <w:szCs w:val="24"/>
        </w:rPr>
        <w:t xml:space="preserve">The Responsible Utility Customer Protection Act, </w:t>
      </w:r>
      <w:proofErr w:type="gramStart"/>
      <w:r w:rsidRPr="00AB1454">
        <w:rPr>
          <w:sz w:val="24"/>
          <w:szCs w:val="24"/>
        </w:rPr>
        <w:t xml:space="preserve">66 </w:t>
      </w:r>
      <w:proofErr w:type="spellStart"/>
      <w:r w:rsidRPr="00AB1454">
        <w:rPr>
          <w:sz w:val="24"/>
          <w:szCs w:val="24"/>
        </w:rPr>
        <w:t>Pa.C.S</w:t>
      </w:r>
      <w:proofErr w:type="spellEnd"/>
      <w:proofErr w:type="gramEnd"/>
      <w:r w:rsidRPr="00AB1454">
        <w:rPr>
          <w:sz w:val="24"/>
          <w:szCs w:val="24"/>
        </w:rPr>
        <w:t xml:space="preserve">. §§ 1401, </w:t>
      </w:r>
      <w:r w:rsidRPr="00AB1454">
        <w:rPr>
          <w:i/>
          <w:sz w:val="24"/>
          <w:szCs w:val="24"/>
        </w:rPr>
        <w:t>et seq</w:t>
      </w:r>
      <w:r w:rsidRPr="00AB1454">
        <w:rPr>
          <w:sz w:val="24"/>
          <w:szCs w:val="24"/>
        </w:rPr>
        <w:t>. (the Act or Chapter 14) applies to complaints alleging inability to pay and requests for Commission-issued payment a</w:t>
      </w:r>
      <w:r w:rsidR="00964566">
        <w:rPr>
          <w:sz w:val="24"/>
          <w:szCs w:val="24"/>
        </w:rPr>
        <w:t>rrangements</w:t>
      </w:r>
      <w:r w:rsidRPr="00AB1454">
        <w:rPr>
          <w:sz w:val="24"/>
          <w:szCs w:val="24"/>
        </w:rPr>
        <w:t>.  This law provides strict guidelines that the Commission must follow in handling customer complaints.</w:t>
      </w:r>
    </w:p>
    <w:p w:rsidR="002F12A4" w:rsidRPr="00AB1454" w:rsidRDefault="002F12A4" w:rsidP="00AB1454">
      <w:pPr>
        <w:spacing w:line="360" w:lineRule="auto"/>
        <w:ind w:firstLine="1440"/>
        <w:rPr>
          <w:sz w:val="24"/>
          <w:szCs w:val="24"/>
        </w:rPr>
      </w:pPr>
    </w:p>
    <w:p w:rsidR="00AB1454" w:rsidRPr="00FC078F" w:rsidRDefault="00AB1454" w:rsidP="00AB1454">
      <w:pPr>
        <w:spacing w:line="360" w:lineRule="auto"/>
        <w:ind w:firstLine="1440"/>
        <w:rPr>
          <w:sz w:val="24"/>
          <w:szCs w:val="24"/>
        </w:rPr>
      </w:pPr>
      <w:r w:rsidRPr="00FC078F">
        <w:rPr>
          <w:sz w:val="24"/>
          <w:szCs w:val="24"/>
        </w:rPr>
        <w:t xml:space="preserve">Ms. </w:t>
      </w:r>
      <w:proofErr w:type="spellStart"/>
      <w:r w:rsidRPr="00FC078F">
        <w:rPr>
          <w:sz w:val="24"/>
          <w:szCs w:val="24"/>
        </w:rPr>
        <w:t>Goforth</w:t>
      </w:r>
      <w:proofErr w:type="spellEnd"/>
      <w:r w:rsidRPr="00FC078F">
        <w:rPr>
          <w:sz w:val="24"/>
          <w:szCs w:val="24"/>
        </w:rPr>
        <w:t xml:space="preserve"> testified that she lives with her husband at the </w:t>
      </w:r>
      <w:r w:rsidR="00CA050C">
        <w:rPr>
          <w:sz w:val="24"/>
          <w:szCs w:val="24"/>
        </w:rPr>
        <w:t>s</w:t>
      </w:r>
      <w:r w:rsidRPr="00FC078F">
        <w:rPr>
          <w:sz w:val="24"/>
          <w:szCs w:val="24"/>
        </w:rPr>
        <w:t xml:space="preserve">ervice </w:t>
      </w:r>
      <w:r w:rsidR="00CA050C">
        <w:rPr>
          <w:sz w:val="24"/>
          <w:szCs w:val="24"/>
        </w:rPr>
        <w:t>a</w:t>
      </w:r>
      <w:r w:rsidRPr="00FC078F">
        <w:rPr>
          <w:sz w:val="24"/>
          <w:szCs w:val="24"/>
        </w:rPr>
        <w:t>ddress.  Mr.</w:t>
      </w:r>
      <w:r w:rsidR="00E03566">
        <w:rPr>
          <w:sz w:val="24"/>
          <w:szCs w:val="24"/>
        </w:rPr>
        <w:t> </w:t>
      </w:r>
      <w:proofErr w:type="spellStart"/>
      <w:r w:rsidRPr="00FC078F">
        <w:rPr>
          <w:sz w:val="24"/>
          <w:szCs w:val="24"/>
        </w:rPr>
        <w:t>Goforth</w:t>
      </w:r>
      <w:proofErr w:type="spellEnd"/>
      <w:r w:rsidRPr="00FC078F">
        <w:rPr>
          <w:sz w:val="24"/>
          <w:szCs w:val="24"/>
        </w:rPr>
        <w:t xml:space="preserve"> works full time and earns $1,398 per month.  Ms. </w:t>
      </w:r>
      <w:proofErr w:type="spellStart"/>
      <w:r w:rsidRPr="00FC078F">
        <w:rPr>
          <w:sz w:val="24"/>
          <w:szCs w:val="24"/>
        </w:rPr>
        <w:t>Goforth</w:t>
      </w:r>
      <w:proofErr w:type="spellEnd"/>
      <w:r w:rsidRPr="00FC078F">
        <w:rPr>
          <w:sz w:val="24"/>
          <w:szCs w:val="24"/>
        </w:rPr>
        <w:t xml:space="preserve"> earns approximately $200 making and selling templates for puzzles.  </w:t>
      </w:r>
      <w:r w:rsidR="0082154E" w:rsidRPr="00FC078F">
        <w:rPr>
          <w:sz w:val="24"/>
          <w:szCs w:val="24"/>
        </w:rPr>
        <w:t xml:space="preserve">She previously worked providing homecare, earning approximately $7,000 from May through August of 2015, but has not performed such work since August of 2015.  </w:t>
      </w:r>
      <w:r w:rsidRPr="00FC078F">
        <w:rPr>
          <w:sz w:val="24"/>
          <w:szCs w:val="24"/>
        </w:rPr>
        <w:t>The Complainants</w:t>
      </w:r>
      <w:r w:rsidR="00D14C90" w:rsidRPr="00FC078F">
        <w:rPr>
          <w:sz w:val="24"/>
          <w:szCs w:val="24"/>
        </w:rPr>
        <w:t>’</w:t>
      </w:r>
      <w:r w:rsidRPr="00FC078F">
        <w:rPr>
          <w:sz w:val="24"/>
          <w:szCs w:val="24"/>
        </w:rPr>
        <w:t xml:space="preserve"> gross annual household income is $</w:t>
      </w:r>
      <w:r w:rsidR="007C2E2D" w:rsidRPr="00FC078F">
        <w:rPr>
          <w:sz w:val="24"/>
          <w:szCs w:val="24"/>
        </w:rPr>
        <w:t>17,976</w:t>
      </w:r>
      <w:r w:rsidR="00D14C90" w:rsidRPr="00FC078F">
        <w:rPr>
          <w:sz w:val="24"/>
          <w:szCs w:val="24"/>
        </w:rPr>
        <w:t>, and approximately $1,414 per month.</w:t>
      </w:r>
      <w:r w:rsidRPr="00FC078F">
        <w:rPr>
          <w:sz w:val="24"/>
          <w:szCs w:val="24"/>
        </w:rPr>
        <w:t xml:space="preserve">  For a household of t</w:t>
      </w:r>
      <w:r w:rsidR="007C2E2D" w:rsidRPr="00FC078F">
        <w:rPr>
          <w:sz w:val="24"/>
          <w:szCs w:val="24"/>
        </w:rPr>
        <w:t>wo</w:t>
      </w:r>
      <w:r w:rsidRPr="00FC078F">
        <w:rPr>
          <w:sz w:val="24"/>
          <w:szCs w:val="24"/>
        </w:rPr>
        <w:t xml:space="preserve">, the Complainant’s household income </w:t>
      </w:r>
      <w:r w:rsidR="008F0384">
        <w:rPr>
          <w:sz w:val="24"/>
          <w:szCs w:val="24"/>
        </w:rPr>
        <w:t xml:space="preserve">is </w:t>
      </w:r>
      <w:r w:rsidR="00964566">
        <w:rPr>
          <w:sz w:val="24"/>
          <w:szCs w:val="24"/>
        </w:rPr>
        <w:t>less</w:t>
      </w:r>
      <w:r w:rsidRPr="00FC078F">
        <w:rPr>
          <w:sz w:val="24"/>
          <w:szCs w:val="24"/>
        </w:rPr>
        <w:t xml:space="preserve"> than 150% </w:t>
      </w:r>
      <w:r w:rsidR="00D14C90" w:rsidRPr="00FC078F">
        <w:rPr>
          <w:sz w:val="24"/>
          <w:szCs w:val="24"/>
        </w:rPr>
        <w:t xml:space="preserve">of the </w:t>
      </w:r>
      <w:r w:rsidRPr="00FC078F">
        <w:rPr>
          <w:sz w:val="24"/>
          <w:szCs w:val="24"/>
        </w:rPr>
        <w:t>201</w:t>
      </w:r>
      <w:r w:rsidR="00D14C90" w:rsidRPr="00FC078F">
        <w:rPr>
          <w:sz w:val="24"/>
          <w:szCs w:val="24"/>
        </w:rPr>
        <w:t>6</w:t>
      </w:r>
      <w:r w:rsidRPr="00FC078F">
        <w:rPr>
          <w:sz w:val="24"/>
          <w:szCs w:val="24"/>
        </w:rPr>
        <w:t xml:space="preserve"> Federal Poverty Level Guidelines</w:t>
      </w:r>
      <w:r w:rsidR="00D14C90" w:rsidRPr="00FC078F">
        <w:rPr>
          <w:sz w:val="24"/>
          <w:szCs w:val="24"/>
        </w:rPr>
        <w:t xml:space="preserve">.  Accordingly they are </w:t>
      </w:r>
      <w:r w:rsidRPr="00FC078F">
        <w:rPr>
          <w:sz w:val="24"/>
          <w:szCs w:val="24"/>
        </w:rPr>
        <w:t>a Level</w:t>
      </w:r>
      <w:r w:rsidR="00E03566">
        <w:rPr>
          <w:sz w:val="24"/>
          <w:szCs w:val="24"/>
        </w:rPr>
        <w:t> </w:t>
      </w:r>
      <w:r w:rsidR="00D14C90" w:rsidRPr="00FC078F">
        <w:rPr>
          <w:sz w:val="24"/>
          <w:szCs w:val="24"/>
        </w:rPr>
        <w:t>1</w:t>
      </w:r>
      <w:r w:rsidRPr="00FC078F">
        <w:rPr>
          <w:sz w:val="24"/>
          <w:szCs w:val="24"/>
        </w:rPr>
        <w:t xml:space="preserve"> customer.  As Level </w:t>
      </w:r>
      <w:r w:rsidR="00D14C90" w:rsidRPr="00FC078F">
        <w:rPr>
          <w:sz w:val="24"/>
          <w:szCs w:val="24"/>
        </w:rPr>
        <w:t>1</w:t>
      </w:r>
      <w:r w:rsidRPr="00FC078F">
        <w:rPr>
          <w:sz w:val="24"/>
          <w:szCs w:val="24"/>
        </w:rPr>
        <w:t xml:space="preserve"> customer</w:t>
      </w:r>
      <w:r w:rsidR="00964566">
        <w:rPr>
          <w:sz w:val="24"/>
          <w:szCs w:val="24"/>
        </w:rPr>
        <w:t>s</w:t>
      </w:r>
      <w:r w:rsidRPr="00FC078F">
        <w:rPr>
          <w:sz w:val="24"/>
          <w:szCs w:val="24"/>
        </w:rPr>
        <w:t>, Complainant</w:t>
      </w:r>
      <w:r w:rsidR="00964566">
        <w:rPr>
          <w:sz w:val="24"/>
          <w:szCs w:val="24"/>
        </w:rPr>
        <w:t>s</w:t>
      </w:r>
      <w:r w:rsidRPr="00FC078F">
        <w:rPr>
          <w:sz w:val="24"/>
          <w:szCs w:val="24"/>
        </w:rPr>
        <w:t xml:space="preserve"> ha</w:t>
      </w:r>
      <w:r w:rsidR="00964566">
        <w:rPr>
          <w:sz w:val="24"/>
          <w:szCs w:val="24"/>
        </w:rPr>
        <w:t>ve</w:t>
      </w:r>
      <w:r w:rsidRPr="00FC078F">
        <w:rPr>
          <w:sz w:val="24"/>
          <w:szCs w:val="24"/>
        </w:rPr>
        <w:t xml:space="preserve"> </w:t>
      </w:r>
      <w:r w:rsidR="00FC078F" w:rsidRPr="00FC078F">
        <w:rPr>
          <w:sz w:val="24"/>
          <w:szCs w:val="24"/>
        </w:rPr>
        <w:t>five</w:t>
      </w:r>
      <w:r w:rsidRPr="00FC078F">
        <w:rPr>
          <w:sz w:val="24"/>
          <w:szCs w:val="24"/>
        </w:rPr>
        <w:t xml:space="preserve"> years, or </w:t>
      </w:r>
      <w:r w:rsidR="00FC078F" w:rsidRPr="00FC078F">
        <w:rPr>
          <w:sz w:val="24"/>
          <w:szCs w:val="24"/>
        </w:rPr>
        <w:t>sixty</w:t>
      </w:r>
      <w:r w:rsidRPr="00FC078F">
        <w:rPr>
          <w:sz w:val="24"/>
          <w:szCs w:val="24"/>
        </w:rPr>
        <w:t xml:space="preserve"> months, to resolve </w:t>
      </w:r>
      <w:r w:rsidR="00E03566">
        <w:rPr>
          <w:sz w:val="24"/>
          <w:szCs w:val="24"/>
        </w:rPr>
        <w:t>their</w:t>
      </w:r>
      <w:r w:rsidRPr="00FC078F">
        <w:rPr>
          <w:sz w:val="24"/>
          <w:szCs w:val="24"/>
        </w:rPr>
        <w:t xml:space="preserve"> unpaid balance with </w:t>
      </w:r>
      <w:r w:rsidR="00FC078F" w:rsidRPr="00FC078F">
        <w:rPr>
          <w:sz w:val="24"/>
          <w:szCs w:val="24"/>
        </w:rPr>
        <w:t>Respondent</w:t>
      </w:r>
      <w:r w:rsidRPr="00FC078F">
        <w:rPr>
          <w:sz w:val="24"/>
          <w:szCs w:val="24"/>
        </w:rPr>
        <w:t xml:space="preserve">.  </w:t>
      </w:r>
      <w:proofErr w:type="gramStart"/>
      <w:r w:rsidRPr="00FC078F">
        <w:rPr>
          <w:sz w:val="24"/>
          <w:szCs w:val="24"/>
        </w:rPr>
        <w:t xml:space="preserve">66 </w:t>
      </w:r>
      <w:proofErr w:type="spellStart"/>
      <w:r w:rsidRPr="00FC078F">
        <w:rPr>
          <w:sz w:val="24"/>
          <w:szCs w:val="24"/>
        </w:rPr>
        <w:t>Pa.C.S</w:t>
      </w:r>
      <w:proofErr w:type="spellEnd"/>
      <w:r w:rsidRPr="00FC078F">
        <w:rPr>
          <w:sz w:val="24"/>
          <w:szCs w:val="24"/>
        </w:rPr>
        <w:t>.</w:t>
      </w:r>
      <w:proofErr w:type="gramEnd"/>
      <w:r w:rsidRPr="00FC078F">
        <w:rPr>
          <w:sz w:val="24"/>
          <w:szCs w:val="24"/>
        </w:rPr>
        <w:t xml:space="preserve"> § 1405(b</w:t>
      </w:r>
      <w:proofErr w:type="gramStart"/>
      <w:r w:rsidRPr="00FC078F">
        <w:rPr>
          <w:sz w:val="24"/>
          <w:szCs w:val="24"/>
        </w:rPr>
        <w:t>)(</w:t>
      </w:r>
      <w:proofErr w:type="gramEnd"/>
      <w:r w:rsidR="00FC078F" w:rsidRPr="00FC078F">
        <w:rPr>
          <w:sz w:val="24"/>
          <w:szCs w:val="24"/>
        </w:rPr>
        <w:t>1</w:t>
      </w:r>
      <w:r w:rsidRPr="00FC078F">
        <w:rPr>
          <w:sz w:val="24"/>
          <w:szCs w:val="24"/>
        </w:rPr>
        <w:t>).  This is the most favorable repayment period to which the Complainant</w:t>
      </w:r>
      <w:r w:rsidR="00E03566">
        <w:rPr>
          <w:sz w:val="24"/>
          <w:szCs w:val="24"/>
        </w:rPr>
        <w:t>s</w:t>
      </w:r>
      <w:r w:rsidRPr="00FC078F">
        <w:rPr>
          <w:sz w:val="24"/>
          <w:szCs w:val="24"/>
        </w:rPr>
        <w:t xml:space="preserve"> </w:t>
      </w:r>
      <w:r w:rsidR="00E03566">
        <w:rPr>
          <w:sz w:val="24"/>
          <w:szCs w:val="24"/>
        </w:rPr>
        <w:t>are</w:t>
      </w:r>
      <w:r w:rsidRPr="00FC078F">
        <w:rPr>
          <w:sz w:val="24"/>
          <w:szCs w:val="24"/>
        </w:rPr>
        <w:t xml:space="preserve"> entitled.</w:t>
      </w:r>
      <w:r w:rsidR="00707806">
        <w:rPr>
          <w:sz w:val="24"/>
          <w:szCs w:val="24"/>
        </w:rPr>
        <w:t xml:space="preserve">  </w:t>
      </w:r>
      <w:r w:rsidRPr="00FC078F">
        <w:rPr>
          <w:sz w:val="24"/>
          <w:szCs w:val="24"/>
        </w:rPr>
        <w:t>The Complainant</w:t>
      </w:r>
      <w:r w:rsidR="00E03566">
        <w:rPr>
          <w:sz w:val="24"/>
          <w:szCs w:val="24"/>
        </w:rPr>
        <w:t>s</w:t>
      </w:r>
      <w:r w:rsidRPr="00FC078F">
        <w:rPr>
          <w:sz w:val="24"/>
          <w:szCs w:val="24"/>
        </w:rPr>
        <w:t xml:space="preserve"> must make the monthly budget payment and arrearage payment as set forth in this decision.</w:t>
      </w:r>
    </w:p>
    <w:p w:rsidR="00AB1454" w:rsidRPr="00D60523" w:rsidRDefault="00AB1454" w:rsidP="00AB1454">
      <w:pPr>
        <w:spacing w:line="360" w:lineRule="auto"/>
        <w:ind w:firstLine="1440"/>
      </w:pPr>
    </w:p>
    <w:p w:rsidR="001D4CF0" w:rsidRPr="00027A40" w:rsidRDefault="001D4CF0" w:rsidP="001D4CF0">
      <w:pPr>
        <w:spacing w:line="360" w:lineRule="auto"/>
        <w:jc w:val="center"/>
        <w:outlineLvl w:val="3"/>
        <w:rPr>
          <w:sz w:val="24"/>
          <w:szCs w:val="24"/>
        </w:rPr>
      </w:pPr>
      <w:bookmarkStart w:id="2" w:name="sp_999_6"/>
      <w:bookmarkStart w:id="3" w:name="SDU_6"/>
      <w:r>
        <w:rPr>
          <w:sz w:val="24"/>
          <w:szCs w:val="24"/>
          <w:u w:val="single"/>
        </w:rPr>
        <w:t>CONCLUSION OF LAW</w:t>
      </w:r>
    </w:p>
    <w:p w:rsidR="001D4CF0" w:rsidRDefault="001D4CF0" w:rsidP="001D4CF0">
      <w:pPr>
        <w:pStyle w:val="ListParagraph"/>
        <w:spacing w:line="360" w:lineRule="auto"/>
        <w:ind w:left="1440"/>
        <w:outlineLvl w:val="3"/>
        <w:rPr>
          <w:sz w:val="24"/>
          <w:szCs w:val="24"/>
        </w:rPr>
      </w:pPr>
    </w:p>
    <w:p w:rsidR="008B1829" w:rsidRPr="00DF1F97" w:rsidRDefault="008B1829" w:rsidP="001C5C39">
      <w:pPr>
        <w:pStyle w:val="ListParagraph"/>
        <w:numPr>
          <w:ilvl w:val="0"/>
          <w:numId w:val="21"/>
        </w:numPr>
        <w:tabs>
          <w:tab w:val="clear" w:pos="900"/>
        </w:tabs>
        <w:spacing w:line="360" w:lineRule="auto"/>
        <w:ind w:left="0" w:firstLine="1440"/>
        <w:rPr>
          <w:sz w:val="24"/>
          <w:szCs w:val="24"/>
        </w:rPr>
      </w:pPr>
      <w:r w:rsidRPr="00DF1F97">
        <w:rPr>
          <w:sz w:val="24"/>
          <w:szCs w:val="24"/>
        </w:rPr>
        <w:t xml:space="preserve">The Commission has jurisdiction over the parties and the subject matter of this proceeding.  </w:t>
      </w:r>
      <w:proofErr w:type="gramStart"/>
      <w:r w:rsidRPr="00DF1F97">
        <w:rPr>
          <w:sz w:val="24"/>
          <w:szCs w:val="24"/>
        </w:rPr>
        <w:t xml:space="preserve">66 </w:t>
      </w:r>
      <w:proofErr w:type="spellStart"/>
      <w:r w:rsidRPr="00DF1F97">
        <w:rPr>
          <w:sz w:val="24"/>
          <w:szCs w:val="24"/>
        </w:rPr>
        <w:t>Pa.C.S</w:t>
      </w:r>
      <w:proofErr w:type="spellEnd"/>
      <w:r w:rsidRPr="00DF1F97">
        <w:rPr>
          <w:sz w:val="24"/>
          <w:szCs w:val="24"/>
        </w:rPr>
        <w:t>.</w:t>
      </w:r>
      <w:proofErr w:type="gramEnd"/>
      <w:r w:rsidRPr="00DF1F97">
        <w:rPr>
          <w:sz w:val="24"/>
          <w:szCs w:val="24"/>
        </w:rPr>
        <w:t xml:space="preserve"> § 701.</w:t>
      </w:r>
    </w:p>
    <w:p w:rsidR="008B1829" w:rsidRPr="00DF1F97" w:rsidRDefault="008B1829" w:rsidP="001C5C39">
      <w:pPr>
        <w:tabs>
          <w:tab w:val="num" w:pos="2160"/>
        </w:tabs>
        <w:spacing w:line="360" w:lineRule="auto"/>
        <w:ind w:firstLine="1440"/>
        <w:rPr>
          <w:sz w:val="24"/>
          <w:szCs w:val="24"/>
        </w:rPr>
      </w:pPr>
    </w:p>
    <w:p w:rsidR="00027A40" w:rsidRPr="00DF1F97" w:rsidRDefault="00027A40" w:rsidP="001C5C39">
      <w:pPr>
        <w:pStyle w:val="ListParagraph"/>
        <w:numPr>
          <w:ilvl w:val="0"/>
          <w:numId w:val="21"/>
        </w:numPr>
        <w:tabs>
          <w:tab w:val="clear" w:pos="900"/>
        </w:tabs>
        <w:spacing w:line="360" w:lineRule="auto"/>
        <w:ind w:left="0" w:firstLine="1440"/>
        <w:rPr>
          <w:sz w:val="24"/>
          <w:szCs w:val="24"/>
        </w:rPr>
      </w:pPr>
      <w:r w:rsidRPr="00DF1F97">
        <w:rPr>
          <w:sz w:val="24"/>
          <w:szCs w:val="24"/>
        </w:rPr>
        <w:lastRenderedPageBreak/>
        <w:t xml:space="preserve">The party filing the </w:t>
      </w:r>
      <w:r w:rsidR="00BD19E7" w:rsidRPr="00DF1F97">
        <w:rPr>
          <w:sz w:val="24"/>
          <w:szCs w:val="24"/>
        </w:rPr>
        <w:t>c</w:t>
      </w:r>
      <w:r w:rsidRPr="00DF1F97">
        <w:rPr>
          <w:sz w:val="24"/>
          <w:szCs w:val="24"/>
        </w:rPr>
        <w:t xml:space="preserve">omplaint bears the burden of proving that he or she is entitled to relief from the Commission.  </w:t>
      </w:r>
      <w:proofErr w:type="gramStart"/>
      <w:r w:rsidRPr="00DF1F97">
        <w:rPr>
          <w:sz w:val="24"/>
          <w:szCs w:val="24"/>
        </w:rPr>
        <w:t xml:space="preserve">66 </w:t>
      </w:r>
      <w:proofErr w:type="spellStart"/>
      <w:r w:rsidRPr="00DF1F97">
        <w:rPr>
          <w:sz w:val="24"/>
          <w:szCs w:val="24"/>
        </w:rPr>
        <w:t>Pa.C.S</w:t>
      </w:r>
      <w:proofErr w:type="spellEnd"/>
      <w:r w:rsidRPr="00DF1F97">
        <w:rPr>
          <w:sz w:val="24"/>
          <w:szCs w:val="24"/>
        </w:rPr>
        <w:t>.</w:t>
      </w:r>
      <w:proofErr w:type="gramEnd"/>
      <w:r w:rsidRPr="00DF1F97">
        <w:rPr>
          <w:sz w:val="24"/>
          <w:szCs w:val="24"/>
        </w:rPr>
        <w:t xml:space="preserve"> § 332(a).</w:t>
      </w:r>
    </w:p>
    <w:p w:rsidR="00DF1F97" w:rsidRPr="00DF1F97" w:rsidRDefault="00DF1F97" w:rsidP="001C5C39">
      <w:pPr>
        <w:pStyle w:val="ListParagraph"/>
        <w:spacing w:line="360" w:lineRule="auto"/>
        <w:ind w:left="0" w:firstLine="1440"/>
        <w:rPr>
          <w:sz w:val="24"/>
          <w:szCs w:val="24"/>
        </w:rPr>
      </w:pPr>
    </w:p>
    <w:p w:rsidR="001C5C39" w:rsidRDefault="00DF1F97" w:rsidP="00B072AB">
      <w:pPr>
        <w:pStyle w:val="ListParagraph"/>
        <w:numPr>
          <w:ilvl w:val="0"/>
          <w:numId w:val="21"/>
        </w:numPr>
        <w:tabs>
          <w:tab w:val="clear" w:pos="900"/>
        </w:tabs>
        <w:spacing w:line="360" w:lineRule="auto"/>
        <w:ind w:left="0" w:firstLine="1440"/>
        <w:rPr>
          <w:sz w:val="24"/>
          <w:szCs w:val="24"/>
        </w:rPr>
      </w:pPr>
      <w:r w:rsidRPr="00B072AB">
        <w:rPr>
          <w:sz w:val="24"/>
          <w:szCs w:val="24"/>
        </w:rPr>
        <w:t xml:space="preserve">Complainants have the burden of proving Respondent failed to provide reasonable and adequate customer service.  </w:t>
      </w:r>
      <w:proofErr w:type="gramStart"/>
      <w:r w:rsidRPr="00B072AB">
        <w:rPr>
          <w:sz w:val="24"/>
          <w:szCs w:val="24"/>
        </w:rPr>
        <w:t>66 </w:t>
      </w:r>
      <w:proofErr w:type="spellStart"/>
      <w:r w:rsidRPr="00B072AB">
        <w:rPr>
          <w:sz w:val="24"/>
          <w:szCs w:val="24"/>
        </w:rPr>
        <w:t>Pa.C.S</w:t>
      </w:r>
      <w:proofErr w:type="spellEnd"/>
      <w:r w:rsidRPr="00B072AB">
        <w:rPr>
          <w:sz w:val="24"/>
          <w:szCs w:val="24"/>
        </w:rPr>
        <w:t>.</w:t>
      </w:r>
      <w:proofErr w:type="gramEnd"/>
      <w:r w:rsidRPr="00B072AB">
        <w:rPr>
          <w:sz w:val="24"/>
          <w:szCs w:val="24"/>
        </w:rPr>
        <w:t xml:space="preserve"> § 1501.</w:t>
      </w:r>
    </w:p>
    <w:p w:rsidR="00D27ECE" w:rsidRDefault="00D27ECE" w:rsidP="00D27ECE">
      <w:pPr>
        <w:pStyle w:val="ListParagraph"/>
        <w:spacing w:line="360" w:lineRule="auto"/>
        <w:ind w:left="1440"/>
        <w:rPr>
          <w:sz w:val="24"/>
          <w:szCs w:val="24"/>
        </w:rPr>
      </w:pPr>
    </w:p>
    <w:p w:rsidR="00F567AB" w:rsidRPr="00F567AB" w:rsidRDefault="00F567AB" w:rsidP="00F567AB">
      <w:pPr>
        <w:pStyle w:val="ListParagraph"/>
        <w:numPr>
          <w:ilvl w:val="0"/>
          <w:numId w:val="21"/>
        </w:numPr>
        <w:tabs>
          <w:tab w:val="clear" w:pos="900"/>
        </w:tabs>
        <w:spacing w:line="360" w:lineRule="auto"/>
        <w:ind w:left="0" w:firstLine="1440"/>
        <w:rPr>
          <w:sz w:val="24"/>
          <w:szCs w:val="24"/>
        </w:rPr>
      </w:pPr>
      <w:r>
        <w:rPr>
          <w:sz w:val="24"/>
          <w:szCs w:val="24"/>
        </w:rPr>
        <w:t xml:space="preserve">Complainants did not meet their burden of proving Respondent failed to provide reasonable and adequate customer service, under the circumstances.  </w:t>
      </w:r>
      <w:proofErr w:type="gramStart"/>
      <w:r w:rsidRPr="00B072AB">
        <w:rPr>
          <w:sz w:val="24"/>
          <w:szCs w:val="24"/>
        </w:rPr>
        <w:t>66 </w:t>
      </w:r>
      <w:proofErr w:type="spellStart"/>
      <w:r w:rsidRPr="00B072AB">
        <w:rPr>
          <w:sz w:val="24"/>
          <w:szCs w:val="24"/>
        </w:rPr>
        <w:t>Pa.C.S</w:t>
      </w:r>
      <w:proofErr w:type="spellEnd"/>
      <w:r w:rsidRPr="00B072AB">
        <w:rPr>
          <w:sz w:val="24"/>
          <w:szCs w:val="24"/>
        </w:rPr>
        <w:t>.</w:t>
      </w:r>
      <w:proofErr w:type="gramEnd"/>
      <w:r w:rsidRPr="00B072AB">
        <w:rPr>
          <w:sz w:val="24"/>
          <w:szCs w:val="24"/>
        </w:rPr>
        <w:t xml:space="preserve"> § 1501.</w:t>
      </w:r>
    </w:p>
    <w:p w:rsidR="0069432F" w:rsidRDefault="0069432F" w:rsidP="0069432F">
      <w:pPr>
        <w:pStyle w:val="ListParagraph"/>
        <w:spacing w:line="360" w:lineRule="auto"/>
        <w:ind w:left="1440"/>
        <w:rPr>
          <w:sz w:val="24"/>
          <w:szCs w:val="24"/>
        </w:rPr>
      </w:pPr>
    </w:p>
    <w:p w:rsidR="00027A40" w:rsidRDefault="0069432F" w:rsidP="00F567AB">
      <w:pPr>
        <w:pStyle w:val="FootnoteText"/>
        <w:spacing w:line="360" w:lineRule="auto"/>
        <w:rPr>
          <w:sz w:val="24"/>
          <w:szCs w:val="24"/>
        </w:rPr>
      </w:pPr>
      <w:r>
        <w:tab/>
      </w:r>
      <w:r>
        <w:tab/>
      </w:r>
      <w:r w:rsidR="00B072AB">
        <w:rPr>
          <w:sz w:val="24"/>
          <w:szCs w:val="24"/>
        </w:rPr>
        <w:t>5.</w:t>
      </w:r>
      <w:r w:rsidR="00B072AB">
        <w:rPr>
          <w:sz w:val="24"/>
          <w:szCs w:val="24"/>
        </w:rPr>
        <w:tab/>
      </w:r>
      <w:r w:rsidR="00027A40" w:rsidRPr="00DF1F97">
        <w:rPr>
          <w:sz w:val="24"/>
          <w:szCs w:val="24"/>
        </w:rPr>
        <w:t xml:space="preserve">“Burden of proof” means a duty to establish one’s case by a preponderance of the evidence, which requires that the evidence be more convincing by even the smallest degree, than the evidence presented by the other side.  </w:t>
      </w:r>
      <w:r w:rsidR="00027A40" w:rsidRPr="00DF1F97">
        <w:rPr>
          <w:i/>
          <w:sz w:val="24"/>
          <w:szCs w:val="24"/>
        </w:rPr>
        <w:t>Se-Ling Hosiery, Inc. v. Margulies</w:t>
      </w:r>
      <w:r w:rsidR="00027A40" w:rsidRPr="00DF1F97">
        <w:rPr>
          <w:sz w:val="24"/>
          <w:szCs w:val="24"/>
        </w:rPr>
        <w:t xml:space="preserve">, 364 Pa. 45, </w:t>
      </w:r>
      <w:proofErr w:type="gramStart"/>
      <w:r w:rsidR="00027A40" w:rsidRPr="00DF1F97">
        <w:rPr>
          <w:sz w:val="24"/>
          <w:szCs w:val="24"/>
        </w:rPr>
        <w:t>70 A.2d (1950)</w:t>
      </w:r>
      <w:proofErr w:type="gramEnd"/>
      <w:r w:rsidR="00027A40" w:rsidRPr="00DF1F97">
        <w:rPr>
          <w:sz w:val="24"/>
          <w:szCs w:val="24"/>
        </w:rPr>
        <w:t>.</w:t>
      </w:r>
    </w:p>
    <w:p w:rsidR="001C5C39" w:rsidRPr="00DF1F97" w:rsidRDefault="001C5C39" w:rsidP="001C5C39">
      <w:pPr>
        <w:pStyle w:val="ListParagraph"/>
        <w:spacing w:line="360" w:lineRule="auto"/>
        <w:ind w:left="1440"/>
        <w:outlineLvl w:val="3"/>
        <w:rPr>
          <w:sz w:val="24"/>
          <w:szCs w:val="24"/>
        </w:rPr>
      </w:pPr>
    </w:p>
    <w:p w:rsidR="008B1829" w:rsidRDefault="00B072AB" w:rsidP="00B072AB">
      <w:pPr>
        <w:pStyle w:val="ListParagraph"/>
        <w:spacing w:line="360" w:lineRule="auto"/>
        <w:ind w:left="0" w:firstLine="1440"/>
        <w:rPr>
          <w:sz w:val="24"/>
          <w:szCs w:val="24"/>
        </w:rPr>
      </w:pPr>
      <w:bookmarkStart w:id="4" w:name="sp_999_7"/>
      <w:bookmarkStart w:id="5" w:name="SDU_7"/>
      <w:bookmarkEnd w:id="2"/>
      <w:bookmarkEnd w:id="3"/>
      <w:r>
        <w:rPr>
          <w:sz w:val="24"/>
          <w:szCs w:val="24"/>
        </w:rPr>
        <w:t>6.</w:t>
      </w:r>
      <w:r>
        <w:rPr>
          <w:sz w:val="24"/>
          <w:szCs w:val="24"/>
        </w:rPr>
        <w:tab/>
      </w:r>
      <w:r w:rsidR="008B1829" w:rsidRPr="00DF1F97">
        <w:rPr>
          <w:sz w:val="24"/>
          <w:szCs w:val="24"/>
        </w:rPr>
        <w:t xml:space="preserve">The Responsible Utility Customer Protection Act, </w:t>
      </w:r>
      <w:proofErr w:type="gramStart"/>
      <w:r w:rsidR="008B1829" w:rsidRPr="00DF1F97">
        <w:rPr>
          <w:sz w:val="24"/>
          <w:szCs w:val="24"/>
        </w:rPr>
        <w:t xml:space="preserve">66 </w:t>
      </w:r>
      <w:proofErr w:type="spellStart"/>
      <w:r w:rsidR="008B1829" w:rsidRPr="00DF1F97">
        <w:rPr>
          <w:sz w:val="24"/>
          <w:szCs w:val="24"/>
        </w:rPr>
        <w:t>Pa.C.S</w:t>
      </w:r>
      <w:proofErr w:type="spellEnd"/>
      <w:proofErr w:type="gramEnd"/>
      <w:r w:rsidR="008B1829" w:rsidRPr="00DF1F97">
        <w:rPr>
          <w:sz w:val="24"/>
          <w:szCs w:val="24"/>
        </w:rPr>
        <w:t xml:space="preserve">. §§ 1401, </w:t>
      </w:r>
      <w:r w:rsidR="008B1829" w:rsidRPr="00DF1F97">
        <w:rPr>
          <w:i/>
          <w:iCs/>
          <w:sz w:val="24"/>
          <w:szCs w:val="24"/>
        </w:rPr>
        <w:t>et</w:t>
      </w:r>
      <w:r>
        <w:rPr>
          <w:i/>
          <w:iCs/>
          <w:sz w:val="24"/>
          <w:szCs w:val="24"/>
        </w:rPr>
        <w:t> </w:t>
      </w:r>
      <w:r w:rsidR="008B1829" w:rsidRPr="00DF1F97">
        <w:rPr>
          <w:i/>
          <w:iCs/>
          <w:sz w:val="24"/>
          <w:szCs w:val="24"/>
        </w:rPr>
        <w:t>seq</w:t>
      </w:r>
      <w:r w:rsidR="008B1829" w:rsidRPr="00DF1F97">
        <w:rPr>
          <w:sz w:val="24"/>
          <w:szCs w:val="24"/>
        </w:rPr>
        <w:t>., applies to this proceeding.</w:t>
      </w:r>
    </w:p>
    <w:p w:rsidR="00707806" w:rsidRDefault="00707806" w:rsidP="00B072AB">
      <w:pPr>
        <w:pStyle w:val="ListParagraph"/>
        <w:spacing w:line="360" w:lineRule="auto"/>
        <w:ind w:left="0" w:firstLine="1440"/>
        <w:rPr>
          <w:sz w:val="24"/>
          <w:szCs w:val="24"/>
        </w:rPr>
      </w:pPr>
    </w:p>
    <w:p w:rsidR="008B1829" w:rsidRPr="00DF1F97" w:rsidRDefault="00B072AB" w:rsidP="00B072AB">
      <w:pPr>
        <w:pStyle w:val="ListParagraph"/>
        <w:spacing w:line="360" w:lineRule="auto"/>
        <w:ind w:left="0" w:firstLine="1440"/>
        <w:rPr>
          <w:sz w:val="24"/>
          <w:szCs w:val="24"/>
        </w:rPr>
      </w:pPr>
      <w:r>
        <w:rPr>
          <w:sz w:val="24"/>
          <w:szCs w:val="24"/>
        </w:rPr>
        <w:t>7.</w:t>
      </w:r>
      <w:r>
        <w:rPr>
          <w:sz w:val="24"/>
          <w:szCs w:val="24"/>
        </w:rPr>
        <w:tab/>
      </w:r>
      <w:r w:rsidR="008B1829" w:rsidRPr="00DF1F97">
        <w:rPr>
          <w:sz w:val="24"/>
          <w:szCs w:val="24"/>
        </w:rPr>
        <w:t xml:space="preserve">The Public Utility Code permits the Commission to grant </w:t>
      </w:r>
      <w:r w:rsidR="00707806">
        <w:rPr>
          <w:sz w:val="24"/>
          <w:szCs w:val="24"/>
        </w:rPr>
        <w:t xml:space="preserve">a payment arrangement </w:t>
      </w:r>
      <w:r w:rsidR="008B1829" w:rsidRPr="00DF1F97">
        <w:rPr>
          <w:sz w:val="24"/>
          <w:szCs w:val="24"/>
        </w:rPr>
        <w:t>and dictates its terms</w:t>
      </w:r>
      <w:r w:rsidR="00707806">
        <w:rPr>
          <w:sz w:val="24"/>
          <w:szCs w:val="24"/>
        </w:rPr>
        <w:t>.</w:t>
      </w:r>
      <w:r w:rsidR="008B1829" w:rsidRPr="00DF1F97">
        <w:rPr>
          <w:sz w:val="24"/>
          <w:szCs w:val="24"/>
        </w:rPr>
        <w:t xml:space="preserve">  </w:t>
      </w:r>
      <w:proofErr w:type="gramStart"/>
      <w:r w:rsidR="008B1829" w:rsidRPr="00DF1F97">
        <w:rPr>
          <w:sz w:val="24"/>
          <w:szCs w:val="24"/>
        </w:rPr>
        <w:t xml:space="preserve">66 </w:t>
      </w:r>
      <w:proofErr w:type="spellStart"/>
      <w:r w:rsidR="008B1829" w:rsidRPr="00DF1F97">
        <w:rPr>
          <w:sz w:val="24"/>
          <w:szCs w:val="24"/>
        </w:rPr>
        <w:t>Pa.C.S</w:t>
      </w:r>
      <w:proofErr w:type="spellEnd"/>
      <w:r w:rsidR="008B1829" w:rsidRPr="00DF1F97">
        <w:rPr>
          <w:sz w:val="24"/>
          <w:szCs w:val="24"/>
        </w:rPr>
        <w:t>.</w:t>
      </w:r>
      <w:proofErr w:type="gramEnd"/>
      <w:r w:rsidR="008B1829" w:rsidRPr="00DF1F97">
        <w:rPr>
          <w:sz w:val="24"/>
          <w:szCs w:val="24"/>
        </w:rPr>
        <w:t xml:space="preserve"> § 1405.</w:t>
      </w:r>
    </w:p>
    <w:p w:rsidR="008B1829" w:rsidRPr="00DF1F97" w:rsidRDefault="008B1829" w:rsidP="00B072AB">
      <w:pPr>
        <w:spacing w:line="360" w:lineRule="auto"/>
        <w:ind w:firstLine="1440"/>
        <w:rPr>
          <w:sz w:val="24"/>
          <w:szCs w:val="24"/>
          <w:u w:val="single"/>
        </w:rPr>
      </w:pPr>
    </w:p>
    <w:p w:rsidR="00027A40" w:rsidRPr="00027A40" w:rsidRDefault="00027A40" w:rsidP="00027A40">
      <w:pPr>
        <w:spacing w:line="360" w:lineRule="auto"/>
        <w:jc w:val="center"/>
        <w:outlineLvl w:val="3"/>
        <w:rPr>
          <w:sz w:val="24"/>
          <w:szCs w:val="24"/>
        </w:rPr>
      </w:pPr>
      <w:r w:rsidRPr="00027A40">
        <w:rPr>
          <w:sz w:val="24"/>
          <w:szCs w:val="24"/>
          <w:u w:val="single"/>
        </w:rPr>
        <w:t>ORDER</w:t>
      </w:r>
    </w:p>
    <w:p w:rsidR="00027A40" w:rsidRPr="00027A40" w:rsidRDefault="00027A40" w:rsidP="00027A40">
      <w:pPr>
        <w:spacing w:line="360" w:lineRule="auto"/>
        <w:jc w:val="center"/>
        <w:outlineLvl w:val="3"/>
        <w:rPr>
          <w:sz w:val="24"/>
          <w:szCs w:val="24"/>
        </w:rPr>
      </w:pPr>
    </w:p>
    <w:p w:rsidR="00027A40" w:rsidRPr="00027A40" w:rsidRDefault="00027A40" w:rsidP="00027A40">
      <w:pPr>
        <w:spacing w:line="360" w:lineRule="auto"/>
        <w:jc w:val="center"/>
        <w:outlineLvl w:val="3"/>
        <w:rPr>
          <w:sz w:val="24"/>
          <w:szCs w:val="24"/>
        </w:rPr>
      </w:pPr>
    </w:p>
    <w:p w:rsidR="00027A40" w:rsidRPr="00027A40" w:rsidRDefault="00027A40" w:rsidP="00027A40">
      <w:pPr>
        <w:spacing w:line="360" w:lineRule="auto"/>
        <w:ind w:firstLine="1440"/>
        <w:rPr>
          <w:sz w:val="24"/>
          <w:szCs w:val="24"/>
        </w:rPr>
      </w:pPr>
      <w:r w:rsidRPr="00027A40">
        <w:rPr>
          <w:sz w:val="24"/>
          <w:szCs w:val="24"/>
        </w:rPr>
        <w:t>THEREFORE,</w:t>
      </w:r>
    </w:p>
    <w:p w:rsidR="00027A40" w:rsidRPr="00027A40" w:rsidRDefault="00027A40" w:rsidP="00027A40">
      <w:pPr>
        <w:spacing w:line="360" w:lineRule="auto"/>
        <w:ind w:firstLine="1440"/>
        <w:rPr>
          <w:sz w:val="24"/>
          <w:szCs w:val="24"/>
        </w:rPr>
      </w:pPr>
    </w:p>
    <w:p w:rsidR="00027A40" w:rsidRPr="00027A40" w:rsidRDefault="00027A40" w:rsidP="00027A40">
      <w:pPr>
        <w:spacing w:line="360" w:lineRule="auto"/>
        <w:ind w:firstLine="1440"/>
        <w:rPr>
          <w:sz w:val="24"/>
          <w:szCs w:val="24"/>
        </w:rPr>
      </w:pPr>
      <w:r w:rsidRPr="00027A40">
        <w:rPr>
          <w:sz w:val="24"/>
          <w:szCs w:val="24"/>
        </w:rPr>
        <w:t>IT IS ORDERED:</w:t>
      </w:r>
    </w:p>
    <w:p w:rsidR="00027A40" w:rsidRPr="00027A40" w:rsidRDefault="00027A40" w:rsidP="00027A40">
      <w:pPr>
        <w:spacing w:line="360" w:lineRule="auto"/>
        <w:ind w:firstLine="1440"/>
        <w:rPr>
          <w:sz w:val="24"/>
          <w:szCs w:val="24"/>
        </w:rPr>
      </w:pPr>
    </w:p>
    <w:bookmarkEnd w:id="4"/>
    <w:bookmarkEnd w:id="5"/>
    <w:p w:rsidR="008B1829" w:rsidRPr="001C5C39" w:rsidRDefault="008B1829" w:rsidP="001C5C39">
      <w:pPr>
        <w:pStyle w:val="ListParagraph"/>
        <w:numPr>
          <w:ilvl w:val="0"/>
          <w:numId w:val="12"/>
        </w:numPr>
        <w:spacing w:line="360" w:lineRule="auto"/>
        <w:ind w:left="0" w:firstLine="1440"/>
        <w:contextualSpacing w:val="0"/>
        <w:outlineLvl w:val="0"/>
        <w:rPr>
          <w:sz w:val="24"/>
          <w:szCs w:val="24"/>
        </w:rPr>
      </w:pPr>
      <w:r w:rsidRPr="001C5C39">
        <w:rPr>
          <w:sz w:val="24"/>
          <w:szCs w:val="24"/>
        </w:rPr>
        <w:t xml:space="preserve">That the Formal Complaint filed by </w:t>
      </w:r>
      <w:r w:rsidR="00DF1F97" w:rsidRPr="001C5C39">
        <w:rPr>
          <w:sz w:val="24"/>
          <w:szCs w:val="24"/>
        </w:rPr>
        <w:t xml:space="preserve">Pamela </w:t>
      </w:r>
      <w:proofErr w:type="spellStart"/>
      <w:r w:rsidR="00DF1F97" w:rsidRPr="001C5C39">
        <w:rPr>
          <w:sz w:val="24"/>
          <w:szCs w:val="24"/>
        </w:rPr>
        <w:t>Goforth</w:t>
      </w:r>
      <w:proofErr w:type="spellEnd"/>
      <w:r w:rsidR="00DF1F97" w:rsidRPr="001C5C39">
        <w:rPr>
          <w:sz w:val="24"/>
          <w:szCs w:val="24"/>
        </w:rPr>
        <w:t xml:space="preserve"> and Stephen </w:t>
      </w:r>
      <w:proofErr w:type="spellStart"/>
      <w:r w:rsidR="00DF1F97" w:rsidRPr="001C5C39">
        <w:rPr>
          <w:sz w:val="24"/>
          <w:szCs w:val="24"/>
        </w:rPr>
        <w:t>Goforth</w:t>
      </w:r>
      <w:proofErr w:type="spellEnd"/>
      <w:r w:rsidR="00DF1F97" w:rsidRPr="001C5C39">
        <w:rPr>
          <w:sz w:val="24"/>
          <w:szCs w:val="24"/>
        </w:rPr>
        <w:t xml:space="preserve"> </w:t>
      </w:r>
      <w:r w:rsidRPr="001C5C39">
        <w:rPr>
          <w:sz w:val="24"/>
          <w:szCs w:val="24"/>
        </w:rPr>
        <w:t xml:space="preserve"> against </w:t>
      </w:r>
      <w:r w:rsidR="00BF2343" w:rsidRPr="001C5C39">
        <w:rPr>
          <w:sz w:val="24"/>
          <w:szCs w:val="24"/>
        </w:rPr>
        <w:t>Pennsylvania Electric Company at Docket No. C-2015-2511725, to the extent that it seeks approval o</w:t>
      </w:r>
      <w:r w:rsidR="005601B0">
        <w:rPr>
          <w:sz w:val="24"/>
          <w:szCs w:val="24"/>
        </w:rPr>
        <w:t>f</w:t>
      </w:r>
      <w:r w:rsidR="00BF2343" w:rsidRPr="001C5C39">
        <w:rPr>
          <w:sz w:val="24"/>
          <w:szCs w:val="24"/>
        </w:rPr>
        <w:t xml:space="preserve"> a payment arrangement, i</w:t>
      </w:r>
      <w:r w:rsidRPr="001C5C39">
        <w:rPr>
          <w:sz w:val="24"/>
          <w:szCs w:val="24"/>
        </w:rPr>
        <w:t>s sustained.</w:t>
      </w:r>
    </w:p>
    <w:p w:rsidR="008B1829" w:rsidRPr="001C5C39" w:rsidRDefault="008B1829" w:rsidP="001C5C39">
      <w:pPr>
        <w:pStyle w:val="ListParagraph"/>
        <w:spacing w:line="360" w:lineRule="auto"/>
        <w:ind w:left="0" w:firstLine="1440"/>
        <w:outlineLvl w:val="0"/>
        <w:rPr>
          <w:sz w:val="24"/>
          <w:szCs w:val="24"/>
        </w:rPr>
      </w:pPr>
    </w:p>
    <w:p w:rsidR="00BF2343" w:rsidRDefault="00BF2343" w:rsidP="001C5C39">
      <w:pPr>
        <w:pStyle w:val="ListParagraph"/>
        <w:numPr>
          <w:ilvl w:val="0"/>
          <w:numId w:val="12"/>
        </w:numPr>
        <w:spacing w:line="360" w:lineRule="auto"/>
        <w:ind w:left="0" w:firstLine="1440"/>
        <w:contextualSpacing w:val="0"/>
        <w:outlineLvl w:val="0"/>
        <w:rPr>
          <w:sz w:val="24"/>
          <w:szCs w:val="24"/>
        </w:rPr>
      </w:pPr>
      <w:r w:rsidRPr="001C5C39">
        <w:rPr>
          <w:sz w:val="24"/>
          <w:szCs w:val="24"/>
        </w:rPr>
        <w:lastRenderedPageBreak/>
        <w:t xml:space="preserve">That the Formal Complaint filed by Pamela </w:t>
      </w:r>
      <w:proofErr w:type="spellStart"/>
      <w:r w:rsidRPr="001C5C39">
        <w:rPr>
          <w:sz w:val="24"/>
          <w:szCs w:val="24"/>
        </w:rPr>
        <w:t>Goforth</w:t>
      </w:r>
      <w:proofErr w:type="spellEnd"/>
      <w:r w:rsidRPr="001C5C39">
        <w:rPr>
          <w:sz w:val="24"/>
          <w:szCs w:val="24"/>
        </w:rPr>
        <w:t xml:space="preserve"> and Stephen </w:t>
      </w:r>
      <w:proofErr w:type="spellStart"/>
      <w:r w:rsidRPr="001C5C39">
        <w:rPr>
          <w:sz w:val="24"/>
          <w:szCs w:val="24"/>
        </w:rPr>
        <w:t>Goforth</w:t>
      </w:r>
      <w:proofErr w:type="spellEnd"/>
      <w:r w:rsidRPr="001C5C39">
        <w:rPr>
          <w:sz w:val="24"/>
          <w:szCs w:val="24"/>
        </w:rPr>
        <w:t xml:space="preserve">  against Pennsylvania Electric Company at Docket No. C-2015-2511725, regarding all of the remaining claims set forth in the Formal Complaint </w:t>
      </w:r>
      <w:proofErr w:type="gramStart"/>
      <w:r w:rsidRPr="001C5C39">
        <w:rPr>
          <w:sz w:val="24"/>
          <w:szCs w:val="24"/>
        </w:rPr>
        <w:t>are</w:t>
      </w:r>
      <w:proofErr w:type="gramEnd"/>
      <w:r w:rsidRPr="001C5C39">
        <w:rPr>
          <w:sz w:val="24"/>
          <w:szCs w:val="24"/>
        </w:rPr>
        <w:t xml:space="preserve"> dismissed. </w:t>
      </w:r>
    </w:p>
    <w:p w:rsidR="001C5C39" w:rsidRPr="001C5C39" w:rsidRDefault="001C5C39" w:rsidP="001C5C39">
      <w:pPr>
        <w:pStyle w:val="ListParagraph"/>
        <w:spacing w:line="360" w:lineRule="auto"/>
        <w:ind w:left="1440"/>
        <w:contextualSpacing w:val="0"/>
        <w:outlineLvl w:val="0"/>
        <w:rPr>
          <w:sz w:val="24"/>
          <w:szCs w:val="24"/>
        </w:rPr>
      </w:pPr>
    </w:p>
    <w:p w:rsidR="008B1829" w:rsidRPr="001C5C39" w:rsidRDefault="00BF2343" w:rsidP="001C5C39">
      <w:pPr>
        <w:pStyle w:val="ListParagraph"/>
        <w:numPr>
          <w:ilvl w:val="0"/>
          <w:numId w:val="12"/>
        </w:numPr>
        <w:spacing w:line="360" w:lineRule="auto"/>
        <w:ind w:left="0" w:firstLine="1440"/>
        <w:contextualSpacing w:val="0"/>
        <w:outlineLvl w:val="0"/>
        <w:rPr>
          <w:sz w:val="24"/>
          <w:szCs w:val="24"/>
        </w:rPr>
      </w:pPr>
      <w:r w:rsidRPr="001C5C39">
        <w:rPr>
          <w:sz w:val="24"/>
          <w:szCs w:val="24"/>
        </w:rPr>
        <w:t xml:space="preserve">That Pamela </w:t>
      </w:r>
      <w:proofErr w:type="spellStart"/>
      <w:r w:rsidRPr="001C5C39">
        <w:rPr>
          <w:sz w:val="24"/>
          <w:szCs w:val="24"/>
        </w:rPr>
        <w:t>Goforth</w:t>
      </w:r>
      <w:proofErr w:type="spellEnd"/>
      <w:r w:rsidRPr="001C5C39">
        <w:rPr>
          <w:sz w:val="24"/>
          <w:szCs w:val="24"/>
        </w:rPr>
        <w:t xml:space="preserve"> and Stephen </w:t>
      </w:r>
      <w:proofErr w:type="spellStart"/>
      <w:r w:rsidRPr="001C5C39">
        <w:rPr>
          <w:sz w:val="24"/>
          <w:szCs w:val="24"/>
        </w:rPr>
        <w:t>Goforth</w:t>
      </w:r>
      <w:proofErr w:type="spellEnd"/>
      <w:r w:rsidRPr="001C5C39">
        <w:rPr>
          <w:sz w:val="24"/>
          <w:szCs w:val="24"/>
        </w:rPr>
        <w:t xml:space="preserve"> </w:t>
      </w:r>
      <w:r w:rsidR="008B1829" w:rsidRPr="001C5C39">
        <w:rPr>
          <w:sz w:val="24"/>
          <w:szCs w:val="24"/>
        </w:rPr>
        <w:t>shall make monthly payments consisting of</w:t>
      </w:r>
      <w:r w:rsidRPr="001C5C39">
        <w:rPr>
          <w:sz w:val="24"/>
          <w:szCs w:val="24"/>
        </w:rPr>
        <w:t xml:space="preserve"> t</w:t>
      </w:r>
      <w:r w:rsidR="008B1829" w:rsidRPr="001C5C39">
        <w:rPr>
          <w:sz w:val="24"/>
          <w:szCs w:val="24"/>
        </w:rPr>
        <w:t>he</w:t>
      </w:r>
      <w:r w:rsidRPr="001C5C39">
        <w:rPr>
          <w:sz w:val="24"/>
          <w:szCs w:val="24"/>
        </w:rPr>
        <w:t>i</w:t>
      </w:r>
      <w:r w:rsidR="008B1829" w:rsidRPr="001C5C39">
        <w:rPr>
          <w:sz w:val="24"/>
          <w:szCs w:val="24"/>
        </w:rPr>
        <w:t xml:space="preserve">r budget bill plus one </w:t>
      </w:r>
      <w:r w:rsidRPr="001C5C39">
        <w:rPr>
          <w:sz w:val="24"/>
          <w:szCs w:val="24"/>
        </w:rPr>
        <w:t>sixtieth</w:t>
      </w:r>
      <w:r w:rsidR="008B1829" w:rsidRPr="001C5C39">
        <w:rPr>
          <w:sz w:val="24"/>
          <w:szCs w:val="24"/>
        </w:rPr>
        <w:t xml:space="preserve"> (1/</w:t>
      </w:r>
      <w:r w:rsidRPr="001C5C39">
        <w:rPr>
          <w:sz w:val="24"/>
          <w:szCs w:val="24"/>
        </w:rPr>
        <w:t>60</w:t>
      </w:r>
      <w:r w:rsidR="008B1829" w:rsidRPr="001C5C39">
        <w:rPr>
          <w:sz w:val="24"/>
          <w:szCs w:val="24"/>
          <w:vertAlign w:val="superscript"/>
        </w:rPr>
        <w:t>th</w:t>
      </w:r>
      <w:r w:rsidR="008B1829" w:rsidRPr="001C5C39">
        <w:rPr>
          <w:sz w:val="24"/>
          <w:szCs w:val="24"/>
        </w:rPr>
        <w:t xml:space="preserve">) of the balance accrued on </w:t>
      </w:r>
      <w:r w:rsidRPr="001C5C39">
        <w:rPr>
          <w:sz w:val="24"/>
          <w:szCs w:val="24"/>
        </w:rPr>
        <w:t xml:space="preserve">their </w:t>
      </w:r>
      <w:r w:rsidR="008B1829" w:rsidRPr="001C5C39">
        <w:rPr>
          <w:sz w:val="24"/>
          <w:szCs w:val="24"/>
        </w:rPr>
        <w:t>account, beginning with the first billing due date following the entry of a final Commission Order in this case.</w:t>
      </w:r>
    </w:p>
    <w:p w:rsidR="008B1829" w:rsidRPr="001C5C39" w:rsidRDefault="008B1829" w:rsidP="001C5C39">
      <w:pPr>
        <w:pStyle w:val="ListParagraph"/>
        <w:spacing w:line="360" w:lineRule="auto"/>
        <w:ind w:left="0" w:firstLine="1440"/>
        <w:outlineLvl w:val="0"/>
        <w:rPr>
          <w:sz w:val="24"/>
          <w:szCs w:val="24"/>
        </w:rPr>
      </w:pPr>
    </w:p>
    <w:p w:rsidR="008B1829" w:rsidRDefault="008B1829" w:rsidP="001C5C39">
      <w:pPr>
        <w:pStyle w:val="ListParagraph"/>
        <w:numPr>
          <w:ilvl w:val="0"/>
          <w:numId w:val="12"/>
        </w:numPr>
        <w:spacing w:line="360" w:lineRule="auto"/>
        <w:ind w:left="0" w:firstLine="1440"/>
        <w:contextualSpacing w:val="0"/>
        <w:outlineLvl w:val="0"/>
        <w:rPr>
          <w:sz w:val="24"/>
          <w:szCs w:val="24"/>
        </w:rPr>
      </w:pPr>
      <w:r w:rsidRPr="001C5C39">
        <w:rPr>
          <w:sz w:val="24"/>
          <w:szCs w:val="24"/>
        </w:rPr>
        <w:t xml:space="preserve">That as long as </w:t>
      </w:r>
      <w:r w:rsidR="00BF2343" w:rsidRPr="001C5C39">
        <w:rPr>
          <w:sz w:val="24"/>
          <w:szCs w:val="24"/>
        </w:rPr>
        <w:t xml:space="preserve">Pamela </w:t>
      </w:r>
      <w:proofErr w:type="spellStart"/>
      <w:r w:rsidR="00BF2343" w:rsidRPr="001C5C39">
        <w:rPr>
          <w:sz w:val="24"/>
          <w:szCs w:val="24"/>
        </w:rPr>
        <w:t>Goforth</w:t>
      </w:r>
      <w:proofErr w:type="spellEnd"/>
      <w:r w:rsidR="00BF2343" w:rsidRPr="001C5C39">
        <w:rPr>
          <w:sz w:val="24"/>
          <w:szCs w:val="24"/>
        </w:rPr>
        <w:t xml:space="preserve"> and Stephen </w:t>
      </w:r>
      <w:proofErr w:type="spellStart"/>
      <w:r w:rsidR="00BF2343" w:rsidRPr="001C5C39">
        <w:rPr>
          <w:sz w:val="24"/>
          <w:szCs w:val="24"/>
        </w:rPr>
        <w:t>Goforth</w:t>
      </w:r>
      <w:proofErr w:type="spellEnd"/>
      <w:r w:rsidR="00BF2343" w:rsidRPr="001C5C39">
        <w:rPr>
          <w:sz w:val="24"/>
          <w:szCs w:val="24"/>
        </w:rPr>
        <w:t xml:space="preserve"> shall keep t</w:t>
      </w:r>
      <w:r w:rsidRPr="001C5C39">
        <w:rPr>
          <w:sz w:val="24"/>
          <w:szCs w:val="24"/>
        </w:rPr>
        <w:t xml:space="preserve">he payment schedule stated in this Order, </w:t>
      </w:r>
      <w:r w:rsidR="00BF2343" w:rsidRPr="001C5C39">
        <w:rPr>
          <w:sz w:val="24"/>
          <w:szCs w:val="24"/>
        </w:rPr>
        <w:t xml:space="preserve">Pennsylvania Electric Company </w:t>
      </w:r>
      <w:r w:rsidRPr="001C5C39">
        <w:rPr>
          <w:sz w:val="24"/>
          <w:szCs w:val="24"/>
        </w:rPr>
        <w:t xml:space="preserve">shall not suspend or terminate </w:t>
      </w:r>
      <w:r w:rsidR="005601B0">
        <w:rPr>
          <w:sz w:val="24"/>
          <w:szCs w:val="24"/>
        </w:rPr>
        <w:t>their</w:t>
      </w:r>
      <w:r w:rsidRPr="001C5C39">
        <w:rPr>
          <w:sz w:val="24"/>
          <w:szCs w:val="24"/>
        </w:rPr>
        <w:t xml:space="preserve"> utility service except for valid safety or emergency reasons or assess late payments or finance charges against </w:t>
      </w:r>
      <w:r w:rsidR="005601B0">
        <w:rPr>
          <w:sz w:val="24"/>
          <w:szCs w:val="24"/>
        </w:rPr>
        <w:t>t</w:t>
      </w:r>
      <w:r w:rsidRPr="001C5C39">
        <w:rPr>
          <w:sz w:val="24"/>
          <w:szCs w:val="24"/>
        </w:rPr>
        <w:t>he</w:t>
      </w:r>
      <w:r w:rsidR="005601B0">
        <w:rPr>
          <w:sz w:val="24"/>
          <w:szCs w:val="24"/>
        </w:rPr>
        <w:t>i</w:t>
      </w:r>
      <w:r w:rsidRPr="001C5C39">
        <w:rPr>
          <w:sz w:val="24"/>
          <w:szCs w:val="24"/>
        </w:rPr>
        <w:t>r account.</w:t>
      </w:r>
    </w:p>
    <w:p w:rsidR="001A6F54" w:rsidRPr="001C5C39" w:rsidRDefault="001A6F54" w:rsidP="001A6F54">
      <w:pPr>
        <w:pStyle w:val="ListParagraph"/>
        <w:spacing w:line="360" w:lineRule="auto"/>
        <w:ind w:left="1440"/>
        <w:contextualSpacing w:val="0"/>
        <w:outlineLvl w:val="0"/>
        <w:rPr>
          <w:sz w:val="24"/>
          <w:szCs w:val="24"/>
        </w:rPr>
      </w:pPr>
    </w:p>
    <w:p w:rsidR="008B1829" w:rsidRPr="001C5C39" w:rsidRDefault="008B1829" w:rsidP="001C5C39">
      <w:pPr>
        <w:pStyle w:val="ListParagraph"/>
        <w:numPr>
          <w:ilvl w:val="0"/>
          <w:numId w:val="12"/>
        </w:numPr>
        <w:spacing w:line="360" w:lineRule="auto"/>
        <w:ind w:left="0" w:firstLine="1440"/>
        <w:contextualSpacing w:val="0"/>
        <w:outlineLvl w:val="0"/>
        <w:rPr>
          <w:sz w:val="24"/>
          <w:szCs w:val="24"/>
        </w:rPr>
      </w:pPr>
      <w:r w:rsidRPr="001C5C39">
        <w:rPr>
          <w:sz w:val="24"/>
          <w:szCs w:val="24"/>
        </w:rPr>
        <w:t xml:space="preserve">That, if </w:t>
      </w:r>
      <w:r w:rsidR="00BF2343" w:rsidRPr="001C5C39">
        <w:rPr>
          <w:sz w:val="24"/>
          <w:szCs w:val="24"/>
        </w:rPr>
        <w:t xml:space="preserve">Pamela </w:t>
      </w:r>
      <w:proofErr w:type="spellStart"/>
      <w:r w:rsidR="00BF2343" w:rsidRPr="001C5C39">
        <w:rPr>
          <w:sz w:val="24"/>
          <w:szCs w:val="24"/>
        </w:rPr>
        <w:t>Goforth</w:t>
      </w:r>
      <w:proofErr w:type="spellEnd"/>
      <w:r w:rsidR="00BF2343" w:rsidRPr="001C5C39">
        <w:rPr>
          <w:sz w:val="24"/>
          <w:szCs w:val="24"/>
        </w:rPr>
        <w:t xml:space="preserve"> and Stephen </w:t>
      </w:r>
      <w:proofErr w:type="spellStart"/>
      <w:r w:rsidR="00BF2343" w:rsidRPr="001C5C39">
        <w:rPr>
          <w:sz w:val="24"/>
          <w:szCs w:val="24"/>
        </w:rPr>
        <w:t>Goforth</w:t>
      </w:r>
      <w:proofErr w:type="spellEnd"/>
      <w:r w:rsidR="00BF2343" w:rsidRPr="001C5C39">
        <w:rPr>
          <w:sz w:val="24"/>
          <w:szCs w:val="24"/>
        </w:rPr>
        <w:t xml:space="preserve"> do</w:t>
      </w:r>
      <w:r w:rsidRPr="001C5C39">
        <w:rPr>
          <w:sz w:val="24"/>
          <w:szCs w:val="24"/>
        </w:rPr>
        <w:t xml:space="preserve"> not keep the payment schedule stated in this Order, </w:t>
      </w:r>
      <w:r w:rsidR="00BF2343" w:rsidRPr="001C5C39">
        <w:rPr>
          <w:sz w:val="24"/>
          <w:szCs w:val="24"/>
        </w:rPr>
        <w:t xml:space="preserve">Pennsylvania Electric Company </w:t>
      </w:r>
      <w:r w:rsidRPr="001C5C39">
        <w:rPr>
          <w:sz w:val="24"/>
          <w:szCs w:val="24"/>
        </w:rPr>
        <w:t xml:space="preserve">is authorized to suspend or terminate </w:t>
      </w:r>
      <w:r w:rsidR="005601B0">
        <w:rPr>
          <w:sz w:val="24"/>
          <w:szCs w:val="24"/>
        </w:rPr>
        <w:t>t</w:t>
      </w:r>
      <w:r w:rsidRPr="001C5C39">
        <w:rPr>
          <w:sz w:val="24"/>
          <w:szCs w:val="24"/>
        </w:rPr>
        <w:t>he</w:t>
      </w:r>
      <w:r w:rsidR="005601B0">
        <w:rPr>
          <w:sz w:val="24"/>
          <w:szCs w:val="24"/>
        </w:rPr>
        <w:t>i</w:t>
      </w:r>
      <w:r w:rsidRPr="001C5C39">
        <w:rPr>
          <w:sz w:val="24"/>
          <w:szCs w:val="24"/>
        </w:rPr>
        <w:t>r utility service in accordance with the Commission’s statute and regulations.</w:t>
      </w:r>
    </w:p>
    <w:p w:rsidR="008B1829" w:rsidRPr="001C5C39" w:rsidRDefault="008B1829" w:rsidP="001C5C39">
      <w:pPr>
        <w:spacing w:line="360" w:lineRule="auto"/>
        <w:ind w:firstLine="1440"/>
        <w:outlineLvl w:val="0"/>
        <w:rPr>
          <w:sz w:val="24"/>
          <w:szCs w:val="24"/>
        </w:rPr>
      </w:pPr>
    </w:p>
    <w:p w:rsidR="00DF1F97" w:rsidRPr="001C5C39" w:rsidRDefault="00DF1F97" w:rsidP="001C5C39">
      <w:pPr>
        <w:pStyle w:val="ListParagraph"/>
        <w:numPr>
          <w:ilvl w:val="0"/>
          <w:numId w:val="12"/>
        </w:numPr>
        <w:spacing w:line="360" w:lineRule="auto"/>
        <w:ind w:left="0" w:firstLine="1440"/>
        <w:rPr>
          <w:sz w:val="24"/>
          <w:szCs w:val="24"/>
        </w:rPr>
      </w:pPr>
      <w:r w:rsidRPr="001C5C39">
        <w:rPr>
          <w:sz w:val="24"/>
          <w:szCs w:val="24"/>
        </w:rPr>
        <w:t xml:space="preserve">That the Secretary’s Bureau shall mark Docket No. </w:t>
      </w:r>
      <w:r w:rsidR="00BF2343" w:rsidRPr="001C5C39">
        <w:rPr>
          <w:sz w:val="24"/>
          <w:szCs w:val="24"/>
        </w:rPr>
        <w:t>C-2015-2511725</w:t>
      </w:r>
      <w:r w:rsidRPr="001C5C39">
        <w:rPr>
          <w:sz w:val="24"/>
          <w:szCs w:val="24"/>
        </w:rPr>
        <w:t xml:space="preserve"> closed.</w:t>
      </w:r>
    </w:p>
    <w:p w:rsidR="008B1829" w:rsidRPr="00D60523" w:rsidRDefault="008B1829" w:rsidP="00BF2343">
      <w:pPr>
        <w:spacing w:line="360" w:lineRule="auto"/>
        <w:outlineLvl w:val="0"/>
      </w:pPr>
    </w:p>
    <w:p w:rsidR="00027A40" w:rsidRPr="008B1829" w:rsidRDefault="00027A40" w:rsidP="00BF2343">
      <w:pPr>
        <w:pStyle w:val="ListParagraph"/>
        <w:tabs>
          <w:tab w:val="left" w:pos="720"/>
          <w:tab w:val="left" w:pos="5040"/>
          <w:tab w:val="left" w:pos="5760"/>
          <w:tab w:val="left" w:pos="8640"/>
        </w:tabs>
        <w:ind w:left="2340"/>
        <w:rPr>
          <w:sz w:val="24"/>
          <w:szCs w:val="24"/>
        </w:rPr>
      </w:pPr>
    </w:p>
    <w:p w:rsidR="003639D1" w:rsidRPr="00027A40" w:rsidRDefault="003639D1" w:rsidP="00027A40">
      <w:pPr>
        <w:tabs>
          <w:tab w:val="left" w:pos="720"/>
          <w:tab w:val="left" w:pos="5040"/>
          <w:tab w:val="left" w:pos="5760"/>
          <w:tab w:val="left" w:pos="8640"/>
        </w:tabs>
        <w:rPr>
          <w:sz w:val="24"/>
          <w:szCs w:val="24"/>
        </w:rPr>
      </w:pPr>
    </w:p>
    <w:p w:rsidR="00027A40" w:rsidRPr="00027A40" w:rsidRDefault="00027A40" w:rsidP="00027A40">
      <w:pPr>
        <w:tabs>
          <w:tab w:val="left" w:pos="720"/>
          <w:tab w:val="left" w:pos="5040"/>
          <w:tab w:val="left" w:pos="5760"/>
          <w:tab w:val="left" w:pos="8640"/>
        </w:tabs>
        <w:rPr>
          <w:sz w:val="24"/>
          <w:szCs w:val="24"/>
        </w:rPr>
      </w:pPr>
    </w:p>
    <w:p w:rsidR="00027A40" w:rsidRPr="00027A40" w:rsidRDefault="00027A40" w:rsidP="00027A40">
      <w:pPr>
        <w:tabs>
          <w:tab w:val="left" w:pos="720"/>
          <w:tab w:val="left" w:pos="5040"/>
          <w:tab w:val="left" w:pos="5760"/>
          <w:tab w:val="left" w:pos="8640"/>
        </w:tabs>
        <w:rPr>
          <w:sz w:val="24"/>
          <w:szCs w:val="24"/>
          <w:u w:val="single"/>
        </w:rPr>
      </w:pPr>
      <w:r w:rsidRPr="00027A40">
        <w:rPr>
          <w:sz w:val="24"/>
          <w:szCs w:val="24"/>
        </w:rPr>
        <w:t>Date:</w:t>
      </w:r>
      <w:r w:rsidR="001C5C39">
        <w:rPr>
          <w:sz w:val="24"/>
          <w:szCs w:val="24"/>
        </w:rPr>
        <w:t xml:space="preserve">  </w:t>
      </w:r>
      <w:r w:rsidR="00620E09" w:rsidRPr="001C5C39">
        <w:rPr>
          <w:sz w:val="24"/>
          <w:szCs w:val="24"/>
          <w:u w:val="single"/>
        </w:rPr>
        <w:t>J</w:t>
      </w:r>
      <w:r w:rsidR="00BF2343" w:rsidRPr="001C5C39">
        <w:rPr>
          <w:sz w:val="24"/>
          <w:szCs w:val="24"/>
          <w:u w:val="single"/>
        </w:rPr>
        <w:t xml:space="preserve">uly </w:t>
      </w:r>
      <w:r w:rsidR="00964566">
        <w:rPr>
          <w:sz w:val="24"/>
          <w:szCs w:val="24"/>
          <w:u w:val="single"/>
        </w:rPr>
        <w:t>20</w:t>
      </w:r>
      <w:r w:rsidR="00620E09" w:rsidRPr="001C5C39">
        <w:rPr>
          <w:sz w:val="24"/>
          <w:szCs w:val="24"/>
          <w:u w:val="single"/>
        </w:rPr>
        <w:t>, 201</w:t>
      </w:r>
      <w:r w:rsidR="00BF2343" w:rsidRPr="001C5C39">
        <w:rPr>
          <w:sz w:val="24"/>
          <w:szCs w:val="24"/>
          <w:u w:val="single"/>
        </w:rPr>
        <w:t>6</w:t>
      </w:r>
      <w:r w:rsidRPr="00027A40">
        <w:rPr>
          <w:sz w:val="24"/>
          <w:szCs w:val="24"/>
        </w:rPr>
        <w:tab/>
      </w:r>
      <w:r w:rsidRPr="00027A40">
        <w:rPr>
          <w:rFonts w:eastAsia="Calibri"/>
          <w:sz w:val="24"/>
          <w:szCs w:val="24"/>
          <w:u w:val="single"/>
        </w:rPr>
        <w:tab/>
        <w:t xml:space="preserve">    /s/</w:t>
      </w:r>
      <w:r w:rsidRPr="00027A40">
        <w:rPr>
          <w:rFonts w:eastAsia="Calibri"/>
          <w:sz w:val="24"/>
          <w:szCs w:val="24"/>
          <w:u w:val="single"/>
        </w:rPr>
        <w:tab/>
      </w:r>
      <w:r w:rsidR="004C1C72">
        <w:rPr>
          <w:rFonts w:eastAsia="Calibri"/>
          <w:sz w:val="24"/>
          <w:szCs w:val="24"/>
          <w:u w:val="single"/>
        </w:rPr>
        <w:t xml:space="preserve">           </w:t>
      </w:r>
    </w:p>
    <w:p w:rsidR="00027A40" w:rsidRPr="00027A40" w:rsidRDefault="00027A40" w:rsidP="00027A40">
      <w:pPr>
        <w:rPr>
          <w:sz w:val="24"/>
          <w:szCs w:val="24"/>
        </w:rPr>
      </w:pP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t>Jeffrey A. Watson</w:t>
      </w:r>
    </w:p>
    <w:p w:rsidR="00027A40" w:rsidRDefault="00027A40" w:rsidP="00027A40">
      <w:pPr>
        <w:rPr>
          <w:sz w:val="24"/>
          <w:szCs w:val="24"/>
        </w:rPr>
      </w:pP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t>Administrative Law Judge</w:t>
      </w:r>
    </w:p>
    <w:p w:rsidR="00620E09" w:rsidRDefault="00620E09" w:rsidP="00027A40">
      <w:pPr>
        <w:rPr>
          <w:sz w:val="24"/>
          <w:szCs w:val="24"/>
        </w:rPr>
      </w:pPr>
    </w:p>
    <w:p w:rsidR="00620E09" w:rsidRDefault="00620E09" w:rsidP="00027A40">
      <w:pPr>
        <w:rPr>
          <w:sz w:val="24"/>
          <w:szCs w:val="24"/>
        </w:rPr>
      </w:pPr>
    </w:p>
    <w:p w:rsidR="00044399" w:rsidRDefault="00044399" w:rsidP="00027A40">
      <w:pPr>
        <w:rPr>
          <w:sz w:val="24"/>
          <w:szCs w:val="24"/>
        </w:rPr>
      </w:pPr>
    </w:p>
    <w:sectPr w:rsidR="00044399" w:rsidSect="00671FD6">
      <w:footerReference w:type="even" r:id="rId14"/>
      <w:footerReference w:type="defaul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806" w:rsidRDefault="00110806">
      <w:r>
        <w:separator/>
      </w:r>
    </w:p>
  </w:endnote>
  <w:endnote w:type="continuationSeparator" w:id="0">
    <w:p w:rsidR="00110806" w:rsidRDefault="0011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F" w:rsidRDefault="00D97E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7EAF" w:rsidRDefault="00D97E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974"/>
      <w:docPartObj>
        <w:docPartGallery w:val="Page Numbers (Bottom of Page)"/>
        <w:docPartUnique/>
      </w:docPartObj>
    </w:sdtPr>
    <w:sdtEndPr/>
    <w:sdtContent>
      <w:p w:rsidR="00D97EAF" w:rsidRDefault="00D97EAF">
        <w:pPr>
          <w:pStyle w:val="Footer"/>
          <w:jc w:val="center"/>
        </w:pPr>
        <w:r>
          <w:fldChar w:fldCharType="begin"/>
        </w:r>
        <w:r>
          <w:instrText xml:space="preserve"> PAGE   \* MERGEFORMAT </w:instrText>
        </w:r>
        <w:r>
          <w:fldChar w:fldCharType="separate"/>
        </w:r>
        <w:r w:rsidR="00AE2392">
          <w:rPr>
            <w:noProof/>
          </w:rPr>
          <w:t>10</w:t>
        </w:r>
        <w:r>
          <w:rPr>
            <w:noProof/>
          </w:rPr>
          <w:fldChar w:fldCharType="end"/>
        </w:r>
      </w:p>
    </w:sdtContent>
  </w:sdt>
  <w:p w:rsidR="00D97EAF" w:rsidRDefault="00D97E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EAF" w:rsidRDefault="00D97EAF">
    <w:pPr>
      <w:pStyle w:val="Footer"/>
      <w:jc w:val="center"/>
    </w:pPr>
  </w:p>
  <w:p w:rsidR="00D97EAF" w:rsidRDefault="00D97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806" w:rsidRDefault="00110806">
      <w:r>
        <w:separator/>
      </w:r>
    </w:p>
  </w:footnote>
  <w:footnote w:type="continuationSeparator" w:id="0">
    <w:p w:rsidR="00110806" w:rsidRDefault="00110806">
      <w:r>
        <w:continuationSeparator/>
      </w:r>
    </w:p>
  </w:footnote>
  <w:footnote w:id="1">
    <w:p w:rsidR="00D97EAF" w:rsidRPr="000B10D5" w:rsidRDefault="00D97EAF" w:rsidP="000B10D5">
      <w:pPr>
        <w:pStyle w:val="FootnoteText"/>
      </w:pPr>
      <w:r w:rsidRPr="000B10D5">
        <w:rPr>
          <w:rStyle w:val="FootnoteReference"/>
        </w:rPr>
        <w:footnoteRef/>
      </w:r>
      <w:r w:rsidRPr="000B10D5">
        <w:t xml:space="preserve"> </w:t>
      </w:r>
      <w:r w:rsidRPr="000B10D5">
        <w:tab/>
        <w:t xml:space="preserve">Complainants were unable to locate their copy of the letter and did not provide it as a proposed exhibit. </w:t>
      </w:r>
    </w:p>
  </w:footnote>
  <w:footnote w:id="2">
    <w:p w:rsidR="00D97EAF" w:rsidRPr="00FF18A8" w:rsidRDefault="00D97EAF" w:rsidP="000B10D5">
      <w:pPr>
        <w:pStyle w:val="FootnoteText"/>
      </w:pPr>
      <w:r w:rsidRPr="00FF18A8">
        <w:rPr>
          <w:rStyle w:val="FootnoteReference"/>
        </w:rPr>
        <w:footnoteRef/>
      </w:r>
      <w:r w:rsidRPr="00FF18A8">
        <w:t xml:space="preserve"> </w:t>
      </w:r>
      <w:r w:rsidRPr="00FF18A8">
        <w:tab/>
      </w:r>
      <w:proofErr w:type="gramStart"/>
      <w:r w:rsidRPr="00FF18A8">
        <w:t xml:space="preserve">66 </w:t>
      </w:r>
      <w:proofErr w:type="spellStart"/>
      <w:r w:rsidRPr="00FF18A8">
        <w:t>Pa.C.S</w:t>
      </w:r>
      <w:proofErr w:type="spellEnd"/>
      <w:r w:rsidRPr="00FF18A8">
        <w:t>.</w:t>
      </w:r>
      <w:proofErr w:type="gramEnd"/>
      <w:r w:rsidRPr="00FF18A8">
        <w:t xml:space="preserve"> § 1501.</w:t>
      </w:r>
    </w:p>
    <w:p w:rsidR="00B56CB3" w:rsidRPr="00FF18A8" w:rsidRDefault="00B56CB3" w:rsidP="000B10D5">
      <w:pPr>
        <w:pStyle w:val="FootnoteText"/>
      </w:pPr>
    </w:p>
  </w:footnote>
  <w:footnote w:id="3">
    <w:p w:rsidR="00D97EAF" w:rsidRPr="000F0291" w:rsidRDefault="00D97EAF" w:rsidP="000B10D5">
      <w:pPr>
        <w:pStyle w:val="FootnoteText"/>
      </w:pPr>
      <w:r w:rsidRPr="00FF18A8">
        <w:rPr>
          <w:rStyle w:val="FootnoteReference"/>
        </w:rPr>
        <w:footnoteRef/>
      </w:r>
      <w:r w:rsidRPr="00FF18A8">
        <w:t xml:space="preserve"> </w:t>
      </w:r>
      <w:r w:rsidRPr="00FF18A8">
        <w:tab/>
      </w:r>
      <w:proofErr w:type="gramStart"/>
      <w:r w:rsidRPr="00FF18A8">
        <w:t xml:space="preserve">66 </w:t>
      </w:r>
      <w:proofErr w:type="spellStart"/>
      <w:r w:rsidRPr="00FF18A8">
        <w:t>Pa.C.S</w:t>
      </w:r>
      <w:proofErr w:type="spellEnd"/>
      <w:r w:rsidRPr="00FF18A8">
        <w:t>.</w:t>
      </w:r>
      <w:proofErr w:type="gramEnd"/>
      <w:r w:rsidRPr="00FF18A8">
        <w:t xml:space="preserve"> § 102.</w:t>
      </w:r>
    </w:p>
    <w:p w:rsidR="00D97EAF" w:rsidRDefault="00D97EAF" w:rsidP="000B10D5">
      <w:pPr>
        <w:pStyle w:val="FootnoteText"/>
      </w:pPr>
    </w:p>
  </w:footnote>
  <w:footnote w:id="4">
    <w:p w:rsidR="00D97EAF" w:rsidRPr="000E096C" w:rsidRDefault="00D97EAF" w:rsidP="000B10D5">
      <w:pPr>
        <w:pStyle w:val="FootnoteText"/>
      </w:pPr>
      <w:r w:rsidRPr="000E096C">
        <w:rPr>
          <w:rStyle w:val="FootnoteReference"/>
        </w:rPr>
        <w:footnoteRef/>
      </w:r>
      <w:r w:rsidRPr="000E096C">
        <w:t xml:space="preserve"> </w:t>
      </w:r>
      <w:r w:rsidRPr="000E096C">
        <w:tab/>
      </w:r>
      <w:r w:rsidR="00707806">
        <w:t xml:space="preserve">At the hearing, </w:t>
      </w:r>
      <w:r w:rsidRPr="000E096C">
        <w:t xml:space="preserve">Respondent did not object to Complainants requesting a payment arrangement based upon the averments in the </w:t>
      </w:r>
      <w:r w:rsidR="00E03022">
        <w:t>f</w:t>
      </w:r>
      <w:r w:rsidRPr="000E096C">
        <w:t xml:space="preserve">ormal </w:t>
      </w:r>
      <w:r w:rsidR="00E03022">
        <w:t>c</w:t>
      </w:r>
      <w:r w:rsidRPr="000E096C">
        <w:t xml:space="preserve">omplaint but objected to the approval of a payment arrangement.  </w:t>
      </w:r>
      <w:proofErr w:type="gramStart"/>
      <w:r w:rsidRPr="000E096C">
        <w:t>N.T. 85, 88.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82A8FF98"/>
    <w:lvl w:ilvl="0" w:tplc="3788AEAE">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93E1AF9"/>
    <w:multiLevelType w:val="hybridMultilevel"/>
    <w:tmpl w:val="977CFD04"/>
    <w:lvl w:ilvl="0" w:tplc="3AF05350">
      <w:start w:val="1"/>
      <w:numFmt w:val="low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1B7E7360"/>
    <w:multiLevelType w:val="hybridMultilevel"/>
    <w:tmpl w:val="054214C2"/>
    <w:lvl w:ilvl="0" w:tplc="177C3A9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16D9C"/>
    <w:multiLevelType w:val="singleLevel"/>
    <w:tmpl w:val="0409000F"/>
    <w:lvl w:ilvl="0">
      <w:start w:val="1"/>
      <w:numFmt w:val="decimal"/>
      <w:lvlText w:val="%1."/>
      <w:lvlJc w:val="left"/>
      <w:pPr>
        <w:tabs>
          <w:tab w:val="num" w:pos="360"/>
        </w:tabs>
        <w:ind w:left="360" w:hanging="360"/>
      </w:pPr>
    </w:lvl>
  </w:abstractNum>
  <w:abstractNum w:abstractNumId="5">
    <w:nsid w:val="38D44EAB"/>
    <w:multiLevelType w:val="hybridMultilevel"/>
    <w:tmpl w:val="51BE773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F9B57C7"/>
    <w:multiLevelType w:val="hybridMultilevel"/>
    <w:tmpl w:val="BDCA8B94"/>
    <w:lvl w:ilvl="0" w:tplc="40F43C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8D30703"/>
    <w:multiLevelType w:val="hybridMultilevel"/>
    <w:tmpl w:val="DD42BA92"/>
    <w:lvl w:ilvl="0" w:tplc="0E24C9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11">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EC87247"/>
    <w:multiLevelType w:val="hybridMultilevel"/>
    <w:tmpl w:val="49B8A304"/>
    <w:lvl w:ilvl="0" w:tplc="7FE27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506659B"/>
    <w:multiLevelType w:val="hybridMultilevel"/>
    <w:tmpl w:val="5BFEBCFE"/>
    <w:lvl w:ilvl="0" w:tplc="015EDDE6">
      <w:start w:val="1"/>
      <w:numFmt w:val="decimal"/>
      <w:lvlText w:val="%1."/>
      <w:lvlJc w:val="left"/>
      <w:pPr>
        <w:ind w:left="234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DB161D7"/>
    <w:multiLevelType w:val="hybridMultilevel"/>
    <w:tmpl w:val="E8DA9F12"/>
    <w:lvl w:ilvl="0" w:tplc="DDFCD0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256199F"/>
    <w:multiLevelType w:val="hybridMultilevel"/>
    <w:tmpl w:val="C48829C6"/>
    <w:lvl w:ilvl="0" w:tplc="0E6A604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485637B"/>
    <w:multiLevelType w:val="hybridMultilevel"/>
    <w:tmpl w:val="76EEEB96"/>
    <w:lvl w:ilvl="0" w:tplc="6DB4F5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0"/>
  </w:num>
  <w:num w:numId="3">
    <w:abstractNumId w:val="10"/>
    <w:lvlOverride w:ilvl="0">
      <w:startOverride w:val="1"/>
    </w:lvlOverride>
  </w:num>
  <w:num w:numId="4">
    <w:abstractNumId w:val="2"/>
  </w:num>
  <w:num w:numId="5">
    <w:abstractNumId w:val="14"/>
  </w:num>
  <w:num w:numId="6">
    <w:abstractNumId w:val="14"/>
    <w:lvlOverride w:ilvl="0">
      <w:startOverride w:val="1"/>
    </w:lvlOverride>
  </w:num>
  <w:num w:numId="7">
    <w:abstractNumId w:val="16"/>
  </w:num>
  <w:num w:numId="8">
    <w:abstractNumId w:val="7"/>
  </w:num>
  <w:num w:numId="9">
    <w:abstractNumId w:val="3"/>
  </w:num>
  <w:num w:numId="10">
    <w:abstractNumId w:val="1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9"/>
  </w:num>
  <w:num w:numId="15">
    <w:abstractNumId w:val="17"/>
  </w:num>
  <w:num w:numId="16">
    <w:abstractNumId w:val="15"/>
  </w:num>
  <w:num w:numId="17">
    <w:abstractNumId w:val="8"/>
  </w:num>
  <w:num w:numId="18">
    <w:abstractNumId w:val="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18D8"/>
    <w:rsid w:val="00003D16"/>
    <w:rsid w:val="0001364A"/>
    <w:rsid w:val="0001497D"/>
    <w:rsid w:val="0002458B"/>
    <w:rsid w:val="00027A40"/>
    <w:rsid w:val="0003525B"/>
    <w:rsid w:val="00040306"/>
    <w:rsid w:val="000425E1"/>
    <w:rsid w:val="00044399"/>
    <w:rsid w:val="00076AB6"/>
    <w:rsid w:val="00077C7F"/>
    <w:rsid w:val="0008404B"/>
    <w:rsid w:val="000855A6"/>
    <w:rsid w:val="000A29FA"/>
    <w:rsid w:val="000A46E8"/>
    <w:rsid w:val="000B00E0"/>
    <w:rsid w:val="000B10D5"/>
    <w:rsid w:val="000B1D79"/>
    <w:rsid w:val="000E00DF"/>
    <w:rsid w:val="000E096C"/>
    <w:rsid w:val="000E215B"/>
    <w:rsid w:val="000E5196"/>
    <w:rsid w:val="000E70DE"/>
    <w:rsid w:val="000F0291"/>
    <w:rsid w:val="000F1FF1"/>
    <w:rsid w:val="000F718A"/>
    <w:rsid w:val="00110806"/>
    <w:rsid w:val="00115DA3"/>
    <w:rsid w:val="001215F5"/>
    <w:rsid w:val="001240CF"/>
    <w:rsid w:val="00124BA5"/>
    <w:rsid w:val="00132C14"/>
    <w:rsid w:val="00142DB5"/>
    <w:rsid w:val="00143187"/>
    <w:rsid w:val="00143935"/>
    <w:rsid w:val="00154811"/>
    <w:rsid w:val="00157048"/>
    <w:rsid w:val="001601CE"/>
    <w:rsid w:val="001633FB"/>
    <w:rsid w:val="00165394"/>
    <w:rsid w:val="001672D8"/>
    <w:rsid w:val="0017366F"/>
    <w:rsid w:val="0017554E"/>
    <w:rsid w:val="001758F8"/>
    <w:rsid w:val="00176076"/>
    <w:rsid w:val="00177C1C"/>
    <w:rsid w:val="00185C09"/>
    <w:rsid w:val="001932F7"/>
    <w:rsid w:val="001945B9"/>
    <w:rsid w:val="001A00E0"/>
    <w:rsid w:val="001A5484"/>
    <w:rsid w:val="001A6F54"/>
    <w:rsid w:val="001B1D49"/>
    <w:rsid w:val="001C5C39"/>
    <w:rsid w:val="001D4CF0"/>
    <w:rsid w:val="001D7D3E"/>
    <w:rsid w:val="001E59B9"/>
    <w:rsid w:val="001F1BCE"/>
    <w:rsid w:val="001F4423"/>
    <w:rsid w:val="001F59DC"/>
    <w:rsid w:val="001F661B"/>
    <w:rsid w:val="00202C10"/>
    <w:rsid w:val="00203688"/>
    <w:rsid w:val="00206BB9"/>
    <w:rsid w:val="00227AFE"/>
    <w:rsid w:val="002414B5"/>
    <w:rsid w:val="002451C5"/>
    <w:rsid w:val="00245AF9"/>
    <w:rsid w:val="00247900"/>
    <w:rsid w:val="00256B89"/>
    <w:rsid w:val="0026268C"/>
    <w:rsid w:val="00271594"/>
    <w:rsid w:val="00273ABB"/>
    <w:rsid w:val="00275159"/>
    <w:rsid w:val="00275A24"/>
    <w:rsid w:val="00295472"/>
    <w:rsid w:val="00295C39"/>
    <w:rsid w:val="00297621"/>
    <w:rsid w:val="002A7F81"/>
    <w:rsid w:val="002B632F"/>
    <w:rsid w:val="002C634C"/>
    <w:rsid w:val="002D5A23"/>
    <w:rsid w:val="002D5E29"/>
    <w:rsid w:val="002F12A4"/>
    <w:rsid w:val="00305CCE"/>
    <w:rsid w:val="003101A8"/>
    <w:rsid w:val="00310237"/>
    <w:rsid w:val="00313D92"/>
    <w:rsid w:val="003232B1"/>
    <w:rsid w:val="00332CA0"/>
    <w:rsid w:val="00340838"/>
    <w:rsid w:val="00343EE4"/>
    <w:rsid w:val="003548D7"/>
    <w:rsid w:val="003612E1"/>
    <w:rsid w:val="003639D1"/>
    <w:rsid w:val="003741B6"/>
    <w:rsid w:val="00376B71"/>
    <w:rsid w:val="00380269"/>
    <w:rsid w:val="00383AC8"/>
    <w:rsid w:val="00385D0E"/>
    <w:rsid w:val="003A2A03"/>
    <w:rsid w:val="003B4FB4"/>
    <w:rsid w:val="003C03B0"/>
    <w:rsid w:val="003C150F"/>
    <w:rsid w:val="003C421F"/>
    <w:rsid w:val="003C5118"/>
    <w:rsid w:val="003C7591"/>
    <w:rsid w:val="003D6CD2"/>
    <w:rsid w:val="003E24DA"/>
    <w:rsid w:val="003F0A00"/>
    <w:rsid w:val="003F2B91"/>
    <w:rsid w:val="003F2D07"/>
    <w:rsid w:val="003F5023"/>
    <w:rsid w:val="004024E6"/>
    <w:rsid w:val="00412B85"/>
    <w:rsid w:val="0042730D"/>
    <w:rsid w:val="004315E3"/>
    <w:rsid w:val="0044702F"/>
    <w:rsid w:val="004605EB"/>
    <w:rsid w:val="0046363A"/>
    <w:rsid w:val="00471C47"/>
    <w:rsid w:val="0047386A"/>
    <w:rsid w:val="00480E42"/>
    <w:rsid w:val="00482CBD"/>
    <w:rsid w:val="00484FBD"/>
    <w:rsid w:val="0049263C"/>
    <w:rsid w:val="004A01E6"/>
    <w:rsid w:val="004A7722"/>
    <w:rsid w:val="004C1C72"/>
    <w:rsid w:val="004C5075"/>
    <w:rsid w:val="004C65E3"/>
    <w:rsid w:val="004D22DE"/>
    <w:rsid w:val="004E15BC"/>
    <w:rsid w:val="004E2FC1"/>
    <w:rsid w:val="004E477C"/>
    <w:rsid w:val="004F05E8"/>
    <w:rsid w:val="00502D6C"/>
    <w:rsid w:val="00504601"/>
    <w:rsid w:val="00506052"/>
    <w:rsid w:val="0051419B"/>
    <w:rsid w:val="00515754"/>
    <w:rsid w:val="005210F6"/>
    <w:rsid w:val="00542384"/>
    <w:rsid w:val="005459E8"/>
    <w:rsid w:val="005601B0"/>
    <w:rsid w:val="00560DC5"/>
    <w:rsid w:val="005658DE"/>
    <w:rsid w:val="00575CE5"/>
    <w:rsid w:val="00577B97"/>
    <w:rsid w:val="00582876"/>
    <w:rsid w:val="005930DA"/>
    <w:rsid w:val="00596C70"/>
    <w:rsid w:val="00597436"/>
    <w:rsid w:val="00597681"/>
    <w:rsid w:val="005A11DD"/>
    <w:rsid w:val="005A1410"/>
    <w:rsid w:val="005A4C42"/>
    <w:rsid w:val="005B23DD"/>
    <w:rsid w:val="005C3796"/>
    <w:rsid w:val="005D41E2"/>
    <w:rsid w:val="005E6302"/>
    <w:rsid w:val="005E76F5"/>
    <w:rsid w:val="005F4D5C"/>
    <w:rsid w:val="005F60D5"/>
    <w:rsid w:val="006030BE"/>
    <w:rsid w:val="00616436"/>
    <w:rsid w:val="00620E09"/>
    <w:rsid w:val="006226F3"/>
    <w:rsid w:val="00627A84"/>
    <w:rsid w:val="00627E74"/>
    <w:rsid w:val="00631A6B"/>
    <w:rsid w:val="006429CA"/>
    <w:rsid w:val="00643F67"/>
    <w:rsid w:val="00644991"/>
    <w:rsid w:val="006504A7"/>
    <w:rsid w:val="00652CA9"/>
    <w:rsid w:val="006536AA"/>
    <w:rsid w:val="006610FB"/>
    <w:rsid w:val="00663BE5"/>
    <w:rsid w:val="006675F1"/>
    <w:rsid w:val="00671FD6"/>
    <w:rsid w:val="0067466A"/>
    <w:rsid w:val="006754D0"/>
    <w:rsid w:val="006818ED"/>
    <w:rsid w:val="00681C61"/>
    <w:rsid w:val="0068239A"/>
    <w:rsid w:val="00683F02"/>
    <w:rsid w:val="00684437"/>
    <w:rsid w:val="006856E1"/>
    <w:rsid w:val="00687145"/>
    <w:rsid w:val="0069432F"/>
    <w:rsid w:val="006A2E9E"/>
    <w:rsid w:val="006A6859"/>
    <w:rsid w:val="006C3612"/>
    <w:rsid w:val="006C7BF1"/>
    <w:rsid w:val="006E19A0"/>
    <w:rsid w:val="006E2126"/>
    <w:rsid w:val="00704FB1"/>
    <w:rsid w:val="00705080"/>
    <w:rsid w:val="00706B87"/>
    <w:rsid w:val="00707806"/>
    <w:rsid w:val="00711E79"/>
    <w:rsid w:val="00717766"/>
    <w:rsid w:val="007245C7"/>
    <w:rsid w:val="00725A82"/>
    <w:rsid w:val="00735707"/>
    <w:rsid w:val="007360FE"/>
    <w:rsid w:val="00740950"/>
    <w:rsid w:val="00752633"/>
    <w:rsid w:val="007539C9"/>
    <w:rsid w:val="00766592"/>
    <w:rsid w:val="00775433"/>
    <w:rsid w:val="007932DC"/>
    <w:rsid w:val="007B3D66"/>
    <w:rsid w:val="007C0A7A"/>
    <w:rsid w:val="007C2E2D"/>
    <w:rsid w:val="007C564D"/>
    <w:rsid w:val="007C5E49"/>
    <w:rsid w:val="007C6E31"/>
    <w:rsid w:val="007D1B1D"/>
    <w:rsid w:val="007D3F4A"/>
    <w:rsid w:val="007E2C68"/>
    <w:rsid w:val="007F3470"/>
    <w:rsid w:val="00803B70"/>
    <w:rsid w:val="0080557F"/>
    <w:rsid w:val="0080641C"/>
    <w:rsid w:val="0081430B"/>
    <w:rsid w:val="0082154E"/>
    <w:rsid w:val="0082264A"/>
    <w:rsid w:val="008273A1"/>
    <w:rsid w:val="00834241"/>
    <w:rsid w:val="00837C5E"/>
    <w:rsid w:val="008427BA"/>
    <w:rsid w:val="00844F99"/>
    <w:rsid w:val="00845FB1"/>
    <w:rsid w:val="00862A4A"/>
    <w:rsid w:val="00862FF5"/>
    <w:rsid w:val="008670DF"/>
    <w:rsid w:val="00867E07"/>
    <w:rsid w:val="00870E7A"/>
    <w:rsid w:val="00871E2F"/>
    <w:rsid w:val="00875EDB"/>
    <w:rsid w:val="00890D5D"/>
    <w:rsid w:val="00897178"/>
    <w:rsid w:val="008A4BDA"/>
    <w:rsid w:val="008B1829"/>
    <w:rsid w:val="008B3BC0"/>
    <w:rsid w:val="008B5482"/>
    <w:rsid w:val="008C1D15"/>
    <w:rsid w:val="008C3295"/>
    <w:rsid w:val="008D4576"/>
    <w:rsid w:val="008D47D2"/>
    <w:rsid w:val="008D6D8C"/>
    <w:rsid w:val="008E60AA"/>
    <w:rsid w:val="008F0384"/>
    <w:rsid w:val="008F04D3"/>
    <w:rsid w:val="009100E0"/>
    <w:rsid w:val="0091010F"/>
    <w:rsid w:val="009136C0"/>
    <w:rsid w:val="00926EE4"/>
    <w:rsid w:val="00950F37"/>
    <w:rsid w:val="00957BAB"/>
    <w:rsid w:val="00964566"/>
    <w:rsid w:val="00971562"/>
    <w:rsid w:val="0098034A"/>
    <w:rsid w:val="009922B1"/>
    <w:rsid w:val="00992878"/>
    <w:rsid w:val="00996629"/>
    <w:rsid w:val="009A091E"/>
    <w:rsid w:val="009A2F5D"/>
    <w:rsid w:val="009A7B6A"/>
    <w:rsid w:val="009B2DA0"/>
    <w:rsid w:val="009D0937"/>
    <w:rsid w:val="009D0E0E"/>
    <w:rsid w:val="009D1A7F"/>
    <w:rsid w:val="009D41D4"/>
    <w:rsid w:val="009D62D6"/>
    <w:rsid w:val="009D7F80"/>
    <w:rsid w:val="009E2A81"/>
    <w:rsid w:val="009E5AB3"/>
    <w:rsid w:val="00A07880"/>
    <w:rsid w:val="00A1079D"/>
    <w:rsid w:val="00A13B55"/>
    <w:rsid w:val="00A164AB"/>
    <w:rsid w:val="00A16EBE"/>
    <w:rsid w:val="00A174EB"/>
    <w:rsid w:val="00A35024"/>
    <w:rsid w:val="00A37016"/>
    <w:rsid w:val="00A40E80"/>
    <w:rsid w:val="00A5169B"/>
    <w:rsid w:val="00A51D5F"/>
    <w:rsid w:val="00A53AEA"/>
    <w:rsid w:val="00A602D7"/>
    <w:rsid w:val="00A6053A"/>
    <w:rsid w:val="00A62070"/>
    <w:rsid w:val="00A64A8B"/>
    <w:rsid w:val="00A70419"/>
    <w:rsid w:val="00A73453"/>
    <w:rsid w:val="00A73D2F"/>
    <w:rsid w:val="00A82C04"/>
    <w:rsid w:val="00A87E67"/>
    <w:rsid w:val="00A911CA"/>
    <w:rsid w:val="00AB0EBD"/>
    <w:rsid w:val="00AB1454"/>
    <w:rsid w:val="00AB460E"/>
    <w:rsid w:val="00AB5756"/>
    <w:rsid w:val="00AC540C"/>
    <w:rsid w:val="00AD0EFA"/>
    <w:rsid w:val="00AD3D31"/>
    <w:rsid w:val="00AE2392"/>
    <w:rsid w:val="00AE74A6"/>
    <w:rsid w:val="00AF6897"/>
    <w:rsid w:val="00B04455"/>
    <w:rsid w:val="00B05F72"/>
    <w:rsid w:val="00B072AB"/>
    <w:rsid w:val="00B2252A"/>
    <w:rsid w:val="00B27AAA"/>
    <w:rsid w:val="00B5127B"/>
    <w:rsid w:val="00B51BB3"/>
    <w:rsid w:val="00B56A3E"/>
    <w:rsid w:val="00B56CB3"/>
    <w:rsid w:val="00B63F13"/>
    <w:rsid w:val="00B64556"/>
    <w:rsid w:val="00B66296"/>
    <w:rsid w:val="00B71D70"/>
    <w:rsid w:val="00B969A6"/>
    <w:rsid w:val="00BA31D4"/>
    <w:rsid w:val="00BC3504"/>
    <w:rsid w:val="00BD0DF4"/>
    <w:rsid w:val="00BD12B4"/>
    <w:rsid w:val="00BD19E7"/>
    <w:rsid w:val="00BD42BA"/>
    <w:rsid w:val="00BD6E27"/>
    <w:rsid w:val="00BE04FE"/>
    <w:rsid w:val="00BF127C"/>
    <w:rsid w:val="00BF2343"/>
    <w:rsid w:val="00BF4B6C"/>
    <w:rsid w:val="00C01328"/>
    <w:rsid w:val="00C03A25"/>
    <w:rsid w:val="00C07EAD"/>
    <w:rsid w:val="00C1344F"/>
    <w:rsid w:val="00C17596"/>
    <w:rsid w:val="00C262F7"/>
    <w:rsid w:val="00C32374"/>
    <w:rsid w:val="00C35505"/>
    <w:rsid w:val="00C43D5E"/>
    <w:rsid w:val="00C4797A"/>
    <w:rsid w:val="00C57E07"/>
    <w:rsid w:val="00C606BF"/>
    <w:rsid w:val="00C666FF"/>
    <w:rsid w:val="00C73F94"/>
    <w:rsid w:val="00C74C87"/>
    <w:rsid w:val="00C828D6"/>
    <w:rsid w:val="00C83233"/>
    <w:rsid w:val="00C837A6"/>
    <w:rsid w:val="00C846A6"/>
    <w:rsid w:val="00C84E88"/>
    <w:rsid w:val="00C86EBF"/>
    <w:rsid w:val="00C96A73"/>
    <w:rsid w:val="00CA050C"/>
    <w:rsid w:val="00CA17C0"/>
    <w:rsid w:val="00CA5DF7"/>
    <w:rsid w:val="00CB077E"/>
    <w:rsid w:val="00CC3A55"/>
    <w:rsid w:val="00CD0E8A"/>
    <w:rsid w:val="00CD44B0"/>
    <w:rsid w:val="00CD683D"/>
    <w:rsid w:val="00CF69F7"/>
    <w:rsid w:val="00D10D0F"/>
    <w:rsid w:val="00D14C90"/>
    <w:rsid w:val="00D14EBA"/>
    <w:rsid w:val="00D150FC"/>
    <w:rsid w:val="00D21FF1"/>
    <w:rsid w:val="00D24020"/>
    <w:rsid w:val="00D27ECE"/>
    <w:rsid w:val="00D308D7"/>
    <w:rsid w:val="00D40D85"/>
    <w:rsid w:val="00D418BF"/>
    <w:rsid w:val="00D44DC6"/>
    <w:rsid w:val="00D52632"/>
    <w:rsid w:val="00D5343A"/>
    <w:rsid w:val="00D64EDE"/>
    <w:rsid w:val="00D64EFD"/>
    <w:rsid w:val="00D709D1"/>
    <w:rsid w:val="00D75F44"/>
    <w:rsid w:val="00D839D8"/>
    <w:rsid w:val="00D849BC"/>
    <w:rsid w:val="00D93E5C"/>
    <w:rsid w:val="00D97EAF"/>
    <w:rsid w:val="00DA0FE3"/>
    <w:rsid w:val="00DA787A"/>
    <w:rsid w:val="00DC3080"/>
    <w:rsid w:val="00DC5EFA"/>
    <w:rsid w:val="00DE2E3B"/>
    <w:rsid w:val="00DE6D6D"/>
    <w:rsid w:val="00DE7C21"/>
    <w:rsid w:val="00DF1785"/>
    <w:rsid w:val="00DF1F97"/>
    <w:rsid w:val="00E03022"/>
    <w:rsid w:val="00E03566"/>
    <w:rsid w:val="00E07AF4"/>
    <w:rsid w:val="00E37AA9"/>
    <w:rsid w:val="00E40DC6"/>
    <w:rsid w:val="00E42AC8"/>
    <w:rsid w:val="00E622C4"/>
    <w:rsid w:val="00E653F8"/>
    <w:rsid w:val="00E66608"/>
    <w:rsid w:val="00E7372D"/>
    <w:rsid w:val="00E7456A"/>
    <w:rsid w:val="00E7613D"/>
    <w:rsid w:val="00E8374B"/>
    <w:rsid w:val="00E87454"/>
    <w:rsid w:val="00E904B6"/>
    <w:rsid w:val="00E9168E"/>
    <w:rsid w:val="00E93582"/>
    <w:rsid w:val="00EA260E"/>
    <w:rsid w:val="00EB0E6D"/>
    <w:rsid w:val="00EB45B2"/>
    <w:rsid w:val="00EC6C34"/>
    <w:rsid w:val="00EE07F9"/>
    <w:rsid w:val="00EF1478"/>
    <w:rsid w:val="00EF2DB6"/>
    <w:rsid w:val="00EF3C29"/>
    <w:rsid w:val="00F01AE2"/>
    <w:rsid w:val="00F10391"/>
    <w:rsid w:val="00F10D22"/>
    <w:rsid w:val="00F232CC"/>
    <w:rsid w:val="00F25755"/>
    <w:rsid w:val="00F30A6E"/>
    <w:rsid w:val="00F35E0F"/>
    <w:rsid w:val="00F36A11"/>
    <w:rsid w:val="00F4404F"/>
    <w:rsid w:val="00F45549"/>
    <w:rsid w:val="00F46B96"/>
    <w:rsid w:val="00F55618"/>
    <w:rsid w:val="00F567AB"/>
    <w:rsid w:val="00F636A7"/>
    <w:rsid w:val="00F64504"/>
    <w:rsid w:val="00F650F0"/>
    <w:rsid w:val="00F66E07"/>
    <w:rsid w:val="00F70414"/>
    <w:rsid w:val="00F754BC"/>
    <w:rsid w:val="00F810CE"/>
    <w:rsid w:val="00F81FDE"/>
    <w:rsid w:val="00F82AE2"/>
    <w:rsid w:val="00F834BD"/>
    <w:rsid w:val="00F86281"/>
    <w:rsid w:val="00F91D7F"/>
    <w:rsid w:val="00FA1833"/>
    <w:rsid w:val="00FA52E1"/>
    <w:rsid w:val="00FA7354"/>
    <w:rsid w:val="00FB1408"/>
    <w:rsid w:val="00FC0452"/>
    <w:rsid w:val="00FC078F"/>
    <w:rsid w:val="00FC187E"/>
    <w:rsid w:val="00FC33E0"/>
    <w:rsid w:val="00FC7C9B"/>
    <w:rsid w:val="00FD4B14"/>
    <w:rsid w:val="00FE173C"/>
    <w:rsid w:val="00FF18A8"/>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99"/>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0B10D5"/>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0B10D5"/>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aliases w:val="o,fr"/>
    <w:basedOn w:val="DefaultParagraphFont"/>
    <w:uiPriority w:val="99"/>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customStyle="1" w:styleId="ParaTab1">
    <w:name w:val="ParaTab 1"/>
    <w:rsid w:val="00027A40"/>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275159"/>
    <w:rPr>
      <w:rFonts w:ascii="Tahoma" w:hAnsi="Tahoma" w:cs="Tahoma"/>
      <w:sz w:val="16"/>
      <w:szCs w:val="16"/>
    </w:rPr>
  </w:style>
  <w:style w:type="character" w:customStyle="1" w:styleId="BalloonTextChar">
    <w:name w:val="Balloon Text Char"/>
    <w:basedOn w:val="DefaultParagraphFont"/>
    <w:link w:val="BalloonText"/>
    <w:rsid w:val="00275159"/>
    <w:rPr>
      <w:rFonts w:ascii="Tahoma" w:hAnsi="Tahoma" w:cs="Tahoma"/>
      <w:sz w:val="16"/>
      <w:szCs w:val="16"/>
    </w:rPr>
  </w:style>
  <w:style w:type="paragraph" w:styleId="BodyText2">
    <w:name w:val="Body Text 2"/>
    <w:basedOn w:val="Normal"/>
    <w:link w:val="BodyText2Char"/>
    <w:rsid w:val="00704FB1"/>
    <w:pPr>
      <w:spacing w:after="120" w:line="480" w:lineRule="auto"/>
    </w:pPr>
    <w:rPr>
      <w:sz w:val="24"/>
      <w:szCs w:val="24"/>
    </w:rPr>
  </w:style>
  <w:style w:type="character" w:customStyle="1" w:styleId="BodyText2Char">
    <w:name w:val="Body Text 2 Char"/>
    <w:basedOn w:val="DefaultParagraphFont"/>
    <w:link w:val="BodyText2"/>
    <w:rsid w:val="00704FB1"/>
    <w:rPr>
      <w:sz w:val="24"/>
      <w:szCs w:val="24"/>
    </w:rPr>
  </w:style>
  <w:style w:type="paragraph" w:styleId="NormalWeb">
    <w:name w:val="Normal (Web)"/>
    <w:basedOn w:val="Normal"/>
    <w:uiPriority w:val="99"/>
    <w:rsid w:val="00704FB1"/>
    <w:pPr>
      <w:spacing w:before="100" w:beforeAutospacing="1" w:after="100" w:afterAutospacing="1"/>
    </w:pPr>
    <w:rPr>
      <w:sz w:val="24"/>
      <w:szCs w:val="24"/>
    </w:rPr>
  </w:style>
  <w:style w:type="paragraph" w:styleId="BodyText">
    <w:name w:val="Body Text"/>
    <w:basedOn w:val="Normal"/>
    <w:link w:val="BodyTextChar"/>
    <w:rsid w:val="00704FB1"/>
    <w:pPr>
      <w:spacing w:after="120"/>
    </w:pPr>
    <w:rPr>
      <w:sz w:val="24"/>
      <w:szCs w:val="24"/>
    </w:rPr>
  </w:style>
  <w:style w:type="character" w:customStyle="1" w:styleId="BodyTextChar">
    <w:name w:val="Body Text Char"/>
    <w:basedOn w:val="DefaultParagraphFont"/>
    <w:link w:val="BodyText"/>
    <w:rsid w:val="00704FB1"/>
    <w:rPr>
      <w:sz w:val="24"/>
      <w:szCs w:val="24"/>
    </w:rPr>
  </w:style>
  <w:style w:type="paragraph" w:styleId="PlainText">
    <w:name w:val="Plain Text"/>
    <w:basedOn w:val="Normal"/>
    <w:link w:val="PlainTextChar"/>
    <w:uiPriority w:val="99"/>
    <w:unhideWhenUsed/>
    <w:rsid w:val="00124B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24BA5"/>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99"/>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locked/>
    <w:rsid w:val="000B10D5"/>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iPriority w:val="99"/>
    <w:unhideWhenUsed/>
    <w:qFormat/>
    <w:rsid w:val="000B10D5"/>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aliases w:val="o,fr"/>
    <w:basedOn w:val="DefaultParagraphFont"/>
    <w:uiPriority w:val="99"/>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customStyle="1" w:styleId="ParaTab1">
    <w:name w:val="ParaTab 1"/>
    <w:rsid w:val="00027A40"/>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275159"/>
    <w:rPr>
      <w:rFonts w:ascii="Tahoma" w:hAnsi="Tahoma" w:cs="Tahoma"/>
      <w:sz w:val="16"/>
      <w:szCs w:val="16"/>
    </w:rPr>
  </w:style>
  <w:style w:type="character" w:customStyle="1" w:styleId="BalloonTextChar">
    <w:name w:val="Balloon Text Char"/>
    <w:basedOn w:val="DefaultParagraphFont"/>
    <w:link w:val="BalloonText"/>
    <w:rsid w:val="00275159"/>
    <w:rPr>
      <w:rFonts w:ascii="Tahoma" w:hAnsi="Tahoma" w:cs="Tahoma"/>
      <w:sz w:val="16"/>
      <w:szCs w:val="16"/>
    </w:rPr>
  </w:style>
  <w:style w:type="paragraph" w:styleId="BodyText2">
    <w:name w:val="Body Text 2"/>
    <w:basedOn w:val="Normal"/>
    <w:link w:val="BodyText2Char"/>
    <w:rsid w:val="00704FB1"/>
    <w:pPr>
      <w:spacing w:after="120" w:line="480" w:lineRule="auto"/>
    </w:pPr>
    <w:rPr>
      <w:sz w:val="24"/>
      <w:szCs w:val="24"/>
    </w:rPr>
  </w:style>
  <w:style w:type="character" w:customStyle="1" w:styleId="BodyText2Char">
    <w:name w:val="Body Text 2 Char"/>
    <w:basedOn w:val="DefaultParagraphFont"/>
    <w:link w:val="BodyText2"/>
    <w:rsid w:val="00704FB1"/>
    <w:rPr>
      <w:sz w:val="24"/>
      <w:szCs w:val="24"/>
    </w:rPr>
  </w:style>
  <w:style w:type="paragraph" w:styleId="NormalWeb">
    <w:name w:val="Normal (Web)"/>
    <w:basedOn w:val="Normal"/>
    <w:uiPriority w:val="99"/>
    <w:rsid w:val="00704FB1"/>
    <w:pPr>
      <w:spacing w:before="100" w:beforeAutospacing="1" w:after="100" w:afterAutospacing="1"/>
    </w:pPr>
    <w:rPr>
      <w:sz w:val="24"/>
      <w:szCs w:val="24"/>
    </w:rPr>
  </w:style>
  <w:style w:type="paragraph" w:styleId="BodyText">
    <w:name w:val="Body Text"/>
    <w:basedOn w:val="Normal"/>
    <w:link w:val="BodyTextChar"/>
    <w:rsid w:val="00704FB1"/>
    <w:pPr>
      <w:spacing w:after="120"/>
    </w:pPr>
    <w:rPr>
      <w:sz w:val="24"/>
      <w:szCs w:val="24"/>
    </w:rPr>
  </w:style>
  <w:style w:type="character" w:customStyle="1" w:styleId="BodyTextChar">
    <w:name w:val="Body Text Char"/>
    <w:basedOn w:val="DefaultParagraphFont"/>
    <w:link w:val="BodyText"/>
    <w:rsid w:val="00704FB1"/>
    <w:rPr>
      <w:sz w:val="24"/>
      <w:szCs w:val="24"/>
    </w:rPr>
  </w:style>
  <w:style w:type="paragraph" w:styleId="PlainText">
    <w:name w:val="Plain Text"/>
    <w:basedOn w:val="Normal"/>
    <w:link w:val="PlainTextChar"/>
    <w:uiPriority w:val="99"/>
    <w:unhideWhenUsed/>
    <w:rsid w:val="00124B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24BA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597908660">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2.westlaw.com/find/default.wl?mt=79&amp;db=0000651&amp;tc=-1&amp;rp=%2ffind%2fdefault.wl&amp;findtype=Y&amp;ordoc=2032740558&amp;serialnum=2007136859&amp;vr=2.0&amp;fn=_top&amp;sv=Split&amp;tf=-1&amp;referencepositiontype=S&amp;pbc=91A88FC1&amp;referenceposition=555&amp;rs=WLW14.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2.westlaw.com/find/default.wl?mt=79&amp;db=0000780&amp;tc=-1&amp;rp=%2ffind%2fdefault.wl&amp;findtype=Y&amp;ordoc=2032740558&amp;serialnum=1957202045&amp;vr=2.0&amp;fn=_top&amp;sv=Split&amp;tf=-1&amp;pbc=91A88FC1&amp;rs=WLW14.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estlaw.com/find/default.wl?mt=79&amp;db=0000350&amp;tc=-1&amp;rp=%2ffind%2fdefault.wl&amp;findtype=Y&amp;ordoc=2032740558&amp;serialnum=1957109325&amp;vr=2.0&amp;fn=_top&amp;sv=Split&amp;tf=-1&amp;pbc=91A88FC1&amp;rs=WLW14.0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eb2.westlaw.com/find/default.wl?mt=79&amp;db=0000162&amp;tc=-1&amp;rp=%2ffind%2fdefault.wl&amp;findtype=Y&amp;ordoc=2032740558&amp;serialnum=1950109677&amp;vr=2.0&amp;fn=_top&amp;sv=Split&amp;tf=-1&amp;pbc=91A88FC1&amp;rs=WLW14.04" TargetMode="External"/><Relationship Id="rId4" Type="http://schemas.microsoft.com/office/2007/relationships/stylesWithEffects" Target="stylesWithEffects.xml"/><Relationship Id="rId9" Type="http://schemas.openxmlformats.org/officeDocument/2006/relationships/hyperlink" Target="http://web2.westlaw.com/find/default.wl?mt=79&amp;db=1000262&amp;docname=PA66S332&amp;rp=%2ffind%2fdefault.wl&amp;findtype=L&amp;ordoc=2032740558&amp;tc=-1&amp;vr=2.0&amp;fn=_top&amp;sv=Split&amp;tf=-1&amp;pbc=91A88FC1&amp;rs=WLW14.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6A9F3-BB06-4B9A-B8DF-BE51723D6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4658</Words>
  <Characters>26555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31151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128</cp:revision>
  <cp:lastPrinted>2016-08-15T12:59:00Z</cp:lastPrinted>
  <dcterms:created xsi:type="dcterms:W3CDTF">2016-07-14T16:15:00Z</dcterms:created>
  <dcterms:modified xsi:type="dcterms:W3CDTF">2016-08-15T13:03:00Z</dcterms:modified>
</cp:coreProperties>
</file>