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7F75CF">
            <w:bookmarkStart w:id="0" w:name="_GoBack"/>
            <w:bookmarkEnd w:id="0"/>
            <w:r>
              <w:rPr>
                <w:noProof/>
                <w:spacing w:val="-2"/>
              </w:rPr>
              <w:drawing>
                <wp:anchor distT="0" distB="0" distL="114300" distR="114300" simplePos="0" relativeHeight="251658240" behindDoc="1" locked="0" layoutInCell="1" allowOverlap="1">
                  <wp:simplePos x="0" y="0"/>
                  <wp:positionH relativeFrom="column">
                    <wp:posOffset>-1905</wp:posOffset>
                  </wp:positionH>
                  <wp:positionV relativeFrom="paragraph">
                    <wp:posOffset>3810</wp:posOffset>
                  </wp:positionV>
                  <wp:extent cx="731520" cy="731520"/>
                  <wp:effectExtent l="0" t="0" r="0" b="0"/>
                  <wp:wrapNone/>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Pr="006625B2" w:rsidRDefault="00C74A51">
            <w:pPr>
              <w:suppressAutoHyphens/>
              <w:spacing w:line="204" w:lineRule="auto"/>
              <w:jc w:val="center"/>
              <w:rPr>
                <w:rFonts w:ascii="Arial" w:hAnsi="Arial"/>
                <w:color w:val="000080"/>
                <w:spacing w:val="-3"/>
                <w:szCs w:val="24"/>
              </w:rPr>
            </w:pPr>
            <w:r w:rsidRPr="006625B2">
              <w:rPr>
                <w:rFonts w:ascii="Arial" w:hAnsi="Arial"/>
                <w:color w:val="000080"/>
                <w:spacing w:val="-3"/>
                <w:szCs w:val="24"/>
              </w:rPr>
              <w:t>COMMONWEALTH OF PENNSYLVANIA</w:t>
            </w:r>
          </w:p>
          <w:p w:rsidR="00C74A51" w:rsidRPr="006625B2" w:rsidRDefault="00C74A51">
            <w:pPr>
              <w:suppressAutoHyphens/>
              <w:spacing w:line="204" w:lineRule="auto"/>
              <w:jc w:val="center"/>
              <w:rPr>
                <w:rFonts w:ascii="Arial" w:hAnsi="Arial"/>
                <w:color w:val="000080"/>
                <w:spacing w:val="-3"/>
                <w:szCs w:val="24"/>
              </w:rPr>
            </w:pPr>
            <w:r w:rsidRPr="006625B2">
              <w:rPr>
                <w:rFonts w:ascii="Arial" w:hAnsi="Arial"/>
                <w:color w:val="000080"/>
                <w:spacing w:val="-3"/>
                <w:szCs w:val="24"/>
              </w:rPr>
              <w:t>PENNSYLVANIA PUBLIC UTILITY COMMISSION</w:t>
            </w:r>
          </w:p>
          <w:p w:rsidR="00C74A51" w:rsidRPr="006625B2" w:rsidRDefault="00684C5E">
            <w:pPr>
              <w:jc w:val="center"/>
              <w:rPr>
                <w:rFonts w:ascii="Arial" w:hAnsi="Arial"/>
                <w:color w:val="000080"/>
                <w:spacing w:val="-3"/>
                <w:szCs w:val="24"/>
              </w:rPr>
            </w:pPr>
            <w:r w:rsidRPr="006625B2">
              <w:rPr>
                <w:rFonts w:ascii="Arial" w:hAnsi="Arial"/>
                <w:color w:val="000080"/>
                <w:spacing w:val="-3"/>
                <w:szCs w:val="24"/>
              </w:rPr>
              <w:t>OFFICE OF ADMINISTRATIVE LAW JUDGE</w:t>
            </w:r>
          </w:p>
          <w:p w:rsidR="008C78A8" w:rsidRPr="006625B2" w:rsidRDefault="008C78A8" w:rsidP="008C78A8">
            <w:pPr>
              <w:jc w:val="center"/>
              <w:rPr>
                <w:rFonts w:ascii="Arial" w:hAnsi="Arial"/>
                <w:color w:val="000080"/>
                <w:spacing w:val="-3"/>
                <w:szCs w:val="24"/>
              </w:rPr>
            </w:pPr>
            <w:r w:rsidRPr="006625B2">
              <w:rPr>
                <w:rFonts w:ascii="Arial" w:hAnsi="Arial"/>
                <w:color w:val="000080"/>
                <w:spacing w:val="-3"/>
                <w:szCs w:val="24"/>
              </w:rPr>
              <w:t>301 Fifth Avenue</w:t>
            </w:r>
            <w:r w:rsidR="00684C5E" w:rsidRPr="006625B2">
              <w:rPr>
                <w:rFonts w:ascii="Arial" w:hAnsi="Arial"/>
                <w:color w:val="000080"/>
                <w:spacing w:val="-3"/>
                <w:szCs w:val="24"/>
              </w:rPr>
              <w:t xml:space="preserve">, </w:t>
            </w:r>
            <w:r w:rsidRPr="006625B2">
              <w:rPr>
                <w:rFonts w:ascii="Arial" w:hAnsi="Arial"/>
                <w:color w:val="000080"/>
                <w:spacing w:val="-3"/>
                <w:szCs w:val="24"/>
              </w:rPr>
              <w:t>Suite 220, Piatt Place</w:t>
            </w:r>
            <w:r w:rsidR="00684C5E" w:rsidRPr="006625B2">
              <w:rPr>
                <w:rFonts w:ascii="Arial" w:hAnsi="Arial"/>
                <w:color w:val="000080"/>
                <w:spacing w:val="-3"/>
                <w:szCs w:val="24"/>
              </w:rPr>
              <w:t xml:space="preserve"> </w:t>
            </w:r>
          </w:p>
          <w:p w:rsidR="00684C5E" w:rsidRPr="00684C5E" w:rsidRDefault="00684C5E" w:rsidP="008C78A8">
            <w:pPr>
              <w:jc w:val="center"/>
              <w:rPr>
                <w:rFonts w:ascii="Arial" w:hAnsi="Arial"/>
                <w:color w:val="000080"/>
                <w:spacing w:val="-3"/>
                <w:sz w:val="26"/>
              </w:rPr>
            </w:pPr>
            <w:r w:rsidRPr="006625B2">
              <w:rPr>
                <w:rFonts w:ascii="Arial" w:hAnsi="Arial"/>
                <w:color w:val="000080"/>
                <w:spacing w:val="-3"/>
                <w:szCs w:val="24"/>
              </w:rPr>
              <w:t>PITTSBURGH, PA 15222</w:t>
            </w:r>
            <w:r w:rsidR="008C78A8" w:rsidRPr="006625B2">
              <w:rPr>
                <w:rFonts w:ascii="Arial" w:hAnsi="Arial"/>
                <w:color w:val="000080"/>
                <w:spacing w:val="-3"/>
                <w:szCs w:val="24"/>
              </w:rPr>
              <w:t>-2440</w:t>
            </w:r>
          </w:p>
        </w:tc>
        <w:tc>
          <w:tcPr>
            <w:tcW w:w="1452" w:type="dxa"/>
          </w:tcPr>
          <w:p w:rsidR="00C74A51" w:rsidRDefault="00C74A51">
            <w:pPr>
              <w:rPr>
                <w:rFonts w:ascii="Arial" w:hAnsi="Arial"/>
                <w:sz w:val="12"/>
              </w:rPr>
            </w:pPr>
          </w:p>
          <w:p w:rsidR="00C74A51" w:rsidRDefault="00C74A51">
            <w:pPr>
              <w:rPr>
                <w:rFonts w:ascii="Arial" w:hAnsi="Arial"/>
                <w:sz w:val="12"/>
              </w:rPr>
            </w:pPr>
          </w:p>
          <w:p w:rsidR="00684C5E" w:rsidRPr="00684C5E" w:rsidRDefault="00684C5E" w:rsidP="00684C5E">
            <w:pPr>
              <w:pStyle w:val="BodyText"/>
              <w:rPr>
                <w:sz w:val="14"/>
              </w:rPr>
            </w:pPr>
            <w:r w:rsidRPr="00684C5E">
              <w:rPr>
                <w:sz w:val="14"/>
              </w:rPr>
              <w:t xml:space="preserve">Tel:   </w:t>
            </w:r>
            <w:smartTag w:uri="urn:schemas-microsoft-com:office:smarttags" w:element="phone">
              <w:smartTagPr>
                <w:attr w:uri="urn:schemas-microsoft-com:office:office" w:name="ls" w:val="trans"/>
                <w:attr w:name="phonenumber" w:val="$6565$$$"/>
              </w:smartTagPr>
              <w:r w:rsidRPr="00684C5E">
                <w:rPr>
                  <w:sz w:val="14"/>
                </w:rPr>
                <w:t>412-565-3550</w:t>
              </w:r>
            </w:smartTag>
          </w:p>
          <w:p w:rsidR="00684C5E" w:rsidRPr="00684C5E" w:rsidRDefault="00684C5E" w:rsidP="00684C5E">
            <w:pPr>
              <w:rPr>
                <w:sz w:val="14"/>
              </w:rPr>
            </w:pPr>
            <w:r w:rsidRPr="00684C5E">
              <w:rPr>
                <w:sz w:val="14"/>
              </w:rPr>
              <w:t xml:space="preserve">Fax:  </w:t>
            </w:r>
            <w:smartTag w:uri="urn:schemas-microsoft-com:office:smarttags" w:element="phone">
              <w:smartTagPr>
                <w:attr w:uri="urn:schemas-microsoft-com:office:office" w:name="ls" w:val="trans"/>
                <w:attr w:name="phonenumber" w:val="$6565$$$"/>
              </w:smartTagPr>
              <w:r w:rsidRPr="00684C5E">
                <w:rPr>
                  <w:sz w:val="14"/>
                </w:rPr>
                <w:t>412-565-5692</w:t>
              </w:r>
            </w:smartTag>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C74A51" w:rsidRDefault="00C74A51">
      <w:pPr>
        <w:sectPr w:rsidR="00C74A51">
          <w:pgSz w:w="12240" w:h="15840"/>
          <w:pgMar w:top="504" w:right="1440" w:bottom="1440" w:left="1440" w:header="720" w:footer="720" w:gutter="0"/>
          <w:cols w:space="720"/>
        </w:sectPr>
      </w:pPr>
    </w:p>
    <w:p w:rsidR="00C74A51" w:rsidRDefault="00C74A51">
      <w:r>
        <w:lastRenderedPageBreak/>
        <w:tab/>
      </w:r>
    </w:p>
    <w:p w:rsidR="00546AD9" w:rsidRDefault="00834493" w:rsidP="00D53356">
      <w:pPr>
        <w:jc w:val="center"/>
        <w:rPr>
          <w:szCs w:val="24"/>
        </w:rPr>
      </w:pPr>
      <w:r>
        <w:rPr>
          <w:szCs w:val="24"/>
        </w:rPr>
        <w:t>August 29, 2016</w:t>
      </w:r>
    </w:p>
    <w:p w:rsidR="00452FE7" w:rsidRDefault="00452FE7" w:rsidP="00D53356">
      <w:pPr>
        <w:jc w:val="center"/>
        <w:rPr>
          <w:szCs w:val="24"/>
        </w:rPr>
      </w:pPr>
    </w:p>
    <w:p w:rsidR="00452FE7" w:rsidRPr="00546AD9" w:rsidRDefault="00452FE7" w:rsidP="00D53356">
      <w:pPr>
        <w:jc w:val="center"/>
        <w:rPr>
          <w:szCs w:val="24"/>
        </w:rPr>
      </w:pPr>
    </w:p>
    <w:p w:rsidR="00834493" w:rsidRDefault="00834493" w:rsidP="00834493">
      <w:r>
        <w:t>Marion O’Malley, Esquire</w:t>
      </w:r>
    </w:p>
    <w:p w:rsidR="00834493" w:rsidRDefault="00834493" w:rsidP="00834493">
      <w:r>
        <w:t>Solicitor for Montrose Borough</w:t>
      </w:r>
    </w:p>
    <w:p w:rsidR="00834493" w:rsidRDefault="00834493" w:rsidP="00834493">
      <w:r>
        <w:t>4 Chestnut Street</w:t>
      </w:r>
    </w:p>
    <w:p w:rsidR="00834493" w:rsidRDefault="00834493" w:rsidP="00834493">
      <w:r>
        <w:t>Montrose, Pennsylvania 18801</w:t>
      </w:r>
    </w:p>
    <w:p w:rsidR="00546AD9" w:rsidRPr="00546AD9" w:rsidRDefault="00546AD9" w:rsidP="00546AD9">
      <w:pPr>
        <w:rPr>
          <w:szCs w:val="24"/>
        </w:rPr>
      </w:pPr>
    </w:p>
    <w:p w:rsidR="00546AD9" w:rsidRPr="00546AD9" w:rsidRDefault="00546AD9" w:rsidP="00546AD9">
      <w:pPr>
        <w:rPr>
          <w:szCs w:val="24"/>
        </w:rPr>
      </w:pPr>
      <w:r w:rsidRPr="00546AD9">
        <w:rPr>
          <w:szCs w:val="24"/>
        </w:rPr>
        <w:tab/>
      </w:r>
      <w:r w:rsidRPr="00546AD9">
        <w:rPr>
          <w:szCs w:val="24"/>
        </w:rPr>
        <w:tab/>
      </w:r>
      <w:r w:rsidRPr="00546AD9">
        <w:rPr>
          <w:szCs w:val="24"/>
        </w:rPr>
        <w:tab/>
      </w:r>
      <w:r w:rsidRPr="00546AD9">
        <w:rPr>
          <w:szCs w:val="24"/>
        </w:rPr>
        <w:tab/>
      </w:r>
    </w:p>
    <w:p w:rsidR="00546AD9" w:rsidRPr="00546AD9" w:rsidRDefault="00546AD9" w:rsidP="00546AD9">
      <w:pPr>
        <w:rPr>
          <w:szCs w:val="24"/>
        </w:rPr>
      </w:pPr>
    </w:p>
    <w:p w:rsidR="00546AD9" w:rsidRPr="00546AD9" w:rsidRDefault="00740282" w:rsidP="00546AD9">
      <w:pPr>
        <w:ind w:left="2880" w:firstLine="720"/>
        <w:rPr>
          <w:szCs w:val="24"/>
        </w:rPr>
      </w:pPr>
      <w:r>
        <w:rPr>
          <w:szCs w:val="24"/>
        </w:rPr>
        <w:t xml:space="preserve">   </w:t>
      </w:r>
      <w:r w:rsidR="00546AD9" w:rsidRPr="00546AD9">
        <w:rPr>
          <w:szCs w:val="24"/>
        </w:rPr>
        <w:t>Re:</w:t>
      </w:r>
      <w:r w:rsidR="00546AD9" w:rsidRPr="00546AD9">
        <w:rPr>
          <w:szCs w:val="24"/>
        </w:rPr>
        <w:tab/>
        <w:t xml:space="preserve">Pennsylvania Public Utility Commission, </w:t>
      </w:r>
      <w:r w:rsidR="00546AD9" w:rsidRPr="00546AD9">
        <w:rPr>
          <w:i/>
          <w:szCs w:val="24"/>
        </w:rPr>
        <w:t xml:space="preserve">et al. </w:t>
      </w:r>
      <w:r w:rsidR="00546AD9" w:rsidRPr="00546AD9">
        <w:rPr>
          <w:szCs w:val="24"/>
        </w:rPr>
        <w:t xml:space="preserve"> v.</w:t>
      </w:r>
    </w:p>
    <w:p w:rsidR="00546AD9" w:rsidRPr="00546AD9" w:rsidRDefault="00546AD9" w:rsidP="00546AD9">
      <w:pPr>
        <w:rPr>
          <w:szCs w:val="24"/>
        </w:rPr>
      </w:pPr>
      <w:r w:rsidRPr="00546AD9">
        <w:rPr>
          <w:szCs w:val="24"/>
        </w:rPr>
        <w:tab/>
      </w:r>
      <w:r w:rsidRPr="00546AD9">
        <w:rPr>
          <w:szCs w:val="24"/>
        </w:rPr>
        <w:tab/>
      </w:r>
      <w:r w:rsidRPr="00546AD9">
        <w:rPr>
          <w:szCs w:val="24"/>
        </w:rPr>
        <w:tab/>
      </w:r>
      <w:r w:rsidRPr="00546AD9">
        <w:rPr>
          <w:szCs w:val="24"/>
        </w:rPr>
        <w:tab/>
      </w:r>
      <w:r w:rsidRPr="00546AD9">
        <w:rPr>
          <w:szCs w:val="24"/>
        </w:rPr>
        <w:tab/>
      </w:r>
      <w:r w:rsidR="00740282">
        <w:rPr>
          <w:szCs w:val="24"/>
        </w:rPr>
        <w:tab/>
      </w:r>
      <w:r w:rsidR="008F580F">
        <w:rPr>
          <w:szCs w:val="24"/>
        </w:rPr>
        <w:t>Pennsylvania Electric Company</w:t>
      </w:r>
      <w:r w:rsidRPr="00546AD9">
        <w:rPr>
          <w:szCs w:val="24"/>
        </w:rPr>
        <w:t>.</w:t>
      </w:r>
    </w:p>
    <w:p w:rsidR="00546AD9" w:rsidRPr="00546AD9" w:rsidRDefault="00546AD9" w:rsidP="00546AD9">
      <w:pPr>
        <w:rPr>
          <w:szCs w:val="24"/>
        </w:rPr>
      </w:pPr>
      <w:r w:rsidRPr="00546AD9">
        <w:rPr>
          <w:szCs w:val="24"/>
        </w:rPr>
        <w:tab/>
      </w:r>
      <w:r w:rsidRPr="00546AD9">
        <w:rPr>
          <w:szCs w:val="24"/>
        </w:rPr>
        <w:tab/>
      </w:r>
      <w:r w:rsidRPr="00546AD9">
        <w:rPr>
          <w:szCs w:val="24"/>
        </w:rPr>
        <w:tab/>
      </w:r>
      <w:r w:rsidRPr="00546AD9">
        <w:rPr>
          <w:szCs w:val="24"/>
        </w:rPr>
        <w:tab/>
      </w:r>
      <w:r w:rsidRPr="00546AD9">
        <w:rPr>
          <w:szCs w:val="24"/>
        </w:rPr>
        <w:tab/>
      </w:r>
      <w:r w:rsidR="00740282">
        <w:rPr>
          <w:szCs w:val="24"/>
        </w:rPr>
        <w:tab/>
      </w:r>
      <w:r w:rsidRPr="00546AD9">
        <w:rPr>
          <w:szCs w:val="24"/>
          <w:u w:val="single"/>
        </w:rPr>
        <w:t>Docket Nos. R-</w:t>
      </w:r>
      <w:r w:rsidR="008F580F">
        <w:rPr>
          <w:szCs w:val="24"/>
          <w:u w:val="single"/>
        </w:rPr>
        <w:t>2016-253735</w:t>
      </w:r>
      <w:r w:rsidR="00D008EF">
        <w:rPr>
          <w:szCs w:val="24"/>
          <w:u w:val="single"/>
        </w:rPr>
        <w:t>2</w:t>
      </w:r>
      <w:r w:rsidRPr="00546AD9">
        <w:rPr>
          <w:szCs w:val="24"/>
          <w:u w:val="single"/>
        </w:rPr>
        <w:t xml:space="preserve">, </w:t>
      </w:r>
      <w:r w:rsidRPr="00546AD9">
        <w:rPr>
          <w:i/>
          <w:szCs w:val="24"/>
          <w:u w:val="single"/>
        </w:rPr>
        <w:t>et al</w:t>
      </w:r>
      <w:r w:rsidRPr="00546AD9">
        <w:rPr>
          <w:szCs w:val="24"/>
          <w:u w:val="single"/>
        </w:rPr>
        <w:t>.</w:t>
      </w:r>
    </w:p>
    <w:p w:rsidR="00546AD9" w:rsidRPr="00546AD9" w:rsidRDefault="00546AD9" w:rsidP="00546AD9">
      <w:pPr>
        <w:rPr>
          <w:szCs w:val="24"/>
        </w:rPr>
      </w:pPr>
    </w:p>
    <w:p w:rsidR="00546AD9" w:rsidRPr="00546AD9" w:rsidRDefault="00546AD9" w:rsidP="00546AD9">
      <w:pPr>
        <w:rPr>
          <w:szCs w:val="24"/>
        </w:rPr>
      </w:pPr>
      <w:r w:rsidRPr="00546AD9">
        <w:rPr>
          <w:szCs w:val="24"/>
        </w:rPr>
        <w:t xml:space="preserve">Dear </w:t>
      </w:r>
      <w:r w:rsidR="00834493">
        <w:rPr>
          <w:szCs w:val="24"/>
        </w:rPr>
        <w:t>Ms. O’Malley</w:t>
      </w:r>
      <w:r w:rsidRPr="00546AD9">
        <w:rPr>
          <w:szCs w:val="24"/>
        </w:rPr>
        <w:t>:</w:t>
      </w:r>
    </w:p>
    <w:p w:rsidR="00546AD9" w:rsidRPr="00546AD9" w:rsidRDefault="00546AD9" w:rsidP="00546AD9">
      <w:pPr>
        <w:rPr>
          <w:szCs w:val="24"/>
        </w:rPr>
      </w:pPr>
    </w:p>
    <w:p w:rsidR="00834493" w:rsidRDefault="00546AD9" w:rsidP="00834493">
      <w:r w:rsidRPr="00546AD9">
        <w:rPr>
          <w:szCs w:val="24"/>
        </w:rPr>
        <w:tab/>
      </w:r>
      <w:r w:rsidR="002875E4">
        <w:rPr>
          <w:szCs w:val="24"/>
        </w:rPr>
        <w:tab/>
      </w:r>
      <w:r w:rsidRPr="00546AD9">
        <w:rPr>
          <w:szCs w:val="24"/>
        </w:rPr>
        <w:t xml:space="preserve">I am the Administrative Law Judge assigned by the Pennsylvania Public Utility Commission to preside over this case.  </w:t>
      </w:r>
      <w:r w:rsidR="00834493">
        <w:rPr>
          <w:szCs w:val="24"/>
        </w:rPr>
        <w:t xml:space="preserve">I am in receipt of your letter dated August 15, 2016 requesting a public input hearing on behalf of Montrose Borough’s Council regarding the rate increase requested by Penelec.  While I understand the significance of the proposed increase to the ratepayers in your community, the litigation schedule in this matter does not permit sufficient time to </w:t>
      </w:r>
      <w:r w:rsidR="00834493">
        <w:t>reasonably a</w:t>
      </w:r>
      <w:r w:rsidR="007C21AA">
        <w:t xml:space="preserve">ccommodate an additional </w:t>
      </w:r>
      <w:r w:rsidR="00834493">
        <w:t xml:space="preserve">public input hearing at this late point in the proceedings.  Evidentiary hearings are scheduled to begin </w:t>
      </w:r>
      <w:r w:rsidR="007C21AA">
        <w:t>next week on</w:t>
      </w:r>
      <w:r w:rsidR="00834493">
        <w:t xml:space="preserve"> September 6, 2016.</w:t>
      </w:r>
    </w:p>
    <w:p w:rsidR="00834493" w:rsidRDefault="00834493" w:rsidP="00834493"/>
    <w:p w:rsidR="00834493" w:rsidRDefault="004B7E3D" w:rsidP="00834493">
      <w:r>
        <w:tab/>
      </w:r>
      <w:r w:rsidR="002875E4">
        <w:tab/>
      </w:r>
      <w:r w:rsidR="00834493">
        <w:t>However, interested ratepayers have other means of communicating their concerns</w:t>
      </w:r>
      <w:r w:rsidR="007C21AA">
        <w:t xml:space="preserve"> to the Commission</w:t>
      </w:r>
      <w:r w:rsidR="00834493">
        <w:t>.  Anyone may file a formal rate complaint</w:t>
      </w:r>
      <w:r w:rsidR="008B009B">
        <w:t xml:space="preserve"> and become a party to the proceeding</w:t>
      </w:r>
      <w:r w:rsidR="00834493">
        <w:t xml:space="preserve">.  A formal complainant, while taking the case as they find it, has an opportunity to take part in evidentiary hearings and will receive copies of any orders, letters or decisions rendered in the case.  Should the active parties achieve a settlement, formal complainants will be served with a copy of the proposed settlement and will have an opportunity to object to or support the settlement before a recommended decision </w:t>
      </w:r>
      <w:r w:rsidR="003B6466">
        <w:t xml:space="preserve">to the Commission </w:t>
      </w:r>
      <w:r w:rsidR="00834493">
        <w:t>is rendered.</w:t>
      </w:r>
      <w:r>
        <w:t xml:space="preserve">  </w:t>
      </w:r>
    </w:p>
    <w:p w:rsidR="004B7E3D" w:rsidRDefault="004B7E3D" w:rsidP="00834493"/>
    <w:p w:rsidR="004B7E3D" w:rsidRDefault="004B7E3D" w:rsidP="00834493">
      <w:r>
        <w:tab/>
      </w:r>
      <w:r w:rsidR="002875E4">
        <w:tab/>
      </w:r>
      <w:r>
        <w:t>Ratepayers may also send the Commission a letter explaining why they object to the requested rate increase or</w:t>
      </w:r>
      <w:r w:rsidRPr="004B7E3D">
        <w:t xml:space="preserve"> fill out a </w:t>
      </w:r>
      <w:hyperlink r:id="rId9" w:tgtFrame="_blank" w:history="1">
        <w:r w:rsidRPr="004B7E3D">
          <w:t>Comment to Proposed Rate Increase Form</w:t>
        </w:r>
      </w:hyperlink>
      <w:r w:rsidRPr="004B7E3D">
        <w:t xml:space="preserve">.  </w:t>
      </w:r>
      <w:r>
        <w:t xml:space="preserve">While not a part of the formal evidentiary record, </w:t>
      </w:r>
      <w:r w:rsidRPr="004B7E3D">
        <w:t xml:space="preserve">comments to a proposed rate increase will be placed in the </w:t>
      </w:r>
      <w:r>
        <w:t>comment</w:t>
      </w:r>
      <w:r w:rsidRPr="004B7E3D">
        <w:t xml:space="preserve"> folder of the case for review by the presiding officer, the parties to the case and the Commission staff.  </w:t>
      </w:r>
    </w:p>
    <w:p w:rsidR="004B7E3D" w:rsidRDefault="004B7E3D" w:rsidP="00834493">
      <w:r>
        <w:t xml:space="preserve"> </w:t>
      </w:r>
    </w:p>
    <w:p w:rsidR="00546AD9" w:rsidRDefault="004B7E3D" w:rsidP="00834493">
      <w:r>
        <w:tab/>
      </w:r>
      <w:r w:rsidR="002875E4">
        <w:tab/>
      </w:r>
      <w:r>
        <w:t xml:space="preserve">Information on how to file a formal rate complaint or comment to a proposed rate increase can be found on the Commission’s website: </w:t>
      </w:r>
      <w:hyperlink r:id="rId10" w:history="1">
        <w:r w:rsidR="005A1D6A" w:rsidRPr="00120D31">
          <w:rPr>
            <w:rStyle w:val="Hyperlink"/>
          </w:rPr>
          <w:t>www.puc.pa.gov/filing_resources/filing_complaints.aspx</w:t>
        </w:r>
      </w:hyperlink>
      <w:r>
        <w:t>.  For your convenience, I have also included blank copies of the appropriate forms</w:t>
      </w:r>
      <w:r w:rsidR="002875E4">
        <w:t xml:space="preserve">.  </w:t>
      </w:r>
      <w:r w:rsidR="0018297A">
        <w:t>Both forms should be sent to the Commission’s Secretary:</w:t>
      </w:r>
    </w:p>
    <w:p w:rsidR="0018297A" w:rsidRDefault="0018297A" w:rsidP="00834493"/>
    <w:p w:rsidR="0018297A" w:rsidRDefault="0018297A" w:rsidP="0018297A">
      <w:pPr>
        <w:jc w:val="center"/>
      </w:pPr>
      <w:r>
        <w:t>Public Utility Commission</w:t>
      </w:r>
    </w:p>
    <w:p w:rsidR="0018297A" w:rsidRDefault="0018297A" w:rsidP="0018297A">
      <w:pPr>
        <w:jc w:val="center"/>
      </w:pPr>
      <w:r>
        <w:t>P.O. Box 3265</w:t>
      </w:r>
    </w:p>
    <w:p w:rsidR="0018297A" w:rsidRDefault="0018297A" w:rsidP="0018297A">
      <w:pPr>
        <w:jc w:val="center"/>
      </w:pPr>
      <w:r>
        <w:t>Harrisburg, PA  17105-3265</w:t>
      </w:r>
    </w:p>
    <w:p w:rsidR="0018297A" w:rsidRDefault="0018297A" w:rsidP="00834493"/>
    <w:p w:rsidR="005A1D6A" w:rsidRPr="0018297A" w:rsidRDefault="005A1D6A" w:rsidP="00834493">
      <w:pPr>
        <w:rPr>
          <w:szCs w:val="24"/>
        </w:rPr>
      </w:pPr>
      <w:r>
        <w:tab/>
        <w:t xml:space="preserve">Should </w:t>
      </w:r>
      <w:proofErr w:type="gramStart"/>
      <w:r>
        <w:t>you,</w:t>
      </w:r>
      <w:proofErr w:type="gramEnd"/>
      <w:r>
        <w:t xml:space="preserve"> or your constituents have any question concerning the Commission or the Commission’s</w:t>
      </w:r>
      <w:r w:rsidR="0018297A">
        <w:t xml:space="preserve"> ratemaking process, you are welcome to contact the Commission’s Office of Communications at </w:t>
      </w:r>
      <w:r w:rsidR="0018297A" w:rsidRPr="0018297A">
        <w:t>1-717-783-6152</w:t>
      </w:r>
      <w:r w:rsidR="0018297A">
        <w:t xml:space="preserve">, or the Bureau of Consumer Services at </w:t>
      </w:r>
      <w:r w:rsidR="0018297A" w:rsidRPr="0018297A">
        <w:t>1</w:t>
      </w:r>
      <w:r w:rsidR="0018297A" w:rsidRPr="0018297A">
        <w:noBreakHyphen/>
        <w:t>800</w:t>
      </w:r>
      <w:r w:rsidR="0018297A" w:rsidRPr="0018297A">
        <w:noBreakHyphen/>
        <w:t>692-7380</w:t>
      </w:r>
      <w:r w:rsidR="0018297A">
        <w:t>.</w:t>
      </w:r>
    </w:p>
    <w:p w:rsidR="00546AD9" w:rsidRPr="00546AD9" w:rsidRDefault="00546AD9" w:rsidP="00546AD9">
      <w:pPr>
        <w:rPr>
          <w:szCs w:val="24"/>
        </w:rPr>
      </w:pPr>
    </w:p>
    <w:p w:rsidR="00546AD9" w:rsidRPr="00546AD9" w:rsidRDefault="00546AD9" w:rsidP="00546AD9">
      <w:pPr>
        <w:rPr>
          <w:szCs w:val="24"/>
        </w:rPr>
      </w:pPr>
      <w:r w:rsidRPr="00546AD9">
        <w:rPr>
          <w:szCs w:val="24"/>
        </w:rPr>
        <w:tab/>
      </w:r>
      <w:r w:rsidRPr="00546AD9">
        <w:rPr>
          <w:szCs w:val="24"/>
        </w:rPr>
        <w:tab/>
      </w:r>
      <w:r w:rsidRPr="00546AD9">
        <w:rPr>
          <w:szCs w:val="24"/>
        </w:rPr>
        <w:tab/>
      </w:r>
      <w:r w:rsidRPr="00546AD9">
        <w:rPr>
          <w:szCs w:val="24"/>
        </w:rPr>
        <w:tab/>
      </w:r>
      <w:r w:rsidRPr="00546AD9">
        <w:rPr>
          <w:szCs w:val="24"/>
        </w:rPr>
        <w:tab/>
        <w:t>Sincerely,</w:t>
      </w:r>
    </w:p>
    <w:p w:rsidR="00546AD9" w:rsidRPr="00546AD9" w:rsidRDefault="00546AD9" w:rsidP="00546AD9">
      <w:pPr>
        <w:rPr>
          <w:szCs w:val="24"/>
        </w:rPr>
      </w:pPr>
    </w:p>
    <w:p w:rsidR="005E50A6" w:rsidRPr="00546AD9" w:rsidRDefault="005E50A6" w:rsidP="00546AD9">
      <w:pPr>
        <w:rPr>
          <w:szCs w:val="24"/>
        </w:rPr>
      </w:pPr>
    </w:p>
    <w:p w:rsidR="00546AD9" w:rsidRPr="00546AD9" w:rsidRDefault="00546AD9" w:rsidP="00546AD9">
      <w:pPr>
        <w:rPr>
          <w:szCs w:val="24"/>
        </w:rPr>
      </w:pPr>
      <w:r w:rsidRPr="00546AD9">
        <w:rPr>
          <w:szCs w:val="24"/>
        </w:rPr>
        <w:tab/>
      </w:r>
      <w:r w:rsidRPr="00546AD9">
        <w:rPr>
          <w:szCs w:val="24"/>
        </w:rPr>
        <w:tab/>
      </w:r>
      <w:r w:rsidRPr="00546AD9">
        <w:rPr>
          <w:szCs w:val="24"/>
        </w:rPr>
        <w:tab/>
      </w:r>
      <w:r w:rsidRPr="00546AD9">
        <w:rPr>
          <w:szCs w:val="24"/>
        </w:rPr>
        <w:tab/>
      </w:r>
      <w:r w:rsidRPr="00546AD9">
        <w:rPr>
          <w:szCs w:val="24"/>
        </w:rPr>
        <w:tab/>
        <w:t>Mary D. Long</w:t>
      </w:r>
    </w:p>
    <w:p w:rsidR="00546AD9" w:rsidRDefault="00546AD9" w:rsidP="00546AD9">
      <w:pPr>
        <w:rPr>
          <w:szCs w:val="24"/>
        </w:rPr>
      </w:pPr>
      <w:r w:rsidRPr="00546AD9">
        <w:rPr>
          <w:szCs w:val="24"/>
        </w:rPr>
        <w:tab/>
      </w:r>
      <w:r w:rsidRPr="00546AD9">
        <w:rPr>
          <w:szCs w:val="24"/>
        </w:rPr>
        <w:tab/>
      </w:r>
      <w:r w:rsidRPr="00546AD9">
        <w:rPr>
          <w:szCs w:val="24"/>
        </w:rPr>
        <w:tab/>
      </w:r>
      <w:r w:rsidRPr="00546AD9">
        <w:rPr>
          <w:szCs w:val="24"/>
        </w:rPr>
        <w:tab/>
      </w:r>
      <w:r w:rsidRPr="00546AD9">
        <w:rPr>
          <w:szCs w:val="24"/>
        </w:rPr>
        <w:tab/>
        <w:t>Administrative Law Judge</w:t>
      </w:r>
    </w:p>
    <w:p w:rsidR="00667620" w:rsidRDefault="00667620" w:rsidP="00546AD9">
      <w:pPr>
        <w:rPr>
          <w:szCs w:val="24"/>
        </w:rPr>
      </w:pPr>
    </w:p>
    <w:p w:rsidR="00667620" w:rsidRPr="00546AD9" w:rsidRDefault="00667620" w:rsidP="00546AD9">
      <w:pPr>
        <w:rPr>
          <w:szCs w:val="24"/>
        </w:rPr>
      </w:pPr>
      <w:r>
        <w:rPr>
          <w:szCs w:val="24"/>
        </w:rPr>
        <w:t>Enclosure</w:t>
      </w:r>
    </w:p>
    <w:p w:rsidR="00546AD9" w:rsidRPr="00546AD9" w:rsidRDefault="00546AD9" w:rsidP="00546AD9">
      <w:pPr>
        <w:rPr>
          <w:szCs w:val="24"/>
        </w:rPr>
      </w:pPr>
    </w:p>
    <w:p w:rsidR="00546AD9" w:rsidRPr="00546AD9" w:rsidRDefault="00546AD9" w:rsidP="00546AD9">
      <w:pPr>
        <w:rPr>
          <w:szCs w:val="24"/>
        </w:rPr>
      </w:pPr>
      <w:r w:rsidRPr="00546AD9">
        <w:rPr>
          <w:szCs w:val="24"/>
        </w:rPr>
        <w:t>c</w:t>
      </w:r>
      <w:r w:rsidR="00667620">
        <w:rPr>
          <w:szCs w:val="24"/>
        </w:rPr>
        <w:t>c</w:t>
      </w:r>
      <w:r w:rsidRPr="00546AD9">
        <w:rPr>
          <w:szCs w:val="24"/>
        </w:rPr>
        <w:t>:</w:t>
      </w:r>
      <w:r w:rsidRPr="00546AD9">
        <w:rPr>
          <w:szCs w:val="24"/>
        </w:rPr>
        <w:tab/>
      </w:r>
      <w:r w:rsidR="00EB1D6A">
        <w:rPr>
          <w:szCs w:val="24"/>
        </w:rPr>
        <w:t>Parties List</w:t>
      </w:r>
      <w:r w:rsidR="00480FD2">
        <w:rPr>
          <w:szCs w:val="24"/>
        </w:rPr>
        <w:t xml:space="preserve"> (w/o enclosure)</w:t>
      </w:r>
    </w:p>
    <w:p w:rsidR="00CD24C3" w:rsidRDefault="00546AD9">
      <w:pPr>
        <w:rPr>
          <w:szCs w:val="24"/>
        </w:rPr>
      </w:pPr>
      <w:r w:rsidRPr="00546AD9">
        <w:rPr>
          <w:szCs w:val="24"/>
        </w:rPr>
        <w:tab/>
      </w:r>
      <w:r w:rsidR="00480FD2">
        <w:rPr>
          <w:szCs w:val="24"/>
        </w:rPr>
        <w:t xml:space="preserve"> </w:t>
      </w:r>
    </w:p>
    <w:p w:rsidR="00834493" w:rsidRDefault="00834493">
      <w:pPr>
        <w:rPr>
          <w:szCs w:val="24"/>
        </w:rPr>
      </w:pPr>
    </w:p>
    <w:p w:rsidR="00834493" w:rsidRDefault="00834493">
      <w:pPr>
        <w:rPr>
          <w:szCs w:val="24"/>
        </w:rPr>
      </w:pPr>
    </w:p>
    <w:p w:rsidR="00834493" w:rsidRDefault="00834493">
      <w:pPr>
        <w:rPr>
          <w:szCs w:val="24"/>
        </w:rPr>
      </w:pPr>
    </w:p>
    <w:p w:rsidR="00834493" w:rsidRDefault="00834493">
      <w:pPr>
        <w:rPr>
          <w:szCs w:val="24"/>
        </w:rPr>
        <w:sectPr w:rsidR="00834493" w:rsidSect="00667620">
          <w:type w:val="continuous"/>
          <w:pgSz w:w="12240" w:h="15840"/>
          <w:pgMar w:top="1440" w:right="1440" w:bottom="1440" w:left="1440" w:header="720" w:footer="720" w:gutter="0"/>
          <w:cols w:space="720"/>
        </w:sectPr>
      </w:pPr>
    </w:p>
    <w:p w:rsidR="00B37B71" w:rsidRDefault="00B37B71" w:rsidP="00834493">
      <w:pPr>
        <w:contextualSpacing/>
        <w:rPr>
          <w:rFonts w:ascii="Microsoft Sans Serif" w:eastAsiaTheme="minorEastAsia" w:hAnsiTheme="minorHAnsi" w:cstheme="minorBidi"/>
          <w:i/>
          <w:sz w:val="22"/>
          <w:szCs w:val="22"/>
        </w:rPr>
      </w:pPr>
    </w:p>
    <w:sectPr w:rsidR="00B37B71" w:rsidSect="00834493">
      <w:type w:val="continuous"/>
      <w:pgSz w:w="12240" w:h="15840"/>
      <w:pgMar w:top="576" w:right="576" w:bottom="288"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2A1" w:rsidRDefault="00B512A1">
      <w:r>
        <w:separator/>
      </w:r>
    </w:p>
  </w:endnote>
  <w:endnote w:type="continuationSeparator" w:id="0">
    <w:p w:rsidR="00B512A1" w:rsidRDefault="00B5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2A1" w:rsidRDefault="00B512A1">
      <w:r>
        <w:separator/>
      </w:r>
    </w:p>
  </w:footnote>
  <w:footnote w:type="continuationSeparator" w:id="0">
    <w:p w:rsidR="00B512A1" w:rsidRDefault="00B512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2E6403E"/>
    <w:lvl w:ilvl="0">
      <w:start w:val="1"/>
      <w:numFmt w:val="bullet"/>
      <w:lvlText w:val=""/>
      <w:lvlJc w:val="left"/>
      <w:pPr>
        <w:tabs>
          <w:tab w:val="num" w:pos="360"/>
        </w:tabs>
        <w:ind w:left="360" w:hanging="360"/>
      </w:pPr>
      <w:rPr>
        <w:rFonts w:ascii="Symbol" w:hAnsi="Symbol" w:hint="default"/>
      </w:rPr>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25B47"/>
    <w:rsid w:val="00032004"/>
    <w:rsid w:val="00047AFD"/>
    <w:rsid w:val="00070CCE"/>
    <w:rsid w:val="000A0447"/>
    <w:rsid w:val="000B0026"/>
    <w:rsid w:val="00101C10"/>
    <w:rsid w:val="001209F1"/>
    <w:rsid w:val="001302FC"/>
    <w:rsid w:val="00135354"/>
    <w:rsid w:val="00177256"/>
    <w:rsid w:val="0018297A"/>
    <w:rsid w:val="00183C50"/>
    <w:rsid w:val="002229C3"/>
    <w:rsid w:val="002365D0"/>
    <w:rsid w:val="002875E4"/>
    <w:rsid w:val="0029471C"/>
    <w:rsid w:val="00297AA2"/>
    <w:rsid w:val="002F4427"/>
    <w:rsid w:val="00364A98"/>
    <w:rsid w:val="0037156A"/>
    <w:rsid w:val="00390BD6"/>
    <w:rsid w:val="003B6466"/>
    <w:rsid w:val="003F15B8"/>
    <w:rsid w:val="00452FE7"/>
    <w:rsid w:val="00480FD2"/>
    <w:rsid w:val="004B68A3"/>
    <w:rsid w:val="004B7E3D"/>
    <w:rsid w:val="004E1703"/>
    <w:rsid w:val="004F45E1"/>
    <w:rsid w:val="00504CFE"/>
    <w:rsid w:val="005239BB"/>
    <w:rsid w:val="00541A48"/>
    <w:rsid w:val="00546AD9"/>
    <w:rsid w:val="005479E3"/>
    <w:rsid w:val="00551675"/>
    <w:rsid w:val="00554E3D"/>
    <w:rsid w:val="005A1D6A"/>
    <w:rsid w:val="005A784F"/>
    <w:rsid w:val="005C1FBF"/>
    <w:rsid w:val="005E25C5"/>
    <w:rsid w:val="005E50A6"/>
    <w:rsid w:val="00642DDD"/>
    <w:rsid w:val="006625B2"/>
    <w:rsid w:val="00667620"/>
    <w:rsid w:val="006755C0"/>
    <w:rsid w:val="00684C5E"/>
    <w:rsid w:val="006862B9"/>
    <w:rsid w:val="006A777F"/>
    <w:rsid w:val="006D101A"/>
    <w:rsid w:val="006F3734"/>
    <w:rsid w:val="007079F6"/>
    <w:rsid w:val="00740282"/>
    <w:rsid w:val="007633D8"/>
    <w:rsid w:val="00771D80"/>
    <w:rsid w:val="007C21AA"/>
    <w:rsid w:val="007F75CF"/>
    <w:rsid w:val="00834493"/>
    <w:rsid w:val="008418F2"/>
    <w:rsid w:val="0084353D"/>
    <w:rsid w:val="00890315"/>
    <w:rsid w:val="008B009B"/>
    <w:rsid w:val="008C78A8"/>
    <w:rsid w:val="008F580F"/>
    <w:rsid w:val="009257D0"/>
    <w:rsid w:val="009623D6"/>
    <w:rsid w:val="00980E57"/>
    <w:rsid w:val="00992CC9"/>
    <w:rsid w:val="00997355"/>
    <w:rsid w:val="009F5F66"/>
    <w:rsid w:val="00A164DF"/>
    <w:rsid w:val="00A31D0A"/>
    <w:rsid w:val="00A5565D"/>
    <w:rsid w:val="00A55FCF"/>
    <w:rsid w:val="00A5629B"/>
    <w:rsid w:val="00AA33C3"/>
    <w:rsid w:val="00AC4AB2"/>
    <w:rsid w:val="00AF4384"/>
    <w:rsid w:val="00AF4B48"/>
    <w:rsid w:val="00B21B3E"/>
    <w:rsid w:val="00B37B71"/>
    <w:rsid w:val="00B50354"/>
    <w:rsid w:val="00B512A1"/>
    <w:rsid w:val="00B71212"/>
    <w:rsid w:val="00BC21D5"/>
    <w:rsid w:val="00BC3FC4"/>
    <w:rsid w:val="00BE5119"/>
    <w:rsid w:val="00C4405B"/>
    <w:rsid w:val="00C74A51"/>
    <w:rsid w:val="00CB5738"/>
    <w:rsid w:val="00CD24C3"/>
    <w:rsid w:val="00CE4CE9"/>
    <w:rsid w:val="00D008EF"/>
    <w:rsid w:val="00D53356"/>
    <w:rsid w:val="00D83428"/>
    <w:rsid w:val="00D8524D"/>
    <w:rsid w:val="00D86C55"/>
    <w:rsid w:val="00DD25FA"/>
    <w:rsid w:val="00DE61E1"/>
    <w:rsid w:val="00E25799"/>
    <w:rsid w:val="00EB1D6A"/>
    <w:rsid w:val="00F21570"/>
    <w:rsid w:val="00F254A7"/>
    <w:rsid w:val="00F661AC"/>
    <w:rsid w:val="00F67000"/>
    <w:rsid w:val="00F7094C"/>
    <w:rsid w:val="00F93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4493"/>
    <w:rPr>
      <w:sz w:val="24"/>
    </w:rPr>
  </w:style>
  <w:style w:type="paragraph" w:styleId="Heading1">
    <w:name w:val="heading 1"/>
    <w:basedOn w:val="Normal"/>
    <w:next w:val="Normal"/>
    <w:qFormat/>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684C5E"/>
    <w:pPr>
      <w:spacing w:after="120"/>
    </w:pPr>
  </w:style>
  <w:style w:type="paragraph" w:styleId="ListBullet">
    <w:name w:val="List Bullet"/>
    <w:basedOn w:val="Normal"/>
    <w:autoRedefine/>
    <w:rsid w:val="00504CFE"/>
    <w:pPr>
      <w:ind w:firstLine="1440"/>
    </w:pPr>
  </w:style>
  <w:style w:type="paragraph" w:styleId="FootnoteText">
    <w:name w:val="footnote text"/>
    <w:basedOn w:val="Normal"/>
    <w:link w:val="FootnoteTextChar"/>
    <w:rsid w:val="006625B2"/>
    <w:pPr>
      <w:jc w:val="both"/>
    </w:pPr>
    <w:rPr>
      <w:sz w:val="26"/>
    </w:rPr>
  </w:style>
  <w:style w:type="character" w:customStyle="1" w:styleId="FootnoteTextChar">
    <w:name w:val="Footnote Text Char"/>
    <w:link w:val="FootnoteText"/>
    <w:rsid w:val="006625B2"/>
    <w:rPr>
      <w:sz w:val="26"/>
    </w:rPr>
  </w:style>
  <w:style w:type="character" w:styleId="Hyperlink">
    <w:name w:val="Hyperlink"/>
    <w:basedOn w:val="DefaultParagraphFont"/>
    <w:rsid w:val="004B7E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4493"/>
    <w:rPr>
      <w:sz w:val="24"/>
    </w:rPr>
  </w:style>
  <w:style w:type="paragraph" w:styleId="Heading1">
    <w:name w:val="heading 1"/>
    <w:basedOn w:val="Normal"/>
    <w:next w:val="Normal"/>
    <w:qFormat/>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684C5E"/>
    <w:pPr>
      <w:spacing w:after="120"/>
    </w:pPr>
  </w:style>
  <w:style w:type="paragraph" w:styleId="ListBullet">
    <w:name w:val="List Bullet"/>
    <w:basedOn w:val="Normal"/>
    <w:autoRedefine/>
    <w:rsid w:val="00504CFE"/>
    <w:pPr>
      <w:ind w:firstLine="1440"/>
    </w:pPr>
  </w:style>
  <w:style w:type="paragraph" w:styleId="FootnoteText">
    <w:name w:val="footnote text"/>
    <w:basedOn w:val="Normal"/>
    <w:link w:val="FootnoteTextChar"/>
    <w:rsid w:val="006625B2"/>
    <w:pPr>
      <w:jc w:val="both"/>
    </w:pPr>
    <w:rPr>
      <w:sz w:val="26"/>
    </w:rPr>
  </w:style>
  <w:style w:type="character" w:customStyle="1" w:styleId="FootnoteTextChar">
    <w:name w:val="Footnote Text Char"/>
    <w:link w:val="FootnoteText"/>
    <w:rsid w:val="006625B2"/>
    <w:rPr>
      <w:sz w:val="26"/>
    </w:rPr>
  </w:style>
  <w:style w:type="character" w:styleId="Hyperlink">
    <w:name w:val="Hyperlink"/>
    <w:basedOn w:val="DefaultParagraphFont"/>
    <w:rsid w:val="004B7E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3980">
      <w:bodyDiv w:val="1"/>
      <w:marLeft w:val="0"/>
      <w:marRight w:val="0"/>
      <w:marTop w:val="0"/>
      <w:marBottom w:val="0"/>
      <w:divBdr>
        <w:top w:val="none" w:sz="0" w:space="0" w:color="auto"/>
        <w:left w:val="none" w:sz="0" w:space="0" w:color="auto"/>
        <w:bottom w:val="none" w:sz="0" w:space="0" w:color="auto"/>
        <w:right w:val="none" w:sz="0" w:space="0" w:color="auto"/>
      </w:divBdr>
    </w:div>
    <w:div w:id="161556060">
      <w:bodyDiv w:val="1"/>
      <w:marLeft w:val="0"/>
      <w:marRight w:val="0"/>
      <w:marTop w:val="0"/>
      <w:marBottom w:val="0"/>
      <w:divBdr>
        <w:top w:val="none" w:sz="0" w:space="0" w:color="auto"/>
        <w:left w:val="none" w:sz="0" w:space="0" w:color="auto"/>
        <w:bottom w:val="none" w:sz="0" w:space="0" w:color="auto"/>
        <w:right w:val="none" w:sz="0" w:space="0" w:color="auto"/>
      </w:divBdr>
    </w:div>
    <w:div w:id="1220169524">
      <w:bodyDiv w:val="1"/>
      <w:marLeft w:val="0"/>
      <w:marRight w:val="0"/>
      <w:marTop w:val="0"/>
      <w:marBottom w:val="0"/>
      <w:divBdr>
        <w:top w:val="none" w:sz="0" w:space="0" w:color="auto"/>
        <w:left w:val="none" w:sz="0" w:space="0" w:color="auto"/>
        <w:bottom w:val="none" w:sz="0" w:space="0" w:color="auto"/>
        <w:right w:val="none" w:sz="0" w:space="0" w:color="auto"/>
      </w:divBdr>
    </w:div>
    <w:div w:id="181136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filing_resources/filing_complaints.aspx" TargetMode="External"/><Relationship Id="rId4" Type="http://schemas.openxmlformats.org/officeDocument/2006/relationships/settings" Target="settings.xml"/><Relationship Id="rId9" Type="http://schemas.openxmlformats.org/officeDocument/2006/relationships/hyperlink" Target="http://www.puc.pa.gov/general/onlineforms/doc/Comment_Proposed_Rate_Increase_Form.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NASON</dc:creator>
  <cp:lastModifiedBy>Eubanks, Arlene</cp:lastModifiedBy>
  <cp:revision>2</cp:revision>
  <cp:lastPrinted>2016-08-29T16:04:00Z</cp:lastPrinted>
  <dcterms:created xsi:type="dcterms:W3CDTF">2016-08-29T17:41:00Z</dcterms:created>
  <dcterms:modified xsi:type="dcterms:W3CDTF">2016-08-29T17:41:00Z</dcterms:modified>
</cp:coreProperties>
</file>