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C0A3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0A33" w:rsidRPr="001C0A33" w:rsidRDefault="003E4209" w:rsidP="001C0A33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C0A33" w:rsidRPr="001C0A33">
        <w:rPr>
          <w:rFonts w:ascii="Microsoft Sans Serif" w:hAnsi="Microsoft Sans Serif" w:cs="Microsoft Sans Serif"/>
          <w:b/>
          <w:spacing w:val="-3"/>
          <w:szCs w:val="24"/>
        </w:rPr>
        <w:t>F-2016-2551025</w:t>
      </w:r>
    </w:p>
    <w:p w:rsidR="001C0A33" w:rsidRPr="001C0A33" w:rsidRDefault="001C0A33" w:rsidP="001C0A3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C0A33" w:rsidRPr="001C0A33" w:rsidRDefault="001C0A33" w:rsidP="001C0A3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1C0A33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C0A33" w:rsidRPr="001C0A33" w:rsidRDefault="001C0A33" w:rsidP="001C0A3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C0A33" w:rsidRPr="001C0A33" w:rsidRDefault="001C0A33" w:rsidP="001C0A3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C0A33" w:rsidRPr="001C0A33" w:rsidRDefault="001C0A33" w:rsidP="001C0A3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C0A33" w:rsidRPr="001C0A33" w:rsidRDefault="001C0A33" w:rsidP="001C0A3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C0A33">
        <w:rPr>
          <w:rFonts w:ascii="Microsoft Sans Serif" w:hAnsi="Microsoft Sans Serif" w:cs="Microsoft Sans Serif"/>
          <w:b/>
          <w:spacing w:val="-3"/>
          <w:szCs w:val="24"/>
        </w:rPr>
        <w:t xml:space="preserve">Jozef </w:t>
      </w:r>
      <w:proofErr w:type="spellStart"/>
      <w:r w:rsidRPr="001C0A33">
        <w:rPr>
          <w:rFonts w:ascii="Microsoft Sans Serif" w:hAnsi="Microsoft Sans Serif" w:cs="Microsoft Sans Serif"/>
          <w:b/>
          <w:spacing w:val="-3"/>
          <w:szCs w:val="24"/>
        </w:rPr>
        <w:t>Walski</w:t>
      </w:r>
      <w:proofErr w:type="spellEnd"/>
      <w:r w:rsidRPr="001C0A33"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1C0A33" w:rsidRPr="001C0A33" w:rsidRDefault="001C0A33" w:rsidP="001C0A3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1C0A33" w:rsidP="001C0A33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C0A33">
        <w:rPr>
          <w:rFonts w:ascii="Microsoft Sans Serif" w:hAnsi="Microsoft Sans Serif" w:cs="Microsoft Sans Serif"/>
          <w:spacing w:val="-3"/>
          <w:szCs w:val="24"/>
        </w:rPr>
        <w:t>Appeal of BCS Decision - Billing Dispute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C0A33" w:rsidRPr="001C0A33" w:rsidRDefault="001C0A33" w:rsidP="001C0A3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C0A33">
        <w:rPr>
          <w:rFonts w:ascii="Microsoft Sans Serif" w:hAnsi="Microsoft Sans Serif" w:cs="Microsoft Sans Serif"/>
          <w:szCs w:val="24"/>
          <w:u w:val="single"/>
        </w:rPr>
        <w:t>Type</w:t>
      </w:r>
      <w:r w:rsidRPr="001C0A33">
        <w:rPr>
          <w:rFonts w:ascii="Microsoft Sans Serif" w:hAnsi="Microsoft Sans Serif" w:cs="Microsoft Sans Serif"/>
          <w:szCs w:val="24"/>
        </w:rPr>
        <w:t>:</w:t>
      </w:r>
      <w:r w:rsidRPr="001C0A33">
        <w:rPr>
          <w:rFonts w:ascii="Microsoft Sans Serif" w:hAnsi="Microsoft Sans Serif" w:cs="Microsoft Sans Serif"/>
          <w:b/>
          <w:szCs w:val="24"/>
        </w:rPr>
        <w:tab/>
      </w:r>
      <w:r w:rsidRPr="001C0A33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1C0A33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1C0A33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C0A33" w:rsidRPr="001C0A33" w:rsidRDefault="001C0A33" w:rsidP="001C0A3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C0A33" w:rsidRPr="001C0A33" w:rsidRDefault="001C0A33" w:rsidP="001C0A3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C0A33">
        <w:rPr>
          <w:rFonts w:ascii="Microsoft Sans Serif" w:hAnsi="Microsoft Sans Serif" w:cs="Microsoft Sans Serif"/>
          <w:szCs w:val="24"/>
          <w:u w:val="single"/>
        </w:rPr>
        <w:t>Date</w:t>
      </w:r>
      <w:r w:rsidRPr="001C0A33">
        <w:rPr>
          <w:rFonts w:ascii="Microsoft Sans Serif" w:hAnsi="Microsoft Sans Serif" w:cs="Microsoft Sans Serif"/>
          <w:szCs w:val="24"/>
        </w:rPr>
        <w:t xml:space="preserve">: </w:t>
      </w:r>
      <w:r w:rsidRPr="001C0A33">
        <w:rPr>
          <w:rFonts w:ascii="Microsoft Sans Serif" w:hAnsi="Microsoft Sans Serif" w:cs="Microsoft Sans Serif"/>
          <w:b/>
          <w:szCs w:val="24"/>
        </w:rPr>
        <w:tab/>
      </w:r>
      <w:r w:rsidRPr="001C0A33">
        <w:rPr>
          <w:rFonts w:ascii="Microsoft Sans Serif" w:hAnsi="Microsoft Sans Serif" w:cs="Microsoft Sans Serif"/>
          <w:b/>
          <w:szCs w:val="24"/>
        </w:rPr>
        <w:tab/>
        <w:t>Friday, September 02, 2016</w:t>
      </w:r>
    </w:p>
    <w:p w:rsidR="001C0A33" w:rsidRPr="001C0A33" w:rsidRDefault="001C0A33" w:rsidP="001C0A3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C0A33" w:rsidRPr="001C0A33" w:rsidRDefault="001C0A33" w:rsidP="001C0A33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1C0A33">
        <w:rPr>
          <w:rFonts w:ascii="Microsoft Sans Serif" w:hAnsi="Microsoft Sans Serif" w:cs="Microsoft Sans Serif"/>
          <w:szCs w:val="24"/>
          <w:u w:val="single"/>
        </w:rPr>
        <w:t>Time</w:t>
      </w:r>
      <w:r w:rsidRPr="001C0A33">
        <w:rPr>
          <w:rFonts w:ascii="Microsoft Sans Serif" w:hAnsi="Microsoft Sans Serif" w:cs="Microsoft Sans Serif"/>
          <w:szCs w:val="24"/>
        </w:rPr>
        <w:t xml:space="preserve">: </w:t>
      </w:r>
      <w:r w:rsidRPr="001C0A33">
        <w:rPr>
          <w:rFonts w:ascii="Microsoft Sans Serif" w:hAnsi="Microsoft Sans Serif" w:cs="Microsoft Sans Serif"/>
          <w:b/>
          <w:szCs w:val="24"/>
        </w:rPr>
        <w:tab/>
      </w:r>
      <w:r w:rsidRPr="001C0A33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1C0A33" w:rsidP="002216CF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Pr="001C0A33" w:rsidRDefault="001C0A33" w:rsidP="001C0A33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1C0A33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F-2016-2551025 - JOZEF WALSKI v. PHILADELPHIA GAS WORKS</w:t>
      </w:r>
      <w:r w:rsidRPr="001C0A3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1C0A33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1C0A33">
        <w:rPr>
          <w:rFonts w:ascii="Microsoft Sans Serif" w:eastAsiaTheme="minorEastAsia" w:hAnsiTheme="minorHAnsi" w:cstheme="minorBidi"/>
          <w:szCs w:val="22"/>
        </w:rPr>
        <w:t>JOZEF WALSKI</w:t>
      </w:r>
      <w:r w:rsidRPr="001C0A33">
        <w:rPr>
          <w:rFonts w:ascii="Microsoft Sans Serif" w:eastAsiaTheme="minorEastAsia" w:hAnsiTheme="minorHAnsi" w:cstheme="minorBidi"/>
          <w:szCs w:val="22"/>
        </w:rPr>
        <w:cr/>
        <w:t>1941 E ALLEGHENY AVE</w:t>
      </w:r>
      <w:r w:rsidRPr="001C0A33">
        <w:rPr>
          <w:rFonts w:ascii="Microsoft Sans Serif" w:eastAsiaTheme="minorEastAsia" w:hAnsiTheme="minorHAnsi" w:cstheme="minorBidi"/>
          <w:szCs w:val="22"/>
        </w:rPr>
        <w:cr/>
        <w:t>PHILADELPHIA PA  19134</w:t>
      </w:r>
      <w:r w:rsidRPr="001C0A33">
        <w:rPr>
          <w:rFonts w:ascii="Microsoft Sans Serif" w:eastAsiaTheme="minorEastAsia" w:hAnsiTheme="minorHAnsi" w:cstheme="minorBidi"/>
          <w:szCs w:val="22"/>
        </w:rPr>
        <w:cr/>
      </w:r>
      <w:r w:rsidRPr="001C0A33">
        <w:rPr>
          <w:rFonts w:ascii="Microsoft Sans Serif" w:eastAsiaTheme="minorEastAsia" w:hAnsiTheme="minorHAnsi" w:cstheme="minorBidi"/>
          <w:b/>
          <w:szCs w:val="22"/>
        </w:rPr>
        <w:t>215.739.7618</w:t>
      </w:r>
      <w:r w:rsidRPr="001C0A33">
        <w:rPr>
          <w:rFonts w:ascii="Microsoft Sans Serif" w:eastAsiaTheme="minorEastAsia" w:hAnsiTheme="minorHAnsi" w:cstheme="minorBidi"/>
          <w:b/>
          <w:szCs w:val="22"/>
        </w:rPr>
        <w:cr/>
      </w:r>
      <w:r w:rsidRPr="001C0A33">
        <w:rPr>
          <w:rFonts w:ascii="Microsoft Sans Serif" w:eastAsiaTheme="minorEastAsia" w:hAnsiTheme="minorHAnsi" w:cstheme="minorBidi"/>
          <w:szCs w:val="22"/>
        </w:rPr>
        <w:cr/>
        <w:t>BRANDON J PIERCE</w:t>
      </w:r>
      <w:r w:rsidRPr="001C0A33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1C0A33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1C0A33">
        <w:rPr>
          <w:rFonts w:ascii="Microsoft Sans Serif" w:eastAsiaTheme="minorEastAsia" w:hAnsiTheme="minorHAnsi" w:cstheme="minorBidi"/>
          <w:szCs w:val="22"/>
        </w:rPr>
        <w:cr/>
        <w:t>LEGAL 4TH FLOOR</w:t>
      </w:r>
      <w:r w:rsidRPr="001C0A33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1C0A33">
        <w:rPr>
          <w:rFonts w:ascii="Microsoft Sans Serif" w:eastAsiaTheme="minorEastAsia" w:hAnsiTheme="minorHAnsi" w:cstheme="minorBidi"/>
          <w:szCs w:val="22"/>
        </w:rPr>
        <w:cr/>
      </w:r>
      <w:r w:rsidRPr="001C0A33">
        <w:rPr>
          <w:rFonts w:ascii="Microsoft Sans Serif" w:eastAsiaTheme="minorEastAsia" w:hAnsiTheme="minorHAnsi" w:cstheme="minorBidi"/>
          <w:b/>
          <w:szCs w:val="22"/>
        </w:rPr>
        <w:t>215.684.6219</w:t>
      </w:r>
    </w:p>
    <w:p w:rsidR="001C0A33" w:rsidRPr="001C0A33" w:rsidRDefault="001C0A33" w:rsidP="001C0A33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1C0A33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1C0A33" w:rsidRPr="001C0A33" w:rsidRDefault="001C0A33" w:rsidP="001C0A3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1C0A33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1C0A33">
        <w:rPr>
          <w:rFonts w:ascii="Microsoft Sans Serif" w:eastAsiaTheme="minorEastAsia" w:hAnsiTheme="minorHAnsi" w:cstheme="minorBidi"/>
          <w:i/>
          <w:szCs w:val="22"/>
        </w:rPr>
        <w:cr/>
      </w:r>
    </w:p>
    <w:p w:rsidR="001C0A33" w:rsidRPr="001C0A33" w:rsidRDefault="001C0A33" w:rsidP="001C0A3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1C0A33" w:rsidRPr="001C0A33" w:rsidRDefault="001C0A33" w:rsidP="001C0A33">
      <w:pPr>
        <w:rPr>
          <w:rFonts w:ascii="Times New Roman" w:hAnsi="Times New Roman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Default="001C0A33" w:rsidP="00A0074C">
      <w:pPr>
        <w:rPr>
          <w:rFonts w:ascii="Microsoft Sans Serif" w:hAnsi="Calibri"/>
          <w:b/>
          <w:szCs w:val="22"/>
          <w:u w:val="single"/>
        </w:rPr>
      </w:pPr>
    </w:p>
    <w:p w:rsidR="001C0A33" w:rsidRPr="001C0A33" w:rsidRDefault="001C0A33" w:rsidP="001C0A33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1C0A33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1C0A33">
        <w:rPr>
          <w:rFonts w:ascii="Microsoft Sans Serif" w:hAnsi="Microsoft Sans Serif" w:cs="Microsoft Sans Serif"/>
          <w:sz w:val="18"/>
          <w:szCs w:val="18"/>
        </w:rPr>
        <w:t>:</w:t>
      </w:r>
      <w:r w:rsidRPr="001C0A33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1C0A33" w:rsidRPr="001C0A33" w:rsidRDefault="001C0A33" w:rsidP="001C0A33">
      <w:pPr>
        <w:rPr>
          <w:rFonts w:ascii="Microsoft Sans Serif" w:hAnsi="Microsoft Sans Serif" w:cs="Microsoft Sans Serif"/>
          <w:sz w:val="18"/>
          <w:szCs w:val="18"/>
        </w:rPr>
      </w:pPr>
      <w:r w:rsidRPr="001C0A33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1C0A33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1C0A33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C7" w:rsidRDefault="00550BC7">
      <w:pPr>
        <w:spacing w:line="20" w:lineRule="exact"/>
      </w:pPr>
    </w:p>
  </w:endnote>
  <w:endnote w:type="continuationSeparator" w:id="0">
    <w:p w:rsidR="00550BC7" w:rsidRDefault="00550BC7">
      <w:r>
        <w:t xml:space="preserve"> </w:t>
      </w:r>
    </w:p>
  </w:endnote>
  <w:endnote w:type="continuationNotice" w:id="1">
    <w:p w:rsidR="00550BC7" w:rsidRDefault="00550B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C7" w:rsidRDefault="00550BC7">
      <w:r>
        <w:separator/>
      </w:r>
    </w:p>
  </w:footnote>
  <w:footnote w:type="continuationSeparator" w:id="0">
    <w:p w:rsidR="00550BC7" w:rsidRDefault="0055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C0A33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50BC7"/>
    <w:rsid w:val="005E411A"/>
    <w:rsid w:val="00633573"/>
    <w:rsid w:val="00705E6C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C10ED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2016-09-02T15:33:00Z</cp:lastPrinted>
  <dcterms:created xsi:type="dcterms:W3CDTF">2016-09-02T15:31:00Z</dcterms:created>
  <dcterms:modified xsi:type="dcterms:W3CDTF">2016-09-02T15:36:00Z</dcterms:modified>
</cp:coreProperties>
</file>