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6A396A" w:rsidRPr="007552EB" w:rsidRDefault="00A972E1" w:rsidP="006A396A">
      <w:pPr>
        <w:pStyle w:val="Style"/>
        <w:rPr>
          <w:bCs/>
          <w:color w:val="000000"/>
        </w:rPr>
      </w:pPr>
      <w:r>
        <w:rPr>
          <w:bCs/>
          <w:color w:val="000000"/>
        </w:rPr>
        <w:t>Kevin Lofton, Jr.</w:t>
      </w:r>
      <w:r w:rsidR="006A396A">
        <w:rPr>
          <w:bCs/>
          <w:color w:val="000000"/>
        </w:rPr>
        <w:tab/>
      </w:r>
      <w:r w:rsidR="006A396A" w:rsidRPr="007552EB">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6A396A" w:rsidP="006A396A">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sidR="00A972E1">
        <w:rPr>
          <w:bCs/>
          <w:color w:val="000000"/>
        </w:rPr>
        <w:t>C-2016-2539283</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A972E1" w:rsidP="006A396A">
      <w:pPr>
        <w:pStyle w:val="Style"/>
        <w:rPr>
          <w:bCs/>
          <w:color w:val="000000"/>
        </w:rPr>
      </w:pPr>
      <w:r>
        <w:rPr>
          <w:bCs/>
          <w:color w:val="000000"/>
        </w:rPr>
        <w:t>Philadelphia Gas Works</w:t>
      </w:r>
      <w:r>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rsidR="00CD5E73" w:rsidRPr="001C5B9D" w:rsidRDefault="00CD5E73" w:rsidP="00493029">
      <w:pPr>
        <w:pStyle w:val="Style"/>
        <w:jc w:val="center"/>
        <w:rPr>
          <w:bCs/>
          <w:color w:val="000000"/>
        </w:rPr>
      </w:pPr>
    </w:p>
    <w:p w:rsidR="00CD5E73" w:rsidRPr="001C5B9D" w:rsidRDefault="00CD5E73" w:rsidP="00493029">
      <w:pPr>
        <w:pStyle w:val="Style"/>
        <w:jc w:val="center"/>
        <w:rPr>
          <w:bCs/>
          <w:color w:val="000000"/>
        </w:rPr>
      </w:pPr>
    </w:p>
    <w:p w:rsidR="00CD5E73" w:rsidRPr="001C5B9D" w:rsidRDefault="00CD5E73" w:rsidP="00493029">
      <w:pPr>
        <w:pStyle w:val="Style"/>
        <w:jc w:val="center"/>
        <w:rPr>
          <w:bCs/>
          <w:color w:val="000000"/>
        </w:rPr>
      </w:pPr>
    </w:p>
    <w:p w:rsidR="00CF2962" w:rsidRDefault="00450BEC" w:rsidP="00CD5E73">
      <w:pPr>
        <w:pStyle w:val="Style"/>
        <w:jc w:val="center"/>
        <w:rPr>
          <w:b/>
          <w:bCs/>
          <w:color w:val="000000"/>
          <w:u w:val="single"/>
        </w:rPr>
      </w:pPr>
      <w:r>
        <w:rPr>
          <w:b/>
          <w:bCs/>
          <w:color w:val="000000"/>
          <w:u w:val="single"/>
        </w:rPr>
        <w:t xml:space="preserve">PREHEARING </w:t>
      </w:r>
      <w:r w:rsidR="00CD5E73" w:rsidRPr="001C5B9D">
        <w:rPr>
          <w:b/>
          <w:bCs/>
          <w:color w:val="000000"/>
          <w:u w:val="single"/>
        </w:rPr>
        <w:t xml:space="preserve">ORDER </w:t>
      </w:r>
      <w:r>
        <w:rPr>
          <w:b/>
          <w:bCs/>
          <w:color w:val="000000"/>
          <w:u w:val="single"/>
        </w:rPr>
        <w:t>#2</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D523D0" w:rsidRDefault="006E7592" w:rsidP="00493029">
      <w:pPr>
        <w:pStyle w:val="Style"/>
        <w:widowControl/>
        <w:spacing w:line="360" w:lineRule="auto"/>
        <w:rPr>
          <w:rFonts w:eastAsiaTheme="minorHAnsi"/>
        </w:rPr>
      </w:pPr>
      <w:r w:rsidRPr="007552EB">
        <w:rPr>
          <w:rFonts w:eastAsiaTheme="minorHAnsi"/>
        </w:rPr>
        <w:tab/>
      </w:r>
      <w:r w:rsidRPr="007552EB">
        <w:rPr>
          <w:rFonts w:eastAsiaTheme="minorHAnsi"/>
        </w:rPr>
        <w:tab/>
      </w:r>
      <w:r>
        <w:rPr>
          <w:rFonts w:eastAsiaTheme="minorHAnsi"/>
        </w:rPr>
        <w:t xml:space="preserve">On </w:t>
      </w:r>
      <w:r w:rsidR="00D523D0">
        <w:rPr>
          <w:rFonts w:eastAsiaTheme="minorHAnsi"/>
        </w:rPr>
        <w:t>April 1</w:t>
      </w:r>
      <w:r w:rsidR="00BA3B5E">
        <w:rPr>
          <w:rFonts w:eastAsiaTheme="minorHAnsi"/>
        </w:rPr>
        <w:t>1, 2016, Kevin T. Lofton, Jr. f</w:t>
      </w:r>
      <w:r w:rsidR="00D523D0">
        <w:rPr>
          <w:rFonts w:eastAsiaTheme="minorHAnsi"/>
        </w:rPr>
        <w:t>i</w:t>
      </w:r>
      <w:r w:rsidR="00BA3B5E">
        <w:rPr>
          <w:rFonts w:eastAsiaTheme="minorHAnsi"/>
        </w:rPr>
        <w:t>l</w:t>
      </w:r>
      <w:r w:rsidR="00D523D0">
        <w:rPr>
          <w:rFonts w:eastAsiaTheme="minorHAnsi"/>
        </w:rPr>
        <w:t>ed with the Pennsylvania Public Utility Commission (Commission) a formal complaint against Philadelphia Gas Works (PGW or the Company), Docket Number C-2016-2539283.  In his complaint, Mr. Lofton averred that PGW was threatening to shut off his gas service or has already shut off his gas service, he would like a payment agreement and there are incorrect charges on his bill.  Mr. Lofton requested a better payment agreement and that certain charges be removed from his bill, among other things.</w:t>
      </w:r>
    </w:p>
    <w:p w:rsidR="00D523D0" w:rsidRDefault="00D523D0" w:rsidP="00493029">
      <w:pPr>
        <w:pStyle w:val="Style"/>
        <w:widowControl/>
        <w:spacing w:line="360" w:lineRule="auto"/>
        <w:ind w:firstLine="1440"/>
        <w:rPr>
          <w:rFonts w:eastAsiaTheme="minorHAnsi"/>
        </w:rPr>
      </w:pPr>
    </w:p>
    <w:p w:rsidR="00275F08" w:rsidRDefault="00D523D0" w:rsidP="00493029">
      <w:pPr>
        <w:pStyle w:val="Style"/>
        <w:widowControl/>
        <w:spacing w:line="360" w:lineRule="auto"/>
        <w:ind w:firstLine="1440"/>
        <w:rPr>
          <w:rFonts w:eastAsiaTheme="minorHAnsi"/>
        </w:rPr>
      </w:pPr>
      <w:r>
        <w:rPr>
          <w:rFonts w:eastAsiaTheme="minorHAnsi"/>
        </w:rPr>
        <w:t xml:space="preserve">On May 2, 2016, PGW filed an answer and new matter in response to Mr. Lofton’s </w:t>
      </w:r>
      <w:r w:rsidR="00275F08">
        <w:rPr>
          <w:rFonts w:eastAsiaTheme="minorHAnsi"/>
        </w:rPr>
        <w:t>complaint.  In its answer, PGW admitted or denied the various averments Mr. Lofton made in his complaint.  In particular, PGW admitted that it issued a termination notice to Mr. Lofton and that Mr. Lofton seeks a payment agreement</w:t>
      </w:r>
      <w:r w:rsidR="00310798">
        <w:rPr>
          <w:rFonts w:eastAsiaTheme="minorHAnsi"/>
        </w:rPr>
        <w:t xml:space="preserve"> but </w:t>
      </w:r>
      <w:r w:rsidR="00275F08">
        <w:rPr>
          <w:rFonts w:eastAsiaTheme="minorHAnsi"/>
        </w:rPr>
        <w:t>denied that there are incorrect charges on Mr. Lofton’s bill</w:t>
      </w:r>
      <w:r w:rsidR="00310798">
        <w:rPr>
          <w:rFonts w:eastAsiaTheme="minorHAnsi"/>
        </w:rPr>
        <w:t xml:space="preserve">.  </w:t>
      </w:r>
      <w:r w:rsidR="00275F08">
        <w:rPr>
          <w:rFonts w:eastAsiaTheme="minorHAnsi"/>
        </w:rPr>
        <w:t xml:space="preserve">In its new matter, PGW </w:t>
      </w:r>
      <w:r w:rsidR="00A05AE9">
        <w:rPr>
          <w:rFonts w:eastAsiaTheme="minorHAnsi"/>
        </w:rPr>
        <w:t xml:space="preserve">provided </w:t>
      </w:r>
      <w:r w:rsidR="00275F08">
        <w:rPr>
          <w:rFonts w:eastAsiaTheme="minorHAnsi"/>
        </w:rPr>
        <w:t xml:space="preserve">the history of </w:t>
      </w:r>
      <w:r w:rsidR="00A05AE9">
        <w:rPr>
          <w:rFonts w:eastAsiaTheme="minorHAnsi"/>
        </w:rPr>
        <w:t xml:space="preserve">the </w:t>
      </w:r>
      <w:r w:rsidR="00275F08">
        <w:rPr>
          <w:rFonts w:eastAsiaTheme="minorHAnsi"/>
        </w:rPr>
        <w:t>complaints filed by Mr. Lofton and the payme</w:t>
      </w:r>
      <w:r w:rsidR="00310798">
        <w:rPr>
          <w:rFonts w:eastAsiaTheme="minorHAnsi"/>
        </w:rPr>
        <w:t>nt agreements he has received.</w:t>
      </w:r>
    </w:p>
    <w:p w:rsidR="00053F52" w:rsidRDefault="00053F52" w:rsidP="00493029">
      <w:pPr>
        <w:pStyle w:val="Style"/>
        <w:widowControl/>
        <w:spacing w:line="360" w:lineRule="auto"/>
        <w:ind w:firstLine="1440"/>
        <w:rPr>
          <w:rFonts w:eastAsiaTheme="minorHAnsi"/>
        </w:rPr>
      </w:pPr>
    </w:p>
    <w:p w:rsidR="006424DA" w:rsidRDefault="00275F08" w:rsidP="00493029">
      <w:pPr>
        <w:pStyle w:val="Style"/>
        <w:widowControl/>
        <w:spacing w:line="360" w:lineRule="auto"/>
        <w:ind w:firstLine="1440"/>
        <w:rPr>
          <w:rFonts w:eastAsiaTheme="minorHAnsi"/>
        </w:rPr>
      </w:pPr>
      <w:r>
        <w:rPr>
          <w:rFonts w:eastAsiaTheme="minorHAnsi"/>
        </w:rPr>
        <w:t xml:space="preserve">Also on May 2, 2016, PGW filed a motion for summary judgment.  </w:t>
      </w:r>
      <w:r w:rsidR="00B90964">
        <w:rPr>
          <w:rFonts w:eastAsiaTheme="minorHAnsi"/>
        </w:rPr>
        <w:t xml:space="preserve">In its motion, </w:t>
      </w:r>
      <w:r w:rsidR="00DE63AF">
        <w:rPr>
          <w:rFonts w:eastAsiaTheme="minorHAnsi"/>
        </w:rPr>
        <w:t xml:space="preserve">PGW reiterated the history of </w:t>
      </w:r>
      <w:r w:rsidR="00144FED">
        <w:rPr>
          <w:rFonts w:eastAsiaTheme="minorHAnsi"/>
        </w:rPr>
        <w:t xml:space="preserve">various </w:t>
      </w:r>
      <w:r w:rsidR="00DE63AF">
        <w:rPr>
          <w:rFonts w:eastAsiaTheme="minorHAnsi"/>
        </w:rPr>
        <w:t>complaints filed by Mr. Lofton and the payment agreements he has received</w:t>
      </w:r>
      <w:r w:rsidR="00310798">
        <w:rPr>
          <w:rFonts w:eastAsiaTheme="minorHAnsi"/>
        </w:rPr>
        <w:t xml:space="preserve"> and argued that </w:t>
      </w:r>
      <w:r w:rsidR="00DE63AF">
        <w:rPr>
          <w:rFonts w:eastAsiaTheme="minorHAnsi"/>
        </w:rPr>
        <w:t>this history shows that Mr. Lofton has been abusing the system to prevent termination of service over the course of years</w:t>
      </w:r>
      <w:r w:rsidR="00C73734">
        <w:rPr>
          <w:rFonts w:eastAsiaTheme="minorHAnsi"/>
        </w:rPr>
        <w:t xml:space="preserve">, all the while receiving gas service from PGW and accruing a large outstanding balance.  </w:t>
      </w:r>
    </w:p>
    <w:p w:rsidR="006424DA" w:rsidRDefault="006424DA" w:rsidP="00493029">
      <w:pPr>
        <w:pStyle w:val="Style"/>
        <w:widowControl/>
        <w:spacing w:line="360" w:lineRule="auto"/>
        <w:ind w:firstLine="1440"/>
        <w:rPr>
          <w:rFonts w:eastAsiaTheme="minorHAnsi"/>
        </w:rPr>
      </w:pPr>
    </w:p>
    <w:p w:rsidR="00A875D6" w:rsidRDefault="006424DA" w:rsidP="00493029">
      <w:pPr>
        <w:pStyle w:val="Style"/>
        <w:widowControl/>
        <w:spacing w:line="360" w:lineRule="auto"/>
        <w:ind w:firstLine="1440"/>
        <w:rPr>
          <w:rFonts w:eastAsiaTheme="minorHAnsi"/>
        </w:rPr>
      </w:pPr>
      <w:r>
        <w:rPr>
          <w:rFonts w:eastAsiaTheme="minorHAnsi"/>
        </w:rPr>
        <w:lastRenderedPageBreak/>
        <w:t>On June 15, 2016, Mr. Lofton filed an answer to PGW’s motion requesting that the motion be denied.</w:t>
      </w:r>
      <w:r w:rsidR="00A875D6">
        <w:rPr>
          <w:rFonts w:eastAsiaTheme="minorHAnsi"/>
        </w:rPr>
        <w:t xml:space="preserve">  In his answer, Mr. Lofton argued that the complaints filed were not frivolous or unjust and that PGW’s motion fails to acknowledge his </w:t>
      </w:r>
      <w:r w:rsidR="00310798">
        <w:rPr>
          <w:rFonts w:eastAsiaTheme="minorHAnsi"/>
        </w:rPr>
        <w:t>efforts to resolve the matter.</w:t>
      </w:r>
    </w:p>
    <w:p w:rsidR="00A875D6" w:rsidRDefault="00A875D6" w:rsidP="00493029">
      <w:pPr>
        <w:pStyle w:val="Style"/>
        <w:widowControl/>
        <w:spacing w:line="360" w:lineRule="auto"/>
        <w:ind w:firstLine="1440"/>
        <w:rPr>
          <w:rFonts w:eastAsiaTheme="minorHAnsi"/>
        </w:rPr>
      </w:pPr>
    </w:p>
    <w:p w:rsidR="00A972E1" w:rsidRDefault="00A875D6" w:rsidP="00493029">
      <w:pPr>
        <w:pStyle w:val="Style"/>
        <w:widowControl/>
        <w:spacing w:line="360" w:lineRule="auto"/>
        <w:ind w:firstLine="1440"/>
        <w:rPr>
          <w:rFonts w:eastAsiaTheme="minorHAnsi"/>
        </w:rPr>
      </w:pPr>
      <w:r>
        <w:rPr>
          <w:rFonts w:eastAsiaTheme="minorHAnsi"/>
        </w:rPr>
        <w:t>On July 20, 2016, a Telephonic Hearing Notice was issued scheduling an Initial Telephonic Hearing for Tuesday, August 30, 2016 at 10:00 a.m. and assigning me as the Presiding Officer.  A Prehearing Order dated July 25, 2016 was issued setting forth various procedural rules that would govern the hearing.</w:t>
      </w:r>
    </w:p>
    <w:p w:rsidR="00A972E1" w:rsidRDefault="00A972E1" w:rsidP="00493029">
      <w:pPr>
        <w:pStyle w:val="Style"/>
        <w:widowControl/>
        <w:spacing w:line="360" w:lineRule="auto"/>
        <w:ind w:firstLine="1440"/>
        <w:rPr>
          <w:rFonts w:eastAsiaTheme="minorHAnsi"/>
        </w:rPr>
      </w:pPr>
    </w:p>
    <w:p w:rsidR="00310798" w:rsidRDefault="00310798" w:rsidP="00493029">
      <w:pPr>
        <w:pStyle w:val="Style"/>
        <w:widowControl/>
        <w:spacing w:line="360" w:lineRule="auto"/>
        <w:ind w:firstLine="1440"/>
        <w:rPr>
          <w:rFonts w:eastAsiaTheme="minorHAnsi"/>
        </w:rPr>
      </w:pPr>
      <w:r>
        <w:rPr>
          <w:rFonts w:eastAsiaTheme="minorHAnsi"/>
        </w:rPr>
        <w:t xml:space="preserve">On August 3, 2016, </w:t>
      </w:r>
      <w:r w:rsidR="00A05AE9">
        <w:rPr>
          <w:rFonts w:eastAsiaTheme="minorHAnsi"/>
        </w:rPr>
        <w:t xml:space="preserve">an order was issued denying </w:t>
      </w:r>
      <w:r w:rsidR="00A875D6">
        <w:rPr>
          <w:rFonts w:eastAsiaTheme="minorHAnsi"/>
        </w:rPr>
        <w:t xml:space="preserve">PGW’s motion for summary judgment </w:t>
      </w:r>
      <w:r>
        <w:rPr>
          <w:rFonts w:eastAsiaTheme="minorHAnsi"/>
        </w:rPr>
        <w:t xml:space="preserve">and </w:t>
      </w:r>
      <w:r w:rsidR="00A05AE9">
        <w:rPr>
          <w:rFonts w:eastAsiaTheme="minorHAnsi"/>
        </w:rPr>
        <w:t xml:space="preserve">allowing </w:t>
      </w:r>
      <w:r>
        <w:rPr>
          <w:rFonts w:eastAsiaTheme="minorHAnsi"/>
        </w:rPr>
        <w:t xml:space="preserve">the complaint to proceed to a hearing.  </w:t>
      </w:r>
      <w:r w:rsidR="00A05AE9">
        <w:rPr>
          <w:rFonts w:eastAsiaTheme="minorHAnsi"/>
        </w:rPr>
        <w:t xml:space="preserve">In that order, </w:t>
      </w:r>
      <w:r>
        <w:rPr>
          <w:color w:val="000000"/>
        </w:rPr>
        <w:t xml:space="preserve">Mr. Lofton was </w:t>
      </w:r>
      <w:r>
        <w:rPr>
          <w:rFonts w:eastAsiaTheme="minorHAnsi"/>
        </w:rPr>
        <w:t xml:space="preserve">put on notice that he may be prohibited from filing further informal or formal complaints with the Commission against Philadelphia Gas Works regarding arrearages on his account until all such arrearages are paid in full if it is found that he has abused the processes of the Public Utility Commission.  </w:t>
      </w:r>
    </w:p>
    <w:p w:rsidR="00310798" w:rsidRDefault="00310798" w:rsidP="00493029">
      <w:pPr>
        <w:pStyle w:val="Style"/>
        <w:widowControl/>
        <w:spacing w:line="360" w:lineRule="auto"/>
        <w:ind w:firstLine="1440"/>
        <w:rPr>
          <w:rFonts w:eastAsiaTheme="minorHAnsi"/>
        </w:rPr>
      </w:pPr>
    </w:p>
    <w:p w:rsidR="00310798" w:rsidRDefault="00310798" w:rsidP="00493029">
      <w:pPr>
        <w:pStyle w:val="Style"/>
        <w:widowControl/>
        <w:spacing w:line="360" w:lineRule="auto"/>
        <w:rPr>
          <w:rFonts w:eastAsiaTheme="minorHAnsi"/>
        </w:rPr>
      </w:pPr>
      <w:r>
        <w:rPr>
          <w:rFonts w:eastAsiaTheme="minorHAnsi"/>
        </w:rPr>
        <w:tab/>
      </w:r>
      <w:r>
        <w:rPr>
          <w:rFonts w:eastAsiaTheme="minorHAnsi"/>
        </w:rPr>
        <w:tab/>
        <w:t xml:space="preserve">The initial hearing convened on August 30, 2016, as scheduled.  Graciela Christlieb, Esquire appeared on behalf of PGW.  When Mr. Lofton was called to participate in the hearing, Michele </w:t>
      </w:r>
      <w:proofErr w:type="spellStart"/>
      <w:r>
        <w:rPr>
          <w:rFonts w:eastAsiaTheme="minorHAnsi"/>
        </w:rPr>
        <w:t>DeSilva</w:t>
      </w:r>
      <w:proofErr w:type="spellEnd"/>
      <w:r>
        <w:rPr>
          <w:rFonts w:eastAsiaTheme="minorHAnsi"/>
        </w:rPr>
        <w:t>, Mr. Lofton’s mother</w:t>
      </w:r>
      <w:r w:rsidR="00A05AE9">
        <w:rPr>
          <w:rFonts w:eastAsiaTheme="minorHAnsi"/>
        </w:rPr>
        <w:t xml:space="preserve"> and a resident at the service address</w:t>
      </w:r>
      <w:r>
        <w:rPr>
          <w:rFonts w:eastAsiaTheme="minorHAnsi"/>
        </w:rPr>
        <w:t xml:space="preserve">, indicated that Mr. Lofton was not available.  Ms. </w:t>
      </w:r>
      <w:proofErr w:type="spellStart"/>
      <w:r>
        <w:rPr>
          <w:rFonts w:eastAsiaTheme="minorHAnsi"/>
        </w:rPr>
        <w:t>DeSilva</w:t>
      </w:r>
      <w:proofErr w:type="spellEnd"/>
      <w:r>
        <w:rPr>
          <w:rFonts w:eastAsiaTheme="minorHAnsi"/>
        </w:rPr>
        <w:t xml:space="preserve"> stated that Mr. Lofton was at work and that he believed the hearing was scheduled for August 31, 2016.</w:t>
      </w:r>
      <w:r w:rsidR="00C0143F">
        <w:rPr>
          <w:rFonts w:eastAsiaTheme="minorHAnsi"/>
        </w:rPr>
        <w:t xml:space="preserve">  Ms. </w:t>
      </w:r>
      <w:proofErr w:type="spellStart"/>
      <w:r w:rsidR="00C0143F">
        <w:rPr>
          <w:rFonts w:eastAsiaTheme="minorHAnsi"/>
        </w:rPr>
        <w:t>DeSilva</w:t>
      </w:r>
      <w:proofErr w:type="spellEnd"/>
      <w:r w:rsidR="00C0143F">
        <w:rPr>
          <w:rFonts w:eastAsiaTheme="minorHAnsi"/>
        </w:rPr>
        <w:t xml:space="preserve"> requested</w:t>
      </w:r>
      <w:r w:rsidR="00A05AE9">
        <w:rPr>
          <w:rFonts w:eastAsiaTheme="minorHAnsi"/>
        </w:rPr>
        <w:t>, on behalf of her son,</w:t>
      </w:r>
      <w:r w:rsidR="00C0143F">
        <w:rPr>
          <w:rFonts w:eastAsiaTheme="minorHAnsi"/>
        </w:rPr>
        <w:t xml:space="preserve"> that the hearing be continued.</w:t>
      </w:r>
    </w:p>
    <w:p w:rsidR="00C0143F" w:rsidRDefault="00C0143F" w:rsidP="00493029">
      <w:pPr>
        <w:pStyle w:val="Style"/>
        <w:widowControl/>
        <w:spacing w:line="360" w:lineRule="auto"/>
        <w:rPr>
          <w:rFonts w:eastAsiaTheme="minorHAnsi"/>
        </w:rPr>
      </w:pPr>
    </w:p>
    <w:p w:rsidR="003F38EE" w:rsidRDefault="00C0143F" w:rsidP="00493029">
      <w:pPr>
        <w:pStyle w:val="Style"/>
        <w:widowControl/>
        <w:spacing w:line="360" w:lineRule="auto"/>
        <w:rPr>
          <w:rFonts w:eastAsiaTheme="minorHAnsi"/>
        </w:rPr>
      </w:pPr>
      <w:r>
        <w:rPr>
          <w:rFonts w:eastAsiaTheme="minorHAnsi"/>
        </w:rPr>
        <w:tab/>
      </w:r>
      <w:r>
        <w:rPr>
          <w:rFonts w:eastAsiaTheme="minorHAnsi"/>
        </w:rPr>
        <w:tab/>
        <w:t xml:space="preserve">A lengthy discussion was held both on and off the record regarding the requested continuance.  In particular, it was noted that </w:t>
      </w:r>
      <w:r w:rsidR="00266840">
        <w:rPr>
          <w:rFonts w:eastAsiaTheme="minorHAnsi"/>
        </w:rPr>
        <w:t xml:space="preserve">Mr. Lofton has filed four informal complaints with the Commission’s Bureau of Consumer Services (BCS) and two formal complaints during the past three years.  </w:t>
      </w:r>
      <w:r w:rsidR="00A05AE9">
        <w:rPr>
          <w:rFonts w:eastAsiaTheme="minorHAnsi"/>
        </w:rPr>
        <w:t>It was also noted that t</w:t>
      </w:r>
      <w:r w:rsidR="00266840">
        <w:rPr>
          <w:rFonts w:eastAsiaTheme="minorHAnsi"/>
        </w:rPr>
        <w:t>he Company has sent Mr. Lofton several shut off notices</w:t>
      </w:r>
      <w:r w:rsidR="00A05AE9">
        <w:rPr>
          <w:rFonts w:eastAsiaTheme="minorHAnsi"/>
        </w:rPr>
        <w:t xml:space="preserve"> and that, a</w:t>
      </w:r>
      <w:r w:rsidR="00266840">
        <w:rPr>
          <w:rFonts w:eastAsiaTheme="minorHAnsi"/>
        </w:rPr>
        <w:t xml:space="preserve">s of March, 2016, the balance on the account reached $9,266.35.  </w:t>
      </w:r>
      <w:r w:rsidR="00431E33">
        <w:rPr>
          <w:rFonts w:eastAsiaTheme="minorHAnsi"/>
        </w:rPr>
        <w:t xml:space="preserve">Although PGW’s prior motion for summary judgment alleging that Mr. Lofton was abusing the process was denied, Mr. Lofton was put on notice </w:t>
      </w:r>
      <w:r w:rsidR="00A05AE9">
        <w:rPr>
          <w:rFonts w:eastAsiaTheme="minorHAnsi"/>
        </w:rPr>
        <w:t xml:space="preserve">in that order </w:t>
      </w:r>
      <w:r w:rsidR="00431E33">
        <w:rPr>
          <w:rFonts w:eastAsiaTheme="minorHAnsi"/>
        </w:rPr>
        <w:t>that, if</w:t>
      </w:r>
      <w:r w:rsidR="00BB5CE8">
        <w:rPr>
          <w:rFonts w:eastAsiaTheme="minorHAnsi"/>
        </w:rPr>
        <w:t xml:space="preserve"> </w:t>
      </w:r>
      <w:r w:rsidR="00A21EAB">
        <w:rPr>
          <w:rFonts w:eastAsiaTheme="minorHAnsi"/>
        </w:rPr>
        <w:t xml:space="preserve">the number of informal and formal complaints, termination notices and overall balance </w:t>
      </w:r>
      <w:r w:rsidR="00BA3B5E">
        <w:rPr>
          <w:rFonts w:eastAsiaTheme="minorHAnsi"/>
        </w:rPr>
        <w:t xml:space="preserve">on this account </w:t>
      </w:r>
      <w:r w:rsidR="00A21EAB">
        <w:rPr>
          <w:rFonts w:eastAsiaTheme="minorHAnsi"/>
        </w:rPr>
        <w:t xml:space="preserve">continues to escalate, he may be prohibited from </w:t>
      </w:r>
      <w:r w:rsidR="00CA2D9A">
        <w:rPr>
          <w:rFonts w:eastAsiaTheme="minorHAnsi"/>
        </w:rPr>
        <w:t xml:space="preserve">filing further informal or formal complaints with the Commission regarding </w:t>
      </w:r>
      <w:r w:rsidR="00CA2D9A">
        <w:rPr>
          <w:rFonts w:eastAsiaTheme="minorHAnsi"/>
        </w:rPr>
        <w:lastRenderedPageBreak/>
        <w:t xml:space="preserve">arrearages on his account until all such arrearages are paid in full.  </w:t>
      </w:r>
      <w:r w:rsidR="00E61A72">
        <w:rPr>
          <w:rFonts w:eastAsiaTheme="minorHAnsi"/>
        </w:rPr>
        <w:t>Nonetheless, the request for a continuance was granted</w:t>
      </w:r>
      <w:r w:rsidR="00A05AE9">
        <w:rPr>
          <w:rFonts w:eastAsiaTheme="minorHAnsi"/>
        </w:rPr>
        <w:t xml:space="preserve"> based on the arguments of Ms. </w:t>
      </w:r>
      <w:proofErr w:type="spellStart"/>
      <w:r w:rsidR="00A05AE9">
        <w:rPr>
          <w:rFonts w:eastAsiaTheme="minorHAnsi"/>
        </w:rPr>
        <w:t>DeSilva</w:t>
      </w:r>
      <w:proofErr w:type="spellEnd"/>
      <w:r w:rsidR="00E61A72">
        <w:rPr>
          <w:rFonts w:eastAsiaTheme="minorHAnsi"/>
        </w:rPr>
        <w:t xml:space="preserve">.  As a result, a </w:t>
      </w:r>
      <w:r w:rsidR="00A05AE9">
        <w:rPr>
          <w:rFonts w:eastAsiaTheme="minorHAnsi"/>
        </w:rPr>
        <w:t>Telephonic H</w:t>
      </w:r>
      <w:r w:rsidR="00E61A72">
        <w:rPr>
          <w:rFonts w:eastAsiaTheme="minorHAnsi"/>
        </w:rPr>
        <w:t xml:space="preserve">earing </w:t>
      </w:r>
      <w:r w:rsidR="00A05AE9">
        <w:rPr>
          <w:rFonts w:eastAsiaTheme="minorHAnsi"/>
        </w:rPr>
        <w:t>N</w:t>
      </w:r>
      <w:r w:rsidR="00E61A72">
        <w:rPr>
          <w:rFonts w:eastAsiaTheme="minorHAnsi"/>
        </w:rPr>
        <w:t xml:space="preserve">otice dated August 31, 2016 was issued setting a </w:t>
      </w:r>
      <w:r w:rsidR="00A05AE9">
        <w:rPr>
          <w:rFonts w:eastAsiaTheme="minorHAnsi"/>
        </w:rPr>
        <w:t>F</w:t>
      </w:r>
      <w:r w:rsidR="00E61A72">
        <w:rPr>
          <w:rFonts w:eastAsiaTheme="minorHAnsi"/>
        </w:rPr>
        <w:t xml:space="preserve">urther </w:t>
      </w:r>
      <w:r w:rsidR="00A05AE9">
        <w:rPr>
          <w:rFonts w:eastAsiaTheme="minorHAnsi"/>
        </w:rPr>
        <w:t>T</w:t>
      </w:r>
      <w:r w:rsidR="00E61A72">
        <w:rPr>
          <w:rFonts w:eastAsiaTheme="minorHAnsi"/>
        </w:rPr>
        <w:t xml:space="preserve">elephonic </w:t>
      </w:r>
      <w:r w:rsidR="00A05AE9">
        <w:rPr>
          <w:rFonts w:eastAsiaTheme="minorHAnsi"/>
        </w:rPr>
        <w:t>H</w:t>
      </w:r>
      <w:r w:rsidR="00E61A72">
        <w:rPr>
          <w:rFonts w:eastAsiaTheme="minorHAnsi"/>
        </w:rPr>
        <w:t xml:space="preserve">earing for this case for Thursday, October 20, 2016 at 10:00 a.m. </w:t>
      </w:r>
    </w:p>
    <w:p w:rsidR="00E61A72" w:rsidRDefault="00E61A72" w:rsidP="00493029">
      <w:pPr>
        <w:pStyle w:val="Style"/>
        <w:widowControl/>
        <w:spacing w:line="360" w:lineRule="auto"/>
        <w:rPr>
          <w:rFonts w:eastAsiaTheme="minorHAnsi"/>
        </w:rPr>
      </w:pPr>
    </w:p>
    <w:p w:rsidR="00E61A72" w:rsidRDefault="00E61A72" w:rsidP="00493029">
      <w:pPr>
        <w:pStyle w:val="BodyTextIndent"/>
        <w:widowControl/>
        <w:rPr>
          <w:sz w:val="24"/>
          <w:szCs w:val="24"/>
        </w:rPr>
      </w:pPr>
      <w:r>
        <w:rPr>
          <w:sz w:val="24"/>
          <w:szCs w:val="24"/>
        </w:rPr>
        <w:t xml:space="preserve">The purpose of this Prehearing Order Number 2 is to confirm the </w:t>
      </w:r>
      <w:proofErr w:type="gramStart"/>
      <w:r>
        <w:rPr>
          <w:sz w:val="24"/>
          <w:szCs w:val="24"/>
        </w:rPr>
        <w:t xml:space="preserve">establishment of the </w:t>
      </w:r>
      <w:r w:rsidR="00A05AE9">
        <w:rPr>
          <w:sz w:val="24"/>
          <w:szCs w:val="24"/>
        </w:rPr>
        <w:t>F</w:t>
      </w:r>
      <w:r>
        <w:rPr>
          <w:sz w:val="24"/>
          <w:szCs w:val="24"/>
        </w:rPr>
        <w:t xml:space="preserve">urther </w:t>
      </w:r>
      <w:r w:rsidR="00A05AE9">
        <w:rPr>
          <w:sz w:val="24"/>
          <w:szCs w:val="24"/>
        </w:rPr>
        <w:t>T</w:t>
      </w:r>
      <w:r>
        <w:rPr>
          <w:sz w:val="24"/>
          <w:szCs w:val="24"/>
        </w:rPr>
        <w:t xml:space="preserve">elephonic </w:t>
      </w:r>
      <w:r w:rsidR="00A05AE9">
        <w:rPr>
          <w:sz w:val="24"/>
          <w:szCs w:val="24"/>
        </w:rPr>
        <w:t>H</w:t>
      </w:r>
      <w:r>
        <w:rPr>
          <w:sz w:val="24"/>
          <w:szCs w:val="24"/>
        </w:rPr>
        <w:t>earing on Thursday, October 20, 2016 and to inform the parties that all other aspects of the Prehearing Order dated July 25, 2016 remain</w:t>
      </w:r>
      <w:proofErr w:type="gramEnd"/>
      <w:r>
        <w:rPr>
          <w:sz w:val="24"/>
          <w:szCs w:val="24"/>
        </w:rPr>
        <w:t xml:space="preserve"> in effect.  The parties are also encouraged to have settlement discussions prior to the hearing.</w:t>
      </w:r>
    </w:p>
    <w:p w:rsidR="00E61A72" w:rsidRDefault="00E61A72" w:rsidP="00493029">
      <w:pPr>
        <w:pStyle w:val="Style"/>
        <w:widowControl/>
        <w:tabs>
          <w:tab w:val="left" w:pos="2153"/>
        </w:tabs>
        <w:spacing w:line="360" w:lineRule="auto"/>
        <w:rPr>
          <w:rFonts w:eastAsiaTheme="minorHAnsi"/>
        </w:rPr>
      </w:pPr>
    </w:p>
    <w:p w:rsidR="00A51A8A" w:rsidRPr="00883986" w:rsidRDefault="00A0071E" w:rsidP="001D67E6">
      <w:pPr>
        <w:spacing w:after="0" w:line="360" w:lineRule="auto"/>
        <w:jc w:val="center"/>
        <w:rPr>
          <w:rFonts w:ascii="Times New Roman" w:hAnsi="Times New Roman" w:cs="Times New Roman"/>
          <w:sz w:val="24"/>
          <w:szCs w:val="24"/>
        </w:rPr>
      </w:pPr>
      <w:r w:rsidRPr="00883986">
        <w:rPr>
          <w:rFonts w:ascii="Times New Roman" w:hAnsi="Times New Roman" w:cs="Times New Roman"/>
          <w:sz w:val="24"/>
          <w:szCs w:val="24"/>
          <w:u w:val="single"/>
        </w:rPr>
        <w:t>O</w:t>
      </w:r>
      <w:r w:rsidR="00A51A8A" w:rsidRPr="00883986">
        <w:rPr>
          <w:rFonts w:ascii="Times New Roman" w:hAnsi="Times New Roman" w:cs="Times New Roman"/>
          <w:sz w:val="24"/>
          <w:szCs w:val="24"/>
          <w:u w:val="single"/>
        </w:rPr>
        <w:t>RDER</w:t>
      </w:r>
    </w:p>
    <w:p w:rsidR="001D67E6" w:rsidRDefault="001D67E6" w:rsidP="001D67E6">
      <w:pPr>
        <w:spacing w:after="0" w:line="360" w:lineRule="auto"/>
        <w:ind w:firstLine="720"/>
        <w:rPr>
          <w:rFonts w:ascii="Times New Roman" w:hAnsi="Times New Roman" w:cs="Times New Roman"/>
          <w:sz w:val="24"/>
          <w:szCs w:val="24"/>
        </w:rPr>
      </w:pPr>
    </w:p>
    <w:p w:rsidR="00493029" w:rsidRDefault="00493029" w:rsidP="001D67E6">
      <w:pPr>
        <w:spacing w:after="0" w:line="360" w:lineRule="auto"/>
        <w:ind w:firstLine="720"/>
        <w:rPr>
          <w:rFonts w:ascii="Times New Roman" w:hAnsi="Times New Roman" w:cs="Times New Roman"/>
          <w:sz w:val="24"/>
          <w:szCs w:val="24"/>
        </w:rPr>
      </w:pPr>
    </w:p>
    <w:p w:rsidR="00A51A8A" w:rsidRDefault="00A51A8A" w:rsidP="001D67E6">
      <w:pPr>
        <w:spacing w:after="0" w:line="360" w:lineRule="auto"/>
        <w:ind w:firstLine="720"/>
        <w:rPr>
          <w:rFonts w:ascii="Times New Roman" w:hAnsi="Times New Roman" w:cs="Times New Roman"/>
          <w:sz w:val="24"/>
          <w:szCs w:val="24"/>
        </w:rPr>
      </w:pPr>
      <w:r w:rsidRPr="00883986">
        <w:rPr>
          <w:rFonts w:ascii="Times New Roman" w:hAnsi="Times New Roman" w:cs="Times New Roman"/>
          <w:sz w:val="24"/>
          <w:szCs w:val="24"/>
        </w:rPr>
        <w:t>THEREFORE,</w:t>
      </w:r>
    </w:p>
    <w:p w:rsidR="001D67E6" w:rsidRPr="00883986" w:rsidRDefault="001D67E6" w:rsidP="001D67E6">
      <w:pPr>
        <w:spacing w:after="0" w:line="360" w:lineRule="auto"/>
        <w:ind w:firstLine="720"/>
        <w:rPr>
          <w:rFonts w:ascii="Times New Roman" w:hAnsi="Times New Roman" w:cs="Times New Roman"/>
          <w:sz w:val="24"/>
          <w:szCs w:val="24"/>
        </w:rPr>
      </w:pPr>
    </w:p>
    <w:p w:rsidR="00A51A8A" w:rsidRPr="00883986" w:rsidRDefault="00A51A8A" w:rsidP="001D67E6">
      <w:pPr>
        <w:spacing w:after="0" w:line="360" w:lineRule="auto"/>
        <w:ind w:firstLine="720"/>
        <w:rPr>
          <w:rFonts w:ascii="Times New Roman" w:hAnsi="Times New Roman" w:cs="Times New Roman"/>
          <w:sz w:val="24"/>
          <w:szCs w:val="24"/>
        </w:rPr>
      </w:pPr>
      <w:r w:rsidRPr="00883986">
        <w:rPr>
          <w:rFonts w:ascii="Times New Roman" w:hAnsi="Times New Roman" w:cs="Times New Roman"/>
          <w:sz w:val="24"/>
          <w:szCs w:val="24"/>
        </w:rPr>
        <w:t>IT IS ORDERED:</w:t>
      </w:r>
    </w:p>
    <w:p w:rsidR="00EB1CE7" w:rsidRPr="00883986" w:rsidRDefault="00EB1CE7" w:rsidP="00493029">
      <w:pPr>
        <w:pStyle w:val="Style"/>
        <w:widowControl/>
        <w:spacing w:line="360" w:lineRule="auto"/>
        <w:ind w:firstLine="1440"/>
        <w:rPr>
          <w:color w:val="000000"/>
        </w:rPr>
      </w:pPr>
    </w:p>
    <w:p w:rsidR="00883986" w:rsidRDefault="008E0C32" w:rsidP="00493029">
      <w:pPr>
        <w:pStyle w:val="Style"/>
        <w:widowControl/>
        <w:numPr>
          <w:ilvl w:val="0"/>
          <w:numId w:val="11"/>
        </w:numPr>
        <w:spacing w:line="360" w:lineRule="auto"/>
        <w:ind w:left="0" w:firstLine="1440"/>
        <w:rPr>
          <w:color w:val="000000"/>
        </w:rPr>
      </w:pPr>
      <w:r w:rsidRPr="00883986">
        <w:rPr>
          <w:color w:val="000000"/>
        </w:rPr>
        <w:t>That the</w:t>
      </w:r>
      <w:r w:rsidR="004C3BA3">
        <w:rPr>
          <w:color w:val="000000"/>
        </w:rPr>
        <w:t xml:space="preserve"> request for a continuance of the </w:t>
      </w:r>
      <w:r w:rsidR="00A05AE9">
        <w:rPr>
          <w:color w:val="000000"/>
        </w:rPr>
        <w:t>I</w:t>
      </w:r>
      <w:r w:rsidR="004C3BA3">
        <w:rPr>
          <w:color w:val="000000"/>
        </w:rPr>
        <w:t xml:space="preserve">nitial </w:t>
      </w:r>
      <w:r w:rsidR="00A05AE9">
        <w:rPr>
          <w:color w:val="000000"/>
        </w:rPr>
        <w:t>T</w:t>
      </w:r>
      <w:r w:rsidR="004C3BA3">
        <w:rPr>
          <w:color w:val="000000"/>
        </w:rPr>
        <w:t xml:space="preserve">elephonic </w:t>
      </w:r>
      <w:r w:rsidR="00A05AE9">
        <w:rPr>
          <w:color w:val="000000"/>
        </w:rPr>
        <w:t>H</w:t>
      </w:r>
      <w:r w:rsidR="004C3BA3">
        <w:rPr>
          <w:color w:val="000000"/>
        </w:rPr>
        <w:t xml:space="preserve">earing on Tuesday, August 30, 2016 </w:t>
      </w:r>
      <w:r w:rsidR="00883986">
        <w:rPr>
          <w:color w:val="000000"/>
        </w:rPr>
        <w:t xml:space="preserve">in the above-captioned proceeding is hereby </w:t>
      </w:r>
      <w:r w:rsidR="004C3BA3">
        <w:rPr>
          <w:color w:val="000000"/>
        </w:rPr>
        <w:t>granted</w:t>
      </w:r>
      <w:r w:rsidR="00883986">
        <w:rPr>
          <w:color w:val="000000"/>
        </w:rPr>
        <w:t xml:space="preserve">.  </w:t>
      </w:r>
    </w:p>
    <w:p w:rsidR="00883986" w:rsidRDefault="00883986" w:rsidP="00493029">
      <w:pPr>
        <w:pStyle w:val="Style"/>
        <w:widowControl/>
        <w:spacing w:line="360" w:lineRule="auto"/>
        <w:rPr>
          <w:color w:val="000000"/>
        </w:rPr>
      </w:pPr>
    </w:p>
    <w:p w:rsidR="00883986" w:rsidRDefault="00883986" w:rsidP="00493029">
      <w:pPr>
        <w:pStyle w:val="Style"/>
        <w:widowControl/>
        <w:numPr>
          <w:ilvl w:val="0"/>
          <w:numId w:val="11"/>
        </w:numPr>
        <w:spacing w:line="360" w:lineRule="auto"/>
        <w:ind w:left="0" w:firstLine="1440"/>
        <w:rPr>
          <w:color w:val="000000"/>
        </w:rPr>
      </w:pPr>
      <w:r>
        <w:rPr>
          <w:color w:val="000000"/>
        </w:rPr>
        <w:t xml:space="preserve">That </w:t>
      </w:r>
      <w:r w:rsidR="004C3BA3">
        <w:rPr>
          <w:color w:val="000000"/>
        </w:rPr>
        <w:t xml:space="preserve">a </w:t>
      </w:r>
      <w:r w:rsidR="00A05AE9">
        <w:rPr>
          <w:color w:val="000000"/>
        </w:rPr>
        <w:t>F</w:t>
      </w:r>
      <w:r w:rsidR="004C3BA3">
        <w:rPr>
          <w:color w:val="000000"/>
        </w:rPr>
        <w:t xml:space="preserve">urther </w:t>
      </w:r>
      <w:r w:rsidR="00A05AE9">
        <w:rPr>
          <w:color w:val="000000"/>
        </w:rPr>
        <w:t>T</w:t>
      </w:r>
      <w:r w:rsidR="004C3BA3">
        <w:rPr>
          <w:color w:val="000000"/>
        </w:rPr>
        <w:t xml:space="preserve">elephonic </w:t>
      </w:r>
      <w:r w:rsidR="00A05AE9">
        <w:rPr>
          <w:color w:val="000000"/>
        </w:rPr>
        <w:t>H</w:t>
      </w:r>
      <w:r w:rsidR="004C3BA3">
        <w:rPr>
          <w:color w:val="000000"/>
        </w:rPr>
        <w:t>earing in the above-captioned proceeding will be held on Thursday, October 20, 2016</w:t>
      </w:r>
      <w:r>
        <w:rPr>
          <w:color w:val="000000"/>
        </w:rPr>
        <w:t xml:space="preserve"> at 10:00 a.m. </w:t>
      </w:r>
    </w:p>
    <w:p w:rsidR="00883986" w:rsidRDefault="00883986" w:rsidP="00493029">
      <w:pPr>
        <w:pStyle w:val="Style"/>
        <w:widowControl/>
        <w:spacing w:line="360" w:lineRule="auto"/>
        <w:rPr>
          <w:color w:val="000000"/>
        </w:rPr>
      </w:pPr>
    </w:p>
    <w:p w:rsidR="00883986" w:rsidRDefault="00883986" w:rsidP="00493029">
      <w:pPr>
        <w:pStyle w:val="Style"/>
        <w:widowControl/>
        <w:numPr>
          <w:ilvl w:val="0"/>
          <w:numId w:val="11"/>
        </w:numPr>
        <w:spacing w:line="360" w:lineRule="auto"/>
        <w:ind w:left="0" w:firstLine="1440"/>
        <w:rPr>
          <w:color w:val="000000"/>
        </w:rPr>
      </w:pPr>
      <w:r>
        <w:rPr>
          <w:color w:val="000000"/>
        </w:rPr>
        <w:t xml:space="preserve">That Kevin Lofton is </w:t>
      </w:r>
      <w:r w:rsidR="005C57CB">
        <w:rPr>
          <w:rFonts w:eastAsiaTheme="minorHAnsi"/>
        </w:rPr>
        <w:t xml:space="preserve">put on notice that he may be prohibited from filing further informal or formal complaints with the Commission </w:t>
      </w:r>
      <w:r w:rsidR="00BB5CE8">
        <w:rPr>
          <w:rFonts w:eastAsiaTheme="minorHAnsi"/>
        </w:rPr>
        <w:t xml:space="preserve">against Philadelphia Gas Works </w:t>
      </w:r>
      <w:r w:rsidR="005C57CB">
        <w:rPr>
          <w:rFonts w:eastAsiaTheme="minorHAnsi"/>
        </w:rPr>
        <w:t xml:space="preserve">regarding arrearages on his account until all such arrearages are paid in full if it is found that he has abused the processes of the Public Utility Commission.  </w:t>
      </w:r>
    </w:p>
    <w:p w:rsidR="00A35883" w:rsidRPr="00883986" w:rsidRDefault="00A35883" w:rsidP="00493029">
      <w:pPr>
        <w:pStyle w:val="Style"/>
        <w:widowControl/>
        <w:tabs>
          <w:tab w:val="left" w:pos="1570"/>
          <w:tab w:val="left" w:pos="2290"/>
        </w:tabs>
        <w:spacing w:line="360" w:lineRule="auto"/>
        <w:ind w:firstLine="1440"/>
        <w:rPr>
          <w:color w:val="000000"/>
        </w:rPr>
      </w:pPr>
    </w:p>
    <w:p w:rsidR="00EB1CE7" w:rsidRPr="00883986" w:rsidRDefault="00EB1CE7" w:rsidP="00493029">
      <w:pPr>
        <w:pStyle w:val="Style"/>
        <w:widowControl/>
        <w:tabs>
          <w:tab w:val="left" w:pos="1570"/>
          <w:tab w:val="left" w:pos="2290"/>
        </w:tabs>
        <w:spacing w:line="360" w:lineRule="auto"/>
        <w:ind w:firstLine="1440"/>
        <w:rPr>
          <w:color w:val="000000"/>
        </w:rPr>
      </w:pPr>
    </w:p>
    <w:p w:rsidR="00121ECD" w:rsidRPr="00493029" w:rsidRDefault="00121ECD" w:rsidP="00373EC0">
      <w:pPr>
        <w:pStyle w:val="Style"/>
        <w:tabs>
          <w:tab w:val="left" w:pos="1570"/>
          <w:tab w:val="left" w:pos="2290"/>
        </w:tabs>
        <w:rPr>
          <w:color w:val="000000"/>
          <w:u w:val="single"/>
        </w:rPr>
      </w:pPr>
      <w:r w:rsidRPr="00DC59A1">
        <w:rPr>
          <w:color w:val="000000"/>
        </w:rPr>
        <w:t xml:space="preserve">Date: </w:t>
      </w:r>
      <w:r w:rsidR="004C3BA3">
        <w:rPr>
          <w:color w:val="000000"/>
          <w:u w:val="single"/>
        </w:rPr>
        <w:t>September 2</w:t>
      </w:r>
      <w:r w:rsidR="00883986">
        <w:rPr>
          <w:color w:val="000000"/>
          <w:u w:val="single"/>
        </w:rPr>
        <w:t>, 2016</w:t>
      </w:r>
      <w:r w:rsidR="006C5B26">
        <w:rPr>
          <w:color w:val="000000"/>
        </w:rPr>
        <w:tab/>
      </w:r>
      <w:r w:rsidR="00DB1465">
        <w:rPr>
          <w:color w:val="000000"/>
        </w:rPr>
        <w:tab/>
      </w:r>
      <w:r w:rsidR="00883986">
        <w:rPr>
          <w:color w:val="000000"/>
        </w:rPr>
        <w:tab/>
      </w:r>
      <w:r w:rsidR="00493029">
        <w:rPr>
          <w:color w:val="000000"/>
        </w:rPr>
        <w:tab/>
      </w:r>
      <w:r w:rsidR="00493029">
        <w:rPr>
          <w:color w:val="000000"/>
          <w:u w:val="single"/>
        </w:rPr>
        <w:tab/>
      </w:r>
      <w:r w:rsidR="00493029">
        <w:rPr>
          <w:color w:val="000000"/>
          <w:u w:val="single"/>
        </w:rPr>
        <w:tab/>
      </w:r>
      <w:r w:rsidR="00493029">
        <w:rPr>
          <w:color w:val="000000"/>
          <w:u w:val="single"/>
        </w:rPr>
        <w:tab/>
      </w:r>
      <w:r w:rsidR="00493029">
        <w:rPr>
          <w:color w:val="000000"/>
          <w:u w:val="single"/>
        </w:rPr>
        <w:tab/>
      </w:r>
      <w:r w:rsidR="00493029">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r>
      <w:r w:rsidR="00493029">
        <w:rPr>
          <w:color w:val="000000"/>
        </w:rPr>
        <w:tab/>
      </w:r>
      <w:r w:rsidRPr="00DC59A1">
        <w:rPr>
          <w:color w:val="000000"/>
        </w:rPr>
        <w:t>Joel H. Cheskis</w:t>
      </w:r>
    </w:p>
    <w:p w:rsidR="009F41F5" w:rsidRDefault="00121ECD" w:rsidP="002A5419">
      <w:pPr>
        <w:pStyle w:val="Style"/>
        <w:tabs>
          <w:tab w:val="left" w:pos="1570"/>
          <w:tab w:val="left" w:pos="2290"/>
        </w:tabs>
        <w:rPr>
          <w:color w:val="000000"/>
        </w:rPr>
        <w:sectPr w:rsidR="009F41F5" w:rsidSect="00493029">
          <w:footerReference w:type="default" r:id="rId9"/>
          <w:pgSz w:w="12240" w:h="15840"/>
          <w:pgMar w:top="1296" w:right="1440" w:bottom="1296"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r>
      <w:r w:rsidR="00493029">
        <w:rPr>
          <w:color w:val="000000"/>
        </w:rPr>
        <w:tab/>
      </w:r>
      <w:r w:rsidRPr="00DC59A1">
        <w:rPr>
          <w:color w:val="000000"/>
        </w:rPr>
        <w:t>Administrative Law Judge</w:t>
      </w:r>
    </w:p>
    <w:p w:rsidR="009F41F5" w:rsidRDefault="009F41F5" w:rsidP="009F41F5">
      <w:pPr>
        <w:spacing w:after="0" w:line="240" w:lineRule="auto"/>
        <w:contextualSpacing/>
        <w:rPr>
          <w:rFonts w:ascii="Microsoft Sans Serif"/>
          <w:b/>
          <w:sz w:val="24"/>
          <w:u w:val="single"/>
        </w:rPr>
      </w:pPr>
      <w:r>
        <w:rPr>
          <w:rFonts w:ascii="Microsoft Sans Serif"/>
          <w:b/>
          <w:sz w:val="24"/>
          <w:u w:val="single"/>
        </w:rPr>
        <w:lastRenderedPageBreak/>
        <w:t>C-2016-2539283 - KEVIN T LOFTON JR v. PHILADELPHIA GAS WORKS</w:t>
      </w:r>
      <w:r>
        <w:rPr>
          <w:rFonts w:ascii="Microsoft Sans Serif"/>
          <w:b/>
          <w:sz w:val="24"/>
          <w:u w:val="single"/>
        </w:rPr>
        <w:cr/>
      </w:r>
    </w:p>
    <w:p w:rsidR="009F41F5" w:rsidRDefault="009F41F5" w:rsidP="009F41F5">
      <w:pPr>
        <w:spacing w:after="0" w:line="240" w:lineRule="auto"/>
        <w:contextualSpacing/>
        <w:rPr>
          <w:rFonts w:ascii="Microsoft Sans Serif"/>
          <w:b/>
          <w:i/>
          <w:sz w:val="24"/>
          <w:u w:val="single"/>
        </w:rPr>
      </w:pPr>
      <w:bookmarkStart w:id="0" w:name="_GoBack"/>
      <w:bookmarkEnd w:id="0"/>
      <w:r>
        <w:rPr>
          <w:rFonts w:ascii="Microsoft Sans Serif"/>
          <w:b/>
          <w:sz w:val="24"/>
          <w:u w:val="single"/>
        </w:rPr>
        <w:cr/>
      </w:r>
      <w:r>
        <w:rPr>
          <w:rFonts w:ascii="Microsoft Sans Serif"/>
          <w:sz w:val="24"/>
        </w:rPr>
        <w:t>KEVIN T LOFTON JR</w:t>
      </w:r>
      <w:r>
        <w:rPr>
          <w:rFonts w:ascii="Microsoft Sans Serif"/>
          <w:sz w:val="24"/>
        </w:rPr>
        <w:cr/>
        <w:t>1961 ASHLEY STREET</w:t>
      </w:r>
      <w:r>
        <w:rPr>
          <w:rFonts w:ascii="Microsoft Sans Serif"/>
          <w:sz w:val="24"/>
        </w:rPr>
        <w:cr/>
        <w:t>PHILADELPHIA PA  19138</w:t>
      </w:r>
      <w:r>
        <w:rPr>
          <w:rFonts w:ascii="Microsoft Sans Serif"/>
          <w:sz w:val="24"/>
        </w:rPr>
        <w:cr/>
      </w:r>
      <w:r w:rsidRPr="009F41F5">
        <w:rPr>
          <w:rFonts w:ascii="Microsoft Sans Serif"/>
          <w:b/>
          <w:sz w:val="24"/>
        </w:rPr>
        <w:t>267.297.5790</w:t>
      </w:r>
      <w:r>
        <w:rPr>
          <w:rFonts w:ascii="Microsoft Sans Serif"/>
          <w:sz w:val="24"/>
        </w:rPr>
        <w:cr/>
      </w:r>
      <w:r>
        <w:rPr>
          <w:rFonts w:ascii="Microsoft Sans Serif"/>
          <w:b/>
          <w:i/>
          <w:sz w:val="24"/>
          <w:u w:val="single"/>
        </w:rPr>
        <w:t>ACCEPTS E-SERVICE</w:t>
      </w:r>
    </w:p>
    <w:p w:rsidR="009F41F5" w:rsidRPr="00250542" w:rsidRDefault="009F41F5" w:rsidP="009F41F5">
      <w:pPr>
        <w:spacing w:after="0" w:line="240" w:lineRule="auto"/>
        <w:contextualSpacing/>
        <w:rPr>
          <w:b/>
          <w:i/>
          <w:u w:val="single"/>
        </w:rPr>
      </w:pP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9F41F5">
        <w:rPr>
          <w:rFonts w:ascii="Microsoft Sans Serif"/>
          <w:b/>
          <w:sz w:val="24"/>
        </w:rPr>
        <w:t>215.684.6164</w:t>
      </w:r>
      <w:r>
        <w:rPr>
          <w:rFonts w:ascii="Microsoft Sans Serif"/>
          <w:sz w:val="24"/>
        </w:rPr>
        <w:cr/>
      </w:r>
      <w:r>
        <w:rPr>
          <w:rFonts w:ascii="Microsoft Sans Serif"/>
          <w:b/>
          <w:i/>
          <w:sz w:val="24"/>
          <w:u w:val="single"/>
        </w:rPr>
        <w:t>ACCEPTS E-SERVICE</w:t>
      </w:r>
    </w:p>
    <w:p w:rsidR="009F41F5" w:rsidRDefault="009F41F5" w:rsidP="009F41F5">
      <w:pPr>
        <w:spacing w:after="0" w:line="240" w:lineRule="auto"/>
        <w:contextualSpacing/>
      </w:pPr>
    </w:p>
    <w:p w:rsidR="00185AE0" w:rsidRPr="002A5419" w:rsidRDefault="00185AE0" w:rsidP="002A5419">
      <w:pPr>
        <w:pStyle w:val="Style"/>
        <w:tabs>
          <w:tab w:val="left" w:pos="1570"/>
          <w:tab w:val="left" w:pos="2290"/>
        </w:tabs>
      </w:pPr>
    </w:p>
    <w:sectPr w:rsidR="00185AE0" w:rsidRPr="002A5419" w:rsidSect="00493029">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543" w:rsidRDefault="00871543" w:rsidP="009241C7">
      <w:pPr>
        <w:spacing w:after="0" w:line="240" w:lineRule="auto"/>
      </w:pPr>
      <w:r>
        <w:separator/>
      </w:r>
    </w:p>
  </w:endnote>
  <w:endnote w:type="continuationSeparator" w:id="0">
    <w:p w:rsidR="00871543" w:rsidRDefault="00871543"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rPr>
        <w:rFonts w:ascii="Times New Roman" w:hAnsi="Times New Roman" w:cs="Times New Roman"/>
        <w:sz w:val="20"/>
        <w:szCs w:val="20"/>
      </w:rPr>
    </w:sdtEndPr>
    <w:sdtContent>
      <w:p w:rsidR="009241C7" w:rsidRPr="00493029" w:rsidRDefault="00E40FEF">
        <w:pPr>
          <w:pStyle w:val="Footer"/>
          <w:jc w:val="center"/>
          <w:rPr>
            <w:rFonts w:ascii="Times New Roman" w:hAnsi="Times New Roman" w:cs="Times New Roman"/>
            <w:sz w:val="20"/>
            <w:szCs w:val="20"/>
          </w:rPr>
        </w:pPr>
        <w:r w:rsidRPr="00493029">
          <w:rPr>
            <w:rFonts w:ascii="Times New Roman" w:hAnsi="Times New Roman" w:cs="Times New Roman"/>
            <w:sz w:val="20"/>
            <w:szCs w:val="20"/>
          </w:rPr>
          <w:fldChar w:fldCharType="begin"/>
        </w:r>
        <w:r w:rsidRPr="00493029">
          <w:rPr>
            <w:rFonts w:ascii="Times New Roman" w:hAnsi="Times New Roman" w:cs="Times New Roman"/>
            <w:sz w:val="20"/>
            <w:szCs w:val="20"/>
          </w:rPr>
          <w:instrText xml:space="preserve"> PAGE   \* MERGEFORMAT </w:instrText>
        </w:r>
        <w:r w:rsidRPr="00493029">
          <w:rPr>
            <w:rFonts w:ascii="Times New Roman" w:hAnsi="Times New Roman" w:cs="Times New Roman"/>
            <w:sz w:val="20"/>
            <w:szCs w:val="20"/>
          </w:rPr>
          <w:fldChar w:fldCharType="separate"/>
        </w:r>
        <w:r w:rsidR="009F41F5">
          <w:rPr>
            <w:rFonts w:ascii="Times New Roman" w:hAnsi="Times New Roman" w:cs="Times New Roman"/>
            <w:noProof/>
            <w:sz w:val="20"/>
            <w:szCs w:val="20"/>
          </w:rPr>
          <w:t>3</w:t>
        </w:r>
        <w:r w:rsidRPr="0049302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543" w:rsidRDefault="00871543" w:rsidP="009241C7">
      <w:pPr>
        <w:spacing w:after="0" w:line="240" w:lineRule="auto"/>
      </w:pPr>
      <w:r>
        <w:separator/>
      </w:r>
    </w:p>
  </w:footnote>
  <w:footnote w:type="continuationSeparator" w:id="0">
    <w:p w:rsidR="00871543" w:rsidRDefault="00871543"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3"/>
  </w:num>
  <w:num w:numId="3">
    <w:abstractNumId w:val="2"/>
  </w:num>
  <w:num w:numId="4">
    <w:abstractNumId w:val="10"/>
  </w:num>
  <w:num w:numId="5">
    <w:abstractNumId w:val="8"/>
  </w:num>
  <w:num w:numId="6">
    <w:abstractNumId w:val="0"/>
  </w:num>
  <w:num w:numId="7">
    <w:abstractNumId w:val="4"/>
  </w:num>
  <w:num w:numId="8">
    <w:abstractNumId w:val="9"/>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2B25"/>
    <w:rsid w:val="00023316"/>
    <w:rsid w:val="000248FB"/>
    <w:rsid w:val="0002569B"/>
    <w:rsid w:val="00026E9F"/>
    <w:rsid w:val="00031A08"/>
    <w:rsid w:val="00036AD2"/>
    <w:rsid w:val="00041A91"/>
    <w:rsid w:val="00053F52"/>
    <w:rsid w:val="00067EAE"/>
    <w:rsid w:val="00070E64"/>
    <w:rsid w:val="00080A87"/>
    <w:rsid w:val="00081BD4"/>
    <w:rsid w:val="000914F5"/>
    <w:rsid w:val="00092595"/>
    <w:rsid w:val="000925C3"/>
    <w:rsid w:val="0009465A"/>
    <w:rsid w:val="00097754"/>
    <w:rsid w:val="000A0FCE"/>
    <w:rsid w:val="000A7468"/>
    <w:rsid w:val="000A7EDD"/>
    <w:rsid w:val="000B2F56"/>
    <w:rsid w:val="000B330B"/>
    <w:rsid w:val="000B5B3F"/>
    <w:rsid w:val="000B7A70"/>
    <w:rsid w:val="000C07AF"/>
    <w:rsid w:val="000C4D7B"/>
    <w:rsid w:val="000C51F4"/>
    <w:rsid w:val="000C6E20"/>
    <w:rsid w:val="000C7852"/>
    <w:rsid w:val="000D3A59"/>
    <w:rsid w:val="000F11D3"/>
    <w:rsid w:val="000F1AF4"/>
    <w:rsid w:val="000F2B0E"/>
    <w:rsid w:val="000F52EE"/>
    <w:rsid w:val="000F5849"/>
    <w:rsid w:val="001111DE"/>
    <w:rsid w:val="001219A8"/>
    <w:rsid w:val="00121ECD"/>
    <w:rsid w:val="00124CED"/>
    <w:rsid w:val="0013533F"/>
    <w:rsid w:val="001418FB"/>
    <w:rsid w:val="00143553"/>
    <w:rsid w:val="00144527"/>
    <w:rsid w:val="00144FED"/>
    <w:rsid w:val="00145468"/>
    <w:rsid w:val="00151D18"/>
    <w:rsid w:val="00155ABB"/>
    <w:rsid w:val="00157035"/>
    <w:rsid w:val="00171EF9"/>
    <w:rsid w:val="00177B9F"/>
    <w:rsid w:val="001821C2"/>
    <w:rsid w:val="001825A6"/>
    <w:rsid w:val="001837B7"/>
    <w:rsid w:val="00185AE0"/>
    <w:rsid w:val="001977DD"/>
    <w:rsid w:val="00197FD4"/>
    <w:rsid w:val="001A3F4F"/>
    <w:rsid w:val="001B0D2F"/>
    <w:rsid w:val="001B44AA"/>
    <w:rsid w:val="001C5B81"/>
    <w:rsid w:val="001C5B9D"/>
    <w:rsid w:val="001D0B73"/>
    <w:rsid w:val="001D267B"/>
    <w:rsid w:val="001D2C90"/>
    <w:rsid w:val="001D67E6"/>
    <w:rsid w:val="001F1EC9"/>
    <w:rsid w:val="00203E7B"/>
    <w:rsid w:val="00215036"/>
    <w:rsid w:val="00216A23"/>
    <w:rsid w:val="00220C6E"/>
    <w:rsid w:val="00226FDE"/>
    <w:rsid w:val="00241AA3"/>
    <w:rsid w:val="002425D6"/>
    <w:rsid w:val="00252879"/>
    <w:rsid w:val="0025585F"/>
    <w:rsid w:val="00257D92"/>
    <w:rsid w:val="00266840"/>
    <w:rsid w:val="002703BD"/>
    <w:rsid w:val="002732C9"/>
    <w:rsid w:val="00275F08"/>
    <w:rsid w:val="0028525E"/>
    <w:rsid w:val="002969C7"/>
    <w:rsid w:val="002A1D07"/>
    <w:rsid w:val="002A5419"/>
    <w:rsid w:val="002A5C06"/>
    <w:rsid w:val="002A7B0E"/>
    <w:rsid w:val="002A7B28"/>
    <w:rsid w:val="002B06A4"/>
    <w:rsid w:val="002B36A7"/>
    <w:rsid w:val="002B38ED"/>
    <w:rsid w:val="002B7CE8"/>
    <w:rsid w:val="002D534F"/>
    <w:rsid w:val="002E15E5"/>
    <w:rsid w:val="002E6C73"/>
    <w:rsid w:val="002E7579"/>
    <w:rsid w:val="002F75A1"/>
    <w:rsid w:val="0030112F"/>
    <w:rsid w:val="00310798"/>
    <w:rsid w:val="00311B27"/>
    <w:rsid w:val="00320B58"/>
    <w:rsid w:val="00321DB3"/>
    <w:rsid w:val="0032311D"/>
    <w:rsid w:val="00324E46"/>
    <w:rsid w:val="00332C07"/>
    <w:rsid w:val="003348F5"/>
    <w:rsid w:val="00335756"/>
    <w:rsid w:val="00341407"/>
    <w:rsid w:val="00341BD3"/>
    <w:rsid w:val="00342CB5"/>
    <w:rsid w:val="00345E96"/>
    <w:rsid w:val="00352995"/>
    <w:rsid w:val="003571E6"/>
    <w:rsid w:val="003577FC"/>
    <w:rsid w:val="003618CD"/>
    <w:rsid w:val="00361D92"/>
    <w:rsid w:val="003649CA"/>
    <w:rsid w:val="00373EC0"/>
    <w:rsid w:val="00374213"/>
    <w:rsid w:val="003760CE"/>
    <w:rsid w:val="00383321"/>
    <w:rsid w:val="003846A2"/>
    <w:rsid w:val="003865E7"/>
    <w:rsid w:val="003875B9"/>
    <w:rsid w:val="003878DA"/>
    <w:rsid w:val="00390550"/>
    <w:rsid w:val="00391958"/>
    <w:rsid w:val="003A087C"/>
    <w:rsid w:val="003A4339"/>
    <w:rsid w:val="003A5AE4"/>
    <w:rsid w:val="003A64B0"/>
    <w:rsid w:val="003C0000"/>
    <w:rsid w:val="003C07C4"/>
    <w:rsid w:val="003C34A5"/>
    <w:rsid w:val="003C3DBA"/>
    <w:rsid w:val="003C4930"/>
    <w:rsid w:val="003C4BF8"/>
    <w:rsid w:val="003C6E57"/>
    <w:rsid w:val="003D0F80"/>
    <w:rsid w:val="003E1C56"/>
    <w:rsid w:val="003F38EE"/>
    <w:rsid w:val="003F41CE"/>
    <w:rsid w:val="00411C20"/>
    <w:rsid w:val="00413898"/>
    <w:rsid w:val="00417A04"/>
    <w:rsid w:val="00431E33"/>
    <w:rsid w:val="004338B6"/>
    <w:rsid w:val="00433D8F"/>
    <w:rsid w:val="00436B52"/>
    <w:rsid w:val="00440C40"/>
    <w:rsid w:val="00446D70"/>
    <w:rsid w:val="004472FC"/>
    <w:rsid w:val="00450BEC"/>
    <w:rsid w:val="00460CAB"/>
    <w:rsid w:val="00466028"/>
    <w:rsid w:val="00477535"/>
    <w:rsid w:val="0048086E"/>
    <w:rsid w:val="00483DF7"/>
    <w:rsid w:val="00491664"/>
    <w:rsid w:val="00493029"/>
    <w:rsid w:val="004A5CD2"/>
    <w:rsid w:val="004A74FD"/>
    <w:rsid w:val="004B0D2B"/>
    <w:rsid w:val="004B1589"/>
    <w:rsid w:val="004B45AA"/>
    <w:rsid w:val="004C3BA3"/>
    <w:rsid w:val="004D4F08"/>
    <w:rsid w:val="004D5FCB"/>
    <w:rsid w:val="004D640C"/>
    <w:rsid w:val="004E5031"/>
    <w:rsid w:val="004F3B9B"/>
    <w:rsid w:val="004F535F"/>
    <w:rsid w:val="004F5E09"/>
    <w:rsid w:val="0050346B"/>
    <w:rsid w:val="00503846"/>
    <w:rsid w:val="005038C6"/>
    <w:rsid w:val="00504C7A"/>
    <w:rsid w:val="00510D85"/>
    <w:rsid w:val="00516306"/>
    <w:rsid w:val="005263AB"/>
    <w:rsid w:val="00527568"/>
    <w:rsid w:val="005302D9"/>
    <w:rsid w:val="00536E43"/>
    <w:rsid w:val="0055000D"/>
    <w:rsid w:val="00550613"/>
    <w:rsid w:val="005506B3"/>
    <w:rsid w:val="00550C6A"/>
    <w:rsid w:val="00552087"/>
    <w:rsid w:val="005641CB"/>
    <w:rsid w:val="005715D4"/>
    <w:rsid w:val="0058713D"/>
    <w:rsid w:val="00587FD3"/>
    <w:rsid w:val="005A445B"/>
    <w:rsid w:val="005B259A"/>
    <w:rsid w:val="005B33EB"/>
    <w:rsid w:val="005B3745"/>
    <w:rsid w:val="005B740A"/>
    <w:rsid w:val="005C22FA"/>
    <w:rsid w:val="005C398C"/>
    <w:rsid w:val="005C57CB"/>
    <w:rsid w:val="005D077E"/>
    <w:rsid w:val="005D1C1B"/>
    <w:rsid w:val="005D225F"/>
    <w:rsid w:val="005D4BE3"/>
    <w:rsid w:val="005E43CA"/>
    <w:rsid w:val="005F225E"/>
    <w:rsid w:val="005F265E"/>
    <w:rsid w:val="005F2F1A"/>
    <w:rsid w:val="005F7715"/>
    <w:rsid w:val="006022AC"/>
    <w:rsid w:val="00602D26"/>
    <w:rsid w:val="00610EA6"/>
    <w:rsid w:val="00611EBF"/>
    <w:rsid w:val="006130C0"/>
    <w:rsid w:val="00627265"/>
    <w:rsid w:val="006279C0"/>
    <w:rsid w:val="00637D1F"/>
    <w:rsid w:val="006424DA"/>
    <w:rsid w:val="00644A61"/>
    <w:rsid w:val="006540A4"/>
    <w:rsid w:val="00656517"/>
    <w:rsid w:val="006570D0"/>
    <w:rsid w:val="0066185C"/>
    <w:rsid w:val="0066377A"/>
    <w:rsid w:val="00666588"/>
    <w:rsid w:val="00672780"/>
    <w:rsid w:val="00676D5E"/>
    <w:rsid w:val="006872AC"/>
    <w:rsid w:val="006A396A"/>
    <w:rsid w:val="006A7D99"/>
    <w:rsid w:val="006B1873"/>
    <w:rsid w:val="006B2A5E"/>
    <w:rsid w:val="006B57E3"/>
    <w:rsid w:val="006C4B33"/>
    <w:rsid w:val="006C5B26"/>
    <w:rsid w:val="006C61B5"/>
    <w:rsid w:val="006D0141"/>
    <w:rsid w:val="006D1AE4"/>
    <w:rsid w:val="006D2789"/>
    <w:rsid w:val="006D5108"/>
    <w:rsid w:val="006E0DED"/>
    <w:rsid w:val="006E15D0"/>
    <w:rsid w:val="006E4790"/>
    <w:rsid w:val="006E5776"/>
    <w:rsid w:val="006E7592"/>
    <w:rsid w:val="006F33BE"/>
    <w:rsid w:val="006F78DF"/>
    <w:rsid w:val="00702030"/>
    <w:rsid w:val="00704BAA"/>
    <w:rsid w:val="00706238"/>
    <w:rsid w:val="00715BDB"/>
    <w:rsid w:val="00731411"/>
    <w:rsid w:val="00735033"/>
    <w:rsid w:val="00747F28"/>
    <w:rsid w:val="007519F2"/>
    <w:rsid w:val="007564AC"/>
    <w:rsid w:val="00757232"/>
    <w:rsid w:val="00757894"/>
    <w:rsid w:val="00760AE4"/>
    <w:rsid w:val="007655D7"/>
    <w:rsid w:val="0076798D"/>
    <w:rsid w:val="007734E2"/>
    <w:rsid w:val="007A6551"/>
    <w:rsid w:val="007B331B"/>
    <w:rsid w:val="007C023F"/>
    <w:rsid w:val="007D7473"/>
    <w:rsid w:val="007E6EAC"/>
    <w:rsid w:val="007F70FE"/>
    <w:rsid w:val="008204B2"/>
    <w:rsid w:val="00823051"/>
    <w:rsid w:val="008243A1"/>
    <w:rsid w:val="008429DC"/>
    <w:rsid w:val="008465BE"/>
    <w:rsid w:val="008618CF"/>
    <w:rsid w:val="00862E32"/>
    <w:rsid w:val="00871543"/>
    <w:rsid w:val="00871B44"/>
    <w:rsid w:val="008745D2"/>
    <w:rsid w:val="0087468B"/>
    <w:rsid w:val="00883986"/>
    <w:rsid w:val="00887E3A"/>
    <w:rsid w:val="00894054"/>
    <w:rsid w:val="00894C4B"/>
    <w:rsid w:val="008A65AF"/>
    <w:rsid w:val="008A6A5F"/>
    <w:rsid w:val="008B2720"/>
    <w:rsid w:val="008D65DF"/>
    <w:rsid w:val="008E0C32"/>
    <w:rsid w:val="008E2235"/>
    <w:rsid w:val="008E4B8E"/>
    <w:rsid w:val="008E5A17"/>
    <w:rsid w:val="008F0B1D"/>
    <w:rsid w:val="008F153D"/>
    <w:rsid w:val="008F58BF"/>
    <w:rsid w:val="00900D0C"/>
    <w:rsid w:val="009013AF"/>
    <w:rsid w:val="00902293"/>
    <w:rsid w:val="00913901"/>
    <w:rsid w:val="00914372"/>
    <w:rsid w:val="00914680"/>
    <w:rsid w:val="00914C09"/>
    <w:rsid w:val="009153F3"/>
    <w:rsid w:val="0092084E"/>
    <w:rsid w:val="00922130"/>
    <w:rsid w:val="00922D78"/>
    <w:rsid w:val="009241C7"/>
    <w:rsid w:val="009254CC"/>
    <w:rsid w:val="009326AF"/>
    <w:rsid w:val="00936EA7"/>
    <w:rsid w:val="009438B9"/>
    <w:rsid w:val="00946C61"/>
    <w:rsid w:val="00947B3D"/>
    <w:rsid w:val="00953D87"/>
    <w:rsid w:val="009544CA"/>
    <w:rsid w:val="00956926"/>
    <w:rsid w:val="0097179D"/>
    <w:rsid w:val="0097226B"/>
    <w:rsid w:val="00976E88"/>
    <w:rsid w:val="009A11DE"/>
    <w:rsid w:val="009A32A9"/>
    <w:rsid w:val="009A4ECB"/>
    <w:rsid w:val="009B4ECD"/>
    <w:rsid w:val="009C1951"/>
    <w:rsid w:val="009C1FD9"/>
    <w:rsid w:val="009D337A"/>
    <w:rsid w:val="009D63A9"/>
    <w:rsid w:val="009E0FD4"/>
    <w:rsid w:val="009E1D04"/>
    <w:rsid w:val="009E2C00"/>
    <w:rsid w:val="009E3C78"/>
    <w:rsid w:val="009E5425"/>
    <w:rsid w:val="009F41F5"/>
    <w:rsid w:val="00A0071E"/>
    <w:rsid w:val="00A02A30"/>
    <w:rsid w:val="00A03EB3"/>
    <w:rsid w:val="00A05AE9"/>
    <w:rsid w:val="00A103FC"/>
    <w:rsid w:val="00A13B6A"/>
    <w:rsid w:val="00A21EAB"/>
    <w:rsid w:val="00A23850"/>
    <w:rsid w:val="00A31751"/>
    <w:rsid w:val="00A32232"/>
    <w:rsid w:val="00A3225F"/>
    <w:rsid w:val="00A33925"/>
    <w:rsid w:val="00A34924"/>
    <w:rsid w:val="00A35883"/>
    <w:rsid w:val="00A40E86"/>
    <w:rsid w:val="00A41B4F"/>
    <w:rsid w:val="00A42FB6"/>
    <w:rsid w:val="00A43A3F"/>
    <w:rsid w:val="00A44703"/>
    <w:rsid w:val="00A51A8A"/>
    <w:rsid w:val="00A57E0D"/>
    <w:rsid w:val="00A62C31"/>
    <w:rsid w:val="00A6692A"/>
    <w:rsid w:val="00A72466"/>
    <w:rsid w:val="00A7686F"/>
    <w:rsid w:val="00A82914"/>
    <w:rsid w:val="00A86E06"/>
    <w:rsid w:val="00A875D6"/>
    <w:rsid w:val="00A90179"/>
    <w:rsid w:val="00A909CE"/>
    <w:rsid w:val="00A96136"/>
    <w:rsid w:val="00A972E1"/>
    <w:rsid w:val="00AA6F33"/>
    <w:rsid w:val="00AB0E70"/>
    <w:rsid w:val="00AB2EF7"/>
    <w:rsid w:val="00AB7320"/>
    <w:rsid w:val="00AC6282"/>
    <w:rsid w:val="00AD3BF7"/>
    <w:rsid w:val="00AD7534"/>
    <w:rsid w:val="00AE4CAA"/>
    <w:rsid w:val="00AF2EC8"/>
    <w:rsid w:val="00B00407"/>
    <w:rsid w:val="00B2002A"/>
    <w:rsid w:val="00B20648"/>
    <w:rsid w:val="00B214C6"/>
    <w:rsid w:val="00B24692"/>
    <w:rsid w:val="00B412AE"/>
    <w:rsid w:val="00B468E9"/>
    <w:rsid w:val="00B60940"/>
    <w:rsid w:val="00B73006"/>
    <w:rsid w:val="00B75C23"/>
    <w:rsid w:val="00B8054B"/>
    <w:rsid w:val="00B84180"/>
    <w:rsid w:val="00B8482E"/>
    <w:rsid w:val="00B852BA"/>
    <w:rsid w:val="00B878DF"/>
    <w:rsid w:val="00B90964"/>
    <w:rsid w:val="00B95C81"/>
    <w:rsid w:val="00BA3B5E"/>
    <w:rsid w:val="00BA4B6F"/>
    <w:rsid w:val="00BB1741"/>
    <w:rsid w:val="00BB286F"/>
    <w:rsid w:val="00BB5CE8"/>
    <w:rsid w:val="00BD47DA"/>
    <w:rsid w:val="00BE108A"/>
    <w:rsid w:val="00BE693A"/>
    <w:rsid w:val="00BF222A"/>
    <w:rsid w:val="00BF47BB"/>
    <w:rsid w:val="00BF6172"/>
    <w:rsid w:val="00BF62FB"/>
    <w:rsid w:val="00C007E5"/>
    <w:rsid w:val="00C0143F"/>
    <w:rsid w:val="00C0615D"/>
    <w:rsid w:val="00C11FBB"/>
    <w:rsid w:val="00C127AF"/>
    <w:rsid w:val="00C16F92"/>
    <w:rsid w:val="00C336CB"/>
    <w:rsid w:val="00C45896"/>
    <w:rsid w:val="00C45BBD"/>
    <w:rsid w:val="00C461D3"/>
    <w:rsid w:val="00C510B1"/>
    <w:rsid w:val="00C62C9E"/>
    <w:rsid w:val="00C63F25"/>
    <w:rsid w:val="00C661D3"/>
    <w:rsid w:val="00C678F5"/>
    <w:rsid w:val="00C73734"/>
    <w:rsid w:val="00C82F2A"/>
    <w:rsid w:val="00C902DB"/>
    <w:rsid w:val="00C90B33"/>
    <w:rsid w:val="00C961DB"/>
    <w:rsid w:val="00CA02E6"/>
    <w:rsid w:val="00CA18C2"/>
    <w:rsid w:val="00CA2392"/>
    <w:rsid w:val="00CA2D9A"/>
    <w:rsid w:val="00CA3C02"/>
    <w:rsid w:val="00CB304C"/>
    <w:rsid w:val="00CB63F9"/>
    <w:rsid w:val="00CC5879"/>
    <w:rsid w:val="00CC7B50"/>
    <w:rsid w:val="00CD0813"/>
    <w:rsid w:val="00CD16AA"/>
    <w:rsid w:val="00CD5E73"/>
    <w:rsid w:val="00CE56B7"/>
    <w:rsid w:val="00CF17D8"/>
    <w:rsid w:val="00CF2962"/>
    <w:rsid w:val="00CF3057"/>
    <w:rsid w:val="00CF4D9E"/>
    <w:rsid w:val="00D0316A"/>
    <w:rsid w:val="00D112CB"/>
    <w:rsid w:val="00D11ED2"/>
    <w:rsid w:val="00D1244F"/>
    <w:rsid w:val="00D1448E"/>
    <w:rsid w:val="00D15554"/>
    <w:rsid w:val="00D1768A"/>
    <w:rsid w:val="00D35E95"/>
    <w:rsid w:val="00D36D00"/>
    <w:rsid w:val="00D435BC"/>
    <w:rsid w:val="00D43B1B"/>
    <w:rsid w:val="00D44F70"/>
    <w:rsid w:val="00D464F1"/>
    <w:rsid w:val="00D523D0"/>
    <w:rsid w:val="00D532DF"/>
    <w:rsid w:val="00D653F1"/>
    <w:rsid w:val="00D9074C"/>
    <w:rsid w:val="00D90D1F"/>
    <w:rsid w:val="00D9520E"/>
    <w:rsid w:val="00DB1465"/>
    <w:rsid w:val="00DC3B6C"/>
    <w:rsid w:val="00DC59A1"/>
    <w:rsid w:val="00DD030A"/>
    <w:rsid w:val="00DD413F"/>
    <w:rsid w:val="00DD43F4"/>
    <w:rsid w:val="00DD7A34"/>
    <w:rsid w:val="00DE1729"/>
    <w:rsid w:val="00DE3BD1"/>
    <w:rsid w:val="00DE63AF"/>
    <w:rsid w:val="00E0070F"/>
    <w:rsid w:val="00E01A59"/>
    <w:rsid w:val="00E04E0C"/>
    <w:rsid w:val="00E22B07"/>
    <w:rsid w:val="00E24D25"/>
    <w:rsid w:val="00E3286A"/>
    <w:rsid w:val="00E409C5"/>
    <w:rsid w:val="00E40FEF"/>
    <w:rsid w:val="00E428C8"/>
    <w:rsid w:val="00E45D87"/>
    <w:rsid w:val="00E51623"/>
    <w:rsid w:val="00E51726"/>
    <w:rsid w:val="00E57717"/>
    <w:rsid w:val="00E61A72"/>
    <w:rsid w:val="00E639EA"/>
    <w:rsid w:val="00E65902"/>
    <w:rsid w:val="00E74076"/>
    <w:rsid w:val="00E8607E"/>
    <w:rsid w:val="00E912FC"/>
    <w:rsid w:val="00E93D5C"/>
    <w:rsid w:val="00EB1CAD"/>
    <w:rsid w:val="00EB1CE7"/>
    <w:rsid w:val="00EB6F7D"/>
    <w:rsid w:val="00EC0A52"/>
    <w:rsid w:val="00EC2A28"/>
    <w:rsid w:val="00ED20E0"/>
    <w:rsid w:val="00ED339B"/>
    <w:rsid w:val="00ED38B6"/>
    <w:rsid w:val="00EE5BDF"/>
    <w:rsid w:val="00F11A68"/>
    <w:rsid w:val="00F1326B"/>
    <w:rsid w:val="00F42D7D"/>
    <w:rsid w:val="00F50FA7"/>
    <w:rsid w:val="00F547C9"/>
    <w:rsid w:val="00F612C0"/>
    <w:rsid w:val="00F640B9"/>
    <w:rsid w:val="00F81ECC"/>
    <w:rsid w:val="00F87670"/>
    <w:rsid w:val="00F95140"/>
    <w:rsid w:val="00FA2199"/>
    <w:rsid w:val="00FA6CF5"/>
    <w:rsid w:val="00FB1C58"/>
    <w:rsid w:val="00FB5C1B"/>
    <w:rsid w:val="00FB61E1"/>
    <w:rsid w:val="00FB6D35"/>
    <w:rsid w:val="00FC53F6"/>
    <w:rsid w:val="00FC5CD7"/>
    <w:rsid w:val="00FC7DB9"/>
    <w:rsid w:val="00FD0CF1"/>
    <w:rsid w:val="00FD13D9"/>
    <w:rsid w:val="00FD71E2"/>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BodyTextIndent">
    <w:name w:val="Body Text Indent"/>
    <w:basedOn w:val="Normal"/>
    <w:link w:val="BodyTextIndentChar"/>
    <w:rsid w:val="00E61A72"/>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E61A72"/>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BodyTextIndent">
    <w:name w:val="Body Text Indent"/>
    <w:basedOn w:val="Normal"/>
    <w:link w:val="BodyTextIndentChar"/>
    <w:rsid w:val="00E61A72"/>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E61A72"/>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ABABC-B9F8-4D7A-92E0-630D9F44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2016-09-02T16:59:00Z</cp:lastPrinted>
  <dcterms:created xsi:type="dcterms:W3CDTF">2016-09-06T13:57:00Z</dcterms:created>
  <dcterms:modified xsi:type="dcterms:W3CDTF">2016-09-06T14:01:00Z</dcterms:modified>
</cp:coreProperties>
</file>