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8A2F12" w:rsidRDefault="00CF4780" w:rsidP="008A2F12">
      <w:pPr>
        <w:jc w:val="center"/>
        <w:rPr>
          <w:b/>
        </w:rPr>
      </w:pPr>
      <w:r w:rsidRPr="008A2F12">
        <w:rPr>
          <w:b/>
        </w:rPr>
        <w:t>BEFORE THE</w:t>
      </w:r>
    </w:p>
    <w:p w:rsidR="00CF4780" w:rsidRPr="008A2F12" w:rsidRDefault="00CF4780" w:rsidP="008A2F12">
      <w:pPr>
        <w:jc w:val="center"/>
        <w:rPr>
          <w:b/>
        </w:rPr>
      </w:pPr>
      <w:r w:rsidRPr="008A2F12">
        <w:rPr>
          <w:b/>
        </w:rPr>
        <w:t>PENNSYLVANIA PUBLIC UTILITY COMMISSION</w:t>
      </w:r>
    </w:p>
    <w:p w:rsidR="00B16FEE" w:rsidRPr="008A2F12" w:rsidRDefault="00B16FEE" w:rsidP="008A2F12">
      <w:pPr>
        <w:jc w:val="center"/>
        <w:rPr>
          <w:b/>
        </w:rPr>
      </w:pPr>
    </w:p>
    <w:p w:rsidR="00B16FEE" w:rsidRPr="008A2F12" w:rsidRDefault="00B16FEE" w:rsidP="008A2F12">
      <w:pPr>
        <w:jc w:val="center"/>
        <w:rPr>
          <w:b/>
        </w:rPr>
      </w:pPr>
    </w:p>
    <w:p w:rsidR="00B16FEE" w:rsidRPr="008A2F12" w:rsidRDefault="00B16FEE" w:rsidP="008A2F12">
      <w:pPr>
        <w:jc w:val="center"/>
        <w:rPr>
          <w:b/>
        </w:rPr>
      </w:pPr>
    </w:p>
    <w:p w:rsidR="00CF4780" w:rsidRPr="008A2F12" w:rsidRDefault="00030013" w:rsidP="008A2F12">
      <w:r w:rsidRPr="008A2F12">
        <w:t>William Ford</w:t>
      </w:r>
      <w:r w:rsidR="00A32938" w:rsidRPr="008A2F12">
        <w:tab/>
      </w:r>
      <w:r w:rsidR="00920C50" w:rsidRPr="008A2F12">
        <w:tab/>
      </w:r>
      <w:r w:rsidR="007018AA" w:rsidRPr="008A2F12">
        <w:tab/>
      </w:r>
      <w:r w:rsidR="007018AA" w:rsidRPr="008A2F12">
        <w:tab/>
      </w:r>
      <w:r w:rsidR="00CF4780" w:rsidRPr="008A2F12">
        <w:tab/>
      </w:r>
      <w:r w:rsidR="00B16FEE" w:rsidRPr="008A2F12">
        <w:tab/>
      </w:r>
      <w:r w:rsidR="00CF4780" w:rsidRPr="008A2F12">
        <w:t>:</w:t>
      </w:r>
    </w:p>
    <w:p w:rsidR="00CF4780" w:rsidRPr="008A2F12" w:rsidRDefault="00CF4780" w:rsidP="008A2F12">
      <w:r w:rsidRPr="008A2F12">
        <w:tab/>
      </w:r>
      <w:r w:rsidRPr="008A2F12">
        <w:tab/>
      </w:r>
      <w:r w:rsidRPr="008A2F12">
        <w:tab/>
      </w:r>
      <w:r w:rsidRPr="008A2F12">
        <w:tab/>
      </w:r>
      <w:r w:rsidRPr="008A2F12">
        <w:tab/>
      </w:r>
      <w:r w:rsidR="00B16FEE" w:rsidRPr="008A2F12">
        <w:tab/>
      </w:r>
      <w:r w:rsidRPr="008A2F12">
        <w:tab/>
        <w:t>:</w:t>
      </w:r>
    </w:p>
    <w:p w:rsidR="00CF4780" w:rsidRPr="008A2F12" w:rsidRDefault="00CF4780" w:rsidP="008A2F12">
      <w:r w:rsidRPr="008A2F12">
        <w:tab/>
        <w:t>v.</w:t>
      </w:r>
      <w:r w:rsidRPr="008A2F12">
        <w:tab/>
      </w:r>
      <w:r w:rsidRPr="008A2F12">
        <w:tab/>
      </w:r>
      <w:r w:rsidRPr="008A2F12">
        <w:tab/>
      </w:r>
      <w:r w:rsidRPr="008A2F12">
        <w:tab/>
      </w:r>
      <w:r w:rsidR="00B16FEE" w:rsidRPr="008A2F12">
        <w:tab/>
      </w:r>
      <w:r w:rsidRPr="008A2F12">
        <w:tab/>
        <w:t>:</w:t>
      </w:r>
      <w:r w:rsidRPr="008A2F12">
        <w:tab/>
      </w:r>
      <w:r w:rsidRPr="008A2F12">
        <w:tab/>
      </w:r>
      <w:r w:rsidR="00030013" w:rsidRPr="008A2F12">
        <w:t>F</w:t>
      </w:r>
      <w:r w:rsidR="000962F2" w:rsidRPr="008A2F12">
        <w:t>-201</w:t>
      </w:r>
      <w:r w:rsidR="00A32938" w:rsidRPr="008A2F12">
        <w:t>5</w:t>
      </w:r>
      <w:r w:rsidR="000962F2" w:rsidRPr="008A2F12">
        <w:t>-</w:t>
      </w:r>
      <w:r w:rsidR="00317560" w:rsidRPr="008A2F12">
        <w:t>2</w:t>
      </w:r>
      <w:r w:rsidR="00305A49" w:rsidRPr="008A2F12">
        <w:t>5</w:t>
      </w:r>
      <w:r w:rsidR="00030013" w:rsidRPr="008A2F12">
        <w:t>19079</w:t>
      </w:r>
      <w:r w:rsidRPr="008A2F12">
        <w:tab/>
      </w:r>
      <w:r w:rsidRPr="008A2F12">
        <w:tab/>
      </w:r>
      <w:r w:rsidRPr="008A2F12">
        <w:tab/>
      </w:r>
      <w:r w:rsidRPr="008A2F12">
        <w:tab/>
      </w:r>
      <w:r w:rsidR="0060004E" w:rsidRPr="008A2F12">
        <w:tab/>
      </w:r>
      <w:r w:rsidR="0060004E" w:rsidRPr="008A2F12">
        <w:tab/>
      </w:r>
      <w:r w:rsidRPr="008A2F12">
        <w:tab/>
      </w:r>
      <w:r w:rsidR="00B16FEE" w:rsidRPr="008A2F12">
        <w:tab/>
      </w:r>
      <w:r w:rsidRPr="008A2F12">
        <w:tab/>
        <w:t>:</w:t>
      </w:r>
    </w:p>
    <w:p w:rsidR="00CF4780" w:rsidRPr="008A2F12" w:rsidRDefault="004E381E" w:rsidP="008A2F12">
      <w:r w:rsidRPr="008A2F12">
        <w:t>P</w:t>
      </w:r>
      <w:r w:rsidR="00305A49" w:rsidRPr="008A2F12">
        <w:t>hiladelphia Gas Works</w:t>
      </w:r>
      <w:r w:rsidR="00CF4780" w:rsidRPr="008A2F12">
        <w:tab/>
      </w:r>
      <w:r w:rsidR="00CF4780" w:rsidRPr="008A2F12">
        <w:tab/>
      </w:r>
      <w:r w:rsidR="00B16FEE" w:rsidRPr="008A2F12">
        <w:tab/>
      </w:r>
      <w:r w:rsidR="00CF4780" w:rsidRPr="008A2F12">
        <w:tab/>
        <w:t>:</w:t>
      </w:r>
    </w:p>
    <w:p w:rsidR="00B0450A" w:rsidRPr="008A2F12" w:rsidRDefault="00B0450A" w:rsidP="008A2F12">
      <w:pPr>
        <w:tabs>
          <w:tab w:val="left" w:pos="5040"/>
        </w:tabs>
        <w:jc w:val="both"/>
      </w:pPr>
    </w:p>
    <w:p w:rsidR="00B0450A" w:rsidRPr="008A2F12" w:rsidRDefault="00B0450A" w:rsidP="008A2F12">
      <w:pPr>
        <w:tabs>
          <w:tab w:val="left" w:pos="5040"/>
        </w:tabs>
        <w:jc w:val="both"/>
      </w:pPr>
    </w:p>
    <w:p w:rsidR="00B0450A" w:rsidRPr="008A2F12" w:rsidRDefault="00B0450A" w:rsidP="008A2F12">
      <w:pPr>
        <w:tabs>
          <w:tab w:val="left" w:pos="5040"/>
        </w:tabs>
        <w:jc w:val="both"/>
      </w:pPr>
    </w:p>
    <w:p w:rsidR="00B0450A" w:rsidRPr="008A2F12" w:rsidRDefault="00B0450A" w:rsidP="008A2F12">
      <w:pPr>
        <w:jc w:val="center"/>
        <w:rPr>
          <w:b/>
          <w:u w:val="single"/>
        </w:rPr>
      </w:pPr>
      <w:r w:rsidRPr="008A2F12">
        <w:rPr>
          <w:b/>
          <w:u w:val="single"/>
        </w:rPr>
        <w:t>INITIAL DECISION</w:t>
      </w:r>
    </w:p>
    <w:p w:rsidR="00B0450A" w:rsidRPr="008A2F12" w:rsidRDefault="00B0450A" w:rsidP="008A2F12">
      <w:pPr>
        <w:jc w:val="center"/>
        <w:rPr>
          <w:b/>
          <w:u w:val="single"/>
        </w:rPr>
      </w:pPr>
    </w:p>
    <w:p w:rsidR="00B0450A" w:rsidRPr="008A2F12" w:rsidRDefault="00B0450A" w:rsidP="008A2F12">
      <w:pPr>
        <w:jc w:val="center"/>
        <w:rPr>
          <w:b/>
          <w:u w:val="single"/>
        </w:rPr>
      </w:pPr>
    </w:p>
    <w:p w:rsidR="00B0450A" w:rsidRPr="008A2F12" w:rsidRDefault="00B0450A" w:rsidP="008A2F12">
      <w:pPr>
        <w:jc w:val="center"/>
      </w:pPr>
      <w:r w:rsidRPr="008A2F12">
        <w:t>Before</w:t>
      </w:r>
    </w:p>
    <w:p w:rsidR="00B0450A" w:rsidRPr="008A2F12" w:rsidRDefault="00B0450A" w:rsidP="008A2F12">
      <w:pPr>
        <w:jc w:val="center"/>
      </w:pPr>
      <w:r w:rsidRPr="008A2F12">
        <w:t>Angela T. Jones</w:t>
      </w:r>
    </w:p>
    <w:p w:rsidR="00B0450A" w:rsidRPr="008A2F12" w:rsidRDefault="00B0450A" w:rsidP="008A2F12">
      <w:pPr>
        <w:jc w:val="center"/>
      </w:pPr>
      <w:r w:rsidRPr="008A2F12">
        <w:t>Administrative Law Judge</w:t>
      </w:r>
    </w:p>
    <w:p w:rsidR="00B0450A" w:rsidRPr="008A2F12" w:rsidRDefault="00B0450A" w:rsidP="008A2F12">
      <w:pPr>
        <w:jc w:val="center"/>
      </w:pPr>
    </w:p>
    <w:p w:rsidR="00B0450A" w:rsidRPr="008A2F12" w:rsidRDefault="00B0450A" w:rsidP="008A2F12">
      <w:pPr>
        <w:jc w:val="center"/>
        <w:rPr>
          <w:u w:val="single"/>
        </w:rPr>
      </w:pPr>
    </w:p>
    <w:p w:rsidR="00B0450A" w:rsidRPr="008A2F12" w:rsidRDefault="00B0450A" w:rsidP="008A2F12">
      <w:pPr>
        <w:jc w:val="center"/>
        <w:rPr>
          <w:u w:val="single"/>
        </w:rPr>
      </w:pPr>
      <w:r w:rsidRPr="008A2F12">
        <w:rPr>
          <w:u w:val="single"/>
        </w:rPr>
        <w:t>INTRODUCTION</w:t>
      </w:r>
    </w:p>
    <w:p w:rsidR="00B0450A" w:rsidRPr="008A2F12" w:rsidRDefault="00B0450A" w:rsidP="008A2F12">
      <w:pPr>
        <w:jc w:val="center"/>
        <w:rPr>
          <w:u w:val="single"/>
        </w:rPr>
      </w:pPr>
    </w:p>
    <w:p w:rsidR="00B0450A" w:rsidRPr="008A2F12" w:rsidRDefault="00B0450A" w:rsidP="008A2F12">
      <w:pPr>
        <w:jc w:val="center"/>
        <w:rPr>
          <w:u w:val="single"/>
        </w:rPr>
      </w:pPr>
    </w:p>
    <w:p w:rsidR="00B16FEE" w:rsidRPr="008A2F12" w:rsidRDefault="00D516F9" w:rsidP="008A2F12">
      <w:pPr>
        <w:spacing w:line="360" w:lineRule="auto"/>
        <w:ind w:firstLine="1440"/>
      </w:pPr>
      <w:r w:rsidRPr="008A2F12">
        <w:t>T</w:t>
      </w:r>
      <w:r w:rsidR="00B0450A" w:rsidRPr="008A2F12">
        <w:t>he Complainant</w:t>
      </w:r>
      <w:r w:rsidR="00920C50" w:rsidRPr="008A2F12">
        <w:t xml:space="preserve"> file</w:t>
      </w:r>
      <w:r w:rsidRPr="008A2F12">
        <w:t>d</w:t>
      </w:r>
      <w:r w:rsidR="00920C50" w:rsidRPr="008A2F12">
        <w:t xml:space="preserve"> a formal complaint (Complaint) against P</w:t>
      </w:r>
      <w:r w:rsidR="00305A49" w:rsidRPr="008A2F12">
        <w:t>hiladelphia Gas Works</w:t>
      </w:r>
      <w:r w:rsidR="00920C50" w:rsidRPr="008A2F12">
        <w:t xml:space="preserve"> (P</w:t>
      </w:r>
      <w:r w:rsidR="00305A49" w:rsidRPr="008A2F12">
        <w:t>GW</w:t>
      </w:r>
      <w:r w:rsidR="00920C50" w:rsidRPr="008A2F12">
        <w:t xml:space="preserve"> or Respondent or Company). </w:t>
      </w:r>
      <w:r w:rsidR="00B0450A" w:rsidRPr="008A2F12">
        <w:t xml:space="preserve"> </w:t>
      </w:r>
      <w:r w:rsidR="00FB5975" w:rsidRPr="008A2F12">
        <w:t xml:space="preserve">The Complainant </w:t>
      </w:r>
      <w:r w:rsidR="000E2036" w:rsidRPr="008A2F12">
        <w:t xml:space="preserve">failed to </w:t>
      </w:r>
      <w:r w:rsidR="00FB5975" w:rsidRPr="008A2F12">
        <w:t>sustain</w:t>
      </w:r>
      <w:r w:rsidR="000E2036" w:rsidRPr="008A2F12">
        <w:t xml:space="preserve"> his burden of proof for his</w:t>
      </w:r>
      <w:r w:rsidR="00FB5975" w:rsidRPr="008A2F12">
        <w:t xml:space="preserve"> Complaint</w:t>
      </w:r>
      <w:r w:rsidR="001A7C3D" w:rsidRPr="008A2F12">
        <w:t xml:space="preserve"> regarding incorrect charges </w:t>
      </w:r>
      <w:r w:rsidR="000E2036" w:rsidRPr="008A2F12">
        <w:t xml:space="preserve">and termination of gas service. </w:t>
      </w:r>
      <w:r w:rsidR="00972BB9" w:rsidRPr="008A2F12">
        <w:t xml:space="preserve"> </w:t>
      </w:r>
      <w:r w:rsidR="007A6714" w:rsidRPr="008A2F12">
        <w:t>This decision d</w:t>
      </w:r>
      <w:r w:rsidR="000E2036" w:rsidRPr="008A2F12">
        <w:t>ismisses</w:t>
      </w:r>
      <w:r w:rsidR="00A72115" w:rsidRPr="008A2F12">
        <w:t xml:space="preserve"> the </w:t>
      </w:r>
      <w:r w:rsidR="00873BB8">
        <w:t>C</w:t>
      </w:r>
      <w:r w:rsidR="000E2036" w:rsidRPr="008A2F12">
        <w:t>omplaint for failure to sustain the burden of proof</w:t>
      </w:r>
      <w:r w:rsidR="007B5BFE" w:rsidRPr="008A2F12">
        <w:t>.</w:t>
      </w:r>
    </w:p>
    <w:p w:rsidR="00B0450A" w:rsidRPr="008A2F12" w:rsidRDefault="00B0450A" w:rsidP="008A2F12">
      <w:pPr>
        <w:spacing w:line="360" w:lineRule="auto"/>
        <w:ind w:firstLine="1440"/>
      </w:pPr>
    </w:p>
    <w:p w:rsidR="00B16FEE" w:rsidRPr="008A2F12" w:rsidRDefault="00B0450A" w:rsidP="008A2F12">
      <w:pPr>
        <w:jc w:val="center"/>
        <w:rPr>
          <w:u w:val="single"/>
        </w:rPr>
      </w:pPr>
      <w:r w:rsidRPr="008A2F12">
        <w:rPr>
          <w:u w:val="single"/>
        </w:rPr>
        <w:t>HISTORY OF THE PROCEEDING</w:t>
      </w:r>
    </w:p>
    <w:p w:rsidR="00B16FEE" w:rsidRPr="008A2F12" w:rsidRDefault="00B16FEE" w:rsidP="008A2F12">
      <w:pPr>
        <w:spacing w:line="360" w:lineRule="auto"/>
        <w:jc w:val="center"/>
      </w:pPr>
    </w:p>
    <w:p w:rsidR="003A06E7" w:rsidRPr="008A2F12" w:rsidRDefault="00317560" w:rsidP="008A2F12">
      <w:pPr>
        <w:spacing w:line="360" w:lineRule="auto"/>
        <w:ind w:firstLine="1440"/>
      </w:pPr>
      <w:r w:rsidRPr="008A2F12">
        <w:t xml:space="preserve">On </w:t>
      </w:r>
      <w:r w:rsidR="00030013" w:rsidRPr="008A2F12">
        <w:t>December 1</w:t>
      </w:r>
      <w:r w:rsidR="00305A49" w:rsidRPr="008A2F12">
        <w:t>6</w:t>
      </w:r>
      <w:r w:rsidRPr="008A2F12">
        <w:t>, 201</w:t>
      </w:r>
      <w:r w:rsidR="00A32938" w:rsidRPr="008A2F12">
        <w:t>5</w:t>
      </w:r>
      <w:r w:rsidR="000962F2" w:rsidRPr="008A2F12">
        <w:t xml:space="preserve">, </w:t>
      </w:r>
      <w:r w:rsidR="00030013" w:rsidRPr="008A2F12">
        <w:t>William Ford</w:t>
      </w:r>
      <w:r w:rsidR="00FB5975" w:rsidRPr="008A2F12">
        <w:t xml:space="preserve"> </w:t>
      </w:r>
      <w:r w:rsidR="007B232C" w:rsidRPr="008A2F12">
        <w:t xml:space="preserve">(Complainant) filed a </w:t>
      </w:r>
      <w:r w:rsidR="00296C41" w:rsidRPr="008A2F12">
        <w:t>C</w:t>
      </w:r>
      <w:r w:rsidR="007B232C" w:rsidRPr="008A2F12">
        <w:t xml:space="preserve">omplaint with the </w:t>
      </w:r>
      <w:r w:rsidR="00FA2433" w:rsidRPr="008A2F12">
        <w:t xml:space="preserve">Pennsylvania Public Utility </w:t>
      </w:r>
      <w:r w:rsidR="000962F2" w:rsidRPr="008A2F12">
        <w:t xml:space="preserve">Commission </w:t>
      </w:r>
      <w:r w:rsidR="00FA2433" w:rsidRPr="008A2F12">
        <w:t xml:space="preserve">(PUC or Commission) </w:t>
      </w:r>
      <w:r w:rsidR="000962F2" w:rsidRPr="008A2F12">
        <w:t>a</w:t>
      </w:r>
      <w:r w:rsidR="007B232C" w:rsidRPr="008A2F12">
        <w:t>gains</w:t>
      </w:r>
      <w:r w:rsidR="000962F2" w:rsidRPr="008A2F12">
        <w:t>t</w:t>
      </w:r>
      <w:r w:rsidR="007B232C" w:rsidRPr="008A2F12">
        <w:t xml:space="preserve"> </w:t>
      </w:r>
      <w:r w:rsidR="00296C41" w:rsidRPr="008A2F12">
        <w:t>the Res</w:t>
      </w:r>
      <w:r w:rsidR="007B232C" w:rsidRPr="008A2F12">
        <w:t>pondent.</w:t>
      </w:r>
      <w:r w:rsidR="0060004E" w:rsidRPr="008A2F12">
        <w:t xml:space="preserve">  The </w:t>
      </w:r>
      <w:r w:rsidR="00296C41" w:rsidRPr="008A2F12">
        <w:t>C</w:t>
      </w:r>
      <w:r w:rsidR="0060004E" w:rsidRPr="008A2F12">
        <w:t>omplain</w:t>
      </w:r>
      <w:r w:rsidR="00030013" w:rsidRPr="008A2F12">
        <w:t>an</w:t>
      </w:r>
      <w:r w:rsidR="0060004E" w:rsidRPr="008A2F12">
        <w:t xml:space="preserve">t </w:t>
      </w:r>
      <w:r w:rsidR="00030013" w:rsidRPr="008A2F12">
        <w:t>indicated that the utility was threatening to terminate his service or had already terminated his service and there were incorrect charges on his bill.  The Complainant also alleged that he wa</w:t>
      </w:r>
      <w:r w:rsidR="00305A49" w:rsidRPr="008A2F12">
        <w:t>s</w:t>
      </w:r>
      <w:r w:rsidR="00030013" w:rsidRPr="008A2F12">
        <w:t xml:space="preserve"> unaware of any device installed on the meter at 73 East Coulter Street, Philadelphia, Pennsylvania (service address)</w:t>
      </w:r>
      <w:r w:rsidR="003A06E7" w:rsidRPr="008A2F12">
        <w:t xml:space="preserve">.  Complainant stated that </w:t>
      </w:r>
      <w:r w:rsidR="00030013" w:rsidRPr="008A2F12">
        <w:t xml:space="preserve">he relocated </w:t>
      </w:r>
      <w:r w:rsidR="003A06E7" w:rsidRPr="008A2F12">
        <w:t xml:space="preserve">from the service address </w:t>
      </w:r>
      <w:r w:rsidR="00030013" w:rsidRPr="008A2F12">
        <w:t>to 6900 Forrest Avenue on November 18, 2011, which is his primary residence.  Complainant s</w:t>
      </w:r>
      <w:r w:rsidR="00305A49" w:rsidRPr="008A2F12">
        <w:t>tated</w:t>
      </w:r>
      <w:r w:rsidR="00030013" w:rsidRPr="008A2F12">
        <w:t xml:space="preserve"> that the second and third floors of the service address have been vacant since he moved out, but acknowledged that there have been several tenants at the service address with verbal leases.  </w:t>
      </w:r>
    </w:p>
    <w:p w:rsidR="00000CAB" w:rsidRPr="008A2F12" w:rsidRDefault="00030013" w:rsidP="008A2F12">
      <w:pPr>
        <w:spacing w:line="360" w:lineRule="auto"/>
        <w:ind w:firstLine="1440"/>
      </w:pPr>
      <w:r w:rsidRPr="008A2F12">
        <w:lastRenderedPageBreak/>
        <w:t>Complainant stated that the tenants</w:t>
      </w:r>
      <w:r w:rsidR="003A06E7" w:rsidRPr="008A2F12">
        <w:t xml:space="preserve"> at the service address</w:t>
      </w:r>
      <w:r w:rsidRPr="008A2F12">
        <w:t xml:space="preserve"> were aware that any excessive cost of gas usage would be their responsibility.  Complainant contended that he was not aware of any meter tampering if indeed there was tampering and that he could not have realized that the bills were not accurate.  </w:t>
      </w:r>
      <w:r w:rsidR="003A06E7" w:rsidRPr="008A2F12">
        <w:t>Complainant questioned whether the Respondent should be held responsible for its failure to notify him when it came to checking the meter prior to the amount due escalating.  Complainant requested that all penalties assessed to him should be dismissed and that the historical usage of gas service at the service address be used to determine any reasonable amount owed.</w:t>
      </w:r>
    </w:p>
    <w:p w:rsidR="00E81550" w:rsidRPr="008A2F12" w:rsidRDefault="00E81550" w:rsidP="008A2F12">
      <w:pPr>
        <w:spacing w:line="360" w:lineRule="auto"/>
        <w:ind w:firstLine="1440"/>
      </w:pPr>
    </w:p>
    <w:p w:rsidR="00E81550" w:rsidRPr="008A2F12" w:rsidRDefault="00E81550" w:rsidP="008A2F12">
      <w:pPr>
        <w:spacing w:line="360" w:lineRule="auto"/>
        <w:ind w:firstLine="1440"/>
      </w:pPr>
      <w:r w:rsidRPr="008A2F12">
        <w:t xml:space="preserve">The Complaint was served electronically (eService) by the Commission’s Secretary on </w:t>
      </w:r>
      <w:r w:rsidR="00406434" w:rsidRPr="008A2F12">
        <w:t>December 21</w:t>
      </w:r>
      <w:r w:rsidRPr="008A2F12">
        <w:t>, 2015, according to the audit history of the docket.  The eService is pursuant to the Waiver of Section 702 program, under which the Respondent waives the service requirements in 66 Pa.C.S. § 702.</w:t>
      </w:r>
    </w:p>
    <w:p w:rsidR="003A06E7" w:rsidRPr="008A2F12" w:rsidRDefault="003A06E7" w:rsidP="008A2F12">
      <w:pPr>
        <w:spacing w:line="360" w:lineRule="auto"/>
        <w:ind w:firstLine="1440"/>
      </w:pPr>
    </w:p>
    <w:p w:rsidR="000D0D1E" w:rsidRPr="008A2F12" w:rsidRDefault="007B232C" w:rsidP="008A2F12">
      <w:pPr>
        <w:spacing w:line="360" w:lineRule="auto"/>
        <w:ind w:firstLine="1440"/>
      </w:pPr>
      <w:r w:rsidRPr="008A2F12">
        <w:t xml:space="preserve">The Respondent filed an Answer on </w:t>
      </w:r>
      <w:r w:rsidR="00A10BA4" w:rsidRPr="008A2F12">
        <w:t>J</w:t>
      </w:r>
      <w:r w:rsidR="004F191F" w:rsidRPr="008A2F12">
        <w:t>an</w:t>
      </w:r>
      <w:r w:rsidR="00A10BA4" w:rsidRPr="008A2F12">
        <w:t>u</w:t>
      </w:r>
      <w:r w:rsidR="004F191F" w:rsidRPr="008A2F12">
        <w:t>ary</w:t>
      </w:r>
      <w:r w:rsidR="00A10BA4" w:rsidRPr="008A2F12">
        <w:t> </w:t>
      </w:r>
      <w:r w:rsidR="00012651" w:rsidRPr="008A2F12">
        <w:t>1</w:t>
      </w:r>
      <w:r w:rsidR="004F191F" w:rsidRPr="008A2F12">
        <w:t>1</w:t>
      </w:r>
      <w:r w:rsidR="00D669E0" w:rsidRPr="008A2F12">
        <w:t>, 201</w:t>
      </w:r>
      <w:r w:rsidR="004F191F" w:rsidRPr="008A2F12">
        <w:t>6</w:t>
      </w:r>
      <w:r w:rsidR="00D669E0" w:rsidRPr="008A2F12">
        <w:t xml:space="preserve">.  The </w:t>
      </w:r>
      <w:r w:rsidR="001A4E20" w:rsidRPr="008A2F12">
        <w:t>Respondent admitted that the Company terminated gas service at the service address.  The Respondent de</w:t>
      </w:r>
      <w:r w:rsidR="00A6134F" w:rsidRPr="008A2F12">
        <w:t xml:space="preserve">nied </w:t>
      </w:r>
      <w:r w:rsidR="002410C5" w:rsidRPr="008A2F12">
        <w:t xml:space="preserve">the </w:t>
      </w:r>
      <w:r w:rsidR="002C7873" w:rsidRPr="008A2F12">
        <w:t>allegation</w:t>
      </w:r>
      <w:r w:rsidR="001A4E20" w:rsidRPr="008A2F12">
        <w:t xml:space="preserve"> that there are incorrect charge</w:t>
      </w:r>
      <w:r w:rsidR="002C7873" w:rsidRPr="008A2F12">
        <w:t>s</w:t>
      </w:r>
      <w:r w:rsidR="001A4E20" w:rsidRPr="008A2F12">
        <w:t xml:space="preserve"> on the bill for the service address.  The Respondent stated that its records show gas service at 6900 Forrest Avenue is linked to Complainant’s one account with gas service at the service address.</w:t>
      </w:r>
      <w:r w:rsidR="002C7873" w:rsidRPr="008A2F12">
        <w:t xml:space="preserve"> </w:t>
      </w:r>
      <w:r w:rsidR="001A4E20" w:rsidRPr="008A2F12">
        <w:t xml:space="preserve">  </w:t>
      </w:r>
    </w:p>
    <w:p w:rsidR="000D0D1E" w:rsidRPr="008A2F12" w:rsidRDefault="000D0D1E" w:rsidP="008A2F12">
      <w:pPr>
        <w:spacing w:line="360" w:lineRule="auto"/>
        <w:ind w:firstLine="1440"/>
      </w:pPr>
    </w:p>
    <w:p w:rsidR="00FA2433" w:rsidRPr="008A2F12" w:rsidRDefault="001A4E20" w:rsidP="008A2F12">
      <w:pPr>
        <w:spacing w:line="360" w:lineRule="auto"/>
        <w:ind w:firstLine="1440"/>
      </w:pPr>
      <w:r w:rsidRPr="008A2F12">
        <w:t>In its Answer, the Respondent contended that it was called to the service address on April 9, 2015, in response to a gas leak odor by the police department.  The Respondent further stated that it gained access to the service address and found that the gas was on with a tampered meter bypass.</w:t>
      </w:r>
      <w:r w:rsidR="002C7873" w:rsidRPr="008A2F12">
        <w:t xml:space="preserve">  The </w:t>
      </w:r>
      <w:r w:rsidR="002410C5" w:rsidRPr="008A2F12">
        <w:t xml:space="preserve">Respondent </w:t>
      </w:r>
      <w:r w:rsidR="002C7873" w:rsidRPr="008A2F12">
        <w:t xml:space="preserve">stated </w:t>
      </w:r>
      <w:r w:rsidRPr="008A2F12">
        <w:t>in its Answer that it billed the Complainant for tampered meter bypass charges and subtracted the amount already billed for usage which resulted in $11,404.08 for usage from January 4, 2005 to April 9, 2015.  The Respondent</w:t>
      </w:r>
      <w:r w:rsidR="00B42AC0" w:rsidRPr="008A2F12">
        <w:t xml:space="preserve"> in its Answer</w:t>
      </w:r>
      <w:r w:rsidRPr="008A2F12">
        <w:t xml:space="preserve"> contended that it also billed a reconnection fee in the amount of $123.23 and a security deposit in the amount of $380.00 for a total amount due of ($11,404.08 + $123.23 + $380.00 = $11,907.</w:t>
      </w:r>
      <w:r w:rsidR="000D0D1E" w:rsidRPr="008A2F12">
        <w:t xml:space="preserve">31) </w:t>
      </w:r>
      <w:r w:rsidR="00115274">
        <w:t>$</w:t>
      </w:r>
      <w:r w:rsidR="000D0D1E" w:rsidRPr="008A2F12">
        <w:t xml:space="preserve">11,907.31, which the Company requires to be paid for service to be restored at the service address. </w:t>
      </w:r>
    </w:p>
    <w:p w:rsidR="000D0D1E" w:rsidRPr="008A2F12" w:rsidRDefault="000D0D1E" w:rsidP="008A2F12">
      <w:pPr>
        <w:spacing w:line="360" w:lineRule="auto"/>
        <w:ind w:firstLine="1440"/>
      </w:pPr>
    </w:p>
    <w:p w:rsidR="004F191F" w:rsidRPr="008A2F12" w:rsidRDefault="004F191F" w:rsidP="008A2F12">
      <w:pPr>
        <w:spacing w:line="360" w:lineRule="auto"/>
        <w:ind w:firstLine="1440"/>
      </w:pPr>
      <w:r w:rsidRPr="008A2F12">
        <w:lastRenderedPageBreak/>
        <w:t>The Respondent stated in its Answer that the Complainant filed an informal complaint with the Commission’s Bureau of Consumer Services (BCS) at Case No. 3340637 on April 30, 2015.  On November 3, 2015, the BCS by decision concluded that the Complainant was responsible for bypass charges at the service address.</w:t>
      </w:r>
      <w:r w:rsidR="000D0D1E" w:rsidRPr="008A2F12">
        <w:t xml:space="preserve">  The instant Complaint is a timely appeal of the BCS informal complaint at Case No. 3340637.</w:t>
      </w:r>
    </w:p>
    <w:p w:rsidR="004F191F" w:rsidRPr="008A2F12" w:rsidRDefault="004F191F" w:rsidP="008A2F12">
      <w:pPr>
        <w:spacing w:line="360" w:lineRule="auto"/>
        <w:ind w:firstLine="1440"/>
      </w:pPr>
    </w:p>
    <w:p w:rsidR="005D0972" w:rsidRPr="008A2F12" w:rsidRDefault="005D0972" w:rsidP="008A2F12">
      <w:pPr>
        <w:spacing w:line="360" w:lineRule="auto"/>
        <w:ind w:firstLine="1440"/>
      </w:pPr>
      <w:r w:rsidRPr="008A2F12">
        <w:t xml:space="preserve">By Hearing Notice dated </w:t>
      </w:r>
      <w:r w:rsidR="001F56DA" w:rsidRPr="008A2F12">
        <w:t>J</w:t>
      </w:r>
      <w:r w:rsidR="000D0D1E" w:rsidRPr="008A2F12">
        <w:t>an</w:t>
      </w:r>
      <w:r w:rsidR="001F56DA" w:rsidRPr="008A2F12">
        <w:t>u</w:t>
      </w:r>
      <w:r w:rsidR="000D0D1E" w:rsidRPr="008A2F12">
        <w:t>ar</w:t>
      </w:r>
      <w:r w:rsidR="001F56DA" w:rsidRPr="008A2F12">
        <w:t>y 2</w:t>
      </w:r>
      <w:r w:rsidR="000D0D1E" w:rsidRPr="008A2F12">
        <w:t>0</w:t>
      </w:r>
      <w:r w:rsidRPr="008A2F12">
        <w:t>, 201</w:t>
      </w:r>
      <w:r w:rsidR="000D0D1E" w:rsidRPr="008A2F12">
        <w:t>6</w:t>
      </w:r>
      <w:r w:rsidRPr="008A2F12">
        <w:t xml:space="preserve">, the matter was scheduled for </w:t>
      </w:r>
      <w:r w:rsidR="00352819">
        <w:t>an</w:t>
      </w:r>
      <w:r w:rsidR="002D565B">
        <w:t xml:space="preserve"> </w:t>
      </w:r>
      <w:r w:rsidR="009F7080" w:rsidRPr="008A2F12">
        <w:t>i</w:t>
      </w:r>
      <w:r w:rsidRPr="008A2F12">
        <w:t xml:space="preserve">nitial </w:t>
      </w:r>
      <w:r w:rsidR="000D0D1E" w:rsidRPr="008A2F12">
        <w:t xml:space="preserve">telephonic </w:t>
      </w:r>
      <w:r w:rsidR="009F7080" w:rsidRPr="008A2F12">
        <w:t>h</w:t>
      </w:r>
      <w:r w:rsidRPr="008A2F12">
        <w:t>earing on T</w:t>
      </w:r>
      <w:r w:rsidR="001F56DA" w:rsidRPr="008A2F12">
        <w:t>h</w:t>
      </w:r>
      <w:r w:rsidRPr="008A2F12">
        <w:t>u</w:t>
      </w:r>
      <w:r w:rsidR="001F56DA" w:rsidRPr="008A2F12">
        <w:t>r</w:t>
      </w:r>
      <w:r w:rsidRPr="008A2F12">
        <w:t xml:space="preserve">sday, </w:t>
      </w:r>
      <w:r w:rsidR="000D0D1E" w:rsidRPr="008A2F12">
        <w:t>March 17</w:t>
      </w:r>
      <w:r w:rsidRPr="008A2F12">
        <w:t>, 201</w:t>
      </w:r>
      <w:r w:rsidR="000D0D1E" w:rsidRPr="008A2F12">
        <w:t>6</w:t>
      </w:r>
      <w:r w:rsidRPr="008A2F12">
        <w:t>, at</w:t>
      </w:r>
      <w:r w:rsidR="00992BC5" w:rsidRPr="008A2F12">
        <w:t xml:space="preserve"> 1</w:t>
      </w:r>
      <w:r w:rsidR="001F56DA" w:rsidRPr="008A2F12">
        <w:t>0</w:t>
      </w:r>
      <w:r w:rsidRPr="008A2F12">
        <w:t>:</w:t>
      </w:r>
      <w:r w:rsidR="001F56DA" w:rsidRPr="008A2F12">
        <w:t>0</w:t>
      </w:r>
      <w:r w:rsidRPr="008A2F12">
        <w:t xml:space="preserve">0 </w:t>
      </w:r>
      <w:r w:rsidR="001F56DA" w:rsidRPr="008A2F12">
        <w:t>a</w:t>
      </w:r>
      <w:r w:rsidRPr="008A2F12">
        <w:t xml:space="preserve">.m.  The </w:t>
      </w:r>
      <w:r w:rsidR="003E792E" w:rsidRPr="008A2F12">
        <w:t>matter was assigned to Administrative Law Judge</w:t>
      </w:r>
      <w:r w:rsidR="00284D30" w:rsidRPr="008A2F12">
        <w:t xml:space="preserve"> (ALJ)</w:t>
      </w:r>
      <w:r w:rsidR="003E792E" w:rsidRPr="008A2F12">
        <w:t xml:space="preserve">, </w:t>
      </w:r>
      <w:r w:rsidR="000D0D1E" w:rsidRPr="008A2F12">
        <w:t>Conrad A. Johnson</w:t>
      </w:r>
      <w:r w:rsidR="003E792E" w:rsidRPr="008A2F12">
        <w:t>.</w:t>
      </w:r>
    </w:p>
    <w:p w:rsidR="00992BC5" w:rsidRPr="008A2F12" w:rsidRDefault="00992BC5" w:rsidP="008A2F12">
      <w:pPr>
        <w:spacing w:line="360" w:lineRule="auto"/>
        <w:ind w:firstLine="1440"/>
      </w:pPr>
    </w:p>
    <w:p w:rsidR="00C0782A" w:rsidRPr="008A2F12" w:rsidRDefault="009A1D98" w:rsidP="008A2F12">
      <w:pPr>
        <w:spacing w:line="360" w:lineRule="auto"/>
        <w:ind w:firstLine="1440"/>
      </w:pPr>
      <w:r w:rsidRPr="008A2F12">
        <w:t xml:space="preserve">A Prehearing Order </w:t>
      </w:r>
      <w:r w:rsidR="000D0D1E" w:rsidRPr="008A2F12">
        <w:t>dated</w:t>
      </w:r>
      <w:r w:rsidRPr="008A2F12">
        <w:t xml:space="preserve"> </w:t>
      </w:r>
      <w:r w:rsidR="00E23A9C" w:rsidRPr="008A2F12">
        <w:t>J</w:t>
      </w:r>
      <w:r w:rsidR="000D0D1E" w:rsidRPr="008A2F12">
        <w:t>an</w:t>
      </w:r>
      <w:r w:rsidR="00E23A9C" w:rsidRPr="008A2F12">
        <w:t>u</w:t>
      </w:r>
      <w:r w:rsidR="000D0D1E" w:rsidRPr="008A2F12">
        <w:t>ar</w:t>
      </w:r>
      <w:r w:rsidR="00E23A9C" w:rsidRPr="008A2F12">
        <w:t xml:space="preserve">y </w:t>
      </w:r>
      <w:r w:rsidR="00E72F70" w:rsidRPr="008A2F12">
        <w:t>2</w:t>
      </w:r>
      <w:r w:rsidR="000D0D1E" w:rsidRPr="008A2F12">
        <w:t>1</w:t>
      </w:r>
      <w:r w:rsidRPr="008A2F12">
        <w:t>, 201</w:t>
      </w:r>
      <w:r w:rsidR="000D0D1E" w:rsidRPr="008A2F12">
        <w:t>6</w:t>
      </w:r>
      <w:r w:rsidRPr="008A2F12">
        <w:t>, advis</w:t>
      </w:r>
      <w:r w:rsidR="000D0D1E" w:rsidRPr="008A2F12">
        <w:t>ed</w:t>
      </w:r>
      <w:r w:rsidRPr="008A2F12">
        <w:t xml:space="preserve"> the parties of the date and time of the scheduled hearing, and inform</w:t>
      </w:r>
      <w:r w:rsidR="000D0D1E" w:rsidRPr="008A2F12">
        <w:t>ed</w:t>
      </w:r>
      <w:r w:rsidRPr="008A2F12">
        <w:t xml:space="preserve"> them of the procedures applicable to this proceeding.  </w:t>
      </w:r>
    </w:p>
    <w:p w:rsidR="000D0D1E" w:rsidRPr="008A2F12" w:rsidRDefault="000D0D1E" w:rsidP="008A2F12">
      <w:pPr>
        <w:spacing w:line="360" w:lineRule="auto"/>
        <w:ind w:firstLine="1440"/>
      </w:pPr>
    </w:p>
    <w:p w:rsidR="00BC06CE" w:rsidRPr="008A2F12" w:rsidRDefault="00E23A9C" w:rsidP="008A2F12">
      <w:pPr>
        <w:spacing w:line="360" w:lineRule="auto"/>
        <w:ind w:firstLine="1440"/>
      </w:pPr>
      <w:r w:rsidRPr="008A2F12">
        <w:t xml:space="preserve">On </w:t>
      </w:r>
      <w:r w:rsidR="000D0D1E" w:rsidRPr="008A2F12">
        <w:t>March 10</w:t>
      </w:r>
      <w:r w:rsidRPr="008A2F12">
        <w:t>, 201</w:t>
      </w:r>
      <w:r w:rsidR="000D0D1E" w:rsidRPr="008A2F12">
        <w:t>6</w:t>
      </w:r>
      <w:r w:rsidRPr="008A2F12">
        <w:t xml:space="preserve">, </w:t>
      </w:r>
      <w:r w:rsidR="00BC06CE" w:rsidRPr="008A2F12">
        <w:t>the Respondent filed a motion to change the scheduled telephonic</w:t>
      </w:r>
      <w:r w:rsidR="00E72F70" w:rsidRPr="008A2F12">
        <w:t xml:space="preserve"> </w:t>
      </w:r>
      <w:r w:rsidR="009F7080" w:rsidRPr="008A2F12">
        <w:t>initial hearing</w:t>
      </w:r>
      <w:r w:rsidR="00E72F70" w:rsidRPr="008A2F12">
        <w:t xml:space="preserve"> </w:t>
      </w:r>
      <w:r w:rsidR="00BC06CE" w:rsidRPr="008A2F12">
        <w:t>to an in-person hearing (Motion)</w:t>
      </w:r>
      <w:r w:rsidR="00E72F70" w:rsidRPr="008A2F12">
        <w:t xml:space="preserve">.  The </w:t>
      </w:r>
      <w:r w:rsidR="00BC06CE" w:rsidRPr="008A2F12">
        <w:t xml:space="preserve">Respondent stated in the Motion that physical evidence and multiple witnesses would be better managed in an in-person hearing.  </w:t>
      </w:r>
    </w:p>
    <w:p w:rsidR="00BC06CE" w:rsidRPr="008A2F12" w:rsidRDefault="00BC06CE" w:rsidP="008A2F12">
      <w:pPr>
        <w:spacing w:line="360" w:lineRule="auto"/>
        <w:ind w:firstLine="1440"/>
      </w:pPr>
    </w:p>
    <w:p w:rsidR="00E72F70" w:rsidRPr="008A2F12" w:rsidRDefault="00BC06CE" w:rsidP="008A2F12">
      <w:pPr>
        <w:spacing w:line="360" w:lineRule="auto"/>
        <w:ind w:firstLine="1440"/>
      </w:pPr>
      <w:r w:rsidRPr="008A2F12">
        <w:t xml:space="preserve">The scheduled telephonic hearing convened as scheduled.  The </w:t>
      </w:r>
      <w:r w:rsidR="00E72F70" w:rsidRPr="008A2F12">
        <w:t>Complainant was present</w:t>
      </w:r>
      <w:r w:rsidRPr="008A2F12">
        <w:t>, was</w:t>
      </w:r>
      <w:r w:rsidR="00E72F70" w:rsidRPr="008A2F12">
        <w:t xml:space="preserve"> </w:t>
      </w:r>
      <w:r w:rsidRPr="008A2F12">
        <w:t xml:space="preserve">accompanied by his wife, and </w:t>
      </w:r>
      <w:r w:rsidR="00E72F70" w:rsidRPr="008A2F12">
        <w:t>represented h</w:t>
      </w:r>
      <w:r w:rsidRPr="008A2F12">
        <w:t>im</w:t>
      </w:r>
      <w:r w:rsidR="00E72F70" w:rsidRPr="008A2F12">
        <w:t>self.  C</w:t>
      </w:r>
      <w:r w:rsidR="00E23A9C" w:rsidRPr="008A2F12">
        <w:t>ounsel for the Respondent</w:t>
      </w:r>
      <w:r w:rsidR="009F7080" w:rsidRPr="008A2F12">
        <w:t>, Laureto Farinas, Esquire,</w:t>
      </w:r>
      <w:r w:rsidR="00E72F70" w:rsidRPr="008A2F12">
        <w:t xml:space="preserve"> was present</w:t>
      </w:r>
      <w:r w:rsidRPr="008A2F12">
        <w:t>.</w:t>
      </w:r>
      <w:r w:rsidR="00E72F70" w:rsidRPr="008A2F12">
        <w:t xml:space="preserve">  At the hearing the Complainant </w:t>
      </w:r>
      <w:r w:rsidRPr="008A2F12">
        <w:t>and the Respondent reported that they could not successfully reach an accord.  After some discussion explaining the rationale for the Motion, the Motion was granted</w:t>
      </w:r>
      <w:r w:rsidR="00235F04" w:rsidRPr="008A2F12">
        <w:t xml:space="preserve"> by ALJ Johnson</w:t>
      </w:r>
      <w:r w:rsidRPr="008A2F12">
        <w:t xml:space="preserve"> noting that there was no objection from the Complainant.  </w:t>
      </w:r>
    </w:p>
    <w:p w:rsidR="00BC06CE" w:rsidRPr="008A2F12" w:rsidRDefault="00BC06CE" w:rsidP="008A2F12">
      <w:pPr>
        <w:spacing w:line="360" w:lineRule="auto"/>
        <w:ind w:firstLine="1440"/>
      </w:pPr>
    </w:p>
    <w:p w:rsidR="00D1424F" w:rsidRPr="008A2F12" w:rsidRDefault="00E72F70" w:rsidP="008A2F12">
      <w:pPr>
        <w:spacing w:line="360" w:lineRule="auto"/>
        <w:ind w:firstLine="1440"/>
      </w:pPr>
      <w:r w:rsidRPr="008A2F12">
        <w:t xml:space="preserve">By </w:t>
      </w:r>
      <w:r w:rsidR="006818B0" w:rsidRPr="008A2F12">
        <w:t>Hearing Notice da</w:t>
      </w:r>
      <w:r w:rsidRPr="008A2F12">
        <w:t xml:space="preserve">ted </w:t>
      </w:r>
      <w:r w:rsidR="00D1424F" w:rsidRPr="008A2F12">
        <w:t>March 28, 2016, an in-person hearing was scheduled for Friday, May 6, 2016, at 10:00 a.m.  The proceeding was assigned to ALJ Angela T. Jones.</w:t>
      </w:r>
    </w:p>
    <w:p w:rsidR="00D1424F" w:rsidRPr="008A2F12" w:rsidRDefault="00D1424F" w:rsidP="008A2F12">
      <w:pPr>
        <w:spacing w:line="360" w:lineRule="auto"/>
        <w:ind w:firstLine="1440"/>
      </w:pPr>
    </w:p>
    <w:p w:rsidR="00D1424F" w:rsidRPr="008A2F12" w:rsidRDefault="00D1424F" w:rsidP="008A2F12">
      <w:pPr>
        <w:spacing w:line="360" w:lineRule="auto"/>
        <w:ind w:firstLine="1440"/>
      </w:pPr>
      <w:r w:rsidRPr="008A2F12">
        <w:t xml:space="preserve">By Order dated March 31, 2016, the undersigned confirmed the scheduled in-person hearing and informed the parties of applicable procedural rules for the instant Complaint.  The undersigned also directed the Respondent to be prepared with historical usage data at the service address.  </w:t>
      </w:r>
    </w:p>
    <w:p w:rsidR="00502FDA" w:rsidRPr="008A2F12" w:rsidRDefault="00CD6D25" w:rsidP="008A2F12">
      <w:pPr>
        <w:tabs>
          <w:tab w:val="left" w:pos="-1440"/>
          <w:tab w:val="left" w:pos="-720"/>
        </w:tabs>
        <w:suppressAutoHyphens/>
        <w:spacing w:line="360" w:lineRule="auto"/>
        <w:ind w:firstLine="1440"/>
        <w:rPr>
          <w:spacing w:val="-3"/>
        </w:rPr>
      </w:pPr>
      <w:r w:rsidRPr="008A2F12">
        <w:lastRenderedPageBreak/>
        <w:t xml:space="preserve">The </w:t>
      </w:r>
      <w:r w:rsidR="00D1424F" w:rsidRPr="008A2F12">
        <w:t>in-person</w:t>
      </w:r>
      <w:r w:rsidR="009F7080" w:rsidRPr="008A2F12">
        <w:t xml:space="preserve"> h</w:t>
      </w:r>
      <w:r w:rsidRPr="008A2F12">
        <w:t xml:space="preserve">earing convened as scheduled.  </w:t>
      </w:r>
      <w:r w:rsidRPr="008A2F12">
        <w:rPr>
          <w:spacing w:val="-3"/>
        </w:rPr>
        <w:t xml:space="preserve">The Complainant appeared </w:t>
      </w:r>
      <w:r w:rsidR="00D1424F" w:rsidRPr="008A2F12">
        <w:rPr>
          <w:spacing w:val="-3"/>
        </w:rPr>
        <w:t xml:space="preserve">accompanied by his wife </w:t>
      </w:r>
      <w:r w:rsidR="00352819">
        <w:rPr>
          <w:spacing w:val="-3"/>
        </w:rPr>
        <w:t>and again represented him</w:t>
      </w:r>
      <w:r w:rsidR="009F7080" w:rsidRPr="008A2F12">
        <w:rPr>
          <w:spacing w:val="-3"/>
        </w:rPr>
        <w:t>self</w:t>
      </w:r>
      <w:r w:rsidRPr="008A2F12">
        <w:rPr>
          <w:spacing w:val="-3"/>
        </w:rPr>
        <w:t xml:space="preserve">.  </w:t>
      </w:r>
      <w:r w:rsidR="00087BDA" w:rsidRPr="008A2F12">
        <w:rPr>
          <w:spacing w:val="-3"/>
        </w:rPr>
        <w:t>M</w:t>
      </w:r>
      <w:r w:rsidR="009F7080" w:rsidRPr="008A2F12">
        <w:rPr>
          <w:spacing w:val="-3"/>
        </w:rPr>
        <w:t>r</w:t>
      </w:r>
      <w:r w:rsidR="00087BDA" w:rsidRPr="008A2F12">
        <w:rPr>
          <w:spacing w:val="-3"/>
        </w:rPr>
        <w:t xml:space="preserve">. </w:t>
      </w:r>
      <w:r w:rsidR="009F7080" w:rsidRPr="008A2F12">
        <w:rPr>
          <w:spacing w:val="-3"/>
        </w:rPr>
        <w:t>Farinas</w:t>
      </w:r>
      <w:r w:rsidRPr="008A2F12">
        <w:rPr>
          <w:spacing w:val="-3"/>
        </w:rPr>
        <w:t xml:space="preserve"> was present</w:t>
      </w:r>
      <w:r w:rsidR="009F7080" w:rsidRPr="008A2F12">
        <w:rPr>
          <w:spacing w:val="-3"/>
        </w:rPr>
        <w:t xml:space="preserve"> representing the Respondent and was</w:t>
      </w:r>
      <w:r w:rsidRPr="008A2F12">
        <w:rPr>
          <w:spacing w:val="-3"/>
        </w:rPr>
        <w:t xml:space="preserve"> accompanied by </w:t>
      </w:r>
      <w:r w:rsidR="00D1424F" w:rsidRPr="008A2F12">
        <w:rPr>
          <w:spacing w:val="-3"/>
        </w:rPr>
        <w:t>t</w:t>
      </w:r>
      <w:r w:rsidR="000165B5" w:rsidRPr="008A2F12">
        <w:rPr>
          <w:spacing w:val="-3"/>
        </w:rPr>
        <w:t>wo</w:t>
      </w:r>
      <w:r w:rsidRPr="008A2F12">
        <w:rPr>
          <w:spacing w:val="-3"/>
        </w:rPr>
        <w:t xml:space="preserve"> witness</w:t>
      </w:r>
      <w:r w:rsidR="00EC7BEA" w:rsidRPr="008A2F12">
        <w:rPr>
          <w:spacing w:val="-3"/>
        </w:rPr>
        <w:t>es</w:t>
      </w:r>
      <w:r w:rsidRPr="008A2F12">
        <w:rPr>
          <w:spacing w:val="-3"/>
        </w:rPr>
        <w:t xml:space="preserve">.  </w:t>
      </w:r>
    </w:p>
    <w:p w:rsidR="00D1424F" w:rsidRPr="008A2F12" w:rsidRDefault="00D1424F" w:rsidP="008A2F12">
      <w:pPr>
        <w:tabs>
          <w:tab w:val="left" w:pos="-1440"/>
          <w:tab w:val="left" w:pos="-720"/>
        </w:tabs>
        <w:suppressAutoHyphens/>
        <w:spacing w:line="360" w:lineRule="auto"/>
        <w:ind w:firstLine="1440"/>
        <w:rPr>
          <w:spacing w:val="-3"/>
        </w:rPr>
      </w:pPr>
    </w:p>
    <w:p w:rsidR="00EC7BEA" w:rsidRPr="008A2F12" w:rsidRDefault="00502FDA" w:rsidP="008A2F12">
      <w:pPr>
        <w:tabs>
          <w:tab w:val="left" w:pos="-1440"/>
          <w:tab w:val="left" w:pos="-720"/>
        </w:tabs>
        <w:suppressAutoHyphens/>
        <w:spacing w:line="360" w:lineRule="auto"/>
        <w:ind w:firstLine="1440"/>
        <w:rPr>
          <w:spacing w:val="-3"/>
        </w:rPr>
      </w:pPr>
      <w:r w:rsidRPr="008A2F12">
        <w:rPr>
          <w:spacing w:val="-3"/>
        </w:rPr>
        <w:t xml:space="preserve">The </w:t>
      </w:r>
      <w:r w:rsidR="00CD6D25" w:rsidRPr="008A2F12">
        <w:rPr>
          <w:spacing w:val="-3"/>
        </w:rPr>
        <w:t>Complainant</w:t>
      </w:r>
      <w:r w:rsidR="00D1424F" w:rsidRPr="008A2F12">
        <w:rPr>
          <w:spacing w:val="-3"/>
        </w:rPr>
        <w:t xml:space="preserve"> and his wife</w:t>
      </w:r>
      <w:r w:rsidR="00C32B1B" w:rsidRPr="008A2F12">
        <w:rPr>
          <w:spacing w:val="-3"/>
        </w:rPr>
        <w:t xml:space="preserve"> </w:t>
      </w:r>
      <w:r w:rsidR="00CD6D25" w:rsidRPr="008A2F12">
        <w:rPr>
          <w:spacing w:val="-3"/>
        </w:rPr>
        <w:t>testified</w:t>
      </w:r>
      <w:r w:rsidR="00EC7BEA" w:rsidRPr="008A2F12">
        <w:rPr>
          <w:spacing w:val="-3"/>
        </w:rPr>
        <w:t>.  The Complainant did not sponsor any exhibits.</w:t>
      </w:r>
    </w:p>
    <w:p w:rsidR="00EC7BEA" w:rsidRPr="008A2F12" w:rsidRDefault="00EC7BEA" w:rsidP="008A2F12">
      <w:pPr>
        <w:tabs>
          <w:tab w:val="left" w:pos="-1440"/>
          <w:tab w:val="left" w:pos="-720"/>
        </w:tabs>
        <w:suppressAutoHyphens/>
        <w:spacing w:line="360" w:lineRule="auto"/>
        <w:ind w:firstLine="1440"/>
        <w:rPr>
          <w:spacing w:val="-3"/>
        </w:rPr>
      </w:pPr>
    </w:p>
    <w:p w:rsidR="00EC7BEA" w:rsidRPr="008A2F12" w:rsidRDefault="00EC7BEA" w:rsidP="008A2F12">
      <w:pPr>
        <w:tabs>
          <w:tab w:val="left" w:pos="-1440"/>
          <w:tab w:val="left" w:pos="-720"/>
        </w:tabs>
        <w:suppressAutoHyphens/>
        <w:spacing w:line="360" w:lineRule="auto"/>
        <w:ind w:firstLine="1440"/>
        <w:rPr>
          <w:spacing w:val="-3"/>
        </w:rPr>
      </w:pPr>
      <w:r w:rsidRPr="008A2F12">
        <w:rPr>
          <w:spacing w:val="-3"/>
        </w:rPr>
        <w:t xml:space="preserve">The Respondent </w:t>
      </w:r>
      <w:r w:rsidR="00CD6D25" w:rsidRPr="008A2F12">
        <w:rPr>
          <w:spacing w:val="-3"/>
        </w:rPr>
        <w:t>present</w:t>
      </w:r>
      <w:r w:rsidR="009F7080" w:rsidRPr="008A2F12">
        <w:rPr>
          <w:spacing w:val="-3"/>
        </w:rPr>
        <w:t>ed t</w:t>
      </w:r>
      <w:r w:rsidRPr="008A2F12">
        <w:rPr>
          <w:spacing w:val="-3"/>
        </w:rPr>
        <w:t xml:space="preserve">wo </w:t>
      </w:r>
      <w:proofErr w:type="gramStart"/>
      <w:r w:rsidRPr="008A2F12">
        <w:rPr>
          <w:spacing w:val="-3"/>
        </w:rPr>
        <w:t>witness</w:t>
      </w:r>
      <w:proofErr w:type="gramEnd"/>
      <w:r w:rsidRPr="008A2F12">
        <w:rPr>
          <w:spacing w:val="-3"/>
        </w:rPr>
        <w:t xml:space="preserve">, (1) Jessica Glace, a customer review officer at PGW; and </w:t>
      </w:r>
      <w:r w:rsidR="00633537">
        <w:rPr>
          <w:spacing w:val="-3"/>
        </w:rPr>
        <w:t xml:space="preserve">(2) </w:t>
      </w:r>
      <w:r w:rsidRPr="008A2F12">
        <w:rPr>
          <w:spacing w:val="-3"/>
        </w:rPr>
        <w:t xml:space="preserve">Nicholas </w:t>
      </w:r>
      <w:proofErr w:type="spellStart"/>
      <w:r w:rsidRPr="008A2F12">
        <w:rPr>
          <w:spacing w:val="-3"/>
        </w:rPr>
        <w:t>Simeo</w:t>
      </w:r>
      <w:proofErr w:type="spellEnd"/>
      <w:r w:rsidRPr="008A2F12">
        <w:rPr>
          <w:spacing w:val="-3"/>
        </w:rPr>
        <w:t xml:space="preserve">, </w:t>
      </w:r>
      <w:r w:rsidR="007B560C" w:rsidRPr="008A2F12">
        <w:rPr>
          <w:spacing w:val="-3"/>
        </w:rPr>
        <w:t>supervisor in the revenue protection unit (RPU) and field operations.  The Respondent sponsor</w:t>
      </w:r>
      <w:r w:rsidR="009877B3">
        <w:rPr>
          <w:spacing w:val="-3"/>
        </w:rPr>
        <w:t>ed</w:t>
      </w:r>
      <w:r w:rsidR="007B560C" w:rsidRPr="008A2F12">
        <w:rPr>
          <w:spacing w:val="-3"/>
        </w:rPr>
        <w:t xml:space="preserve"> testimony regarding the following five exhibits</w:t>
      </w:r>
      <w:r w:rsidRPr="008A2F12">
        <w:rPr>
          <w:spacing w:val="-3"/>
        </w:rPr>
        <w:t>:</w:t>
      </w:r>
    </w:p>
    <w:p w:rsidR="008A2F12" w:rsidRPr="008A2F12" w:rsidRDefault="008A2F12" w:rsidP="008A2F12">
      <w:pPr>
        <w:tabs>
          <w:tab w:val="left" w:pos="-1440"/>
          <w:tab w:val="left" w:pos="-720"/>
        </w:tabs>
        <w:suppressAutoHyphens/>
        <w:spacing w:line="360" w:lineRule="auto"/>
        <w:ind w:firstLine="1440"/>
        <w:rPr>
          <w:spacing w:val="-3"/>
        </w:rPr>
      </w:pPr>
    </w:p>
    <w:p w:rsidR="009F7080" w:rsidRPr="008A2F12" w:rsidRDefault="007B560C" w:rsidP="008A2F12">
      <w:pPr>
        <w:pStyle w:val="ListParagraph"/>
        <w:numPr>
          <w:ilvl w:val="0"/>
          <w:numId w:val="5"/>
        </w:numPr>
        <w:tabs>
          <w:tab w:val="left" w:pos="-1440"/>
          <w:tab w:val="left" w:pos="-720"/>
        </w:tabs>
        <w:suppressAutoHyphens/>
        <w:ind w:right="1440"/>
        <w:rPr>
          <w:spacing w:val="-3"/>
        </w:rPr>
      </w:pPr>
      <w:r w:rsidRPr="008A2F12">
        <w:rPr>
          <w:spacing w:val="-3"/>
        </w:rPr>
        <w:t>Contacts for account</w:t>
      </w:r>
      <w:r w:rsidR="009F7080" w:rsidRPr="008A2F12">
        <w:rPr>
          <w:spacing w:val="-3"/>
        </w:rPr>
        <w:t xml:space="preserve"> – </w:t>
      </w:r>
      <w:r w:rsidRPr="008A2F12">
        <w:rPr>
          <w:spacing w:val="-3"/>
        </w:rPr>
        <w:t>PGW</w:t>
      </w:r>
      <w:r w:rsidR="009F7080" w:rsidRPr="008A2F12">
        <w:rPr>
          <w:spacing w:val="-3"/>
        </w:rPr>
        <w:t xml:space="preserve"> Exhibit 1;</w:t>
      </w:r>
    </w:p>
    <w:p w:rsidR="009F7080" w:rsidRPr="008A2F12" w:rsidRDefault="007B560C" w:rsidP="008A2F12">
      <w:pPr>
        <w:pStyle w:val="ListParagraph"/>
        <w:numPr>
          <w:ilvl w:val="0"/>
          <w:numId w:val="5"/>
        </w:numPr>
        <w:tabs>
          <w:tab w:val="left" w:pos="-1440"/>
          <w:tab w:val="left" w:pos="-720"/>
        </w:tabs>
        <w:suppressAutoHyphens/>
        <w:ind w:right="1440"/>
        <w:rPr>
          <w:spacing w:val="-3"/>
        </w:rPr>
      </w:pPr>
      <w:r w:rsidRPr="008A2F12">
        <w:rPr>
          <w:spacing w:val="-3"/>
        </w:rPr>
        <w:t>Theft of service reports</w:t>
      </w:r>
      <w:r w:rsidR="009F7080" w:rsidRPr="008A2F12">
        <w:rPr>
          <w:spacing w:val="-3"/>
        </w:rPr>
        <w:t xml:space="preserve"> – </w:t>
      </w:r>
      <w:r w:rsidRPr="008A2F12">
        <w:rPr>
          <w:spacing w:val="-3"/>
        </w:rPr>
        <w:t>PGW E</w:t>
      </w:r>
      <w:r w:rsidR="009F7080" w:rsidRPr="008A2F12">
        <w:rPr>
          <w:spacing w:val="-3"/>
        </w:rPr>
        <w:t>xhibit 2;</w:t>
      </w:r>
    </w:p>
    <w:p w:rsidR="009F7080" w:rsidRPr="008A2F12" w:rsidRDefault="007B560C" w:rsidP="008A2F12">
      <w:pPr>
        <w:pStyle w:val="ListParagraph"/>
        <w:numPr>
          <w:ilvl w:val="0"/>
          <w:numId w:val="5"/>
        </w:numPr>
        <w:tabs>
          <w:tab w:val="left" w:pos="-1440"/>
          <w:tab w:val="left" w:pos="-720"/>
        </w:tabs>
        <w:suppressAutoHyphens/>
        <w:ind w:right="1440"/>
        <w:rPr>
          <w:spacing w:val="-3"/>
        </w:rPr>
      </w:pPr>
      <w:r w:rsidRPr="008A2F12">
        <w:rPr>
          <w:spacing w:val="-3"/>
        </w:rPr>
        <w:t>Statement of accounts</w:t>
      </w:r>
      <w:r w:rsidR="001F7766" w:rsidRPr="008A2F12">
        <w:rPr>
          <w:spacing w:val="-3"/>
        </w:rPr>
        <w:t xml:space="preserve"> – </w:t>
      </w:r>
      <w:r w:rsidRPr="008A2F12">
        <w:rPr>
          <w:spacing w:val="-3"/>
        </w:rPr>
        <w:t>PGW</w:t>
      </w:r>
      <w:r w:rsidR="001F7766" w:rsidRPr="008A2F12">
        <w:rPr>
          <w:spacing w:val="-3"/>
        </w:rPr>
        <w:t xml:space="preserve"> Exhibit 3;</w:t>
      </w:r>
    </w:p>
    <w:p w:rsidR="001F7766" w:rsidRPr="008A2F12" w:rsidRDefault="007B560C" w:rsidP="008A2F12">
      <w:pPr>
        <w:pStyle w:val="ListParagraph"/>
        <w:numPr>
          <w:ilvl w:val="0"/>
          <w:numId w:val="5"/>
        </w:numPr>
        <w:tabs>
          <w:tab w:val="left" w:pos="-1440"/>
          <w:tab w:val="left" w:pos="-720"/>
        </w:tabs>
        <w:suppressAutoHyphens/>
        <w:ind w:right="1440"/>
        <w:rPr>
          <w:spacing w:val="-3"/>
        </w:rPr>
      </w:pPr>
      <w:r w:rsidRPr="008A2F12">
        <w:rPr>
          <w:spacing w:val="-3"/>
        </w:rPr>
        <w:t>Usage history</w:t>
      </w:r>
      <w:r w:rsidR="001F7766" w:rsidRPr="008A2F12">
        <w:rPr>
          <w:spacing w:val="-3"/>
        </w:rPr>
        <w:t xml:space="preserve"> – </w:t>
      </w:r>
      <w:r w:rsidRPr="008A2F12">
        <w:rPr>
          <w:spacing w:val="-3"/>
        </w:rPr>
        <w:t>PGW</w:t>
      </w:r>
      <w:r w:rsidR="001F7766" w:rsidRPr="008A2F12">
        <w:rPr>
          <w:spacing w:val="-3"/>
        </w:rPr>
        <w:t xml:space="preserve"> Exhibit 4;</w:t>
      </w:r>
      <w:r w:rsidRPr="008A2F12">
        <w:rPr>
          <w:spacing w:val="-3"/>
        </w:rPr>
        <w:t xml:space="preserve"> and</w:t>
      </w:r>
    </w:p>
    <w:p w:rsidR="007B560C" w:rsidRPr="008A2F12" w:rsidRDefault="007B560C" w:rsidP="008A2F12">
      <w:pPr>
        <w:pStyle w:val="ListParagraph"/>
        <w:numPr>
          <w:ilvl w:val="0"/>
          <w:numId w:val="5"/>
        </w:numPr>
        <w:tabs>
          <w:tab w:val="left" w:pos="-1440"/>
          <w:tab w:val="left" w:pos="-720"/>
        </w:tabs>
        <w:suppressAutoHyphens/>
        <w:ind w:right="1440"/>
        <w:rPr>
          <w:spacing w:val="-3"/>
        </w:rPr>
      </w:pPr>
      <w:r w:rsidRPr="008A2F12">
        <w:rPr>
          <w:spacing w:val="-3"/>
        </w:rPr>
        <w:t>BCS decision</w:t>
      </w:r>
      <w:r w:rsidR="001F7766" w:rsidRPr="008A2F12">
        <w:rPr>
          <w:spacing w:val="-3"/>
        </w:rPr>
        <w:t xml:space="preserve"> – </w:t>
      </w:r>
      <w:r w:rsidRPr="008A2F12">
        <w:rPr>
          <w:spacing w:val="-3"/>
        </w:rPr>
        <w:t>PGW</w:t>
      </w:r>
      <w:r w:rsidR="001F7766" w:rsidRPr="008A2F12">
        <w:rPr>
          <w:spacing w:val="-3"/>
        </w:rPr>
        <w:t xml:space="preserve"> Exhibit 5</w:t>
      </w:r>
      <w:r w:rsidRPr="008A2F12">
        <w:rPr>
          <w:spacing w:val="-3"/>
        </w:rPr>
        <w:t>.</w:t>
      </w:r>
    </w:p>
    <w:p w:rsidR="001F7766" w:rsidRPr="008A2F12" w:rsidRDefault="007B560C" w:rsidP="008A2F12">
      <w:pPr>
        <w:tabs>
          <w:tab w:val="left" w:pos="-1440"/>
          <w:tab w:val="left" w:pos="-720"/>
        </w:tabs>
        <w:suppressAutoHyphens/>
        <w:spacing w:line="360" w:lineRule="auto"/>
        <w:ind w:left="1440" w:right="1440"/>
        <w:rPr>
          <w:spacing w:val="-3"/>
        </w:rPr>
      </w:pPr>
      <w:r w:rsidRPr="008A2F12">
        <w:rPr>
          <w:spacing w:val="-3"/>
        </w:rPr>
        <w:t xml:space="preserve"> </w:t>
      </w:r>
    </w:p>
    <w:p w:rsidR="001F7766" w:rsidRPr="008A2F12" w:rsidRDefault="001F7766" w:rsidP="008A2F12">
      <w:pPr>
        <w:tabs>
          <w:tab w:val="left" w:pos="-1440"/>
          <w:tab w:val="left" w:pos="-720"/>
        </w:tabs>
        <w:suppressAutoHyphens/>
        <w:spacing w:line="360" w:lineRule="auto"/>
        <w:rPr>
          <w:spacing w:val="-3"/>
        </w:rPr>
      </w:pPr>
      <w:r w:rsidRPr="008A2F12">
        <w:rPr>
          <w:spacing w:val="-3"/>
        </w:rPr>
        <w:t xml:space="preserve">All </w:t>
      </w:r>
      <w:r w:rsidR="007B560C" w:rsidRPr="008A2F12">
        <w:rPr>
          <w:spacing w:val="-3"/>
        </w:rPr>
        <w:t>five</w:t>
      </w:r>
      <w:r w:rsidRPr="008A2F12">
        <w:rPr>
          <w:spacing w:val="-3"/>
        </w:rPr>
        <w:t xml:space="preserve"> exhibits were admitted into the record.  </w:t>
      </w:r>
      <w:r w:rsidR="007F3E22" w:rsidRPr="008A2F12">
        <w:rPr>
          <w:spacing w:val="-3"/>
        </w:rPr>
        <w:t xml:space="preserve"> </w:t>
      </w:r>
    </w:p>
    <w:p w:rsidR="005B3A4D" w:rsidRPr="008A2F12" w:rsidRDefault="005B3A4D" w:rsidP="008A2F12">
      <w:pPr>
        <w:tabs>
          <w:tab w:val="left" w:pos="-1440"/>
          <w:tab w:val="left" w:pos="-720"/>
        </w:tabs>
        <w:suppressAutoHyphens/>
        <w:spacing w:line="360" w:lineRule="auto"/>
      </w:pPr>
    </w:p>
    <w:p w:rsidR="00E76D1E" w:rsidRPr="008A2F12" w:rsidRDefault="005B3A4D" w:rsidP="008A2F12">
      <w:pPr>
        <w:tabs>
          <w:tab w:val="left" w:pos="-1440"/>
          <w:tab w:val="left" w:pos="-720"/>
        </w:tabs>
        <w:suppressAutoHyphens/>
        <w:spacing w:line="360" w:lineRule="auto"/>
      </w:pPr>
      <w:r w:rsidRPr="008A2F12">
        <w:tab/>
      </w:r>
      <w:r w:rsidRPr="008A2F12">
        <w:tab/>
        <w:t>The transcript consisted of 1</w:t>
      </w:r>
      <w:r w:rsidR="007B560C" w:rsidRPr="008A2F12">
        <w:t>99</w:t>
      </w:r>
      <w:r w:rsidRPr="008A2F12">
        <w:t xml:space="preserve"> pages of transcribed testimony.  The record closed </w:t>
      </w:r>
      <w:r w:rsidR="007B560C" w:rsidRPr="008A2F12">
        <w:t>30 days after the evidentiary hearing or on June 6, 2016</w:t>
      </w:r>
      <w:r w:rsidRPr="008A2F12">
        <w:t>.  This matter is ripe for decision.</w:t>
      </w:r>
    </w:p>
    <w:p w:rsidR="00766990" w:rsidRPr="008A2F12" w:rsidRDefault="00766990" w:rsidP="008A2F12">
      <w:pPr>
        <w:tabs>
          <w:tab w:val="left" w:pos="-180"/>
        </w:tabs>
        <w:spacing w:line="360" w:lineRule="auto"/>
        <w:ind w:left="1080"/>
      </w:pPr>
    </w:p>
    <w:p w:rsidR="00CD6D25" w:rsidRPr="008A2F12" w:rsidRDefault="00CD6D25" w:rsidP="008A2F12">
      <w:pPr>
        <w:spacing w:line="360" w:lineRule="auto"/>
        <w:jc w:val="center"/>
        <w:rPr>
          <w:u w:val="single"/>
        </w:rPr>
      </w:pPr>
      <w:r w:rsidRPr="008A2F12">
        <w:rPr>
          <w:u w:val="single"/>
        </w:rPr>
        <w:t>FINDINGS OF FACT</w:t>
      </w:r>
    </w:p>
    <w:p w:rsidR="00CD6D25" w:rsidRPr="008A2F12" w:rsidRDefault="00CD6D25" w:rsidP="008A2F12">
      <w:pPr>
        <w:spacing w:line="360" w:lineRule="auto"/>
        <w:jc w:val="center"/>
        <w:rPr>
          <w:u w:val="single"/>
        </w:rPr>
      </w:pPr>
    </w:p>
    <w:p w:rsidR="00CD6D25" w:rsidRPr="008A2F12" w:rsidRDefault="00CD6D25" w:rsidP="008A2F12">
      <w:pPr>
        <w:numPr>
          <w:ilvl w:val="0"/>
          <w:numId w:val="3"/>
        </w:numPr>
        <w:spacing w:line="360" w:lineRule="auto"/>
        <w:ind w:left="0" w:firstLine="1440"/>
      </w:pPr>
      <w:r w:rsidRPr="008A2F12">
        <w:t xml:space="preserve">The Complainant is </w:t>
      </w:r>
      <w:r w:rsidR="006114AE" w:rsidRPr="008A2F12">
        <w:t>William Ford</w:t>
      </w:r>
      <w:r w:rsidR="00137B13" w:rsidRPr="008A2F12">
        <w:t xml:space="preserve"> </w:t>
      </w:r>
      <w:r w:rsidR="00C32B1B" w:rsidRPr="008A2F12">
        <w:t xml:space="preserve">who </w:t>
      </w:r>
      <w:r w:rsidR="006114AE" w:rsidRPr="008A2F12">
        <w:t>is the owner of 73 E. Coulter Street,</w:t>
      </w:r>
      <w:r w:rsidR="000165B5" w:rsidRPr="008A2F12">
        <w:t xml:space="preserve"> </w:t>
      </w:r>
      <w:r w:rsidR="006114AE" w:rsidRPr="008A2F12">
        <w:t>Phil</w:t>
      </w:r>
      <w:r w:rsidR="0072063F" w:rsidRPr="008A2F12">
        <w:t>adelphia</w:t>
      </w:r>
      <w:r w:rsidRPr="008A2F12">
        <w:t xml:space="preserve">, Pennsylvania (service address).  Tr. </w:t>
      </w:r>
      <w:r w:rsidR="006114AE" w:rsidRPr="008A2F12">
        <w:t>44</w:t>
      </w:r>
      <w:r w:rsidRPr="008A2F12">
        <w:t>.</w:t>
      </w:r>
    </w:p>
    <w:p w:rsidR="00781CBB" w:rsidRPr="008A2F12" w:rsidRDefault="00781CBB" w:rsidP="008A2F12">
      <w:pPr>
        <w:spacing w:line="360" w:lineRule="auto"/>
        <w:ind w:left="1440"/>
      </w:pPr>
    </w:p>
    <w:p w:rsidR="00CE60DD" w:rsidRPr="008A2F12" w:rsidRDefault="00CE60DD" w:rsidP="008A2F12">
      <w:pPr>
        <w:numPr>
          <w:ilvl w:val="0"/>
          <w:numId w:val="3"/>
        </w:numPr>
        <w:spacing w:line="360" w:lineRule="auto"/>
        <w:ind w:left="0" w:firstLine="1440"/>
      </w:pPr>
      <w:r w:rsidRPr="008A2F12">
        <w:t>The Respondent is P</w:t>
      </w:r>
      <w:r w:rsidR="00AA5F9A" w:rsidRPr="008A2F12">
        <w:t>hiladelphia Gas Works</w:t>
      </w:r>
      <w:r w:rsidRPr="008A2F12">
        <w:t>.</w:t>
      </w:r>
    </w:p>
    <w:p w:rsidR="00781CBB" w:rsidRPr="008A2F12" w:rsidRDefault="00781CBB" w:rsidP="00F42C12">
      <w:pPr>
        <w:pStyle w:val="ListParagraph"/>
        <w:spacing w:line="360" w:lineRule="auto"/>
      </w:pPr>
    </w:p>
    <w:p w:rsidR="006114AE" w:rsidRPr="008A2F12" w:rsidRDefault="0051026F" w:rsidP="008A2F12">
      <w:pPr>
        <w:numPr>
          <w:ilvl w:val="0"/>
          <w:numId w:val="3"/>
        </w:numPr>
        <w:spacing w:line="360" w:lineRule="auto"/>
        <w:ind w:left="0" w:firstLine="1440"/>
      </w:pPr>
      <w:r w:rsidRPr="008A2F12">
        <w:t xml:space="preserve">The </w:t>
      </w:r>
      <w:r w:rsidR="0072063F" w:rsidRPr="008A2F12">
        <w:t>Complainant</w:t>
      </w:r>
      <w:r w:rsidR="00AA5F9A" w:rsidRPr="008A2F12">
        <w:t xml:space="preserve"> </w:t>
      </w:r>
      <w:r w:rsidR="006114AE" w:rsidRPr="008A2F12">
        <w:t xml:space="preserve">lived at the service address from about 1996 to </w:t>
      </w:r>
      <w:r w:rsidR="00A34262" w:rsidRPr="008A2F12">
        <w:t>2003</w:t>
      </w:r>
      <w:r w:rsidR="006114AE" w:rsidRPr="008A2F12">
        <w:t xml:space="preserve"> and then again from 2004 to 2011</w:t>
      </w:r>
      <w:r w:rsidR="00781CBB" w:rsidRPr="008A2F12">
        <w:t xml:space="preserve"> and was responsible for the gas bill</w:t>
      </w:r>
      <w:r w:rsidR="006114AE" w:rsidRPr="008A2F12">
        <w:t>.  Tr. 46-48</w:t>
      </w:r>
      <w:r w:rsidR="00A34262" w:rsidRPr="008A2F12">
        <w:t>, 51</w:t>
      </w:r>
      <w:r w:rsidR="00DC1BCE" w:rsidRPr="008A2F12">
        <w:t>, 70</w:t>
      </w:r>
      <w:r w:rsidR="00787310" w:rsidRPr="008A2F12">
        <w:t>, 73</w:t>
      </w:r>
      <w:r w:rsidR="006114AE" w:rsidRPr="008A2F12">
        <w:t>.</w:t>
      </w:r>
    </w:p>
    <w:p w:rsidR="00C44A70" w:rsidRPr="008A2F12" w:rsidRDefault="00C44A70" w:rsidP="008A2F12">
      <w:pPr>
        <w:spacing w:line="360" w:lineRule="auto"/>
        <w:ind w:left="1440"/>
      </w:pPr>
    </w:p>
    <w:p w:rsidR="00C44A70" w:rsidRPr="008A2F12" w:rsidRDefault="00C44A70" w:rsidP="008A2F12">
      <w:pPr>
        <w:numPr>
          <w:ilvl w:val="0"/>
          <w:numId w:val="3"/>
        </w:numPr>
        <w:spacing w:line="360" w:lineRule="auto"/>
        <w:ind w:left="0" w:firstLine="1440"/>
      </w:pPr>
      <w:r w:rsidRPr="008A2F12">
        <w:t>The Complainant lived by himself when he lived at the service address from 1996 to 2003</w:t>
      </w:r>
      <w:r w:rsidR="00F35730" w:rsidRPr="008A2F12">
        <w:t xml:space="preserve"> and from 2004 to </w:t>
      </w:r>
      <w:r w:rsidR="00E4701B" w:rsidRPr="008A2F12">
        <w:t>April 2010</w:t>
      </w:r>
      <w:r w:rsidRPr="008A2F12">
        <w:t>.  Tr. 53</w:t>
      </w:r>
      <w:r w:rsidR="00FA336A" w:rsidRPr="008A2F12">
        <w:t>, 81</w:t>
      </w:r>
      <w:r w:rsidRPr="008A2F12">
        <w:t>.</w:t>
      </w:r>
    </w:p>
    <w:p w:rsidR="006114AE" w:rsidRPr="008A2F12" w:rsidRDefault="006114AE" w:rsidP="008A2F12">
      <w:pPr>
        <w:numPr>
          <w:ilvl w:val="0"/>
          <w:numId w:val="3"/>
        </w:numPr>
        <w:spacing w:line="360" w:lineRule="auto"/>
        <w:ind w:left="0" w:firstLine="1440"/>
      </w:pPr>
      <w:r w:rsidRPr="008A2F12">
        <w:lastRenderedPageBreak/>
        <w:t>The service address is a duplex</w:t>
      </w:r>
      <w:r w:rsidR="00D266E0" w:rsidRPr="008A2F12">
        <w:t xml:space="preserve"> house</w:t>
      </w:r>
      <w:r w:rsidRPr="008A2F12">
        <w:t xml:space="preserve"> which </w:t>
      </w:r>
      <w:r w:rsidR="00E4701B" w:rsidRPr="008A2F12">
        <w:t>receives</w:t>
      </w:r>
      <w:r w:rsidRPr="008A2F12">
        <w:t xml:space="preserve"> residential gas service from the Respondent.  Tr. 49.</w:t>
      </w:r>
    </w:p>
    <w:p w:rsidR="006114AE" w:rsidRPr="008A2F12" w:rsidRDefault="006114AE" w:rsidP="00161882">
      <w:pPr>
        <w:pStyle w:val="ListParagraph"/>
        <w:spacing w:line="360" w:lineRule="auto"/>
      </w:pPr>
    </w:p>
    <w:p w:rsidR="006114AE" w:rsidRPr="008A2F12" w:rsidRDefault="006114AE" w:rsidP="008A2F12">
      <w:pPr>
        <w:numPr>
          <w:ilvl w:val="0"/>
          <w:numId w:val="3"/>
        </w:numPr>
        <w:spacing w:line="360" w:lineRule="auto"/>
        <w:ind w:left="0" w:firstLine="1440"/>
      </w:pPr>
      <w:r w:rsidRPr="008A2F12">
        <w:t>The service address has the following gas appliances:</w:t>
      </w:r>
    </w:p>
    <w:p w:rsidR="006114AE" w:rsidRPr="008A2F12" w:rsidRDefault="006114AE" w:rsidP="00CB004E">
      <w:pPr>
        <w:pStyle w:val="ListParagraph"/>
        <w:spacing w:line="360" w:lineRule="auto"/>
      </w:pPr>
    </w:p>
    <w:p w:rsidR="006114AE" w:rsidRPr="008A2F12" w:rsidRDefault="000165B5" w:rsidP="008A2F12">
      <w:pPr>
        <w:numPr>
          <w:ilvl w:val="1"/>
          <w:numId w:val="3"/>
        </w:numPr>
      </w:pPr>
      <w:r w:rsidRPr="008A2F12">
        <w:t>a</w:t>
      </w:r>
      <w:r w:rsidR="006114AE" w:rsidRPr="008A2F12">
        <w:t xml:space="preserve"> </w:t>
      </w:r>
      <w:r w:rsidR="00D778C6" w:rsidRPr="008A2F12">
        <w:t>gas range</w:t>
      </w:r>
      <w:r w:rsidR="006114AE" w:rsidRPr="008A2F12">
        <w:t>;</w:t>
      </w:r>
    </w:p>
    <w:p w:rsidR="006114AE" w:rsidRPr="008A2F12" w:rsidRDefault="000165B5" w:rsidP="008A2F12">
      <w:pPr>
        <w:numPr>
          <w:ilvl w:val="1"/>
          <w:numId w:val="3"/>
        </w:numPr>
      </w:pPr>
      <w:r w:rsidRPr="008A2F12">
        <w:t>a house heater</w:t>
      </w:r>
      <w:r w:rsidR="006114AE" w:rsidRPr="008A2F12">
        <w:t>; and</w:t>
      </w:r>
    </w:p>
    <w:p w:rsidR="006114AE" w:rsidRPr="008A2F12" w:rsidRDefault="000165B5" w:rsidP="008A2F12">
      <w:pPr>
        <w:numPr>
          <w:ilvl w:val="1"/>
          <w:numId w:val="3"/>
        </w:numPr>
      </w:pPr>
      <w:r w:rsidRPr="008A2F12">
        <w:t>a</w:t>
      </w:r>
      <w:r w:rsidR="006114AE" w:rsidRPr="008A2F12">
        <w:t xml:space="preserve"> water heater.</w:t>
      </w:r>
    </w:p>
    <w:p w:rsidR="00C44A70" w:rsidRPr="008A2F12" w:rsidRDefault="00C44A70" w:rsidP="00473C42">
      <w:pPr>
        <w:spacing w:line="360" w:lineRule="auto"/>
        <w:ind w:left="2160"/>
      </w:pPr>
    </w:p>
    <w:p w:rsidR="005157DB" w:rsidRPr="008A2F12" w:rsidRDefault="00C44A70" w:rsidP="008A2F12">
      <w:pPr>
        <w:pStyle w:val="ListParagraph"/>
        <w:ind w:left="0"/>
      </w:pPr>
      <w:r w:rsidRPr="008A2F12">
        <w:t>Tr. 53-54</w:t>
      </w:r>
      <w:r w:rsidR="00D778C6" w:rsidRPr="008A2F12">
        <w:t>, 106</w:t>
      </w:r>
      <w:r w:rsidR="000165B5" w:rsidRPr="008A2F12">
        <w:t>, 135, PGW Exhibit 2</w:t>
      </w:r>
      <w:r w:rsidRPr="008A2F12">
        <w:t>.</w:t>
      </w:r>
    </w:p>
    <w:p w:rsidR="006447EB" w:rsidRPr="008A2F12" w:rsidRDefault="006447EB" w:rsidP="001E7DCB">
      <w:pPr>
        <w:spacing w:line="360" w:lineRule="auto"/>
      </w:pPr>
    </w:p>
    <w:p w:rsidR="006447EB" w:rsidRPr="008A2F12" w:rsidRDefault="006447EB" w:rsidP="008A2F12">
      <w:pPr>
        <w:pStyle w:val="ListParagraph"/>
        <w:numPr>
          <w:ilvl w:val="0"/>
          <w:numId w:val="9"/>
        </w:numPr>
        <w:ind w:left="2160" w:hanging="720"/>
      </w:pPr>
      <w:r w:rsidRPr="008A2F12">
        <w:t>The house heater at the service address was never disconnected.  Tr. 85.</w:t>
      </w:r>
    </w:p>
    <w:p w:rsidR="00E4701B" w:rsidRPr="008A2F12" w:rsidRDefault="00E4701B" w:rsidP="00161882">
      <w:pPr>
        <w:pStyle w:val="ListParagraph"/>
        <w:spacing w:line="360" w:lineRule="auto"/>
        <w:ind w:left="0"/>
      </w:pPr>
    </w:p>
    <w:p w:rsidR="00DF1835" w:rsidRPr="008A2F12" w:rsidRDefault="00DF1835" w:rsidP="008A2F12">
      <w:pPr>
        <w:numPr>
          <w:ilvl w:val="0"/>
          <w:numId w:val="10"/>
        </w:numPr>
        <w:spacing w:line="360" w:lineRule="auto"/>
        <w:ind w:left="0" w:firstLine="1440"/>
      </w:pPr>
      <w:r w:rsidRPr="008A2F12">
        <w:t xml:space="preserve">From </w:t>
      </w:r>
      <w:r w:rsidR="00D778C6" w:rsidRPr="008A2F12">
        <w:t xml:space="preserve">April </w:t>
      </w:r>
      <w:r w:rsidRPr="008A2F12">
        <w:t>20</w:t>
      </w:r>
      <w:r w:rsidR="00F35730" w:rsidRPr="008A2F12">
        <w:t>10</w:t>
      </w:r>
      <w:r w:rsidRPr="008A2F12">
        <w:t xml:space="preserve"> to </w:t>
      </w:r>
      <w:r w:rsidR="00D778C6" w:rsidRPr="008A2F12">
        <w:t xml:space="preserve">November </w:t>
      </w:r>
      <w:r w:rsidRPr="008A2F12">
        <w:t xml:space="preserve">2011 </w:t>
      </w:r>
      <w:r w:rsidR="00F35730" w:rsidRPr="008A2F12">
        <w:t xml:space="preserve">the Complainant and his soon-to-be wife lived at the </w:t>
      </w:r>
      <w:r w:rsidRPr="008A2F12">
        <w:t>service address</w:t>
      </w:r>
      <w:r w:rsidR="00D778C6" w:rsidRPr="008A2F12">
        <w:t xml:space="preserve"> as the only two occupants of the service address and lived on the 2</w:t>
      </w:r>
      <w:r w:rsidR="00D778C6" w:rsidRPr="008A2F12">
        <w:rPr>
          <w:vertAlign w:val="superscript"/>
        </w:rPr>
        <w:t>nd</w:t>
      </w:r>
      <w:r w:rsidR="00D778C6" w:rsidRPr="008A2F12">
        <w:t xml:space="preserve"> and 3</w:t>
      </w:r>
      <w:r w:rsidR="00D778C6" w:rsidRPr="008A2F12">
        <w:rPr>
          <w:vertAlign w:val="superscript"/>
        </w:rPr>
        <w:t>rd</w:t>
      </w:r>
      <w:r w:rsidR="00D778C6" w:rsidRPr="008A2F12">
        <w:t xml:space="preserve"> floors</w:t>
      </w:r>
      <w:r w:rsidR="00124DC1" w:rsidRPr="008A2F12">
        <w:t>, but had access to the 1</w:t>
      </w:r>
      <w:r w:rsidR="00124DC1" w:rsidRPr="008A2F12">
        <w:rPr>
          <w:vertAlign w:val="superscript"/>
        </w:rPr>
        <w:t>st</w:t>
      </w:r>
      <w:r w:rsidR="00124DC1" w:rsidRPr="008A2F12">
        <w:t xml:space="preserve"> floor</w:t>
      </w:r>
      <w:r w:rsidRPr="008A2F12">
        <w:t>.  Tr.</w:t>
      </w:r>
      <w:r w:rsidR="00F35730" w:rsidRPr="008A2F12">
        <w:t xml:space="preserve"> 70</w:t>
      </w:r>
      <w:r w:rsidR="00D778C6" w:rsidRPr="008A2F12">
        <w:t>, 103-0</w:t>
      </w:r>
      <w:r w:rsidR="00124DC1" w:rsidRPr="008A2F12">
        <w:t>5</w:t>
      </w:r>
      <w:r w:rsidRPr="008A2F12">
        <w:t>.</w:t>
      </w:r>
    </w:p>
    <w:p w:rsidR="00DF1835" w:rsidRPr="008A2F12" w:rsidRDefault="00DF1835" w:rsidP="008A2F12">
      <w:pPr>
        <w:spacing w:line="360" w:lineRule="auto"/>
        <w:ind w:left="1440"/>
      </w:pPr>
    </w:p>
    <w:p w:rsidR="00DC1BCE" w:rsidRPr="008A2F12" w:rsidRDefault="00DC1BCE" w:rsidP="008A2F12">
      <w:pPr>
        <w:numPr>
          <w:ilvl w:val="0"/>
          <w:numId w:val="10"/>
        </w:numPr>
        <w:spacing w:line="360" w:lineRule="auto"/>
        <w:ind w:left="0" w:firstLine="1440"/>
      </w:pPr>
      <w:r w:rsidRPr="008A2F12">
        <w:t>A tenant</w:t>
      </w:r>
      <w:r w:rsidR="00FA336A" w:rsidRPr="008A2F12">
        <w:t>, Kenny Ogletree,</w:t>
      </w:r>
      <w:r w:rsidRPr="008A2F12">
        <w:t xml:space="preserve"> lived at the service address from 2011 to 2015 and had access to just the first floor</w:t>
      </w:r>
      <w:r w:rsidR="00F35730" w:rsidRPr="008A2F12">
        <w:t>, which had only the water heater as the gas appliance</w:t>
      </w:r>
      <w:r w:rsidR="00161882">
        <w:t>.  Tr. </w:t>
      </w:r>
      <w:r w:rsidRPr="008A2F12">
        <w:t>68-69</w:t>
      </w:r>
      <w:r w:rsidR="00787310" w:rsidRPr="008A2F12">
        <w:t>, 73</w:t>
      </w:r>
      <w:r w:rsidR="00FA336A" w:rsidRPr="008A2F12">
        <w:t>, 81-82</w:t>
      </w:r>
      <w:r w:rsidRPr="008A2F12">
        <w:t>.</w:t>
      </w:r>
    </w:p>
    <w:p w:rsidR="006477AE" w:rsidRPr="008A2F12" w:rsidRDefault="006477AE" w:rsidP="00161882">
      <w:pPr>
        <w:pStyle w:val="ListParagraph"/>
        <w:spacing w:line="360" w:lineRule="auto"/>
      </w:pPr>
    </w:p>
    <w:p w:rsidR="00837799" w:rsidRPr="008A2F12" w:rsidRDefault="00837799" w:rsidP="008A2F12">
      <w:pPr>
        <w:numPr>
          <w:ilvl w:val="0"/>
          <w:numId w:val="10"/>
        </w:numPr>
        <w:spacing w:line="360" w:lineRule="auto"/>
        <w:ind w:left="0" w:firstLine="1440"/>
      </w:pPr>
      <w:r w:rsidRPr="008A2F12">
        <w:t>To access the other gas appliances, one must have access to the 2</w:t>
      </w:r>
      <w:r w:rsidRPr="008A2F12">
        <w:rPr>
          <w:vertAlign w:val="superscript"/>
        </w:rPr>
        <w:t>nd</w:t>
      </w:r>
      <w:r w:rsidRPr="008A2F12">
        <w:t xml:space="preserve"> and 3</w:t>
      </w:r>
      <w:r w:rsidRPr="008A2F12">
        <w:rPr>
          <w:vertAlign w:val="superscript"/>
        </w:rPr>
        <w:t>rd</w:t>
      </w:r>
      <w:r w:rsidRPr="008A2F12">
        <w:t xml:space="preserve"> floors.  Tr. 73-74.</w:t>
      </w:r>
    </w:p>
    <w:p w:rsidR="00837799" w:rsidRPr="008A2F12" w:rsidRDefault="00837799" w:rsidP="00161882">
      <w:pPr>
        <w:pStyle w:val="ListParagraph"/>
        <w:spacing w:line="360" w:lineRule="auto"/>
      </w:pPr>
    </w:p>
    <w:p w:rsidR="00837799" w:rsidRPr="008A2F12" w:rsidRDefault="00837799" w:rsidP="008A2F12">
      <w:pPr>
        <w:numPr>
          <w:ilvl w:val="0"/>
          <w:numId w:val="10"/>
        </w:numPr>
        <w:spacing w:line="360" w:lineRule="auto"/>
        <w:ind w:left="0" w:firstLine="1440"/>
      </w:pPr>
      <w:r w:rsidRPr="008A2F12">
        <w:t>There is a locked door that yields entry to the 2</w:t>
      </w:r>
      <w:r w:rsidRPr="008A2F12">
        <w:rPr>
          <w:vertAlign w:val="superscript"/>
        </w:rPr>
        <w:t>nd</w:t>
      </w:r>
      <w:r w:rsidRPr="008A2F12">
        <w:t xml:space="preserve"> and 3</w:t>
      </w:r>
      <w:r w:rsidRPr="008A2F12">
        <w:rPr>
          <w:vertAlign w:val="superscript"/>
        </w:rPr>
        <w:t>rd</w:t>
      </w:r>
      <w:r w:rsidRPr="008A2F12">
        <w:t xml:space="preserve"> floors and one must have a key to gain access to the 2</w:t>
      </w:r>
      <w:r w:rsidRPr="008A2F12">
        <w:rPr>
          <w:vertAlign w:val="superscript"/>
        </w:rPr>
        <w:t>nd</w:t>
      </w:r>
      <w:r w:rsidRPr="008A2F12">
        <w:t xml:space="preserve"> and 3</w:t>
      </w:r>
      <w:r w:rsidRPr="008A2F12">
        <w:rPr>
          <w:vertAlign w:val="superscript"/>
        </w:rPr>
        <w:t>rd</w:t>
      </w:r>
      <w:r w:rsidRPr="008A2F12">
        <w:t xml:space="preserve"> floors.  </w:t>
      </w:r>
      <w:r w:rsidR="00A12DFE" w:rsidRPr="008A2F12">
        <w:t>Tr. 75-78.</w:t>
      </w:r>
    </w:p>
    <w:p w:rsidR="00DC1BCE" w:rsidRPr="008A2F12" w:rsidRDefault="00DC1BCE" w:rsidP="00161882">
      <w:pPr>
        <w:pStyle w:val="ListParagraph"/>
        <w:spacing w:line="360" w:lineRule="auto"/>
      </w:pPr>
    </w:p>
    <w:p w:rsidR="00837799" w:rsidRPr="008A2F12" w:rsidRDefault="00837799" w:rsidP="008A2F12">
      <w:pPr>
        <w:numPr>
          <w:ilvl w:val="0"/>
          <w:numId w:val="10"/>
        </w:numPr>
        <w:spacing w:line="360" w:lineRule="auto"/>
        <w:ind w:left="0" w:firstLine="1440"/>
      </w:pPr>
      <w:r w:rsidRPr="008A2F12">
        <w:t xml:space="preserve">The meter was taken from the service address on April </w:t>
      </w:r>
      <w:r w:rsidR="00E4701B" w:rsidRPr="008A2F12">
        <w:t>9</w:t>
      </w:r>
      <w:r w:rsidRPr="008A2F12">
        <w:t xml:space="preserve">, 2015, and the gas service </w:t>
      </w:r>
      <w:r w:rsidR="00972BB9" w:rsidRPr="008A2F12">
        <w:t>was terminated</w:t>
      </w:r>
      <w:r w:rsidRPr="008A2F12">
        <w:t>.  Tr. 74</w:t>
      </w:r>
      <w:r w:rsidR="00E4701B" w:rsidRPr="008A2F12">
        <w:t>, PGW Exhibit 1</w:t>
      </w:r>
      <w:r w:rsidRPr="008A2F12">
        <w:t>.</w:t>
      </w:r>
    </w:p>
    <w:p w:rsidR="00837799" w:rsidRPr="008A2F12" w:rsidRDefault="00837799" w:rsidP="008A2F12">
      <w:pPr>
        <w:pStyle w:val="ListParagraph"/>
      </w:pPr>
    </w:p>
    <w:p w:rsidR="00837799" w:rsidRPr="008A2F12" w:rsidRDefault="00837799" w:rsidP="008A2F12">
      <w:pPr>
        <w:numPr>
          <w:ilvl w:val="0"/>
          <w:numId w:val="10"/>
        </w:numPr>
        <w:spacing w:line="360" w:lineRule="auto"/>
        <w:ind w:left="0" w:firstLine="1440"/>
      </w:pPr>
      <w:r w:rsidRPr="008A2F12">
        <w:t xml:space="preserve">From 2011 through 2015 the </w:t>
      </w:r>
      <w:r w:rsidR="006447EB" w:rsidRPr="008A2F12">
        <w:t xml:space="preserve">Complainant, a tenant and </w:t>
      </w:r>
      <w:r w:rsidRPr="008A2F12">
        <w:t>Complainant’s wife had a key to the front door of the service address.  Tr. 78</w:t>
      </w:r>
      <w:r w:rsidR="00D778C6" w:rsidRPr="008A2F12">
        <w:t>, 106</w:t>
      </w:r>
      <w:r w:rsidRPr="008A2F12">
        <w:t>.</w:t>
      </w:r>
    </w:p>
    <w:p w:rsidR="00837799" w:rsidRPr="008A2F12" w:rsidRDefault="00837799" w:rsidP="00161882">
      <w:pPr>
        <w:pStyle w:val="ListParagraph"/>
        <w:spacing w:line="360" w:lineRule="auto"/>
      </w:pPr>
    </w:p>
    <w:p w:rsidR="005157DB" w:rsidRPr="008A2F12" w:rsidRDefault="005A46FE" w:rsidP="008A2F12">
      <w:pPr>
        <w:numPr>
          <w:ilvl w:val="0"/>
          <w:numId w:val="10"/>
        </w:numPr>
        <w:spacing w:line="360" w:lineRule="auto"/>
        <w:ind w:left="0" w:firstLine="1440"/>
      </w:pPr>
      <w:r w:rsidRPr="008A2F12">
        <w:lastRenderedPageBreak/>
        <w:t xml:space="preserve">The </w:t>
      </w:r>
      <w:r w:rsidR="005157DB" w:rsidRPr="008A2F12">
        <w:t>Complainan</w:t>
      </w:r>
      <w:r w:rsidRPr="008A2F12">
        <w:t>t</w:t>
      </w:r>
      <w:r w:rsidR="00781CBB" w:rsidRPr="008A2F12">
        <w:t xml:space="preserve"> was responsible for,</w:t>
      </w:r>
      <w:r w:rsidR="00FA336A" w:rsidRPr="008A2F12">
        <w:t xml:space="preserve"> received and paid the gas bills from the Respondent w</w:t>
      </w:r>
      <w:r w:rsidR="006447EB" w:rsidRPr="008A2F12">
        <w:t>hile</w:t>
      </w:r>
      <w:r w:rsidR="00FA336A" w:rsidRPr="008A2F12">
        <w:t xml:space="preserve"> the tenant occupied the service address from </w:t>
      </w:r>
      <w:r w:rsidR="00F67414" w:rsidRPr="008A2F12">
        <w:t xml:space="preserve">December </w:t>
      </w:r>
      <w:r w:rsidR="00FA336A" w:rsidRPr="008A2F12">
        <w:t>2011 through April 2015.  Tr. 80, 83.</w:t>
      </w:r>
    </w:p>
    <w:p w:rsidR="00891B53" w:rsidRPr="008A2F12" w:rsidRDefault="00891B53" w:rsidP="00161882">
      <w:pPr>
        <w:pStyle w:val="ListParagraph"/>
        <w:spacing w:line="360" w:lineRule="auto"/>
      </w:pPr>
    </w:p>
    <w:p w:rsidR="00FA336A" w:rsidRPr="008A2F12" w:rsidRDefault="0051026F" w:rsidP="008A2F12">
      <w:pPr>
        <w:numPr>
          <w:ilvl w:val="0"/>
          <w:numId w:val="10"/>
        </w:numPr>
        <w:spacing w:line="360" w:lineRule="auto"/>
        <w:ind w:left="0" w:firstLine="1440"/>
      </w:pPr>
      <w:r w:rsidRPr="008A2F12">
        <w:t xml:space="preserve">The </w:t>
      </w:r>
      <w:r w:rsidR="00FA336A" w:rsidRPr="008A2F12">
        <w:t xml:space="preserve">tenant was not responsible </w:t>
      </w:r>
      <w:r w:rsidR="006447EB" w:rsidRPr="008A2F12">
        <w:t xml:space="preserve">for </w:t>
      </w:r>
      <w:r w:rsidR="00FA336A" w:rsidRPr="008A2F12">
        <w:t>pay</w:t>
      </w:r>
      <w:r w:rsidR="006447EB" w:rsidRPr="008A2F12">
        <w:t>ment of</w:t>
      </w:r>
      <w:r w:rsidR="00FA336A" w:rsidRPr="008A2F12">
        <w:t xml:space="preserve"> the gas bills when he occupied the service address from </w:t>
      </w:r>
      <w:r w:rsidR="00F67414" w:rsidRPr="008A2F12">
        <w:t xml:space="preserve">December </w:t>
      </w:r>
      <w:r w:rsidR="00FA336A" w:rsidRPr="008A2F12">
        <w:t>2011 through April 2015.  Tr. 80.</w:t>
      </w:r>
    </w:p>
    <w:p w:rsidR="002E4D7C" w:rsidRPr="008A2F12" w:rsidRDefault="002E4D7C" w:rsidP="00161882">
      <w:pPr>
        <w:pStyle w:val="ListParagraph"/>
        <w:spacing w:line="360" w:lineRule="auto"/>
      </w:pPr>
    </w:p>
    <w:p w:rsidR="00FA336A" w:rsidRPr="008A2F12" w:rsidRDefault="00FA336A" w:rsidP="008A2F12">
      <w:pPr>
        <w:numPr>
          <w:ilvl w:val="0"/>
          <w:numId w:val="10"/>
        </w:numPr>
        <w:spacing w:line="360" w:lineRule="auto"/>
        <w:ind w:left="0" w:firstLine="1440"/>
      </w:pPr>
      <w:r w:rsidRPr="008A2F12">
        <w:t xml:space="preserve">The </w:t>
      </w:r>
      <w:r w:rsidR="006447EB" w:rsidRPr="008A2F12">
        <w:t xml:space="preserve">tenant had access to the </w:t>
      </w:r>
      <w:r w:rsidRPr="008A2F12">
        <w:t>basement o</w:t>
      </w:r>
      <w:r w:rsidR="006447EB" w:rsidRPr="008A2F12">
        <w:t>f</w:t>
      </w:r>
      <w:r w:rsidRPr="008A2F12">
        <w:t xml:space="preserve"> the service address.  Tr. 83.</w:t>
      </w:r>
    </w:p>
    <w:p w:rsidR="00FA336A" w:rsidRPr="008A2F12" w:rsidRDefault="00FA336A" w:rsidP="00161882">
      <w:pPr>
        <w:pStyle w:val="ListParagraph"/>
        <w:spacing w:line="360" w:lineRule="auto"/>
      </w:pPr>
    </w:p>
    <w:p w:rsidR="002E4D7C" w:rsidRPr="008A2F12" w:rsidRDefault="002E4D7C" w:rsidP="008A2F12">
      <w:pPr>
        <w:numPr>
          <w:ilvl w:val="0"/>
          <w:numId w:val="10"/>
        </w:numPr>
        <w:spacing w:line="360" w:lineRule="auto"/>
        <w:ind w:left="0" w:firstLine="1440"/>
      </w:pPr>
      <w:r w:rsidRPr="008A2F12">
        <w:t xml:space="preserve">The tenant used electric baseboard heat during his </w:t>
      </w:r>
      <w:r w:rsidR="00EB0734" w:rsidRPr="008A2F12">
        <w:t>tenancy; however, the gas service was not disconnected</w:t>
      </w:r>
      <w:r w:rsidRPr="008A2F12">
        <w:t>.  Tr. 89-9</w:t>
      </w:r>
      <w:r w:rsidR="00EB0734" w:rsidRPr="008A2F12">
        <w:t>2</w:t>
      </w:r>
      <w:r w:rsidRPr="008A2F12">
        <w:t>.</w:t>
      </w:r>
    </w:p>
    <w:p w:rsidR="002E4D7C" w:rsidRPr="008A2F12" w:rsidRDefault="002E4D7C" w:rsidP="00161882">
      <w:pPr>
        <w:pStyle w:val="ListParagraph"/>
        <w:spacing w:line="360" w:lineRule="auto"/>
      </w:pPr>
    </w:p>
    <w:p w:rsidR="00EB0734" w:rsidRPr="008A2F12" w:rsidRDefault="00EB0734" w:rsidP="008A2F12">
      <w:pPr>
        <w:numPr>
          <w:ilvl w:val="0"/>
          <w:numId w:val="10"/>
        </w:numPr>
        <w:spacing w:line="360" w:lineRule="auto"/>
        <w:ind w:left="0" w:firstLine="1440"/>
      </w:pPr>
      <w:r w:rsidRPr="008A2F12">
        <w:t xml:space="preserve">The </w:t>
      </w:r>
      <w:r w:rsidR="00891B53" w:rsidRPr="008A2F12">
        <w:t>Complainant</w:t>
      </w:r>
      <w:r w:rsidRPr="008A2F12">
        <w:t xml:space="preserve">’s wife, Rochelle Ford, </w:t>
      </w:r>
      <w:r w:rsidR="00D266E0" w:rsidRPr="008A2F12">
        <w:t xml:space="preserve">has been </w:t>
      </w:r>
      <w:r w:rsidRPr="008A2F12">
        <w:t>employed</w:t>
      </w:r>
      <w:r w:rsidR="00D266E0" w:rsidRPr="008A2F12">
        <w:t xml:space="preserve"> for five years</w:t>
      </w:r>
      <w:r w:rsidR="006447EB" w:rsidRPr="008A2F12">
        <w:t xml:space="preserve"> as a property manager</w:t>
      </w:r>
      <w:r w:rsidRPr="008A2F12">
        <w:t xml:space="preserve"> by Presby Inspired Life, which is a property management company for senior housing.  Tr. 101</w:t>
      </w:r>
      <w:r w:rsidR="00D266E0" w:rsidRPr="008A2F12">
        <w:t>-02</w:t>
      </w:r>
      <w:r w:rsidRPr="008A2F12">
        <w:t>.</w:t>
      </w:r>
    </w:p>
    <w:p w:rsidR="006016D8" w:rsidRPr="008A2F12" w:rsidRDefault="006016D8" w:rsidP="00161882">
      <w:pPr>
        <w:pStyle w:val="ListParagraph"/>
        <w:spacing w:line="360" w:lineRule="auto"/>
      </w:pPr>
    </w:p>
    <w:p w:rsidR="006016D8" w:rsidRPr="008A2F12" w:rsidRDefault="006447EB" w:rsidP="008A2F12">
      <w:pPr>
        <w:numPr>
          <w:ilvl w:val="0"/>
          <w:numId w:val="10"/>
        </w:numPr>
        <w:spacing w:line="360" w:lineRule="auto"/>
        <w:ind w:left="0" w:firstLine="1440"/>
      </w:pPr>
      <w:r w:rsidRPr="008A2F12">
        <w:t>In her occupation</w:t>
      </w:r>
      <w:r w:rsidR="003E4BCD">
        <w:t>,</w:t>
      </w:r>
      <w:r w:rsidRPr="008A2F12">
        <w:t xml:space="preserve"> t</w:t>
      </w:r>
      <w:r w:rsidR="006016D8" w:rsidRPr="008A2F12">
        <w:t>he Complainant’s wife inspects the rental units, supervises the staff and processes the rent for the units.  Tr. 111-13</w:t>
      </w:r>
    </w:p>
    <w:p w:rsidR="00EB0734" w:rsidRPr="008A2F12" w:rsidRDefault="00EB0734" w:rsidP="006C7BA5">
      <w:pPr>
        <w:pStyle w:val="ListParagraph"/>
        <w:spacing w:line="360" w:lineRule="auto"/>
      </w:pPr>
    </w:p>
    <w:p w:rsidR="00D266E0" w:rsidRPr="008A2F12" w:rsidRDefault="00D266E0" w:rsidP="008A2F12">
      <w:pPr>
        <w:numPr>
          <w:ilvl w:val="0"/>
          <w:numId w:val="10"/>
        </w:numPr>
        <w:spacing w:line="360" w:lineRule="auto"/>
        <w:ind w:left="0" w:firstLine="1440"/>
      </w:pPr>
      <w:r w:rsidRPr="008A2F12">
        <w:t>The Complainant has been married to Mrs. Ford over five years.  Tr. 102.</w:t>
      </w:r>
    </w:p>
    <w:p w:rsidR="00D266E0" w:rsidRPr="008A2F12" w:rsidRDefault="00D266E0" w:rsidP="006C7BA5">
      <w:pPr>
        <w:pStyle w:val="ListParagraph"/>
        <w:spacing w:line="360" w:lineRule="auto"/>
      </w:pPr>
    </w:p>
    <w:p w:rsidR="001C190A" w:rsidRPr="008A2F12" w:rsidRDefault="00124DC1" w:rsidP="008A2F12">
      <w:pPr>
        <w:numPr>
          <w:ilvl w:val="0"/>
          <w:numId w:val="10"/>
        </w:numPr>
        <w:spacing w:line="360" w:lineRule="auto"/>
        <w:ind w:left="0" w:firstLine="1440"/>
      </w:pPr>
      <w:r w:rsidRPr="008A2F12">
        <w:t>T</w:t>
      </w:r>
      <w:r w:rsidR="00D778C6" w:rsidRPr="008A2F12">
        <w:t>he Ford’s moved out from the service address in November 2011</w:t>
      </w:r>
      <w:r w:rsidR="001C190A" w:rsidRPr="008A2F12">
        <w:t xml:space="preserve"> and moved to their current address, 6900 Forrest Avenue, Philadelphia</w:t>
      </w:r>
      <w:r w:rsidR="00D778C6" w:rsidRPr="008A2F12">
        <w:t>,</w:t>
      </w:r>
      <w:r w:rsidR="001C190A" w:rsidRPr="008A2F12">
        <w:t xml:space="preserve"> Pennsylvania,</w:t>
      </w:r>
      <w:r w:rsidRPr="008A2F12">
        <w:t xml:space="preserve"> (address II)</w:t>
      </w:r>
      <w:r w:rsidR="001C190A" w:rsidRPr="008A2F12">
        <w:t xml:space="preserve"> on November 1</w:t>
      </w:r>
      <w:r w:rsidR="00E51CE9" w:rsidRPr="008A2F12">
        <w:t>8</w:t>
      </w:r>
      <w:r w:rsidR="001C190A" w:rsidRPr="008A2F12">
        <w:t>, 2011.  Tr. 44, 106, 164</w:t>
      </w:r>
      <w:r w:rsidR="00E51CE9" w:rsidRPr="008A2F12">
        <w:t>, PGW Exhibit 1</w:t>
      </w:r>
      <w:r w:rsidR="001C190A" w:rsidRPr="008A2F12">
        <w:t>.</w:t>
      </w:r>
    </w:p>
    <w:p w:rsidR="001C190A" w:rsidRPr="008A2F12" w:rsidRDefault="001C190A" w:rsidP="007D25C8">
      <w:pPr>
        <w:pStyle w:val="ListParagraph"/>
        <w:spacing w:line="360" w:lineRule="auto"/>
      </w:pPr>
    </w:p>
    <w:p w:rsidR="00D778C6" w:rsidRPr="008A2F12" w:rsidRDefault="00124DC1" w:rsidP="008A2F12">
      <w:pPr>
        <w:numPr>
          <w:ilvl w:val="0"/>
          <w:numId w:val="10"/>
        </w:numPr>
        <w:spacing w:line="360" w:lineRule="auto"/>
        <w:ind w:left="0" w:firstLine="1440"/>
      </w:pPr>
      <w:r w:rsidRPr="008A2F12">
        <w:t>After the Complainant moved to address II, t</w:t>
      </w:r>
      <w:r w:rsidR="00D778C6" w:rsidRPr="008A2F12">
        <w:t>he Complainant</w:t>
      </w:r>
      <w:r w:rsidR="00D40C5E" w:rsidRPr="008A2F12">
        <w:t xml:space="preserve"> renovated the service address </w:t>
      </w:r>
      <w:r w:rsidR="001C190A" w:rsidRPr="008A2F12">
        <w:t>putting in</w:t>
      </w:r>
      <w:r w:rsidR="00D40C5E" w:rsidRPr="008A2F12">
        <w:t xml:space="preserve"> </w:t>
      </w:r>
      <w:r w:rsidR="00D778C6" w:rsidRPr="008A2F12">
        <w:t>a lock</w:t>
      </w:r>
      <w:r w:rsidR="00D40C5E" w:rsidRPr="008A2F12">
        <w:t>ed door</w:t>
      </w:r>
      <w:r w:rsidR="00D778C6" w:rsidRPr="008A2F12">
        <w:t xml:space="preserve"> </w:t>
      </w:r>
      <w:r w:rsidR="001C190A" w:rsidRPr="008A2F12">
        <w:t>for</w:t>
      </w:r>
      <w:r w:rsidR="00D40C5E" w:rsidRPr="008A2F12">
        <w:t xml:space="preserve"> access </w:t>
      </w:r>
      <w:r w:rsidR="001C190A" w:rsidRPr="008A2F12">
        <w:t xml:space="preserve">to </w:t>
      </w:r>
      <w:r w:rsidR="00D40C5E" w:rsidRPr="008A2F12">
        <w:t>the 2</w:t>
      </w:r>
      <w:r w:rsidR="00D40C5E" w:rsidRPr="008A2F12">
        <w:rPr>
          <w:vertAlign w:val="superscript"/>
        </w:rPr>
        <w:t>nd</w:t>
      </w:r>
      <w:r w:rsidR="00D40C5E" w:rsidRPr="008A2F12">
        <w:t xml:space="preserve"> and 3</w:t>
      </w:r>
      <w:r w:rsidR="00D40C5E" w:rsidRPr="008A2F12">
        <w:rPr>
          <w:vertAlign w:val="superscript"/>
        </w:rPr>
        <w:t>rd</w:t>
      </w:r>
      <w:r w:rsidR="00D40C5E" w:rsidRPr="008A2F12">
        <w:t xml:space="preserve"> floors; however, the original entry to the property yielded access to the 1</w:t>
      </w:r>
      <w:r w:rsidR="00D40C5E" w:rsidRPr="008A2F12">
        <w:rPr>
          <w:vertAlign w:val="superscript"/>
        </w:rPr>
        <w:t>st</w:t>
      </w:r>
      <w:r w:rsidR="00D40C5E" w:rsidRPr="008A2F12">
        <w:t xml:space="preserve"> floor</w:t>
      </w:r>
      <w:r w:rsidR="00D778C6" w:rsidRPr="008A2F12">
        <w:t>.  Tr. 107</w:t>
      </w:r>
      <w:r w:rsidR="00D40C5E" w:rsidRPr="008A2F12">
        <w:t>-09</w:t>
      </w:r>
      <w:r w:rsidR="00D778C6" w:rsidRPr="008A2F12">
        <w:t>.</w:t>
      </w:r>
    </w:p>
    <w:p w:rsidR="00D778C6" w:rsidRPr="008A2F12" w:rsidRDefault="00D778C6" w:rsidP="006C7BA5">
      <w:pPr>
        <w:pStyle w:val="ListParagraph"/>
        <w:spacing w:line="360" w:lineRule="auto"/>
      </w:pPr>
    </w:p>
    <w:p w:rsidR="00D40C5E" w:rsidRPr="008A2F12" w:rsidRDefault="00D40C5E" w:rsidP="008A2F12">
      <w:pPr>
        <w:numPr>
          <w:ilvl w:val="0"/>
          <w:numId w:val="10"/>
        </w:numPr>
        <w:spacing w:line="360" w:lineRule="auto"/>
        <w:ind w:left="0" w:firstLine="1440"/>
      </w:pPr>
      <w:r w:rsidRPr="008A2F12">
        <w:t xml:space="preserve">After </w:t>
      </w:r>
      <w:r w:rsidR="005D7669" w:rsidRPr="008A2F12">
        <w:t>the Complainant’s wife</w:t>
      </w:r>
      <w:r w:rsidRPr="008A2F12">
        <w:t xml:space="preserve"> moved out of the service address, she no longer had access to the 2</w:t>
      </w:r>
      <w:r w:rsidRPr="008A2F12">
        <w:rPr>
          <w:vertAlign w:val="superscript"/>
        </w:rPr>
        <w:t>nd</w:t>
      </w:r>
      <w:r w:rsidRPr="008A2F12">
        <w:t xml:space="preserve"> and 3</w:t>
      </w:r>
      <w:r w:rsidRPr="008A2F12">
        <w:rPr>
          <w:vertAlign w:val="superscript"/>
        </w:rPr>
        <w:t>rd</w:t>
      </w:r>
      <w:r w:rsidRPr="008A2F12">
        <w:t xml:space="preserve"> floors, but she still had the key to the original entry to the service address that yielded access to the 1</w:t>
      </w:r>
      <w:r w:rsidRPr="008A2F12">
        <w:rPr>
          <w:vertAlign w:val="superscript"/>
        </w:rPr>
        <w:t>st</w:t>
      </w:r>
      <w:r w:rsidRPr="008A2F12">
        <w:t xml:space="preserve"> floor.  Tr. 108-09.</w:t>
      </w:r>
    </w:p>
    <w:p w:rsidR="00D40C5E" w:rsidRPr="008A2F12" w:rsidRDefault="005D7669" w:rsidP="008A2F12">
      <w:pPr>
        <w:numPr>
          <w:ilvl w:val="0"/>
          <w:numId w:val="10"/>
        </w:numPr>
        <w:spacing w:line="360" w:lineRule="auto"/>
        <w:ind w:left="0" w:firstLine="1440"/>
      </w:pPr>
      <w:r w:rsidRPr="008A2F12">
        <w:lastRenderedPageBreak/>
        <w:t>The Complainant’s wife</w:t>
      </w:r>
      <w:r w:rsidR="00D40C5E" w:rsidRPr="008A2F12">
        <w:t xml:space="preserve"> did not attempt </w:t>
      </w:r>
      <w:r w:rsidR="00124DC1" w:rsidRPr="008A2F12">
        <w:t xml:space="preserve">to </w:t>
      </w:r>
      <w:r w:rsidR="00D40C5E" w:rsidRPr="008A2F12">
        <w:t>access the service address after she moved out</w:t>
      </w:r>
      <w:r w:rsidR="00124DC1" w:rsidRPr="008A2F12">
        <w:t xml:space="preserve"> in November 2011</w:t>
      </w:r>
      <w:r w:rsidR="00D40C5E" w:rsidRPr="008A2F12">
        <w:t>.  Tr. 109.</w:t>
      </w:r>
    </w:p>
    <w:p w:rsidR="00D40C5E" w:rsidRPr="008A2F12" w:rsidRDefault="00D40C5E" w:rsidP="007D25C8">
      <w:pPr>
        <w:pStyle w:val="ListParagraph"/>
        <w:spacing w:line="360" w:lineRule="auto"/>
      </w:pPr>
    </w:p>
    <w:p w:rsidR="009919B3" w:rsidRPr="008A2F12" w:rsidRDefault="009919B3" w:rsidP="008A2F12">
      <w:pPr>
        <w:numPr>
          <w:ilvl w:val="0"/>
          <w:numId w:val="10"/>
        </w:numPr>
        <w:spacing w:line="360" w:lineRule="auto"/>
        <w:ind w:left="0" w:firstLine="1440"/>
      </w:pPr>
      <w:r w:rsidRPr="008A2F12">
        <w:t>The Complainant’s wife has never seen the meter at the service address.  Tr. 117.</w:t>
      </w:r>
    </w:p>
    <w:p w:rsidR="009919B3" w:rsidRPr="008A2F12" w:rsidRDefault="009919B3" w:rsidP="007D25C8">
      <w:pPr>
        <w:pStyle w:val="ListParagraph"/>
        <w:spacing w:line="360" w:lineRule="auto"/>
      </w:pPr>
    </w:p>
    <w:p w:rsidR="009919B3" w:rsidRPr="008A2F12" w:rsidRDefault="009919B3" w:rsidP="008A2F12">
      <w:pPr>
        <w:numPr>
          <w:ilvl w:val="0"/>
          <w:numId w:val="10"/>
        </w:numPr>
        <w:spacing w:line="360" w:lineRule="auto"/>
        <w:ind w:left="0" w:firstLine="1440"/>
      </w:pPr>
      <w:r w:rsidRPr="008A2F12">
        <w:t>Jessica Glace is employed by the Respondent as a customer review office</w:t>
      </w:r>
      <w:r w:rsidR="00C24E02">
        <w:t>r</w:t>
      </w:r>
      <w:r w:rsidRPr="008A2F12">
        <w:t xml:space="preserve"> who handles the informal and formal complaints filed by the c</w:t>
      </w:r>
      <w:r w:rsidR="007D25C8">
        <w:t>ustomer at the Commission.  Tr. </w:t>
      </w:r>
      <w:r w:rsidRPr="008A2F12">
        <w:t>120.</w:t>
      </w:r>
    </w:p>
    <w:p w:rsidR="009919B3" w:rsidRPr="008A2F12" w:rsidRDefault="009919B3" w:rsidP="007D25C8">
      <w:pPr>
        <w:pStyle w:val="ListParagraph"/>
        <w:spacing w:line="360" w:lineRule="auto"/>
      </w:pPr>
    </w:p>
    <w:p w:rsidR="009919B3" w:rsidRPr="008A2F12" w:rsidRDefault="009919B3" w:rsidP="008A2F12">
      <w:pPr>
        <w:numPr>
          <w:ilvl w:val="0"/>
          <w:numId w:val="10"/>
        </w:numPr>
        <w:spacing w:line="360" w:lineRule="auto"/>
        <w:ind w:left="0" w:firstLine="1440"/>
      </w:pPr>
      <w:r w:rsidRPr="008A2F12">
        <w:t>Ms. Glace has been a customer review officer for two years and has been employed by the Respondent for nine years.  Tr. 120-21.</w:t>
      </w:r>
    </w:p>
    <w:p w:rsidR="009919B3" w:rsidRPr="008A2F12" w:rsidRDefault="009919B3" w:rsidP="007D25C8">
      <w:pPr>
        <w:pStyle w:val="ListParagraph"/>
        <w:spacing w:line="360" w:lineRule="auto"/>
      </w:pPr>
    </w:p>
    <w:p w:rsidR="009919B3" w:rsidRPr="008A2F12" w:rsidRDefault="009919B3" w:rsidP="008A2F12">
      <w:pPr>
        <w:numPr>
          <w:ilvl w:val="0"/>
          <w:numId w:val="10"/>
        </w:numPr>
        <w:spacing w:line="360" w:lineRule="auto"/>
        <w:ind w:left="0" w:firstLine="1440"/>
      </w:pPr>
      <w:r w:rsidRPr="008A2F12">
        <w:t>Prior to becoming a customer review officer, Ms. Glace was a customer service representative that interacted with customers over the phone.  Tr. 121.</w:t>
      </w:r>
    </w:p>
    <w:p w:rsidR="009919B3" w:rsidRPr="008A2F12" w:rsidRDefault="009919B3" w:rsidP="007D25C8">
      <w:pPr>
        <w:pStyle w:val="ListParagraph"/>
        <w:spacing w:line="360" w:lineRule="auto"/>
      </w:pPr>
    </w:p>
    <w:p w:rsidR="009919B3" w:rsidRPr="008A2F12" w:rsidRDefault="009919B3" w:rsidP="008A2F12">
      <w:pPr>
        <w:numPr>
          <w:ilvl w:val="0"/>
          <w:numId w:val="10"/>
        </w:numPr>
        <w:spacing w:line="360" w:lineRule="auto"/>
        <w:ind w:left="0" w:firstLine="1440"/>
      </w:pPr>
      <w:r w:rsidRPr="008A2F12">
        <w:t>Ms. Glace investigated the Complaint as a customer review officer of the Respondent.  Tr. 121-22.</w:t>
      </w:r>
    </w:p>
    <w:p w:rsidR="00FC3A9C" w:rsidRPr="008A2F12" w:rsidRDefault="00FC3A9C" w:rsidP="007D25C8">
      <w:pPr>
        <w:pStyle w:val="ListParagraph"/>
        <w:spacing w:line="360" w:lineRule="auto"/>
      </w:pPr>
    </w:p>
    <w:p w:rsidR="00FC3A9C" w:rsidRPr="008A2F12" w:rsidRDefault="00FC3A9C" w:rsidP="008A2F12">
      <w:pPr>
        <w:numPr>
          <w:ilvl w:val="0"/>
          <w:numId w:val="10"/>
        </w:numPr>
        <w:spacing w:line="360" w:lineRule="auto"/>
        <w:ind w:left="0" w:firstLine="1440"/>
      </w:pPr>
      <w:r w:rsidRPr="008A2F12">
        <w:t>Nicholas Simeo is employed by the Respondent as a supervisor in the revenue protection unit (RPU) and field operations.  Tr. 161.</w:t>
      </w:r>
    </w:p>
    <w:p w:rsidR="00FC3A9C" w:rsidRPr="008A2F12" w:rsidRDefault="00FC3A9C" w:rsidP="007D25C8">
      <w:pPr>
        <w:spacing w:line="360" w:lineRule="auto"/>
        <w:ind w:left="1440"/>
      </w:pPr>
    </w:p>
    <w:p w:rsidR="00FC3A9C" w:rsidRPr="008A2F12" w:rsidRDefault="00FC3A9C" w:rsidP="008A2F12">
      <w:pPr>
        <w:numPr>
          <w:ilvl w:val="0"/>
          <w:numId w:val="10"/>
        </w:numPr>
        <w:spacing w:line="360" w:lineRule="auto"/>
        <w:ind w:left="0" w:firstLine="1440"/>
      </w:pPr>
      <w:r w:rsidRPr="008A2F12">
        <w:t>Mr. Simeo is responsible for terminations, restorations, gas leaks and various jobs encountered in the field and he is to assist any technician and oversee work in the field.  Tr. 162.</w:t>
      </w:r>
    </w:p>
    <w:p w:rsidR="00FC3A9C" w:rsidRPr="008A2F12" w:rsidRDefault="00FC3A9C" w:rsidP="001E7DCB">
      <w:pPr>
        <w:pStyle w:val="ListParagraph"/>
        <w:spacing w:line="360" w:lineRule="auto"/>
      </w:pPr>
    </w:p>
    <w:p w:rsidR="00FC3A9C" w:rsidRPr="008A2F12" w:rsidRDefault="00FC3A9C" w:rsidP="008A2F12">
      <w:pPr>
        <w:numPr>
          <w:ilvl w:val="0"/>
          <w:numId w:val="10"/>
        </w:numPr>
        <w:spacing w:line="360" w:lineRule="auto"/>
        <w:ind w:left="0" w:firstLine="1440"/>
      </w:pPr>
      <w:r w:rsidRPr="008A2F12">
        <w:t>Mr. Simeo has been employed by the Respondent for seven years, with five of the seven years as a technician in the RPU and field operations and the last two years as a supervisor for RPU and field operations.  Tr. 162-63.</w:t>
      </w:r>
    </w:p>
    <w:p w:rsidR="00FC3A9C" w:rsidRPr="008A2F12" w:rsidRDefault="00FC3A9C" w:rsidP="003340EF">
      <w:pPr>
        <w:pStyle w:val="ListParagraph"/>
        <w:spacing w:line="360" w:lineRule="auto"/>
      </w:pPr>
    </w:p>
    <w:p w:rsidR="00FC3A9C" w:rsidRPr="008A2F12" w:rsidRDefault="00FC3A9C" w:rsidP="008A2F12">
      <w:pPr>
        <w:numPr>
          <w:ilvl w:val="0"/>
          <w:numId w:val="10"/>
        </w:numPr>
        <w:spacing w:line="360" w:lineRule="auto"/>
        <w:ind w:left="0" w:firstLine="1440"/>
      </w:pPr>
      <w:r w:rsidRPr="008A2F12">
        <w:t>On April 9, 2015, a PGW technician and Mr. Simeo found a meter bypassed at the service address.  Tr. 129, 167, PGW Exhibits 1, 2.</w:t>
      </w:r>
    </w:p>
    <w:p w:rsidR="000C3541" w:rsidRPr="008A2F12" w:rsidRDefault="000C3541" w:rsidP="008A2F12">
      <w:pPr>
        <w:numPr>
          <w:ilvl w:val="0"/>
          <w:numId w:val="10"/>
        </w:numPr>
        <w:spacing w:line="360" w:lineRule="auto"/>
        <w:ind w:left="0" w:firstLine="1440"/>
      </w:pPr>
      <w:r w:rsidRPr="008A2F12">
        <w:lastRenderedPageBreak/>
        <w:t xml:space="preserve">On April 9, 2015, </w:t>
      </w:r>
      <w:r w:rsidR="00FC3A9C" w:rsidRPr="008A2F12">
        <w:t xml:space="preserve">after discovering the bypassed meter at the service address, the gas was terminated, </w:t>
      </w:r>
      <w:r w:rsidRPr="008A2F12">
        <w:t>a post termination notice was placed at the service address, the meter</w:t>
      </w:r>
      <w:r w:rsidR="00FC3A9C" w:rsidRPr="008A2F12">
        <w:t xml:space="preserve"> </w:t>
      </w:r>
      <w:r w:rsidR="00D5247E">
        <w:t xml:space="preserve">no. 1598201 was removed, </w:t>
      </w:r>
      <w:r w:rsidRPr="008A2F12">
        <w:t>and the gas was left off with locks at the curb box.  Tr. 129-30,</w:t>
      </w:r>
      <w:r w:rsidR="00FC3A9C" w:rsidRPr="008A2F12">
        <w:t xml:space="preserve"> 167-69, </w:t>
      </w:r>
      <w:r w:rsidRPr="008A2F12">
        <w:t>PGW Exhibit</w:t>
      </w:r>
      <w:r w:rsidR="00FC3A9C" w:rsidRPr="008A2F12">
        <w:t>s</w:t>
      </w:r>
      <w:r w:rsidRPr="008A2F12">
        <w:t xml:space="preserve"> 1</w:t>
      </w:r>
      <w:r w:rsidR="00FC3A9C" w:rsidRPr="008A2F12">
        <w:t>, 2</w:t>
      </w:r>
      <w:r w:rsidRPr="008A2F12">
        <w:t>.</w:t>
      </w:r>
    </w:p>
    <w:p w:rsidR="000C3541" w:rsidRPr="008A2F12" w:rsidRDefault="000C3541" w:rsidP="003340EF">
      <w:pPr>
        <w:pStyle w:val="ListParagraph"/>
        <w:spacing w:line="360" w:lineRule="auto"/>
      </w:pPr>
    </w:p>
    <w:p w:rsidR="000C3541" w:rsidRPr="008A2F12" w:rsidRDefault="000C3541" w:rsidP="008A2F12">
      <w:pPr>
        <w:numPr>
          <w:ilvl w:val="0"/>
          <w:numId w:val="10"/>
        </w:numPr>
        <w:spacing w:line="360" w:lineRule="auto"/>
        <w:ind w:left="0" w:firstLine="1440"/>
      </w:pPr>
      <w:r w:rsidRPr="008A2F12">
        <w:t xml:space="preserve">On April 13, 2015, the Respondent gave the </w:t>
      </w:r>
      <w:r w:rsidR="00AF5A07" w:rsidRPr="008A2F12">
        <w:t>Complainant</w:t>
      </w:r>
      <w:r w:rsidRPr="008A2F12">
        <w:t xml:space="preserve"> the terms for restoration of gas service at the service address.  Tr. 130.</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The meter no. 1598201 had extra piping with a shut-off valve installed between the meter bar and swivels that is not present on meters installed by the Respondent.  Tr. 169-70, PGW Exhibit 2.</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The shut-off valve in the extra piping allows gas to be restricted from the meter by working the valve and yields very low usage of gas.  Tr. 170-73, 185.</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When the meter was found at the service address the valve was turned such that it obstructed gas to go through the meter with the majority of gas bypassing the meter, and therefore, very low usage recorded by the meter.  Tr. 172-73, 175, 185-86, PGW Exhibit 2.</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In Mr. Simeo’s opinion, the way the meter was altered required skills and knowledge in piping and basic mechanics.  Tr. 171-72.</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The Complainant does maintenance on rental properties as an occupation.  Tr. 86.</w:t>
      </w:r>
    </w:p>
    <w:p w:rsidR="00FB0D74" w:rsidRDefault="00FB0D74" w:rsidP="008A2F12">
      <w:pPr>
        <w:numPr>
          <w:ilvl w:val="0"/>
          <w:numId w:val="10"/>
        </w:numPr>
        <w:spacing w:line="360" w:lineRule="auto"/>
        <w:ind w:left="0" w:firstLine="1440"/>
      </w:pPr>
      <w:r w:rsidRPr="008A2F12">
        <w:t>The Complainant owns several rental properties in Philadelphia, however, the gas service for those properties are the responsibility of the tenant.  Tr. 88.</w:t>
      </w:r>
    </w:p>
    <w:p w:rsidR="003340EF" w:rsidRPr="008A2F12" w:rsidRDefault="003340EF" w:rsidP="003340EF">
      <w:pPr>
        <w:spacing w:line="360" w:lineRule="auto"/>
        <w:ind w:left="1440"/>
      </w:pPr>
    </w:p>
    <w:p w:rsidR="00FB0D74" w:rsidRPr="008A2F12" w:rsidRDefault="00FB0D74" w:rsidP="008A2F12">
      <w:pPr>
        <w:numPr>
          <w:ilvl w:val="0"/>
          <w:numId w:val="10"/>
        </w:numPr>
        <w:spacing w:line="360" w:lineRule="auto"/>
        <w:ind w:left="0" w:firstLine="1440"/>
      </w:pPr>
      <w:r w:rsidRPr="008A2F12">
        <w:t>The Complainant has repaired plumbing in rental properties and worked on pipes.  Tr. 88-89.</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The Respondent does not benefit from the extra piping found on meter no. 1598201 which can be used to divert gas from the meter.  Tr. 182-83.</w:t>
      </w:r>
    </w:p>
    <w:p w:rsidR="00124DC1" w:rsidRPr="008A2F12" w:rsidRDefault="000C3541" w:rsidP="008A2F12">
      <w:pPr>
        <w:numPr>
          <w:ilvl w:val="0"/>
          <w:numId w:val="10"/>
        </w:numPr>
        <w:spacing w:line="360" w:lineRule="auto"/>
        <w:ind w:left="0" w:firstLine="1440"/>
      </w:pPr>
      <w:r w:rsidRPr="008A2F12">
        <w:lastRenderedPageBreak/>
        <w:t>The restoration terms were calculat</w:t>
      </w:r>
      <w:r w:rsidR="00B41A31" w:rsidRPr="008A2F12">
        <w:t xml:space="preserve">ed for in excess of </w:t>
      </w:r>
      <w:r w:rsidR="00124DC1" w:rsidRPr="008A2F12">
        <w:t>10</w:t>
      </w:r>
      <w:r w:rsidR="00B41A31" w:rsidRPr="008A2F12">
        <w:t xml:space="preserve"> </w:t>
      </w:r>
      <w:r w:rsidR="00124DC1" w:rsidRPr="008A2F12">
        <w:t>year</w:t>
      </w:r>
      <w:r w:rsidR="00B41A31" w:rsidRPr="008A2F12">
        <w:t>s</w:t>
      </w:r>
      <w:r w:rsidR="00124DC1" w:rsidRPr="008A2F12">
        <w:t xml:space="preserve"> of </w:t>
      </w:r>
      <w:r w:rsidRPr="008A2F12">
        <w:t xml:space="preserve">gas services </w:t>
      </w:r>
      <w:r w:rsidR="004F2626" w:rsidRPr="008A2F12">
        <w:t>from January 4, 2005 to April 9, 2015,</w:t>
      </w:r>
      <w:r w:rsidR="00B41A31" w:rsidRPr="008A2F12">
        <w:t xml:space="preserve"> (tampering period)</w:t>
      </w:r>
      <w:r w:rsidR="004F2626" w:rsidRPr="008A2F12">
        <w:t xml:space="preserve"> </w:t>
      </w:r>
      <w:r w:rsidRPr="008A2F12">
        <w:t>for the appliances found at the service address which came to an amount of $19,552.89</w:t>
      </w:r>
      <w:r w:rsidR="00124DC1" w:rsidRPr="008A2F12">
        <w:t>.  Tr. 131, PGW Exhibit 1</w:t>
      </w:r>
      <w:r w:rsidR="00FB0D74" w:rsidRPr="008A2F12">
        <w:t>.</w:t>
      </w:r>
    </w:p>
    <w:p w:rsidR="00FB0D74" w:rsidRPr="008A2F12" w:rsidRDefault="00FB0D74" w:rsidP="003340EF">
      <w:pPr>
        <w:pStyle w:val="ListParagraph"/>
        <w:spacing w:line="360" w:lineRule="auto"/>
      </w:pPr>
    </w:p>
    <w:p w:rsidR="00FB0D74" w:rsidRPr="008A2F12" w:rsidRDefault="00FB0D74" w:rsidP="008A2F12">
      <w:pPr>
        <w:numPr>
          <w:ilvl w:val="0"/>
          <w:numId w:val="10"/>
        </w:numPr>
        <w:spacing w:line="360" w:lineRule="auto"/>
        <w:ind w:left="0" w:firstLine="1440"/>
      </w:pPr>
      <w:r w:rsidRPr="008A2F12">
        <w:t>Because a tampered meter was found operating at the service address, the Respondent is unable to determine the exact gas usage at the service address.  Tr. 138.</w:t>
      </w:r>
    </w:p>
    <w:p w:rsidR="00124DC1" w:rsidRPr="008A2F12" w:rsidRDefault="00124DC1" w:rsidP="003340EF">
      <w:pPr>
        <w:pStyle w:val="ListParagraph"/>
        <w:spacing w:line="360" w:lineRule="auto"/>
      </w:pPr>
    </w:p>
    <w:p w:rsidR="005D1584" w:rsidRPr="008A2F12" w:rsidRDefault="00124DC1" w:rsidP="008A2F12">
      <w:pPr>
        <w:numPr>
          <w:ilvl w:val="0"/>
          <w:numId w:val="10"/>
        </w:numPr>
        <w:spacing w:line="360" w:lineRule="auto"/>
        <w:ind w:left="0" w:firstLine="1440"/>
      </w:pPr>
      <w:r w:rsidRPr="008A2F12">
        <w:t>T</w:t>
      </w:r>
      <w:r w:rsidR="000C3541" w:rsidRPr="008A2F12">
        <w:t xml:space="preserve">he Respondent credited the amount that the </w:t>
      </w:r>
      <w:r w:rsidR="00AF5A07" w:rsidRPr="008A2F12">
        <w:t>Complainant</w:t>
      </w:r>
      <w:r w:rsidR="000C3541" w:rsidRPr="008A2F12">
        <w:t xml:space="preserve"> paid during the 10-year period, which was $8,148.81, which </w:t>
      </w:r>
      <w:r w:rsidRPr="008A2F12">
        <w:t>netted</w:t>
      </w:r>
      <w:r w:rsidR="000C3541" w:rsidRPr="008A2F12">
        <w:t xml:space="preserve"> a total amount owed of ($19,552.89 - $8,148.81 = $11,</w:t>
      </w:r>
      <w:r w:rsidR="005D1584" w:rsidRPr="008A2F12">
        <w:t>404</w:t>
      </w:r>
      <w:r w:rsidR="000C3541" w:rsidRPr="008A2F12">
        <w:t>.</w:t>
      </w:r>
      <w:r w:rsidR="005D1584" w:rsidRPr="008A2F12">
        <w:t>08</w:t>
      </w:r>
      <w:r w:rsidR="000C3541" w:rsidRPr="008A2F12">
        <w:t>) $11,</w:t>
      </w:r>
      <w:r w:rsidR="005D1584" w:rsidRPr="008A2F12">
        <w:t>404.0</w:t>
      </w:r>
      <w:r w:rsidR="000C3541" w:rsidRPr="008A2F12">
        <w:t>8</w:t>
      </w:r>
      <w:r w:rsidR="005D1584" w:rsidRPr="008A2F12">
        <w:t xml:space="preserve">; plus a reconnection fee of $123.23 and a security deposit in the amount of $380.00, </w:t>
      </w:r>
      <w:r w:rsidRPr="008A2F12">
        <w:t>yields</w:t>
      </w:r>
      <w:r w:rsidR="005D1584" w:rsidRPr="008A2F12">
        <w:t xml:space="preserve"> a grand total of ($11,404</w:t>
      </w:r>
      <w:r w:rsidR="000C3541" w:rsidRPr="008A2F12">
        <w:t>.</w:t>
      </w:r>
      <w:r w:rsidR="005D1584" w:rsidRPr="008A2F12">
        <w:t>08 + $123.23 + $380.00 = $11,907.31) $11,907.31</w:t>
      </w:r>
      <w:r w:rsidRPr="008A2F12">
        <w:t xml:space="preserve"> to restore gas service</w:t>
      </w:r>
      <w:r w:rsidR="005D1584" w:rsidRPr="008A2F12">
        <w:t>.  Tr. 131, PGW Exhibit 1.</w:t>
      </w:r>
    </w:p>
    <w:p w:rsidR="005D1584" w:rsidRPr="008A2F12" w:rsidRDefault="005D1584" w:rsidP="003340EF">
      <w:pPr>
        <w:pStyle w:val="ListParagraph"/>
        <w:spacing w:line="360" w:lineRule="auto"/>
      </w:pPr>
    </w:p>
    <w:p w:rsidR="00E456F0" w:rsidRPr="008A2F12" w:rsidRDefault="00E456F0" w:rsidP="008A2F12">
      <w:pPr>
        <w:numPr>
          <w:ilvl w:val="0"/>
          <w:numId w:val="10"/>
        </w:numPr>
        <w:spacing w:line="360" w:lineRule="auto"/>
        <w:ind w:left="0" w:firstLine="1440"/>
      </w:pPr>
      <w:r w:rsidRPr="008A2F12">
        <w:t xml:space="preserve">On March 9, 2016, the Respondent determined that it did not </w:t>
      </w:r>
      <w:r w:rsidR="00124DC1" w:rsidRPr="008A2F12">
        <w:t xml:space="preserve">properly </w:t>
      </w:r>
      <w:r w:rsidRPr="008A2F12">
        <w:t>calculate the amount for previously billed usage</w:t>
      </w:r>
      <w:r w:rsidR="00124DC1" w:rsidRPr="008A2F12">
        <w:t>.  T</w:t>
      </w:r>
      <w:r w:rsidRPr="008A2F12">
        <w:t>he correct amount</w:t>
      </w:r>
      <w:r w:rsidR="00AF5A07" w:rsidRPr="008A2F12">
        <w:t xml:space="preserve"> for the </w:t>
      </w:r>
      <w:r w:rsidR="00B41A31" w:rsidRPr="008A2F12">
        <w:t>tampering</w:t>
      </w:r>
      <w:r w:rsidR="00AF5A07" w:rsidRPr="008A2F12">
        <w:t xml:space="preserve"> period was $19,550.</w:t>
      </w:r>
      <w:r w:rsidR="00F6300B" w:rsidRPr="008A2F12">
        <w:t xml:space="preserve">76 and not $19,552.89; the amount </w:t>
      </w:r>
      <w:r w:rsidR="00AF5A07" w:rsidRPr="008A2F12">
        <w:t>the Complainant had previously paid was $9,378.50 and not $8,148.81</w:t>
      </w:r>
      <w:r w:rsidR="00124DC1" w:rsidRPr="008A2F12">
        <w:t>,</w:t>
      </w:r>
      <w:r w:rsidR="00AF5A07" w:rsidRPr="008A2F12">
        <w:t xml:space="preserve"> which resulted in the amount owed </w:t>
      </w:r>
      <w:r w:rsidR="00F6300B" w:rsidRPr="008A2F12">
        <w:t xml:space="preserve">being </w:t>
      </w:r>
      <w:r w:rsidR="00AF5A07" w:rsidRPr="008A2F12">
        <w:t>($19,550.76 -</w:t>
      </w:r>
      <w:r w:rsidR="00F6300B" w:rsidRPr="008A2F12">
        <w:t xml:space="preserve"> $9,378.50 = </w:t>
      </w:r>
      <w:r w:rsidR="00124DC1" w:rsidRPr="008A2F12">
        <w:t xml:space="preserve">$10,172.26) </w:t>
      </w:r>
      <w:r w:rsidR="00F6300B" w:rsidRPr="008A2F12">
        <w:t>$10,172.26</w:t>
      </w:r>
      <w:r w:rsidR="00124DC1" w:rsidRPr="008A2F12">
        <w:t xml:space="preserve">; and therefore, </w:t>
      </w:r>
      <w:r w:rsidRPr="008A2F12">
        <w:t>the grand total changed to ($10,17</w:t>
      </w:r>
      <w:r w:rsidR="00AF5A07" w:rsidRPr="008A2F12">
        <w:t>2</w:t>
      </w:r>
      <w:r w:rsidRPr="008A2F12">
        <w:t>.</w:t>
      </w:r>
      <w:r w:rsidR="00AF5A07" w:rsidRPr="008A2F12">
        <w:t>26</w:t>
      </w:r>
      <w:r w:rsidRPr="008A2F12">
        <w:t xml:space="preserve"> + $123.23 +</w:t>
      </w:r>
      <w:r w:rsidR="00124DC1" w:rsidRPr="008A2F12">
        <w:t xml:space="preserve"> </w:t>
      </w:r>
      <w:r w:rsidRPr="008A2F12">
        <w:t>$380.00 = 10,67</w:t>
      </w:r>
      <w:r w:rsidR="00AF5A07" w:rsidRPr="008A2F12">
        <w:t>5</w:t>
      </w:r>
      <w:r w:rsidRPr="008A2F12">
        <w:t>.</w:t>
      </w:r>
      <w:r w:rsidR="00AF5A07" w:rsidRPr="008A2F12">
        <w:t>49</w:t>
      </w:r>
      <w:r w:rsidRPr="008A2F12">
        <w:t>) $10,67</w:t>
      </w:r>
      <w:r w:rsidR="00AF5A07" w:rsidRPr="008A2F12">
        <w:t>5</w:t>
      </w:r>
      <w:r w:rsidRPr="008A2F12">
        <w:t>.</w:t>
      </w:r>
      <w:r w:rsidR="00AF5A07" w:rsidRPr="008A2F12">
        <w:t>49</w:t>
      </w:r>
      <w:r w:rsidR="00124DC1" w:rsidRPr="008A2F12">
        <w:t xml:space="preserve"> to restore gas service</w:t>
      </w:r>
      <w:r w:rsidRPr="008A2F12">
        <w:t>.  Tr. 132,</w:t>
      </w:r>
      <w:r w:rsidR="00AF5A07" w:rsidRPr="008A2F12">
        <w:t xml:space="preserve"> 136</w:t>
      </w:r>
      <w:r w:rsidR="00B42AC0" w:rsidRPr="008A2F12">
        <w:t>-37</w:t>
      </w:r>
      <w:r w:rsidR="00AF5A07" w:rsidRPr="008A2F12">
        <w:t>,</w:t>
      </w:r>
      <w:r w:rsidRPr="008A2F12">
        <w:t xml:space="preserve"> PGW Exhibit</w:t>
      </w:r>
      <w:r w:rsidR="00AF5A07" w:rsidRPr="008A2F12">
        <w:t>s</w:t>
      </w:r>
      <w:r w:rsidRPr="008A2F12">
        <w:t xml:space="preserve"> 1</w:t>
      </w:r>
      <w:r w:rsidR="00AF5A07" w:rsidRPr="008A2F12">
        <w:t>, 2</w:t>
      </w:r>
      <w:r w:rsidRPr="008A2F12">
        <w:t>.</w:t>
      </w:r>
    </w:p>
    <w:p w:rsidR="00E456F0" w:rsidRPr="008A2F12" w:rsidRDefault="00E456F0" w:rsidP="003340EF">
      <w:pPr>
        <w:pStyle w:val="ListParagraph"/>
        <w:spacing w:line="360" w:lineRule="auto"/>
      </w:pPr>
    </w:p>
    <w:p w:rsidR="00FB0D74" w:rsidRDefault="00B42AC0" w:rsidP="008A2F12">
      <w:pPr>
        <w:numPr>
          <w:ilvl w:val="0"/>
          <w:numId w:val="10"/>
        </w:numPr>
        <w:spacing w:line="360" w:lineRule="auto"/>
        <w:ind w:left="0" w:firstLine="1440"/>
      </w:pPr>
      <w:r w:rsidRPr="008A2F12">
        <w:t xml:space="preserve">The amount for billing over the </w:t>
      </w:r>
      <w:r w:rsidR="00B41A31" w:rsidRPr="008A2F12">
        <w:t>tampering</w:t>
      </w:r>
      <w:r w:rsidRPr="008A2F12">
        <w:t xml:space="preserve"> period, $19,550.76, is an estimate based on the gas appliances at the service address</w:t>
      </w:r>
      <w:r w:rsidR="007960A2">
        <w:t>.</w:t>
      </w:r>
      <w:r w:rsidRPr="008A2F12">
        <w:t xml:space="preserve"> </w:t>
      </w:r>
      <w:r w:rsidR="007960A2">
        <w:t xml:space="preserve"> </w:t>
      </w:r>
      <w:r w:rsidRPr="008A2F12">
        <w:t>Tr. 137-3</w:t>
      </w:r>
      <w:r w:rsidR="004F2626" w:rsidRPr="008A2F12">
        <w:t>9</w:t>
      </w:r>
      <w:r w:rsidRPr="008A2F12">
        <w:t>, PGW Exhibit 2.</w:t>
      </w:r>
    </w:p>
    <w:p w:rsidR="00F85F58" w:rsidRDefault="00F85F58"/>
    <w:p w:rsidR="003340B2" w:rsidRDefault="00B42AC0" w:rsidP="008A2F12">
      <w:pPr>
        <w:numPr>
          <w:ilvl w:val="0"/>
          <w:numId w:val="10"/>
        </w:numPr>
        <w:spacing w:line="360" w:lineRule="auto"/>
        <w:ind w:left="0" w:firstLine="1440"/>
      </w:pPr>
      <w:r w:rsidRPr="008A2F12">
        <w:t xml:space="preserve"> </w:t>
      </w:r>
      <w:r w:rsidR="003340B2" w:rsidRPr="008A2F12">
        <w:t xml:space="preserve">The Complainant’s account showed </w:t>
      </w:r>
      <w:r w:rsidR="00FC3A9C" w:rsidRPr="008A2F12">
        <w:t xml:space="preserve">the following </w:t>
      </w:r>
      <w:r w:rsidR="003340B2" w:rsidRPr="008A2F12">
        <w:t>usage during the winter months</w:t>
      </w:r>
      <w:r w:rsidR="009B7124" w:rsidRPr="008A2F12">
        <w:t xml:space="preserve"> </w:t>
      </w:r>
      <w:r w:rsidR="00694801" w:rsidRPr="008A2F12">
        <w:t xml:space="preserve">of </w:t>
      </w:r>
      <w:r w:rsidR="009B7124" w:rsidRPr="008A2F12">
        <w:t xml:space="preserve">the </w:t>
      </w:r>
      <w:r w:rsidR="00B41A31" w:rsidRPr="008A2F12">
        <w:t>tampering</w:t>
      </w:r>
      <w:r w:rsidR="009B7124" w:rsidRPr="008A2F12">
        <w:t xml:space="preserve"> period</w:t>
      </w:r>
      <w:r w:rsidR="00FC3A9C" w:rsidRPr="008A2F12">
        <w:t>:</w:t>
      </w:r>
      <w:r w:rsidR="007960A2">
        <w:t xml:space="preserve"> </w:t>
      </w:r>
      <w:r w:rsidR="003340B2" w:rsidRPr="008A2F12">
        <w:t>Tr. 143, PGW Exhibit</w:t>
      </w:r>
      <w:r w:rsidR="00453655" w:rsidRPr="008A2F12">
        <w:t>s</w:t>
      </w:r>
      <w:r w:rsidR="003340B2" w:rsidRPr="008A2F12">
        <w:t xml:space="preserve"> 3</w:t>
      </w:r>
      <w:r w:rsidR="00453655" w:rsidRPr="008A2F12">
        <w:t>, 4</w:t>
      </w:r>
      <w:r w:rsidR="003340B2" w:rsidRPr="008A2F12">
        <w:t>.</w:t>
      </w:r>
    </w:p>
    <w:p w:rsidR="007960A2" w:rsidRDefault="007960A2"/>
    <w:tbl>
      <w:tblPr>
        <w:tblStyle w:val="TableGrid"/>
        <w:tblW w:w="9576" w:type="dxa"/>
        <w:tblLook w:val="04A0" w:firstRow="1" w:lastRow="0" w:firstColumn="1" w:lastColumn="0" w:noHBand="0" w:noVBand="1"/>
      </w:tblPr>
      <w:tblGrid>
        <w:gridCol w:w="857"/>
        <w:gridCol w:w="696"/>
        <w:gridCol w:w="740"/>
        <w:gridCol w:w="696"/>
        <w:gridCol w:w="696"/>
        <w:gridCol w:w="696"/>
        <w:gridCol w:w="696"/>
        <w:gridCol w:w="696"/>
        <w:gridCol w:w="696"/>
        <w:gridCol w:w="696"/>
        <w:gridCol w:w="696"/>
        <w:gridCol w:w="750"/>
        <w:gridCol w:w="965"/>
      </w:tblGrid>
      <w:tr w:rsidR="00972BB9" w:rsidRPr="008A2F12" w:rsidTr="00972BB9">
        <w:tc>
          <w:tcPr>
            <w:tcW w:w="9576" w:type="dxa"/>
            <w:gridSpan w:val="13"/>
          </w:tcPr>
          <w:p w:rsidR="00972BB9" w:rsidRPr="008A2F12" w:rsidRDefault="00972BB9" w:rsidP="008A2F12">
            <w:pPr>
              <w:pStyle w:val="ListParagraph"/>
              <w:ind w:left="0"/>
              <w:jc w:val="center"/>
            </w:pPr>
            <w:r w:rsidRPr="008A2F12">
              <w:t>Usage in CCFs during winter months</w:t>
            </w:r>
          </w:p>
        </w:tc>
      </w:tr>
      <w:tr w:rsidR="00972BB9" w:rsidRPr="008A2F12" w:rsidTr="007960A2">
        <w:tc>
          <w:tcPr>
            <w:tcW w:w="857" w:type="dxa"/>
          </w:tcPr>
          <w:p w:rsidR="00972BB9" w:rsidRPr="008A2F12" w:rsidRDefault="00972BB9" w:rsidP="008A2F12">
            <w:pPr>
              <w:pStyle w:val="ListParagraph"/>
              <w:ind w:left="0"/>
            </w:pPr>
            <w:r w:rsidRPr="008A2F12">
              <w:t>Month</w:t>
            </w:r>
          </w:p>
        </w:tc>
        <w:tc>
          <w:tcPr>
            <w:tcW w:w="696" w:type="dxa"/>
          </w:tcPr>
          <w:p w:rsidR="00972BB9" w:rsidRPr="008A2F12" w:rsidRDefault="00972BB9" w:rsidP="008A2F12">
            <w:pPr>
              <w:pStyle w:val="ListParagraph"/>
              <w:ind w:left="0"/>
            </w:pPr>
            <w:r w:rsidRPr="008A2F12">
              <w:t>2005</w:t>
            </w:r>
          </w:p>
        </w:tc>
        <w:tc>
          <w:tcPr>
            <w:tcW w:w="740" w:type="dxa"/>
          </w:tcPr>
          <w:p w:rsidR="00972BB9" w:rsidRPr="008A2F12" w:rsidRDefault="00972BB9" w:rsidP="008A2F12">
            <w:pPr>
              <w:pStyle w:val="ListParagraph"/>
              <w:ind w:left="44"/>
            </w:pPr>
            <w:r w:rsidRPr="008A2F12">
              <w:t>2006</w:t>
            </w:r>
          </w:p>
        </w:tc>
        <w:tc>
          <w:tcPr>
            <w:tcW w:w="696" w:type="dxa"/>
          </w:tcPr>
          <w:p w:rsidR="00972BB9" w:rsidRPr="008A2F12" w:rsidRDefault="00972BB9" w:rsidP="008A2F12">
            <w:pPr>
              <w:pStyle w:val="ListParagraph"/>
              <w:ind w:left="0"/>
            </w:pPr>
            <w:r w:rsidRPr="008A2F12">
              <w:t>2007</w:t>
            </w:r>
          </w:p>
        </w:tc>
        <w:tc>
          <w:tcPr>
            <w:tcW w:w="696" w:type="dxa"/>
          </w:tcPr>
          <w:p w:rsidR="00972BB9" w:rsidRPr="008A2F12" w:rsidRDefault="00972BB9" w:rsidP="008A2F12">
            <w:pPr>
              <w:pStyle w:val="ListParagraph"/>
              <w:ind w:left="0"/>
            </w:pPr>
            <w:r w:rsidRPr="008A2F12">
              <w:t>2008</w:t>
            </w:r>
          </w:p>
        </w:tc>
        <w:tc>
          <w:tcPr>
            <w:tcW w:w="696" w:type="dxa"/>
          </w:tcPr>
          <w:p w:rsidR="00972BB9" w:rsidRPr="008A2F12" w:rsidRDefault="00972BB9" w:rsidP="008A2F12">
            <w:pPr>
              <w:pStyle w:val="ListParagraph"/>
              <w:ind w:left="0"/>
            </w:pPr>
            <w:r w:rsidRPr="008A2F12">
              <w:t>2009</w:t>
            </w:r>
          </w:p>
        </w:tc>
        <w:tc>
          <w:tcPr>
            <w:tcW w:w="696" w:type="dxa"/>
          </w:tcPr>
          <w:p w:rsidR="00972BB9" w:rsidRPr="008A2F12" w:rsidRDefault="00972BB9" w:rsidP="008A2F12">
            <w:pPr>
              <w:pStyle w:val="ListParagraph"/>
              <w:ind w:left="0"/>
            </w:pPr>
            <w:r w:rsidRPr="008A2F12">
              <w:t>2010</w:t>
            </w:r>
          </w:p>
        </w:tc>
        <w:tc>
          <w:tcPr>
            <w:tcW w:w="696" w:type="dxa"/>
          </w:tcPr>
          <w:p w:rsidR="00972BB9" w:rsidRPr="008A2F12" w:rsidRDefault="00972BB9" w:rsidP="008A2F12">
            <w:pPr>
              <w:pStyle w:val="ListParagraph"/>
              <w:ind w:left="0"/>
            </w:pPr>
            <w:r w:rsidRPr="008A2F12">
              <w:t>2011</w:t>
            </w:r>
          </w:p>
        </w:tc>
        <w:tc>
          <w:tcPr>
            <w:tcW w:w="696" w:type="dxa"/>
          </w:tcPr>
          <w:p w:rsidR="00972BB9" w:rsidRPr="008A2F12" w:rsidRDefault="00972BB9" w:rsidP="008A2F12">
            <w:pPr>
              <w:pStyle w:val="ListParagraph"/>
              <w:ind w:left="0"/>
            </w:pPr>
            <w:r w:rsidRPr="008A2F12">
              <w:t>2012</w:t>
            </w:r>
          </w:p>
        </w:tc>
        <w:tc>
          <w:tcPr>
            <w:tcW w:w="696" w:type="dxa"/>
          </w:tcPr>
          <w:p w:rsidR="00972BB9" w:rsidRPr="008A2F12" w:rsidRDefault="00972BB9" w:rsidP="008A2F12">
            <w:pPr>
              <w:pStyle w:val="ListParagraph"/>
              <w:ind w:left="0"/>
            </w:pPr>
            <w:r w:rsidRPr="008A2F12">
              <w:t>2013</w:t>
            </w:r>
          </w:p>
        </w:tc>
        <w:tc>
          <w:tcPr>
            <w:tcW w:w="696" w:type="dxa"/>
          </w:tcPr>
          <w:p w:rsidR="00972BB9" w:rsidRPr="008A2F12" w:rsidRDefault="00972BB9" w:rsidP="008A2F12">
            <w:pPr>
              <w:pStyle w:val="ListParagraph"/>
              <w:ind w:left="0"/>
            </w:pPr>
            <w:r w:rsidRPr="008A2F12">
              <w:t>2014</w:t>
            </w:r>
          </w:p>
        </w:tc>
        <w:tc>
          <w:tcPr>
            <w:tcW w:w="750" w:type="dxa"/>
          </w:tcPr>
          <w:p w:rsidR="00972BB9" w:rsidRPr="008A2F12" w:rsidRDefault="00972BB9" w:rsidP="008A2F12">
            <w:pPr>
              <w:pStyle w:val="ListParagraph"/>
              <w:ind w:left="0"/>
            </w:pPr>
            <w:r w:rsidRPr="008A2F12">
              <w:t>2015</w:t>
            </w:r>
          </w:p>
        </w:tc>
        <w:tc>
          <w:tcPr>
            <w:tcW w:w="965" w:type="dxa"/>
          </w:tcPr>
          <w:p w:rsidR="00972BB9" w:rsidRPr="008A2F12" w:rsidRDefault="00972BB9" w:rsidP="008A2F12">
            <w:pPr>
              <w:pStyle w:val="ListParagraph"/>
              <w:ind w:left="0"/>
            </w:pPr>
            <w:r w:rsidRPr="008A2F12">
              <w:t>average</w:t>
            </w:r>
          </w:p>
        </w:tc>
      </w:tr>
      <w:tr w:rsidR="00972BB9" w:rsidRPr="008A2F12" w:rsidTr="007960A2">
        <w:tc>
          <w:tcPr>
            <w:tcW w:w="857" w:type="dxa"/>
          </w:tcPr>
          <w:p w:rsidR="00972BB9" w:rsidRPr="008A2F12" w:rsidRDefault="00972BB9" w:rsidP="008A2F12">
            <w:pPr>
              <w:pStyle w:val="ListParagraph"/>
              <w:ind w:left="0"/>
            </w:pPr>
            <w:r w:rsidRPr="008A2F12">
              <w:t>Jan</w:t>
            </w:r>
            <w:r w:rsidR="002C310D" w:rsidRPr="008A2F12">
              <w:t>.</w:t>
            </w:r>
          </w:p>
        </w:tc>
        <w:tc>
          <w:tcPr>
            <w:tcW w:w="696" w:type="dxa"/>
          </w:tcPr>
          <w:p w:rsidR="00972BB9" w:rsidRPr="008A2F12" w:rsidRDefault="00972BB9" w:rsidP="008A2F12">
            <w:pPr>
              <w:pStyle w:val="ListParagraph"/>
              <w:ind w:left="0"/>
            </w:pPr>
            <w:r w:rsidRPr="008A2F12">
              <w:t>49</w:t>
            </w:r>
          </w:p>
        </w:tc>
        <w:tc>
          <w:tcPr>
            <w:tcW w:w="740" w:type="dxa"/>
          </w:tcPr>
          <w:p w:rsidR="00972BB9" w:rsidRPr="008A2F12" w:rsidRDefault="00972BB9" w:rsidP="008A2F12">
            <w:pPr>
              <w:pStyle w:val="ListParagraph"/>
              <w:ind w:left="0"/>
            </w:pPr>
            <w:r w:rsidRPr="008A2F12">
              <w:t>18</w:t>
            </w:r>
          </w:p>
        </w:tc>
        <w:tc>
          <w:tcPr>
            <w:tcW w:w="696" w:type="dxa"/>
          </w:tcPr>
          <w:p w:rsidR="00972BB9" w:rsidRPr="008A2F12" w:rsidRDefault="00972BB9" w:rsidP="008A2F12">
            <w:pPr>
              <w:pStyle w:val="ListParagraph"/>
              <w:ind w:left="0"/>
            </w:pPr>
            <w:r w:rsidRPr="008A2F12">
              <w:t>150</w:t>
            </w:r>
          </w:p>
        </w:tc>
        <w:tc>
          <w:tcPr>
            <w:tcW w:w="696" w:type="dxa"/>
          </w:tcPr>
          <w:p w:rsidR="00972BB9" w:rsidRPr="008A2F12" w:rsidRDefault="00972BB9" w:rsidP="008A2F12">
            <w:pPr>
              <w:pStyle w:val="ListParagraph"/>
              <w:ind w:left="0"/>
            </w:pPr>
            <w:r w:rsidRPr="008A2F12">
              <w:t>33</w:t>
            </w:r>
          </w:p>
        </w:tc>
        <w:tc>
          <w:tcPr>
            <w:tcW w:w="696" w:type="dxa"/>
          </w:tcPr>
          <w:p w:rsidR="00972BB9" w:rsidRPr="008A2F12" w:rsidRDefault="00972BB9" w:rsidP="008A2F12">
            <w:pPr>
              <w:pStyle w:val="ListParagraph"/>
              <w:ind w:left="0"/>
            </w:pPr>
            <w:r w:rsidRPr="008A2F12">
              <w:t>58</w:t>
            </w:r>
          </w:p>
        </w:tc>
        <w:tc>
          <w:tcPr>
            <w:tcW w:w="696" w:type="dxa"/>
          </w:tcPr>
          <w:p w:rsidR="00972BB9" w:rsidRPr="008A2F12" w:rsidRDefault="00972BB9" w:rsidP="008A2F12">
            <w:pPr>
              <w:pStyle w:val="ListParagraph"/>
              <w:ind w:left="0"/>
            </w:pPr>
            <w:r w:rsidRPr="008A2F12">
              <w:t>23</w:t>
            </w:r>
          </w:p>
        </w:tc>
        <w:tc>
          <w:tcPr>
            <w:tcW w:w="696" w:type="dxa"/>
          </w:tcPr>
          <w:p w:rsidR="00972BB9" w:rsidRPr="008A2F12" w:rsidRDefault="00972BB9" w:rsidP="008A2F12">
            <w:pPr>
              <w:pStyle w:val="ListParagraph"/>
              <w:ind w:left="0"/>
            </w:pPr>
            <w:r w:rsidRPr="008A2F12">
              <w:t>52</w:t>
            </w:r>
          </w:p>
        </w:tc>
        <w:tc>
          <w:tcPr>
            <w:tcW w:w="696" w:type="dxa"/>
          </w:tcPr>
          <w:p w:rsidR="00972BB9" w:rsidRPr="008A2F12" w:rsidRDefault="00972BB9" w:rsidP="008A2F12">
            <w:pPr>
              <w:pStyle w:val="ListParagraph"/>
              <w:ind w:left="0"/>
            </w:pPr>
            <w:r w:rsidRPr="008A2F12">
              <w:t>120</w:t>
            </w:r>
          </w:p>
        </w:tc>
        <w:tc>
          <w:tcPr>
            <w:tcW w:w="696" w:type="dxa"/>
          </w:tcPr>
          <w:p w:rsidR="00972BB9" w:rsidRPr="008A2F12" w:rsidRDefault="00972BB9" w:rsidP="008A2F12">
            <w:pPr>
              <w:pStyle w:val="ListParagraph"/>
              <w:ind w:left="0"/>
            </w:pPr>
            <w:r w:rsidRPr="008A2F12">
              <w:t>31</w:t>
            </w:r>
          </w:p>
        </w:tc>
        <w:tc>
          <w:tcPr>
            <w:tcW w:w="696" w:type="dxa"/>
          </w:tcPr>
          <w:p w:rsidR="00972BB9" w:rsidRPr="008A2F12" w:rsidRDefault="00972BB9" w:rsidP="008A2F12">
            <w:pPr>
              <w:pStyle w:val="ListParagraph"/>
              <w:ind w:left="0"/>
            </w:pPr>
            <w:r w:rsidRPr="008A2F12">
              <w:t>103</w:t>
            </w:r>
          </w:p>
        </w:tc>
        <w:tc>
          <w:tcPr>
            <w:tcW w:w="750" w:type="dxa"/>
          </w:tcPr>
          <w:p w:rsidR="00972BB9" w:rsidRPr="008A2F12" w:rsidRDefault="00B41A31" w:rsidP="008A2F12">
            <w:pPr>
              <w:pStyle w:val="ListParagraph"/>
              <w:ind w:left="0"/>
            </w:pPr>
            <w:r w:rsidRPr="008A2F12">
              <w:t>20</w:t>
            </w:r>
          </w:p>
        </w:tc>
        <w:tc>
          <w:tcPr>
            <w:tcW w:w="965" w:type="dxa"/>
          </w:tcPr>
          <w:p w:rsidR="00972BB9" w:rsidRPr="008A2F12" w:rsidRDefault="00972BB9" w:rsidP="008A2F12">
            <w:pPr>
              <w:pStyle w:val="ListParagraph"/>
              <w:ind w:left="0"/>
            </w:pPr>
            <w:r w:rsidRPr="008A2F12">
              <w:t>6</w:t>
            </w:r>
            <w:r w:rsidR="00C54ABE" w:rsidRPr="008A2F12">
              <w:t>0</w:t>
            </w:r>
          </w:p>
        </w:tc>
      </w:tr>
      <w:tr w:rsidR="00972BB9" w:rsidRPr="008A2F12" w:rsidTr="007960A2">
        <w:tc>
          <w:tcPr>
            <w:tcW w:w="857" w:type="dxa"/>
          </w:tcPr>
          <w:p w:rsidR="00972BB9" w:rsidRPr="008A2F12" w:rsidRDefault="00972BB9" w:rsidP="008A2F12">
            <w:pPr>
              <w:pStyle w:val="ListParagraph"/>
              <w:ind w:left="0"/>
            </w:pPr>
            <w:r w:rsidRPr="008A2F12">
              <w:t>Feb</w:t>
            </w:r>
            <w:r w:rsidR="002C310D" w:rsidRPr="008A2F12">
              <w:t>.</w:t>
            </w:r>
          </w:p>
        </w:tc>
        <w:tc>
          <w:tcPr>
            <w:tcW w:w="696" w:type="dxa"/>
          </w:tcPr>
          <w:p w:rsidR="00972BB9" w:rsidRPr="008A2F12" w:rsidRDefault="00972BB9" w:rsidP="008A2F12">
            <w:pPr>
              <w:pStyle w:val="ListParagraph"/>
              <w:ind w:left="0"/>
            </w:pPr>
            <w:r w:rsidRPr="008A2F12">
              <w:t>94</w:t>
            </w:r>
          </w:p>
        </w:tc>
        <w:tc>
          <w:tcPr>
            <w:tcW w:w="740" w:type="dxa"/>
          </w:tcPr>
          <w:p w:rsidR="00972BB9" w:rsidRPr="008A2F12" w:rsidRDefault="00972BB9" w:rsidP="008A2F12">
            <w:pPr>
              <w:pStyle w:val="ListParagraph"/>
              <w:ind w:left="0"/>
            </w:pPr>
            <w:r w:rsidRPr="008A2F12">
              <w:t>55</w:t>
            </w:r>
          </w:p>
        </w:tc>
        <w:tc>
          <w:tcPr>
            <w:tcW w:w="696" w:type="dxa"/>
          </w:tcPr>
          <w:p w:rsidR="00972BB9" w:rsidRPr="008A2F12" w:rsidRDefault="00972BB9" w:rsidP="008A2F12">
            <w:pPr>
              <w:pStyle w:val="ListParagraph"/>
              <w:ind w:left="0"/>
            </w:pPr>
            <w:r w:rsidRPr="008A2F12">
              <w:t>26</w:t>
            </w:r>
          </w:p>
        </w:tc>
        <w:tc>
          <w:tcPr>
            <w:tcW w:w="696" w:type="dxa"/>
          </w:tcPr>
          <w:p w:rsidR="00972BB9" w:rsidRPr="008A2F12" w:rsidRDefault="00972BB9" w:rsidP="008A2F12">
            <w:pPr>
              <w:pStyle w:val="ListParagraph"/>
              <w:ind w:left="0"/>
            </w:pPr>
            <w:r w:rsidRPr="008A2F12">
              <w:t>15</w:t>
            </w:r>
          </w:p>
        </w:tc>
        <w:tc>
          <w:tcPr>
            <w:tcW w:w="696" w:type="dxa"/>
          </w:tcPr>
          <w:p w:rsidR="00972BB9" w:rsidRPr="008A2F12" w:rsidRDefault="00972BB9" w:rsidP="008A2F12">
            <w:pPr>
              <w:pStyle w:val="ListParagraph"/>
              <w:ind w:left="0"/>
            </w:pPr>
            <w:r w:rsidRPr="008A2F12">
              <w:t>51</w:t>
            </w:r>
          </w:p>
        </w:tc>
        <w:tc>
          <w:tcPr>
            <w:tcW w:w="696" w:type="dxa"/>
          </w:tcPr>
          <w:p w:rsidR="00972BB9" w:rsidRPr="008A2F12" w:rsidRDefault="00972BB9" w:rsidP="008A2F12">
            <w:pPr>
              <w:pStyle w:val="ListParagraph"/>
              <w:ind w:left="0"/>
            </w:pPr>
            <w:r w:rsidRPr="008A2F12">
              <w:t>4</w:t>
            </w:r>
          </w:p>
        </w:tc>
        <w:tc>
          <w:tcPr>
            <w:tcW w:w="696" w:type="dxa"/>
          </w:tcPr>
          <w:p w:rsidR="00972BB9" w:rsidRPr="008A2F12" w:rsidRDefault="00972BB9" w:rsidP="008A2F12">
            <w:pPr>
              <w:pStyle w:val="ListParagraph"/>
              <w:ind w:left="0"/>
            </w:pPr>
            <w:r w:rsidRPr="008A2F12">
              <w:t>16</w:t>
            </w:r>
          </w:p>
        </w:tc>
        <w:tc>
          <w:tcPr>
            <w:tcW w:w="696" w:type="dxa"/>
          </w:tcPr>
          <w:p w:rsidR="00972BB9" w:rsidRPr="008A2F12" w:rsidRDefault="00972BB9" w:rsidP="008A2F12">
            <w:pPr>
              <w:pStyle w:val="ListParagraph"/>
              <w:ind w:left="0"/>
            </w:pPr>
            <w:r w:rsidRPr="008A2F12">
              <w:t>9</w:t>
            </w:r>
          </w:p>
        </w:tc>
        <w:tc>
          <w:tcPr>
            <w:tcW w:w="696" w:type="dxa"/>
          </w:tcPr>
          <w:p w:rsidR="00972BB9" w:rsidRPr="008A2F12" w:rsidRDefault="00972BB9" w:rsidP="008A2F12">
            <w:pPr>
              <w:pStyle w:val="ListParagraph"/>
              <w:ind w:left="0"/>
            </w:pPr>
            <w:r w:rsidRPr="008A2F12">
              <w:t>72</w:t>
            </w:r>
          </w:p>
        </w:tc>
        <w:tc>
          <w:tcPr>
            <w:tcW w:w="696" w:type="dxa"/>
          </w:tcPr>
          <w:p w:rsidR="00972BB9" w:rsidRPr="008A2F12" w:rsidRDefault="00972BB9" w:rsidP="008A2F12">
            <w:pPr>
              <w:pStyle w:val="ListParagraph"/>
              <w:ind w:left="0"/>
            </w:pPr>
            <w:r w:rsidRPr="008A2F12">
              <w:t>24</w:t>
            </w:r>
          </w:p>
        </w:tc>
        <w:tc>
          <w:tcPr>
            <w:tcW w:w="750" w:type="dxa"/>
          </w:tcPr>
          <w:p w:rsidR="00972BB9" w:rsidRPr="008A2F12" w:rsidRDefault="00B41A31" w:rsidP="008A2F12">
            <w:pPr>
              <w:pStyle w:val="ListParagraph"/>
              <w:ind w:left="0"/>
            </w:pPr>
            <w:r w:rsidRPr="008A2F12">
              <w:t>5</w:t>
            </w:r>
          </w:p>
        </w:tc>
        <w:tc>
          <w:tcPr>
            <w:tcW w:w="965" w:type="dxa"/>
          </w:tcPr>
          <w:p w:rsidR="00972BB9" w:rsidRPr="008A2F12" w:rsidRDefault="00972BB9" w:rsidP="008A2F12">
            <w:pPr>
              <w:pStyle w:val="ListParagraph"/>
              <w:ind w:left="0"/>
            </w:pPr>
            <w:r w:rsidRPr="008A2F12">
              <w:t>3</w:t>
            </w:r>
            <w:r w:rsidR="00C54ABE" w:rsidRPr="008A2F12">
              <w:t>4</w:t>
            </w:r>
          </w:p>
        </w:tc>
      </w:tr>
      <w:tr w:rsidR="00972BB9" w:rsidRPr="008A2F12" w:rsidTr="007960A2">
        <w:tc>
          <w:tcPr>
            <w:tcW w:w="857" w:type="dxa"/>
          </w:tcPr>
          <w:p w:rsidR="00972BB9" w:rsidRPr="008A2F12" w:rsidRDefault="00972BB9" w:rsidP="008A2F12">
            <w:pPr>
              <w:pStyle w:val="ListParagraph"/>
              <w:ind w:left="0"/>
            </w:pPr>
            <w:r w:rsidRPr="008A2F12">
              <w:t>Mar</w:t>
            </w:r>
            <w:r w:rsidR="002C310D" w:rsidRPr="008A2F12">
              <w:t>.</w:t>
            </w:r>
          </w:p>
        </w:tc>
        <w:tc>
          <w:tcPr>
            <w:tcW w:w="696" w:type="dxa"/>
          </w:tcPr>
          <w:p w:rsidR="00972BB9" w:rsidRPr="008A2F12" w:rsidRDefault="00972BB9" w:rsidP="008A2F12">
            <w:pPr>
              <w:pStyle w:val="ListParagraph"/>
              <w:ind w:left="0"/>
            </w:pPr>
            <w:r w:rsidRPr="008A2F12">
              <w:t>119</w:t>
            </w:r>
          </w:p>
        </w:tc>
        <w:tc>
          <w:tcPr>
            <w:tcW w:w="740" w:type="dxa"/>
          </w:tcPr>
          <w:p w:rsidR="00972BB9" w:rsidRPr="008A2F12" w:rsidRDefault="00972BB9" w:rsidP="008A2F12">
            <w:pPr>
              <w:pStyle w:val="ListParagraph"/>
              <w:ind w:left="0"/>
            </w:pPr>
            <w:r w:rsidRPr="008A2F12">
              <w:t>31</w:t>
            </w:r>
          </w:p>
        </w:tc>
        <w:tc>
          <w:tcPr>
            <w:tcW w:w="696" w:type="dxa"/>
          </w:tcPr>
          <w:p w:rsidR="00972BB9" w:rsidRPr="008A2F12" w:rsidRDefault="00972BB9" w:rsidP="008A2F12">
            <w:pPr>
              <w:pStyle w:val="ListParagraph"/>
              <w:ind w:left="0"/>
            </w:pPr>
            <w:r w:rsidRPr="008A2F12">
              <w:t>43</w:t>
            </w:r>
          </w:p>
        </w:tc>
        <w:tc>
          <w:tcPr>
            <w:tcW w:w="696" w:type="dxa"/>
          </w:tcPr>
          <w:p w:rsidR="00972BB9" w:rsidRPr="008A2F12" w:rsidRDefault="00972BB9" w:rsidP="008A2F12">
            <w:pPr>
              <w:pStyle w:val="ListParagraph"/>
              <w:ind w:left="0"/>
            </w:pPr>
            <w:r w:rsidRPr="008A2F12">
              <w:t>3</w:t>
            </w:r>
          </w:p>
        </w:tc>
        <w:tc>
          <w:tcPr>
            <w:tcW w:w="696" w:type="dxa"/>
          </w:tcPr>
          <w:p w:rsidR="00972BB9" w:rsidRPr="008A2F12" w:rsidRDefault="00972BB9" w:rsidP="008A2F12">
            <w:pPr>
              <w:pStyle w:val="ListParagraph"/>
              <w:ind w:left="0"/>
            </w:pPr>
            <w:r w:rsidRPr="008A2F12">
              <w:t>51</w:t>
            </w:r>
          </w:p>
        </w:tc>
        <w:tc>
          <w:tcPr>
            <w:tcW w:w="696" w:type="dxa"/>
          </w:tcPr>
          <w:p w:rsidR="00972BB9" w:rsidRPr="008A2F12" w:rsidRDefault="00972BB9" w:rsidP="008A2F12">
            <w:pPr>
              <w:pStyle w:val="ListParagraph"/>
              <w:ind w:left="0"/>
            </w:pPr>
            <w:r w:rsidRPr="008A2F12">
              <w:t>88</w:t>
            </w:r>
          </w:p>
        </w:tc>
        <w:tc>
          <w:tcPr>
            <w:tcW w:w="696" w:type="dxa"/>
          </w:tcPr>
          <w:p w:rsidR="00972BB9" w:rsidRPr="008A2F12" w:rsidRDefault="00972BB9" w:rsidP="008A2F12">
            <w:pPr>
              <w:pStyle w:val="ListParagraph"/>
              <w:ind w:left="0"/>
            </w:pPr>
            <w:r w:rsidRPr="008A2F12">
              <w:t>65</w:t>
            </w:r>
          </w:p>
        </w:tc>
        <w:tc>
          <w:tcPr>
            <w:tcW w:w="696" w:type="dxa"/>
          </w:tcPr>
          <w:p w:rsidR="00972BB9" w:rsidRPr="008A2F12" w:rsidRDefault="00972BB9" w:rsidP="008A2F12">
            <w:pPr>
              <w:pStyle w:val="ListParagraph"/>
              <w:ind w:left="0"/>
            </w:pPr>
            <w:r w:rsidRPr="008A2F12">
              <w:t>4</w:t>
            </w:r>
          </w:p>
        </w:tc>
        <w:tc>
          <w:tcPr>
            <w:tcW w:w="696" w:type="dxa"/>
          </w:tcPr>
          <w:p w:rsidR="00972BB9" w:rsidRPr="008A2F12" w:rsidRDefault="00972BB9" w:rsidP="008A2F12">
            <w:pPr>
              <w:pStyle w:val="ListParagraph"/>
              <w:ind w:left="0"/>
            </w:pPr>
            <w:r w:rsidRPr="008A2F12">
              <w:t>11</w:t>
            </w:r>
          </w:p>
        </w:tc>
        <w:tc>
          <w:tcPr>
            <w:tcW w:w="696" w:type="dxa"/>
          </w:tcPr>
          <w:p w:rsidR="00972BB9" w:rsidRPr="008A2F12" w:rsidRDefault="00972BB9" w:rsidP="008A2F12">
            <w:pPr>
              <w:pStyle w:val="ListParagraph"/>
              <w:ind w:left="0"/>
            </w:pPr>
            <w:r w:rsidRPr="008A2F12">
              <w:t>192</w:t>
            </w:r>
          </w:p>
        </w:tc>
        <w:tc>
          <w:tcPr>
            <w:tcW w:w="750" w:type="dxa"/>
          </w:tcPr>
          <w:p w:rsidR="00972BB9" w:rsidRPr="008A2F12" w:rsidRDefault="00B41A31" w:rsidP="008A2F12">
            <w:pPr>
              <w:pStyle w:val="ListParagraph"/>
              <w:ind w:left="0"/>
            </w:pPr>
            <w:r w:rsidRPr="008A2F12">
              <w:t>118</w:t>
            </w:r>
          </w:p>
        </w:tc>
        <w:tc>
          <w:tcPr>
            <w:tcW w:w="965" w:type="dxa"/>
          </w:tcPr>
          <w:p w:rsidR="00972BB9" w:rsidRPr="008A2F12" w:rsidRDefault="00972BB9" w:rsidP="008A2F12">
            <w:pPr>
              <w:pStyle w:val="ListParagraph"/>
              <w:ind w:left="0"/>
            </w:pPr>
            <w:r w:rsidRPr="008A2F12">
              <w:t>6</w:t>
            </w:r>
            <w:r w:rsidR="00C54ABE" w:rsidRPr="008A2F12">
              <w:t>6</w:t>
            </w:r>
          </w:p>
        </w:tc>
      </w:tr>
      <w:tr w:rsidR="00972BB9" w:rsidRPr="008A2F12" w:rsidTr="007960A2">
        <w:tc>
          <w:tcPr>
            <w:tcW w:w="857" w:type="dxa"/>
          </w:tcPr>
          <w:p w:rsidR="00972BB9" w:rsidRPr="008A2F12" w:rsidRDefault="00972BB9" w:rsidP="008A2F12">
            <w:pPr>
              <w:pStyle w:val="ListParagraph"/>
              <w:ind w:left="0"/>
            </w:pPr>
            <w:r w:rsidRPr="008A2F12">
              <w:t>Nov</w:t>
            </w:r>
            <w:r w:rsidR="002C310D" w:rsidRPr="008A2F12">
              <w:t>.</w:t>
            </w:r>
          </w:p>
        </w:tc>
        <w:tc>
          <w:tcPr>
            <w:tcW w:w="696" w:type="dxa"/>
          </w:tcPr>
          <w:p w:rsidR="00972BB9" w:rsidRPr="008A2F12" w:rsidRDefault="00972BB9" w:rsidP="008A2F12">
            <w:pPr>
              <w:pStyle w:val="ListParagraph"/>
              <w:ind w:left="0"/>
            </w:pPr>
            <w:r w:rsidRPr="008A2F12">
              <w:t>12</w:t>
            </w:r>
          </w:p>
        </w:tc>
        <w:tc>
          <w:tcPr>
            <w:tcW w:w="740" w:type="dxa"/>
          </w:tcPr>
          <w:p w:rsidR="00972BB9" w:rsidRPr="008A2F12" w:rsidRDefault="00972BB9" w:rsidP="008A2F12">
            <w:pPr>
              <w:pStyle w:val="ListParagraph"/>
              <w:ind w:left="0"/>
            </w:pPr>
            <w:r w:rsidRPr="008A2F12">
              <w:t>12</w:t>
            </w:r>
          </w:p>
        </w:tc>
        <w:tc>
          <w:tcPr>
            <w:tcW w:w="696" w:type="dxa"/>
          </w:tcPr>
          <w:p w:rsidR="00972BB9" w:rsidRPr="008A2F12" w:rsidRDefault="00972BB9" w:rsidP="008A2F12">
            <w:pPr>
              <w:pStyle w:val="ListParagraph"/>
              <w:ind w:left="0"/>
            </w:pPr>
            <w:r w:rsidRPr="008A2F12">
              <w:t>11</w:t>
            </w:r>
          </w:p>
        </w:tc>
        <w:tc>
          <w:tcPr>
            <w:tcW w:w="696" w:type="dxa"/>
          </w:tcPr>
          <w:p w:rsidR="00972BB9" w:rsidRPr="008A2F12" w:rsidRDefault="00972BB9" w:rsidP="008A2F12">
            <w:pPr>
              <w:pStyle w:val="ListParagraph"/>
              <w:ind w:left="0"/>
            </w:pPr>
            <w:r w:rsidRPr="008A2F12">
              <w:t>13</w:t>
            </w:r>
          </w:p>
        </w:tc>
        <w:tc>
          <w:tcPr>
            <w:tcW w:w="696" w:type="dxa"/>
          </w:tcPr>
          <w:p w:rsidR="00972BB9" w:rsidRPr="008A2F12" w:rsidRDefault="00972BB9" w:rsidP="008A2F12">
            <w:pPr>
              <w:pStyle w:val="ListParagraph"/>
              <w:ind w:left="0"/>
            </w:pPr>
            <w:r w:rsidRPr="008A2F12">
              <w:t>5</w:t>
            </w:r>
          </w:p>
        </w:tc>
        <w:tc>
          <w:tcPr>
            <w:tcW w:w="696" w:type="dxa"/>
          </w:tcPr>
          <w:p w:rsidR="00972BB9" w:rsidRPr="008A2F12" w:rsidRDefault="00972BB9" w:rsidP="008A2F12">
            <w:pPr>
              <w:pStyle w:val="ListParagraph"/>
              <w:ind w:left="0"/>
            </w:pPr>
            <w:r w:rsidRPr="008A2F12">
              <w:t>28</w:t>
            </w:r>
          </w:p>
        </w:tc>
        <w:tc>
          <w:tcPr>
            <w:tcW w:w="696" w:type="dxa"/>
          </w:tcPr>
          <w:p w:rsidR="00972BB9" w:rsidRPr="008A2F12" w:rsidRDefault="00972BB9" w:rsidP="008A2F12">
            <w:pPr>
              <w:pStyle w:val="ListParagraph"/>
              <w:ind w:left="0"/>
            </w:pPr>
            <w:r w:rsidRPr="008A2F12">
              <w:t>37</w:t>
            </w:r>
          </w:p>
        </w:tc>
        <w:tc>
          <w:tcPr>
            <w:tcW w:w="696" w:type="dxa"/>
          </w:tcPr>
          <w:p w:rsidR="00972BB9" w:rsidRPr="008A2F12" w:rsidRDefault="00972BB9" w:rsidP="008A2F12">
            <w:pPr>
              <w:pStyle w:val="ListParagraph"/>
              <w:ind w:left="0"/>
            </w:pPr>
            <w:r w:rsidRPr="008A2F12">
              <w:t>8</w:t>
            </w:r>
          </w:p>
        </w:tc>
        <w:tc>
          <w:tcPr>
            <w:tcW w:w="696" w:type="dxa"/>
          </w:tcPr>
          <w:p w:rsidR="00972BB9" w:rsidRPr="008A2F12" w:rsidRDefault="00972BB9" w:rsidP="008A2F12">
            <w:pPr>
              <w:pStyle w:val="ListParagraph"/>
              <w:ind w:left="0"/>
            </w:pPr>
            <w:r w:rsidRPr="008A2F12">
              <w:t>104</w:t>
            </w:r>
          </w:p>
        </w:tc>
        <w:tc>
          <w:tcPr>
            <w:tcW w:w="696" w:type="dxa"/>
          </w:tcPr>
          <w:p w:rsidR="00972BB9" w:rsidRPr="008A2F12" w:rsidRDefault="00972BB9" w:rsidP="008A2F12">
            <w:pPr>
              <w:pStyle w:val="ListParagraph"/>
              <w:ind w:left="0"/>
            </w:pPr>
            <w:r w:rsidRPr="008A2F12">
              <w:t>10</w:t>
            </w:r>
          </w:p>
        </w:tc>
        <w:tc>
          <w:tcPr>
            <w:tcW w:w="750" w:type="dxa"/>
          </w:tcPr>
          <w:p w:rsidR="00972BB9" w:rsidRPr="008A2F12" w:rsidRDefault="00C54ABE" w:rsidP="008A2F12">
            <w:pPr>
              <w:pStyle w:val="ListParagraph"/>
              <w:ind w:left="0"/>
            </w:pPr>
            <w:r w:rsidRPr="008A2F12">
              <w:t>N/A*</w:t>
            </w:r>
          </w:p>
        </w:tc>
        <w:tc>
          <w:tcPr>
            <w:tcW w:w="965" w:type="dxa"/>
          </w:tcPr>
          <w:p w:rsidR="00972BB9" w:rsidRPr="008A2F12" w:rsidRDefault="00C54ABE" w:rsidP="008A2F12">
            <w:pPr>
              <w:pStyle w:val="ListParagraph"/>
              <w:ind w:left="0"/>
            </w:pPr>
            <w:r w:rsidRPr="008A2F12">
              <w:t>24</w:t>
            </w:r>
          </w:p>
        </w:tc>
      </w:tr>
      <w:tr w:rsidR="00972BB9" w:rsidRPr="008A2F12" w:rsidTr="007960A2">
        <w:tc>
          <w:tcPr>
            <w:tcW w:w="857" w:type="dxa"/>
          </w:tcPr>
          <w:p w:rsidR="00972BB9" w:rsidRPr="008A2F12" w:rsidRDefault="00972BB9" w:rsidP="008A2F12">
            <w:pPr>
              <w:pStyle w:val="ListParagraph"/>
              <w:ind w:left="0"/>
            </w:pPr>
            <w:r w:rsidRPr="008A2F12">
              <w:t>Dec</w:t>
            </w:r>
            <w:r w:rsidR="002C310D" w:rsidRPr="008A2F12">
              <w:t>.</w:t>
            </w:r>
          </w:p>
        </w:tc>
        <w:tc>
          <w:tcPr>
            <w:tcW w:w="696" w:type="dxa"/>
          </w:tcPr>
          <w:p w:rsidR="00972BB9" w:rsidRPr="008A2F12" w:rsidRDefault="00972BB9" w:rsidP="008A2F12">
            <w:pPr>
              <w:pStyle w:val="ListParagraph"/>
              <w:ind w:left="0"/>
            </w:pPr>
            <w:r w:rsidRPr="008A2F12">
              <w:t>83</w:t>
            </w:r>
          </w:p>
        </w:tc>
        <w:tc>
          <w:tcPr>
            <w:tcW w:w="740" w:type="dxa"/>
          </w:tcPr>
          <w:p w:rsidR="00972BB9" w:rsidRPr="008A2F12" w:rsidRDefault="00972BB9" w:rsidP="008A2F12">
            <w:pPr>
              <w:pStyle w:val="ListParagraph"/>
              <w:ind w:left="0"/>
            </w:pPr>
            <w:r w:rsidRPr="008A2F12">
              <w:t>28</w:t>
            </w:r>
          </w:p>
        </w:tc>
        <w:tc>
          <w:tcPr>
            <w:tcW w:w="696" w:type="dxa"/>
          </w:tcPr>
          <w:p w:rsidR="00972BB9" w:rsidRPr="008A2F12" w:rsidRDefault="00972BB9" w:rsidP="008A2F12">
            <w:pPr>
              <w:pStyle w:val="ListParagraph"/>
              <w:ind w:left="0"/>
            </w:pPr>
            <w:r w:rsidRPr="008A2F12">
              <w:t>28</w:t>
            </w:r>
          </w:p>
        </w:tc>
        <w:tc>
          <w:tcPr>
            <w:tcW w:w="696" w:type="dxa"/>
          </w:tcPr>
          <w:p w:rsidR="00972BB9" w:rsidRPr="008A2F12" w:rsidRDefault="00972BB9" w:rsidP="008A2F12">
            <w:pPr>
              <w:pStyle w:val="ListParagraph"/>
              <w:ind w:left="0"/>
            </w:pPr>
            <w:r w:rsidRPr="008A2F12">
              <w:t>10</w:t>
            </w:r>
          </w:p>
        </w:tc>
        <w:tc>
          <w:tcPr>
            <w:tcW w:w="696" w:type="dxa"/>
          </w:tcPr>
          <w:p w:rsidR="00972BB9" w:rsidRPr="008A2F12" w:rsidRDefault="00972BB9" w:rsidP="008A2F12">
            <w:pPr>
              <w:pStyle w:val="ListParagraph"/>
              <w:ind w:left="0"/>
            </w:pPr>
            <w:r w:rsidRPr="008A2F12">
              <w:t>7</w:t>
            </w:r>
          </w:p>
        </w:tc>
        <w:tc>
          <w:tcPr>
            <w:tcW w:w="696" w:type="dxa"/>
          </w:tcPr>
          <w:p w:rsidR="00972BB9" w:rsidRPr="008A2F12" w:rsidRDefault="00972BB9" w:rsidP="008A2F12">
            <w:pPr>
              <w:pStyle w:val="ListParagraph"/>
              <w:ind w:left="0"/>
            </w:pPr>
            <w:r w:rsidRPr="008A2F12">
              <w:t>129</w:t>
            </w:r>
          </w:p>
        </w:tc>
        <w:tc>
          <w:tcPr>
            <w:tcW w:w="696" w:type="dxa"/>
          </w:tcPr>
          <w:p w:rsidR="00972BB9" w:rsidRPr="008A2F12" w:rsidRDefault="00972BB9" w:rsidP="008A2F12">
            <w:pPr>
              <w:pStyle w:val="ListParagraph"/>
              <w:ind w:left="0"/>
            </w:pPr>
            <w:r w:rsidRPr="008A2F12">
              <w:t>85</w:t>
            </w:r>
          </w:p>
        </w:tc>
        <w:tc>
          <w:tcPr>
            <w:tcW w:w="696" w:type="dxa"/>
          </w:tcPr>
          <w:p w:rsidR="00972BB9" w:rsidRPr="008A2F12" w:rsidRDefault="00972BB9" w:rsidP="008A2F12">
            <w:pPr>
              <w:pStyle w:val="ListParagraph"/>
              <w:ind w:left="0"/>
            </w:pPr>
            <w:r w:rsidRPr="008A2F12">
              <w:t>111</w:t>
            </w:r>
          </w:p>
        </w:tc>
        <w:tc>
          <w:tcPr>
            <w:tcW w:w="696" w:type="dxa"/>
          </w:tcPr>
          <w:p w:rsidR="00972BB9" w:rsidRPr="008A2F12" w:rsidRDefault="00972BB9" w:rsidP="008A2F12">
            <w:pPr>
              <w:pStyle w:val="ListParagraph"/>
              <w:ind w:left="0"/>
            </w:pPr>
            <w:r w:rsidRPr="008A2F12">
              <w:t>18</w:t>
            </w:r>
          </w:p>
        </w:tc>
        <w:tc>
          <w:tcPr>
            <w:tcW w:w="696" w:type="dxa"/>
          </w:tcPr>
          <w:p w:rsidR="00972BB9" w:rsidRPr="008A2F12" w:rsidRDefault="00972BB9" w:rsidP="008A2F12">
            <w:pPr>
              <w:pStyle w:val="ListParagraph"/>
              <w:ind w:left="0"/>
            </w:pPr>
            <w:r w:rsidRPr="008A2F12">
              <w:t>6</w:t>
            </w:r>
          </w:p>
        </w:tc>
        <w:tc>
          <w:tcPr>
            <w:tcW w:w="750" w:type="dxa"/>
          </w:tcPr>
          <w:p w:rsidR="00972BB9" w:rsidRPr="008A2F12" w:rsidRDefault="00C54ABE" w:rsidP="008A2F12">
            <w:pPr>
              <w:pStyle w:val="ListParagraph"/>
              <w:ind w:left="0"/>
            </w:pPr>
            <w:r w:rsidRPr="008A2F12">
              <w:t>N/A*</w:t>
            </w:r>
          </w:p>
        </w:tc>
        <w:tc>
          <w:tcPr>
            <w:tcW w:w="965" w:type="dxa"/>
          </w:tcPr>
          <w:p w:rsidR="00972BB9" w:rsidRPr="008A2F12" w:rsidRDefault="00C54ABE" w:rsidP="008A2F12">
            <w:pPr>
              <w:pStyle w:val="ListParagraph"/>
              <w:ind w:left="0"/>
            </w:pPr>
            <w:r w:rsidRPr="008A2F12">
              <w:t>51</w:t>
            </w:r>
          </w:p>
        </w:tc>
      </w:tr>
    </w:tbl>
    <w:p w:rsidR="000E2036" w:rsidRPr="008A2F12" w:rsidRDefault="00C54ABE" w:rsidP="008A2F12">
      <w:r w:rsidRPr="008A2F12">
        <w:t>*Note-N/A means not available.</w:t>
      </w:r>
    </w:p>
    <w:p w:rsidR="000E2036" w:rsidRPr="008A2F12" w:rsidRDefault="000E2036" w:rsidP="00F85F58">
      <w:pPr>
        <w:spacing w:line="360" w:lineRule="auto"/>
      </w:pPr>
    </w:p>
    <w:p w:rsidR="00E20C2F" w:rsidRPr="008A2F12" w:rsidRDefault="006F2176" w:rsidP="008A2F12">
      <w:pPr>
        <w:numPr>
          <w:ilvl w:val="0"/>
          <w:numId w:val="10"/>
        </w:numPr>
        <w:spacing w:line="360" w:lineRule="auto"/>
        <w:ind w:left="0" w:firstLine="1440"/>
      </w:pPr>
      <w:r w:rsidRPr="008A2F12">
        <w:lastRenderedPageBreak/>
        <w:t>The chart below shows the w</w:t>
      </w:r>
      <w:r w:rsidR="00E20C2F" w:rsidRPr="008A2F12">
        <w:t>inter months usage prior to 200</w:t>
      </w:r>
      <w:r w:rsidR="00972BB9" w:rsidRPr="008A2F12">
        <w:t>5</w:t>
      </w:r>
    </w:p>
    <w:tbl>
      <w:tblPr>
        <w:tblStyle w:val="TableGrid"/>
        <w:tblW w:w="0" w:type="auto"/>
        <w:tblInd w:w="618" w:type="dxa"/>
        <w:tblLook w:val="04A0" w:firstRow="1" w:lastRow="0" w:firstColumn="1" w:lastColumn="0" w:noHBand="0" w:noVBand="1"/>
      </w:tblPr>
      <w:tblGrid>
        <w:gridCol w:w="1078"/>
        <w:gridCol w:w="987"/>
        <w:gridCol w:w="988"/>
        <w:gridCol w:w="988"/>
        <w:gridCol w:w="988"/>
        <w:gridCol w:w="988"/>
        <w:gridCol w:w="988"/>
        <w:gridCol w:w="936"/>
        <w:gridCol w:w="1017"/>
      </w:tblGrid>
      <w:tr w:rsidR="00972BB9" w:rsidRPr="008A2F12" w:rsidTr="00972BB9">
        <w:tc>
          <w:tcPr>
            <w:tcW w:w="8958" w:type="dxa"/>
            <w:gridSpan w:val="9"/>
          </w:tcPr>
          <w:p w:rsidR="00972BB9" w:rsidRPr="008A2F12" w:rsidRDefault="00972BB9" w:rsidP="008A2F12">
            <w:pPr>
              <w:spacing w:line="360" w:lineRule="auto"/>
              <w:jc w:val="center"/>
            </w:pPr>
            <w:r w:rsidRPr="008A2F12">
              <w:t>Usage in CCFs during the winter months</w:t>
            </w:r>
          </w:p>
        </w:tc>
      </w:tr>
      <w:tr w:rsidR="00972BB9" w:rsidRPr="008A2F12" w:rsidTr="00972BB9">
        <w:tc>
          <w:tcPr>
            <w:tcW w:w="1078" w:type="dxa"/>
          </w:tcPr>
          <w:p w:rsidR="00972BB9" w:rsidRPr="008A2F12" w:rsidRDefault="00972BB9" w:rsidP="008A2F12">
            <w:pPr>
              <w:spacing w:line="360" w:lineRule="auto"/>
            </w:pPr>
            <w:r w:rsidRPr="008A2F12">
              <w:t>Month</w:t>
            </w:r>
          </w:p>
        </w:tc>
        <w:tc>
          <w:tcPr>
            <w:tcW w:w="987" w:type="dxa"/>
          </w:tcPr>
          <w:p w:rsidR="00972BB9" w:rsidRPr="008A2F12" w:rsidRDefault="00972BB9" w:rsidP="008A2F12">
            <w:pPr>
              <w:spacing w:line="360" w:lineRule="auto"/>
            </w:pPr>
            <w:r w:rsidRPr="008A2F12">
              <w:t>1998</w:t>
            </w:r>
          </w:p>
        </w:tc>
        <w:tc>
          <w:tcPr>
            <w:tcW w:w="988" w:type="dxa"/>
          </w:tcPr>
          <w:p w:rsidR="00972BB9" w:rsidRPr="008A2F12" w:rsidRDefault="00972BB9" w:rsidP="008A2F12">
            <w:pPr>
              <w:spacing w:line="360" w:lineRule="auto"/>
            </w:pPr>
            <w:r w:rsidRPr="008A2F12">
              <w:t>1999</w:t>
            </w:r>
          </w:p>
        </w:tc>
        <w:tc>
          <w:tcPr>
            <w:tcW w:w="988" w:type="dxa"/>
          </w:tcPr>
          <w:p w:rsidR="00972BB9" w:rsidRPr="008A2F12" w:rsidRDefault="00972BB9" w:rsidP="008A2F12">
            <w:pPr>
              <w:spacing w:line="360" w:lineRule="auto"/>
            </w:pPr>
            <w:r w:rsidRPr="008A2F12">
              <w:t>2000</w:t>
            </w:r>
          </w:p>
        </w:tc>
        <w:tc>
          <w:tcPr>
            <w:tcW w:w="988" w:type="dxa"/>
          </w:tcPr>
          <w:p w:rsidR="00972BB9" w:rsidRPr="008A2F12" w:rsidRDefault="00972BB9" w:rsidP="008A2F12">
            <w:pPr>
              <w:spacing w:line="360" w:lineRule="auto"/>
            </w:pPr>
            <w:r w:rsidRPr="008A2F12">
              <w:t>2001</w:t>
            </w:r>
          </w:p>
        </w:tc>
        <w:tc>
          <w:tcPr>
            <w:tcW w:w="988" w:type="dxa"/>
          </w:tcPr>
          <w:p w:rsidR="00972BB9" w:rsidRPr="008A2F12" w:rsidRDefault="00972BB9" w:rsidP="008A2F12">
            <w:pPr>
              <w:spacing w:line="360" w:lineRule="auto"/>
            </w:pPr>
            <w:r w:rsidRPr="008A2F12">
              <w:t>2002</w:t>
            </w:r>
          </w:p>
        </w:tc>
        <w:tc>
          <w:tcPr>
            <w:tcW w:w="988" w:type="dxa"/>
          </w:tcPr>
          <w:p w:rsidR="00972BB9" w:rsidRPr="008A2F12" w:rsidRDefault="00972BB9" w:rsidP="008A2F12">
            <w:pPr>
              <w:spacing w:line="360" w:lineRule="auto"/>
            </w:pPr>
            <w:r w:rsidRPr="008A2F12">
              <w:t>2003</w:t>
            </w:r>
          </w:p>
        </w:tc>
        <w:tc>
          <w:tcPr>
            <w:tcW w:w="936" w:type="dxa"/>
          </w:tcPr>
          <w:p w:rsidR="00972BB9" w:rsidRPr="008A2F12" w:rsidRDefault="00972BB9" w:rsidP="008A2F12">
            <w:pPr>
              <w:spacing w:line="360" w:lineRule="auto"/>
            </w:pPr>
            <w:r w:rsidRPr="008A2F12">
              <w:t>2004</w:t>
            </w:r>
          </w:p>
        </w:tc>
        <w:tc>
          <w:tcPr>
            <w:tcW w:w="1017" w:type="dxa"/>
          </w:tcPr>
          <w:p w:rsidR="00972BB9" w:rsidRPr="008A2F12" w:rsidRDefault="00972BB9" w:rsidP="008A2F12">
            <w:pPr>
              <w:spacing w:line="360" w:lineRule="auto"/>
            </w:pPr>
            <w:r w:rsidRPr="008A2F12">
              <w:t>average</w:t>
            </w:r>
          </w:p>
        </w:tc>
      </w:tr>
      <w:tr w:rsidR="00972BB9" w:rsidRPr="008A2F12" w:rsidTr="00972BB9">
        <w:tc>
          <w:tcPr>
            <w:tcW w:w="1078" w:type="dxa"/>
          </w:tcPr>
          <w:p w:rsidR="00972BB9" w:rsidRPr="008A2F12" w:rsidRDefault="00972BB9" w:rsidP="008A2F12">
            <w:pPr>
              <w:spacing w:line="360" w:lineRule="auto"/>
            </w:pPr>
            <w:r w:rsidRPr="008A2F12">
              <w:t>Jan</w:t>
            </w:r>
            <w:r w:rsidR="002C310D" w:rsidRPr="008A2F12">
              <w:t>.</w:t>
            </w:r>
          </w:p>
        </w:tc>
        <w:tc>
          <w:tcPr>
            <w:tcW w:w="987" w:type="dxa"/>
          </w:tcPr>
          <w:p w:rsidR="00972BB9" w:rsidRPr="008A2F12" w:rsidRDefault="00972BB9" w:rsidP="008A2F12">
            <w:pPr>
              <w:spacing w:line="360" w:lineRule="auto"/>
            </w:pPr>
            <w:r w:rsidRPr="008A2F12">
              <w:t>79</w:t>
            </w:r>
          </w:p>
        </w:tc>
        <w:tc>
          <w:tcPr>
            <w:tcW w:w="988" w:type="dxa"/>
          </w:tcPr>
          <w:p w:rsidR="00972BB9" w:rsidRPr="008A2F12" w:rsidRDefault="00972BB9" w:rsidP="008A2F12">
            <w:pPr>
              <w:spacing w:line="360" w:lineRule="auto"/>
            </w:pPr>
            <w:r w:rsidRPr="008A2F12">
              <w:t>99</w:t>
            </w:r>
          </w:p>
        </w:tc>
        <w:tc>
          <w:tcPr>
            <w:tcW w:w="988" w:type="dxa"/>
          </w:tcPr>
          <w:p w:rsidR="00972BB9" w:rsidRPr="008A2F12" w:rsidRDefault="00972BB9" w:rsidP="008A2F12">
            <w:pPr>
              <w:spacing w:line="360" w:lineRule="auto"/>
            </w:pPr>
            <w:r w:rsidRPr="008A2F12">
              <w:t>217</w:t>
            </w:r>
          </w:p>
        </w:tc>
        <w:tc>
          <w:tcPr>
            <w:tcW w:w="988" w:type="dxa"/>
          </w:tcPr>
          <w:p w:rsidR="00972BB9" w:rsidRPr="008A2F12" w:rsidRDefault="00972BB9" w:rsidP="008A2F12">
            <w:pPr>
              <w:spacing w:line="360" w:lineRule="auto"/>
            </w:pPr>
            <w:r w:rsidRPr="008A2F12">
              <w:t>326</w:t>
            </w:r>
          </w:p>
        </w:tc>
        <w:tc>
          <w:tcPr>
            <w:tcW w:w="988" w:type="dxa"/>
          </w:tcPr>
          <w:p w:rsidR="00972BB9" w:rsidRPr="008A2F12" w:rsidRDefault="00972BB9" w:rsidP="008A2F12">
            <w:pPr>
              <w:spacing w:line="360" w:lineRule="auto"/>
            </w:pPr>
            <w:r w:rsidRPr="008A2F12">
              <w:t>122</w:t>
            </w:r>
          </w:p>
        </w:tc>
        <w:tc>
          <w:tcPr>
            <w:tcW w:w="988" w:type="dxa"/>
          </w:tcPr>
          <w:p w:rsidR="00972BB9" w:rsidRPr="008A2F12" w:rsidRDefault="00972BB9" w:rsidP="008A2F12">
            <w:pPr>
              <w:spacing w:line="360" w:lineRule="auto"/>
            </w:pPr>
            <w:r w:rsidRPr="008A2F12">
              <w:t>96</w:t>
            </w:r>
          </w:p>
        </w:tc>
        <w:tc>
          <w:tcPr>
            <w:tcW w:w="936" w:type="dxa"/>
          </w:tcPr>
          <w:p w:rsidR="00972BB9" w:rsidRPr="008A2F12" w:rsidRDefault="00B41A31" w:rsidP="008A2F12">
            <w:pPr>
              <w:spacing w:line="360" w:lineRule="auto"/>
            </w:pPr>
            <w:r w:rsidRPr="008A2F12">
              <w:t>116</w:t>
            </w:r>
          </w:p>
        </w:tc>
        <w:tc>
          <w:tcPr>
            <w:tcW w:w="1017" w:type="dxa"/>
          </w:tcPr>
          <w:p w:rsidR="00972BB9" w:rsidRPr="008A2F12" w:rsidRDefault="00B41A31" w:rsidP="008A2F12">
            <w:pPr>
              <w:spacing w:line="360" w:lineRule="auto"/>
            </w:pPr>
            <w:r w:rsidRPr="008A2F12">
              <w:t>151</w:t>
            </w:r>
          </w:p>
        </w:tc>
      </w:tr>
      <w:tr w:rsidR="00972BB9" w:rsidRPr="008A2F12" w:rsidTr="00972BB9">
        <w:tc>
          <w:tcPr>
            <w:tcW w:w="1078" w:type="dxa"/>
          </w:tcPr>
          <w:p w:rsidR="00972BB9" w:rsidRPr="008A2F12" w:rsidRDefault="00972BB9" w:rsidP="008A2F12">
            <w:pPr>
              <w:spacing w:line="360" w:lineRule="auto"/>
            </w:pPr>
            <w:r w:rsidRPr="008A2F12">
              <w:t>Feb</w:t>
            </w:r>
            <w:r w:rsidR="002C310D" w:rsidRPr="008A2F12">
              <w:t>.</w:t>
            </w:r>
          </w:p>
        </w:tc>
        <w:tc>
          <w:tcPr>
            <w:tcW w:w="987" w:type="dxa"/>
          </w:tcPr>
          <w:p w:rsidR="00972BB9" w:rsidRPr="008A2F12" w:rsidRDefault="00972BB9" w:rsidP="008A2F12">
            <w:pPr>
              <w:spacing w:line="360" w:lineRule="auto"/>
            </w:pPr>
            <w:r w:rsidRPr="008A2F12">
              <w:t>90</w:t>
            </w:r>
          </w:p>
        </w:tc>
        <w:tc>
          <w:tcPr>
            <w:tcW w:w="988" w:type="dxa"/>
          </w:tcPr>
          <w:p w:rsidR="00972BB9" w:rsidRPr="008A2F12" w:rsidRDefault="00972BB9" w:rsidP="008A2F12">
            <w:pPr>
              <w:spacing w:line="360" w:lineRule="auto"/>
            </w:pPr>
            <w:r w:rsidRPr="008A2F12">
              <w:t>92</w:t>
            </w:r>
          </w:p>
        </w:tc>
        <w:tc>
          <w:tcPr>
            <w:tcW w:w="988" w:type="dxa"/>
          </w:tcPr>
          <w:p w:rsidR="00972BB9" w:rsidRPr="008A2F12" w:rsidRDefault="00972BB9" w:rsidP="008A2F12">
            <w:pPr>
              <w:spacing w:line="360" w:lineRule="auto"/>
            </w:pPr>
            <w:r w:rsidRPr="008A2F12">
              <w:t>286</w:t>
            </w:r>
          </w:p>
        </w:tc>
        <w:tc>
          <w:tcPr>
            <w:tcW w:w="988" w:type="dxa"/>
          </w:tcPr>
          <w:p w:rsidR="00972BB9" w:rsidRPr="008A2F12" w:rsidRDefault="00972BB9" w:rsidP="008A2F12">
            <w:pPr>
              <w:spacing w:line="360" w:lineRule="auto"/>
            </w:pPr>
            <w:r w:rsidRPr="008A2F12">
              <w:t>168</w:t>
            </w:r>
          </w:p>
        </w:tc>
        <w:tc>
          <w:tcPr>
            <w:tcW w:w="988" w:type="dxa"/>
          </w:tcPr>
          <w:p w:rsidR="00972BB9" w:rsidRPr="008A2F12" w:rsidRDefault="00972BB9" w:rsidP="008A2F12">
            <w:pPr>
              <w:spacing w:line="360" w:lineRule="auto"/>
            </w:pPr>
            <w:r w:rsidRPr="008A2F12">
              <w:t>155</w:t>
            </w:r>
          </w:p>
        </w:tc>
        <w:tc>
          <w:tcPr>
            <w:tcW w:w="988" w:type="dxa"/>
          </w:tcPr>
          <w:p w:rsidR="00972BB9" w:rsidRPr="008A2F12" w:rsidRDefault="00972BB9" w:rsidP="008A2F12">
            <w:pPr>
              <w:spacing w:line="360" w:lineRule="auto"/>
            </w:pPr>
            <w:r w:rsidRPr="008A2F12">
              <w:t>109</w:t>
            </w:r>
          </w:p>
        </w:tc>
        <w:tc>
          <w:tcPr>
            <w:tcW w:w="936" w:type="dxa"/>
          </w:tcPr>
          <w:p w:rsidR="00972BB9" w:rsidRPr="008A2F12" w:rsidRDefault="00B41A31" w:rsidP="008A2F12">
            <w:pPr>
              <w:spacing w:line="360" w:lineRule="auto"/>
            </w:pPr>
            <w:r w:rsidRPr="008A2F12">
              <w:t>33</w:t>
            </w:r>
          </w:p>
        </w:tc>
        <w:tc>
          <w:tcPr>
            <w:tcW w:w="1017" w:type="dxa"/>
          </w:tcPr>
          <w:p w:rsidR="00972BB9" w:rsidRPr="008A2F12" w:rsidRDefault="00B41A31" w:rsidP="008A2F12">
            <w:pPr>
              <w:spacing w:line="360" w:lineRule="auto"/>
            </w:pPr>
            <w:r w:rsidRPr="008A2F12">
              <w:t>133</w:t>
            </w:r>
          </w:p>
        </w:tc>
      </w:tr>
      <w:tr w:rsidR="00972BB9" w:rsidRPr="008A2F12" w:rsidTr="00972BB9">
        <w:tc>
          <w:tcPr>
            <w:tcW w:w="1078" w:type="dxa"/>
          </w:tcPr>
          <w:p w:rsidR="00972BB9" w:rsidRPr="008A2F12" w:rsidRDefault="00972BB9" w:rsidP="008A2F12">
            <w:pPr>
              <w:spacing w:line="360" w:lineRule="auto"/>
            </w:pPr>
            <w:r w:rsidRPr="008A2F12">
              <w:t>Mar</w:t>
            </w:r>
            <w:r w:rsidR="002C310D" w:rsidRPr="008A2F12">
              <w:t>.</w:t>
            </w:r>
          </w:p>
        </w:tc>
        <w:tc>
          <w:tcPr>
            <w:tcW w:w="987" w:type="dxa"/>
          </w:tcPr>
          <w:p w:rsidR="00972BB9" w:rsidRPr="008A2F12" w:rsidRDefault="00972BB9" w:rsidP="008A2F12">
            <w:pPr>
              <w:spacing w:line="360" w:lineRule="auto"/>
            </w:pPr>
            <w:r w:rsidRPr="008A2F12">
              <w:t>78</w:t>
            </w:r>
          </w:p>
        </w:tc>
        <w:tc>
          <w:tcPr>
            <w:tcW w:w="988" w:type="dxa"/>
          </w:tcPr>
          <w:p w:rsidR="00972BB9" w:rsidRPr="008A2F12" w:rsidRDefault="00C54ABE" w:rsidP="008A2F12">
            <w:pPr>
              <w:spacing w:line="360" w:lineRule="auto"/>
            </w:pPr>
            <w:r w:rsidRPr="008A2F12">
              <w:t>69</w:t>
            </w:r>
          </w:p>
        </w:tc>
        <w:tc>
          <w:tcPr>
            <w:tcW w:w="988" w:type="dxa"/>
          </w:tcPr>
          <w:p w:rsidR="00972BB9" w:rsidRPr="008A2F12" w:rsidRDefault="00972BB9" w:rsidP="008A2F12">
            <w:pPr>
              <w:spacing w:line="360" w:lineRule="auto"/>
            </w:pPr>
            <w:r w:rsidRPr="008A2F12">
              <w:t>220</w:t>
            </w:r>
          </w:p>
        </w:tc>
        <w:tc>
          <w:tcPr>
            <w:tcW w:w="988" w:type="dxa"/>
          </w:tcPr>
          <w:p w:rsidR="00972BB9" w:rsidRPr="008A2F12" w:rsidRDefault="00972BB9" w:rsidP="008A2F12">
            <w:pPr>
              <w:spacing w:line="360" w:lineRule="auto"/>
            </w:pPr>
            <w:r w:rsidRPr="008A2F12">
              <w:t>149</w:t>
            </w:r>
          </w:p>
        </w:tc>
        <w:tc>
          <w:tcPr>
            <w:tcW w:w="988" w:type="dxa"/>
          </w:tcPr>
          <w:p w:rsidR="00972BB9" w:rsidRPr="008A2F12" w:rsidRDefault="00972BB9" w:rsidP="008A2F12">
            <w:pPr>
              <w:spacing w:line="360" w:lineRule="auto"/>
            </w:pPr>
            <w:r w:rsidRPr="008A2F12">
              <w:t>150</w:t>
            </w:r>
          </w:p>
        </w:tc>
        <w:tc>
          <w:tcPr>
            <w:tcW w:w="988" w:type="dxa"/>
          </w:tcPr>
          <w:p w:rsidR="00972BB9" w:rsidRPr="008A2F12" w:rsidRDefault="00972BB9" w:rsidP="008A2F12">
            <w:pPr>
              <w:spacing w:line="360" w:lineRule="auto"/>
            </w:pPr>
            <w:r w:rsidRPr="008A2F12">
              <w:t>108</w:t>
            </w:r>
          </w:p>
        </w:tc>
        <w:tc>
          <w:tcPr>
            <w:tcW w:w="936" w:type="dxa"/>
          </w:tcPr>
          <w:p w:rsidR="00972BB9" w:rsidRPr="008A2F12" w:rsidRDefault="00B41A31" w:rsidP="008A2F12">
            <w:pPr>
              <w:spacing w:line="360" w:lineRule="auto"/>
            </w:pPr>
            <w:r w:rsidRPr="008A2F12">
              <w:t>62</w:t>
            </w:r>
          </w:p>
        </w:tc>
        <w:tc>
          <w:tcPr>
            <w:tcW w:w="1017" w:type="dxa"/>
          </w:tcPr>
          <w:p w:rsidR="00972BB9" w:rsidRPr="008A2F12" w:rsidRDefault="00B41A31" w:rsidP="008A2F12">
            <w:pPr>
              <w:spacing w:line="360" w:lineRule="auto"/>
            </w:pPr>
            <w:r w:rsidRPr="008A2F12">
              <w:t>11</w:t>
            </w:r>
            <w:r w:rsidR="00C54ABE" w:rsidRPr="008A2F12">
              <w:t>9</w:t>
            </w:r>
          </w:p>
        </w:tc>
      </w:tr>
      <w:tr w:rsidR="00972BB9" w:rsidRPr="008A2F12" w:rsidTr="00972BB9">
        <w:tc>
          <w:tcPr>
            <w:tcW w:w="1078" w:type="dxa"/>
          </w:tcPr>
          <w:p w:rsidR="00972BB9" w:rsidRPr="008A2F12" w:rsidRDefault="00972BB9" w:rsidP="008A2F12">
            <w:pPr>
              <w:spacing w:line="360" w:lineRule="auto"/>
            </w:pPr>
            <w:r w:rsidRPr="008A2F12">
              <w:t>Nov</w:t>
            </w:r>
            <w:r w:rsidR="002C310D" w:rsidRPr="008A2F12">
              <w:t>.</w:t>
            </w:r>
          </w:p>
        </w:tc>
        <w:tc>
          <w:tcPr>
            <w:tcW w:w="987" w:type="dxa"/>
          </w:tcPr>
          <w:p w:rsidR="00972BB9" w:rsidRPr="008A2F12" w:rsidRDefault="00972BB9" w:rsidP="008A2F12">
            <w:pPr>
              <w:spacing w:line="360" w:lineRule="auto"/>
            </w:pPr>
            <w:r w:rsidRPr="008A2F12">
              <w:t>31</w:t>
            </w:r>
          </w:p>
        </w:tc>
        <w:tc>
          <w:tcPr>
            <w:tcW w:w="988" w:type="dxa"/>
          </w:tcPr>
          <w:p w:rsidR="00972BB9" w:rsidRPr="008A2F12" w:rsidRDefault="00972BB9" w:rsidP="008A2F12">
            <w:pPr>
              <w:spacing w:line="360" w:lineRule="auto"/>
            </w:pPr>
            <w:r w:rsidRPr="008A2F12">
              <w:t>58</w:t>
            </w:r>
          </w:p>
        </w:tc>
        <w:tc>
          <w:tcPr>
            <w:tcW w:w="988" w:type="dxa"/>
          </w:tcPr>
          <w:p w:rsidR="00972BB9" w:rsidRPr="008A2F12" w:rsidRDefault="00972BB9" w:rsidP="008A2F12">
            <w:pPr>
              <w:spacing w:line="360" w:lineRule="auto"/>
            </w:pPr>
            <w:r w:rsidRPr="008A2F12">
              <w:t>106</w:t>
            </w:r>
          </w:p>
        </w:tc>
        <w:tc>
          <w:tcPr>
            <w:tcW w:w="988" w:type="dxa"/>
          </w:tcPr>
          <w:p w:rsidR="00972BB9" w:rsidRPr="008A2F12" w:rsidRDefault="00972BB9" w:rsidP="008A2F12">
            <w:pPr>
              <w:spacing w:line="360" w:lineRule="auto"/>
            </w:pPr>
            <w:r w:rsidRPr="008A2F12">
              <w:t>102</w:t>
            </w:r>
          </w:p>
        </w:tc>
        <w:tc>
          <w:tcPr>
            <w:tcW w:w="988" w:type="dxa"/>
          </w:tcPr>
          <w:p w:rsidR="00972BB9" w:rsidRPr="008A2F12" w:rsidRDefault="00972BB9" w:rsidP="008A2F12">
            <w:pPr>
              <w:spacing w:line="360" w:lineRule="auto"/>
            </w:pPr>
            <w:r w:rsidRPr="008A2F12">
              <w:t>26</w:t>
            </w:r>
          </w:p>
        </w:tc>
        <w:tc>
          <w:tcPr>
            <w:tcW w:w="988" w:type="dxa"/>
          </w:tcPr>
          <w:p w:rsidR="00972BB9" w:rsidRPr="008A2F12" w:rsidRDefault="00972BB9" w:rsidP="008A2F12">
            <w:pPr>
              <w:spacing w:line="360" w:lineRule="auto"/>
            </w:pPr>
            <w:r w:rsidRPr="008A2F12">
              <w:t>8</w:t>
            </w:r>
          </w:p>
        </w:tc>
        <w:tc>
          <w:tcPr>
            <w:tcW w:w="936" w:type="dxa"/>
          </w:tcPr>
          <w:p w:rsidR="00972BB9" w:rsidRPr="008A2F12" w:rsidRDefault="00B41A31" w:rsidP="008A2F12">
            <w:pPr>
              <w:spacing w:line="360" w:lineRule="auto"/>
            </w:pPr>
            <w:r w:rsidRPr="008A2F12">
              <w:t>12</w:t>
            </w:r>
          </w:p>
        </w:tc>
        <w:tc>
          <w:tcPr>
            <w:tcW w:w="1017" w:type="dxa"/>
          </w:tcPr>
          <w:p w:rsidR="00972BB9" w:rsidRPr="008A2F12" w:rsidRDefault="00B41A31" w:rsidP="008A2F12">
            <w:pPr>
              <w:spacing w:line="360" w:lineRule="auto"/>
            </w:pPr>
            <w:r w:rsidRPr="008A2F12">
              <w:t>49</w:t>
            </w:r>
          </w:p>
        </w:tc>
      </w:tr>
      <w:tr w:rsidR="00972BB9" w:rsidRPr="008A2F12" w:rsidTr="00972BB9">
        <w:tc>
          <w:tcPr>
            <w:tcW w:w="1078" w:type="dxa"/>
          </w:tcPr>
          <w:p w:rsidR="00972BB9" w:rsidRPr="008A2F12" w:rsidRDefault="00972BB9" w:rsidP="008A2F12">
            <w:pPr>
              <w:spacing w:line="360" w:lineRule="auto"/>
            </w:pPr>
            <w:r w:rsidRPr="008A2F12">
              <w:t>Dec</w:t>
            </w:r>
            <w:r w:rsidR="002C310D" w:rsidRPr="008A2F12">
              <w:t>.</w:t>
            </w:r>
          </w:p>
        </w:tc>
        <w:tc>
          <w:tcPr>
            <w:tcW w:w="987" w:type="dxa"/>
          </w:tcPr>
          <w:p w:rsidR="00972BB9" w:rsidRPr="008A2F12" w:rsidRDefault="00972BB9" w:rsidP="008A2F12">
            <w:pPr>
              <w:spacing w:line="360" w:lineRule="auto"/>
            </w:pPr>
            <w:r w:rsidRPr="008A2F12">
              <w:t>64</w:t>
            </w:r>
          </w:p>
        </w:tc>
        <w:tc>
          <w:tcPr>
            <w:tcW w:w="988" w:type="dxa"/>
          </w:tcPr>
          <w:p w:rsidR="00972BB9" w:rsidRPr="008A2F12" w:rsidRDefault="00972BB9" w:rsidP="008A2F12">
            <w:pPr>
              <w:spacing w:line="360" w:lineRule="auto"/>
            </w:pPr>
            <w:r w:rsidRPr="008A2F12">
              <w:t>63</w:t>
            </w:r>
          </w:p>
        </w:tc>
        <w:tc>
          <w:tcPr>
            <w:tcW w:w="988" w:type="dxa"/>
          </w:tcPr>
          <w:p w:rsidR="00972BB9" w:rsidRPr="008A2F12" w:rsidRDefault="00972BB9" w:rsidP="008A2F12">
            <w:pPr>
              <w:spacing w:line="360" w:lineRule="auto"/>
            </w:pPr>
            <w:r w:rsidRPr="008A2F12">
              <w:t>163</w:t>
            </w:r>
          </w:p>
        </w:tc>
        <w:tc>
          <w:tcPr>
            <w:tcW w:w="988" w:type="dxa"/>
          </w:tcPr>
          <w:p w:rsidR="00972BB9" w:rsidRPr="008A2F12" w:rsidRDefault="00972BB9" w:rsidP="008A2F12">
            <w:pPr>
              <w:spacing w:line="360" w:lineRule="auto"/>
            </w:pPr>
            <w:r w:rsidRPr="008A2F12">
              <w:t>76</w:t>
            </w:r>
          </w:p>
        </w:tc>
        <w:tc>
          <w:tcPr>
            <w:tcW w:w="988" w:type="dxa"/>
          </w:tcPr>
          <w:p w:rsidR="00972BB9" w:rsidRPr="008A2F12" w:rsidRDefault="00972BB9" w:rsidP="008A2F12">
            <w:pPr>
              <w:spacing w:line="360" w:lineRule="auto"/>
            </w:pPr>
            <w:r w:rsidRPr="008A2F12">
              <w:t>73</w:t>
            </w:r>
          </w:p>
        </w:tc>
        <w:tc>
          <w:tcPr>
            <w:tcW w:w="988" w:type="dxa"/>
          </w:tcPr>
          <w:p w:rsidR="00972BB9" w:rsidRPr="008A2F12" w:rsidRDefault="00972BB9" w:rsidP="008A2F12">
            <w:pPr>
              <w:spacing w:line="360" w:lineRule="auto"/>
            </w:pPr>
            <w:r w:rsidRPr="008A2F12">
              <w:t>65</w:t>
            </w:r>
          </w:p>
        </w:tc>
        <w:tc>
          <w:tcPr>
            <w:tcW w:w="936" w:type="dxa"/>
          </w:tcPr>
          <w:p w:rsidR="00972BB9" w:rsidRPr="008A2F12" w:rsidRDefault="00B41A31" w:rsidP="008A2F12">
            <w:pPr>
              <w:spacing w:line="360" w:lineRule="auto"/>
            </w:pPr>
            <w:r w:rsidRPr="008A2F12">
              <w:t>83</w:t>
            </w:r>
          </w:p>
        </w:tc>
        <w:tc>
          <w:tcPr>
            <w:tcW w:w="1017" w:type="dxa"/>
          </w:tcPr>
          <w:p w:rsidR="00972BB9" w:rsidRPr="008A2F12" w:rsidRDefault="00B41A31" w:rsidP="008A2F12">
            <w:pPr>
              <w:spacing w:line="360" w:lineRule="auto"/>
            </w:pPr>
            <w:r w:rsidRPr="008A2F12">
              <w:t>84</w:t>
            </w:r>
          </w:p>
        </w:tc>
      </w:tr>
    </w:tbl>
    <w:p w:rsidR="00891B53" w:rsidRPr="008A2F12" w:rsidRDefault="00441F85" w:rsidP="008A2F12">
      <w:pPr>
        <w:spacing w:line="360" w:lineRule="auto"/>
        <w:ind w:left="1440"/>
      </w:pPr>
      <w:r w:rsidRPr="008A2F12">
        <w:t>PGW Exhibit</w:t>
      </w:r>
      <w:r w:rsidR="00F42CB9" w:rsidRPr="008A2F12">
        <w:t xml:space="preserve"> </w:t>
      </w:r>
      <w:r w:rsidR="006F2176" w:rsidRPr="008A2F12">
        <w:t>3</w:t>
      </w:r>
      <w:r w:rsidR="00AA5F9A" w:rsidRPr="008A2F12">
        <w:t>.</w:t>
      </w:r>
    </w:p>
    <w:p w:rsidR="00891B53" w:rsidRPr="008A2F12" w:rsidRDefault="00891B53" w:rsidP="008A2F12">
      <w:pPr>
        <w:pStyle w:val="ListParagraph"/>
      </w:pPr>
    </w:p>
    <w:p w:rsidR="00CD6D25" w:rsidRPr="008A2F12" w:rsidRDefault="00CD6D25" w:rsidP="008A2F12">
      <w:pPr>
        <w:jc w:val="center"/>
        <w:rPr>
          <w:u w:val="single"/>
        </w:rPr>
      </w:pPr>
      <w:r w:rsidRPr="008A2F12">
        <w:rPr>
          <w:u w:val="single"/>
        </w:rPr>
        <w:t>DISCUSSION</w:t>
      </w:r>
    </w:p>
    <w:p w:rsidR="00CD6D25" w:rsidRPr="008A2F12" w:rsidRDefault="00CD6D25" w:rsidP="00576219">
      <w:pPr>
        <w:spacing w:line="360" w:lineRule="auto"/>
        <w:ind w:firstLine="1440"/>
      </w:pPr>
    </w:p>
    <w:p w:rsidR="008463A8" w:rsidRPr="008A2F12" w:rsidRDefault="008463A8" w:rsidP="008A2F12">
      <w:pPr>
        <w:numPr>
          <w:ilvl w:val="0"/>
          <w:numId w:val="4"/>
        </w:numPr>
        <w:spacing w:line="360" w:lineRule="auto"/>
        <w:rPr>
          <w:u w:val="single"/>
        </w:rPr>
      </w:pPr>
      <w:r w:rsidRPr="008A2F12">
        <w:rPr>
          <w:u w:val="single"/>
        </w:rPr>
        <w:t xml:space="preserve">Applicable Legal Standard </w:t>
      </w:r>
    </w:p>
    <w:p w:rsidR="003D212D" w:rsidRPr="008A2F12" w:rsidRDefault="003D212D" w:rsidP="008A2F12">
      <w:pPr>
        <w:spacing w:line="360" w:lineRule="auto"/>
        <w:ind w:firstLine="1440"/>
      </w:pPr>
    </w:p>
    <w:p w:rsidR="003D212D" w:rsidRPr="008A2F12" w:rsidRDefault="008463A8" w:rsidP="008A2F12">
      <w:pPr>
        <w:spacing w:line="360" w:lineRule="auto"/>
        <w:ind w:firstLine="1440"/>
      </w:pPr>
      <w:r w:rsidRPr="008A2F12">
        <w:t>As the proponent of a rule or order</w:t>
      </w:r>
      <w:r w:rsidR="003D212D" w:rsidRPr="008A2F12">
        <w:t xml:space="preserve"> or seeking affirmative relief from the Commission</w:t>
      </w:r>
      <w:r w:rsidRPr="008A2F12">
        <w:t>, the Complainant in this proceeding bears the burd</w:t>
      </w:r>
      <w:r w:rsidR="00EB53C0" w:rsidRPr="008A2F12">
        <w:t>en of proof pursuant to Section </w:t>
      </w:r>
      <w:r w:rsidRPr="008A2F12">
        <w:t xml:space="preserve">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8A2F12">
        <w:rPr>
          <w:i/>
          <w:iCs/>
        </w:rPr>
        <w:t>Patterson v. Bell Telephone Company of Pennsylvania</w:t>
      </w:r>
      <w:r w:rsidRPr="008A2F12">
        <w:t>, 72 Pa. PUC 196 (1990)</w:t>
      </w:r>
      <w:r w:rsidR="004642A1" w:rsidRPr="008A2F12">
        <w:t>;</w:t>
      </w:r>
      <w:r w:rsidR="004642A1" w:rsidRPr="008A2F12">
        <w:rPr>
          <w:i/>
        </w:rPr>
        <w:t xml:space="preserve"> Feinstein v. Phila. Suburban Water Co.,</w:t>
      </w:r>
      <w:r w:rsidR="004642A1" w:rsidRPr="008A2F12">
        <w:t xml:space="preserve"> 50 Pa. PUC 300 (1976).</w:t>
      </w:r>
      <w:r w:rsidRPr="008A2F12">
        <w:t xml:space="preserve">  </w:t>
      </w:r>
    </w:p>
    <w:p w:rsidR="003D212D" w:rsidRPr="008A2F12" w:rsidRDefault="003D212D" w:rsidP="008A2F12">
      <w:pPr>
        <w:spacing w:line="360" w:lineRule="auto"/>
        <w:ind w:firstLine="1440"/>
      </w:pPr>
    </w:p>
    <w:p w:rsidR="003D212D" w:rsidRPr="008A2F12" w:rsidRDefault="003D212D" w:rsidP="008A2F12">
      <w:pPr>
        <w:spacing w:line="360" w:lineRule="auto"/>
        <w:ind w:firstLine="1440"/>
      </w:pPr>
      <w:r w:rsidRPr="008A2F12">
        <w:t xml:space="preserve">A preponderance of the evidence is that which is more convincing, by even the smallest amount, than that presented by the other party.  </w:t>
      </w:r>
      <w:r w:rsidRPr="008A2F12">
        <w:rPr>
          <w:i/>
        </w:rPr>
        <w:t xml:space="preserve">Se-Ling Hosiery v. Margulies, </w:t>
      </w:r>
      <w:r w:rsidRPr="008A2F12">
        <w:t xml:space="preserve">364 Pa. 45, 70 A.2d 854 (1950); </w:t>
      </w:r>
      <w:r w:rsidRPr="008A2F12">
        <w:rPr>
          <w:i/>
          <w:iCs/>
        </w:rPr>
        <w:t>Samuel J. Lansberry, Inc. v. Pa. Pub. Util. Comm’n,</w:t>
      </w:r>
      <w:r w:rsidRPr="008A2F12">
        <w:t xml:space="preserve"> 578 A.2d 600 (Pa.Cmwlth. 1990) </w:t>
      </w:r>
      <w:r w:rsidRPr="008A2F12">
        <w:rPr>
          <w:i/>
          <w:iCs/>
        </w:rPr>
        <w:t>alloc. den.</w:t>
      </w:r>
      <w:r w:rsidRPr="008A2F12">
        <w:t xml:space="preserve">, 529 Pa. 654, 602 A.2d 863 (1992).  </w:t>
      </w:r>
    </w:p>
    <w:p w:rsidR="003D212D" w:rsidRPr="008A2F12" w:rsidRDefault="003D212D" w:rsidP="008A2F12">
      <w:pPr>
        <w:spacing w:line="360" w:lineRule="auto"/>
        <w:ind w:firstLine="1440"/>
      </w:pPr>
    </w:p>
    <w:p w:rsidR="008463A8" w:rsidRDefault="008463A8" w:rsidP="008A2F12">
      <w:pPr>
        <w:spacing w:line="360" w:lineRule="auto"/>
        <w:ind w:firstLine="1440"/>
      </w:pPr>
      <w:r w:rsidRPr="008A2F12">
        <w:t xml:space="preserve">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8A2F12">
        <w:rPr>
          <w:i/>
          <w:iCs/>
        </w:rPr>
        <w:t xml:space="preserve">Norfolk and Western Railway Co. v. Pa. Pub. </w:t>
      </w:r>
      <w:proofErr w:type="gramStart"/>
      <w:r w:rsidRPr="008A2F12">
        <w:rPr>
          <w:i/>
          <w:iCs/>
        </w:rPr>
        <w:t>Util. Comm’n</w:t>
      </w:r>
      <w:r w:rsidRPr="008A2F12">
        <w:t>, 489 Pa. 109, 413 A.2d 1037 (1980).</w:t>
      </w:r>
      <w:proofErr w:type="gramEnd"/>
    </w:p>
    <w:p w:rsidR="00724C9C" w:rsidRPr="008A2F12" w:rsidRDefault="008463A8" w:rsidP="008A2F12">
      <w:pPr>
        <w:spacing w:line="360" w:lineRule="auto"/>
        <w:ind w:firstLine="1440"/>
      </w:pPr>
      <w:r w:rsidRPr="008A2F12">
        <w:lastRenderedPageBreak/>
        <w:t xml:space="preserve">If the Complainant presents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8A2F12">
        <w:rPr>
          <w:i/>
          <w:iCs/>
        </w:rPr>
        <w:t>Burleson v. Pa. Pub. Util. Comm’n</w:t>
      </w:r>
      <w:r w:rsidRPr="008A2F12">
        <w:t xml:space="preserve">, 443 A.2d 1373 (Pa.Cmwlth. 1982), </w:t>
      </w:r>
      <w:r w:rsidRPr="008A2F12">
        <w:rPr>
          <w:i/>
          <w:iCs/>
        </w:rPr>
        <w:t>aff'd</w:t>
      </w:r>
      <w:r w:rsidRPr="008A2F12">
        <w:t xml:space="preserve">, 501 Pa. 433, 461 A.2d 1234 (1983).  </w:t>
      </w:r>
      <w:r w:rsidRPr="008A2F12">
        <w:br/>
      </w:r>
      <w:r w:rsidRPr="008A2F12">
        <w:br/>
      </w:r>
      <w:r w:rsidRPr="008A2F12">
        <w:tab/>
      </w:r>
      <w:r w:rsidRPr="008A2F12">
        <w:tab/>
        <w:t xml:space="preserve">While the </w:t>
      </w:r>
      <w:r w:rsidRPr="008A2F12">
        <w:rPr>
          <w:bCs/>
        </w:rPr>
        <w:t>burden of persuasion</w:t>
      </w:r>
      <w:r w:rsidRPr="008A2F12">
        <w:t xml:space="preserve"> may shift back and forth during a proceeding, the burden of proof never shifts.  The burden of proof always remains on the party seeking affirmative relief from the Commission.  </w:t>
      </w:r>
      <w:r w:rsidRPr="008A2F12">
        <w:rPr>
          <w:i/>
          <w:iCs/>
        </w:rPr>
        <w:t>Milkie v. Pa. Pub. Util. Comm’n</w:t>
      </w:r>
      <w:r w:rsidRPr="008A2F12">
        <w:t>, 768 A.2d 1217 (Pa.Cmwlth. 2001).</w:t>
      </w:r>
    </w:p>
    <w:p w:rsidR="00724C9C" w:rsidRPr="008A2F12" w:rsidRDefault="00724C9C" w:rsidP="008A2F12"/>
    <w:p w:rsidR="001C73C9" w:rsidRPr="008A2F12" w:rsidRDefault="00616764" w:rsidP="008A2F12">
      <w:pPr>
        <w:pStyle w:val="ListParagraph"/>
        <w:numPr>
          <w:ilvl w:val="0"/>
          <w:numId w:val="4"/>
        </w:numPr>
        <w:spacing w:line="360" w:lineRule="auto"/>
        <w:rPr>
          <w:u w:val="single"/>
        </w:rPr>
      </w:pPr>
      <w:r w:rsidRPr="008A2F12">
        <w:rPr>
          <w:u w:val="single"/>
        </w:rPr>
        <w:t xml:space="preserve">Whether </w:t>
      </w:r>
      <w:r w:rsidR="000E2036" w:rsidRPr="008A2F12">
        <w:rPr>
          <w:u w:val="single"/>
        </w:rPr>
        <w:t>Charges Assess</w:t>
      </w:r>
      <w:r w:rsidRPr="008A2F12">
        <w:rPr>
          <w:u w:val="single"/>
        </w:rPr>
        <w:t>ed</w:t>
      </w:r>
      <w:r w:rsidR="000E2036" w:rsidRPr="008A2F12">
        <w:rPr>
          <w:u w:val="single"/>
        </w:rPr>
        <w:t xml:space="preserve"> to Complainant</w:t>
      </w:r>
      <w:r w:rsidRPr="008A2F12">
        <w:rPr>
          <w:u w:val="single"/>
        </w:rPr>
        <w:t xml:space="preserve"> Were Incorrect</w:t>
      </w:r>
    </w:p>
    <w:p w:rsidR="004E05B4" w:rsidRPr="008A2F12" w:rsidRDefault="004E05B4" w:rsidP="008A2F12">
      <w:pPr>
        <w:spacing w:line="360" w:lineRule="auto"/>
        <w:ind w:left="720"/>
        <w:rPr>
          <w:u w:val="single"/>
        </w:rPr>
      </w:pPr>
    </w:p>
    <w:p w:rsidR="000E2036" w:rsidRPr="008A2F12" w:rsidRDefault="004E05B4" w:rsidP="008A2F12">
      <w:pPr>
        <w:pStyle w:val="ListParagraph"/>
        <w:numPr>
          <w:ilvl w:val="3"/>
          <w:numId w:val="3"/>
        </w:numPr>
        <w:spacing w:line="360" w:lineRule="auto"/>
        <w:ind w:left="2160" w:hanging="720"/>
      </w:pPr>
      <w:r w:rsidRPr="008A2F12">
        <w:t>Whether there was a tampered meter at the service address</w:t>
      </w:r>
    </w:p>
    <w:p w:rsidR="004E05B4" w:rsidRPr="008A2F12" w:rsidRDefault="004E05B4" w:rsidP="008A2F12">
      <w:pPr>
        <w:spacing w:line="360" w:lineRule="auto"/>
        <w:ind w:left="1440"/>
      </w:pPr>
    </w:p>
    <w:p w:rsidR="0053105E" w:rsidRPr="008A2F12" w:rsidRDefault="007414A9" w:rsidP="008A2F12">
      <w:pPr>
        <w:spacing w:line="360" w:lineRule="auto"/>
        <w:ind w:firstLine="1440"/>
      </w:pPr>
      <w:r w:rsidRPr="008A2F12">
        <w:t>The Complainant claimed there are incorrect charges on h</w:t>
      </w:r>
      <w:r w:rsidR="000E2036" w:rsidRPr="008A2F12">
        <w:t>is</w:t>
      </w:r>
      <w:r w:rsidRPr="008A2F12">
        <w:t xml:space="preserve"> bill.  </w:t>
      </w:r>
      <w:r w:rsidR="000E2036" w:rsidRPr="008A2F12">
        <w:t>Complainant contested the charges in the amount of $10,675.49, which is the grand total due to restore service.  This amount was calculated for theft of service from January 4, 2005</w:t>
      </w:r>
      <w:r w:rsidR="0053105E" w:rsidRPr="008A2F12">
        <w:t>,</w:t>
      </w:r>
      <w:r w:rsidR="000E2036" w:rsidRPr="008A2F12">
        <w:t xml:space="preserve"> through April 9, 2015. </w:t>
      </w:r>
      <w:r w:rsidR="00A37E51" w:rsidRPr="008A2F12">
        <w:t xml:space="preserve"> </w:t>
      </w:r>
      <w:r w:rsidR="00657E8B" w:rsidRPr="008A2F12">
        <w:t>PGW Exhibit 2</w:t>
      </w:r>
      <w:r w:rsidR="00A37E51" w:rsidRPr="008A2F12">
        <w:t xml:space="preserve">. </w:t>
      </w:r>
      <w:r w:rsidR="000E2036" w:rsidRPr="008A2F12">
        <w:t xml:space="preserve"> </w:t>
      </w:r>
      <w:r w:rsidR="005C047E">
        <w:t>Complainant claimed that he</w:t>
      </w:r>
      <w:r w:rsidR="00C0199E" w:rsidRPr="008A2F12">
        <w:t xml:space="preserve"> did not bypass the meter and does not know how the meter </w:t>
      </w:r>
      <w:r w:rsidR="0053105E" w:rsidRPr="008A2F12">
        <w:t>got bypassed.</w:t>
      </w:r>
      <w:r w:rsidR="00A37E51" w:rsidRPr="008A2F12">
        <w:t xml:space="preserve">  Tr. </w:t>
      </w:r>
      <w:r w:rsidR="00781CBB" w:rsidRPr="008A2F12">
        <w:t>79</w:t>
      </w:r>
      <w:r w:rsidR="00A37E51" w:rsidRPr="008A2F12">
        <w:t>.</w:t>
      </w:r>
      <w:r w:rsidR="00C0199E" w:rsidRPr="008A2F12">
        <w:t xml:space="preserve"> </w:t>
      </w:r>
      <w:r w:rsidR="008F7BEA">
        <w:t xml:space="preserve"> </w:t>
      </w:r>
      <w:r w:rsidR="0053105E" w:rsidRPr="008A2F12">
        <w:t xml:space="preserve">The Complainant does not dispute that he is responsible for </w:t>
      </w:r>
      <w:r w:rsidR="00781CBB" w:rsidRPr="008A2F12">
        <w:t xml:space="preserve">payment of the gas </w:t>
      </w:r>
      <w:r w:rsidR="0053105E" w:rsidRPr="008A2F12">
        <w:t>usage at the service address from January 4, 2005, through April 9, 2015.</w:t>
      </w:r>
      <w:r w:rsidR="00A37E51" w:rsidRPr="008A2F12">
        <w:t xml:space="preserve">  </w:t>
      </w:r>
      <w:r w:rsidR="00781CBB" w:rsidRPr="008A2F12">
        <w:t>FOFs 3, 14</w:t>
      </w:r>
      <w:r w:rsidR="00A37E51" w:rsidRPr="008A2F12">
        <w:t>.</w:t>
      </w:r>
    </w:p>
    <w:p w:rsidR="0053105E" w:rsidRPr="008A2F12" w:rsidRDefault="0053105E" w:rsidP="00510C7A">
      <w:pPr>
        <w:spacing w:line="360" w:lineRule="auto"/>
        <w:ind w:firstLine="1440"/>
      </w:pPr>
    </w:p>
    <w:p w:rsidR="00A37E51" w:rsidRPr="008A2F12" w:rsidRDefault="0053105E" w:rsidP="008A2F12">
      <w:pPr>
        <w:spacing w:line="360" w:lineRule="auto"/>
        <w:ind w:firstLine="1440"/>
      </w:pPr>
      <w:r w:rsidRPr="008A2F12">
        <w:t>The Respondent produced a witness</w:t>
      </w:r>
      <w:r w:rsidR="00A37E51" w:rsidRPr="008A2F12">
        <w:t>, Mr. Simeo,</w:t>
      </w:r>
      <w:r w:rsidRPr="008A2F12">
        <w:t xml:space="preserve"> that found the meter bypassed on April 9, 2015.  The physical meter was brought to the evidentiary hearing and had extra piping and a valve to regulate the amount of gas that would bypass the meter.</w:t>
      </w:r>
      <w:r w:rsidR="00A37E51" w:rsidRPr="008A2F12">
        <w:t xml:space="preserve">  Tr. </w:t>
      </w:r>
      <w:r w:rsidR="00D10153" w:rsidRPr="008A2F12">
        <w:t>168-74, PGW Exhibit 2</w:t>
      </w:r>
      <w:r w:rsidR="00A37E51" w:rsidRPr="008A2F12">
        <w:t>.</w:t>
      </w:r>
      <w:r w:rsidRPr="008A2F12">
        <w:t xml:space="preserve">  </w:t>
      </w:r>
      <w:r w:rsidR="00A37E51" w:rsidRPr="008A2F12">
        <w:t xml:space="preserve">The amount of gas that was measured by the meter had the ability to be manipulated by the valve and piping found on the bypassed meter.  Consequently, the Respondent would detect usage rather than no usage, so the service address was not flagged for zero usage.  </w:t>
      </w:r>
      <w:r w:rsidR="00AE7309" w:rsidRPr="008A2F12">
        <w:t>I find t</w:t>
      </w:r>
      <w:r w:rsidRPr="008A2F12">
        <w:t xml:space="preserve">he physical meter and the testimony of the Respondent’s witness credible.  </w:t>
      </w:r>
    </w:p>
    <w:p w:rsidR="00A37E51" w:rsidRPr="008A2F12" w:rsidRDefault="00A37E51" w:rsidP="008A2F12">
      <w:pPr>
        <w:spacing w:line="360" w:lineRule="auto"/>
        <w:ind w:firstLine="1440"/>
      </w:pPr>
    </w:p>
    <w:p w:rsidR="00995D7C" w:rsidRPr="008A2F12" w:rsidRDefault="00A37E51" w:rsidP="008A2F12">
      <w:pPr>
        <w:spacing w:line="360" w:lineRule="auto"/>
        <w:ind w:firstLine="1440"/>
      </w:pPr>
      <w:r w:rsidRPr="008A2F12">
        <w:lastRenderedPageBreak/>
        <w:t xml:space="preserve">The Complainant </w:t>
      </w:r>
      <w:r w:rsidR="00781CBB" w:rsidRPr="008A2F12">
        <w:t>did not live</w:t>
      </w:r>
      <w:r w:rsidRPr="008A2F12">
        <w:t xml:space="preserve"> at the service address after</w:t>
      </w:r>
      <w:r w:rsidR="00781CBB" w:rsidRPr="008A2F12">
        <w:t xml:space="preserve"> November 18,</w:t>
      </w:r>
      <w:r w:rsidRPr="008A2F12">
        <w:t xml:space="preserve"> 2011</w:t>
      </w:r>
      <w:r w:rsidR="00995D7C" w:rsidRPr="008A2F12">
        <w:t>.</w:t>
      </w:r>
      <w:r w:rsidRPr="008A2F12">
        <w:t xml:space="preserve">  </w:t>
      </w:r>
      <w:r w:rsidR="00510C7A">
        <w:t>Tr. </w:t>
      </w:r>
      <w:r w:rsidR="00F67414" w:rsidRPr="008A2F12">
        <w:t>106, 164</w:t>
      </w:r>
      <w:r w:rsidR="0042401B" w:rsidRPr="008A2F12">
        <w:t xml:space="preserve">.  </w:t>
      </w:r>
      <w:r w:rsidR="00F67414" w:rsidRPr="008A2F12">
        <w:t xml:space="preserve">A </w:t>
      </w:r>
      <w:r w:rsidRPr="008A2F12">
        <w:t xml:space="preserve">tenant occupied the service address from </w:t>
      </w:r>
      <w:r w:rsidR="00F67414" w:rsidRPr="008A2F12">
        <w:t xml:space="preserve">December </w:t>
      </w:r>
      <w:r w:rsidRPr="008A2F12">
        <w:t>2011 through April  2015.</w:t>
      </w:r>
      <w:r w:rsidR="0042401B" w:rsidRPr="008A2F12">
        <w:t xml:space="preserve">  Tr. </w:t>
      </w:r>
      <w:r w:rsidR="00D10153" w:rsidRPr="008A2F12">
        <w:t>69, 81-82</w:t>
      </w:r>
      <w:r w:rsidR="00616764" w:rsidRPr="008A2F12">
        <w:t>, 109-10</w:t>
      </w:r>
      <w:r w:rsidR="0042401B" w:rsidRPr="008A2F12">
        <w:t>.</w:t>
      </w:r>
      <w:r w:rsidRPr="008A2F12">
        <w:t xml:space="preserve">  Complainant did not produce the tenant or any documents to substantiate that </w:t>
      </w:r>
      <w:r w:rsidR="00995D7C" w:rsidRPr="008A2F12">
        <w:t xml:space="preserve">he was not at the service address after </w:t>
      </w:r>
      <w:r w:rsidR="00594717" w:rsidRPr="008A2F12">
        <w:t>November 18</w:t>
      </w:r>
      <w:r w:rsidR="00995D7C" w:rsidRPr="008A2F12">
        <w:t>, 2011.</w:t>
      </w:r>
      <w:r w:rsidR="0042401B" w:rsidRPr="008A2F12">
        <w:t xml:space="preserve">  However, the Complainant’s wife corroborated that the Complainant moved o</w:t>
      </w:r>
      <w:r w:rsidR="00594717" w:rsidRPr="008A2F12">
        <w:t>ut of the service address,</w:t>
      </w:r>
      <w:r w:rsidR="0042401B" w:rsidRPr="008A2F12">
        <w:t xml:space="preserve"> and therefore</w:t>
      </w:r>
      <w:r w:rsidR="00594717" w:rsidRPr="008A2F12">
        <w:t>,</w:t>
      </w:r>
      <w:r w:rsidR="0042401B" w:rsidRPr="008A2F12">
        <w:t xml:space="preserve"> did not live at the service address after </w:t>
      </w:r>
      <w:r w:rsidR="00594717" w:rsidRPr="008A2F12">
        <w:t xml:space="preserve">November 18, 2011.  Tr. </w:t>
      </w:r>
      <w:r w:rsidR="00D10153" w:rsidRPr="008A2F12">
        <w:t>103-04, 106</w:t>
      </w:r>
      <w:r w:rsidR="00594717" w:rsidRPr="008A2F12">
        <w:t>.</w:t>
      </w:r>
      <w:r w:rsidR="00995D7C" w:rsidRPr="008A2F12">
        <w:t xml:space="preserve">  Regardless, the Complainant does not dispute that he is responsible for the gas service at the service address through April 9, 2015.</w:t>
      </w:r>
      <w:r w:rsidR="00594717" w:rsidRPr="008A2F12">
        <w:t xml:space="preserve">  Tr. 80-83.</w:t>
      </w:r>
      <w:r w:rsidR="00995D7C" w:rsidRPr="008A2F12">
        <w:t xml:space="preserve">  </w:t>
      </w:r>
    </w:p>
    <w:p w:rsidR="00995D7C" w:rsidRPr="008A2F12" w:rsidRDefault="00995D7C" w:rsidP="008A2F12">
      <w:pPr>
        <w:spacing w:line="360" w:lineRule="auto"/>
        <w:ind w:firstLine="1440"/>
      </w:pPr>
    </w:p>
    <w:p w:rsidR="005B4188" w:rsidRDefault="00995D7C" w:rsidP="008A2F12">
      <w:pPr>
        <w:spacing w:line="360" w:lineRule="auto"/>
        <w:ind w:firstLine="1440"/>
      </w:pPr>
      <w:r w:rsidRPr="008A2F12">
        <w:t xml:space="preserve">The Complainant has failed </w:t>
      </w:r>
      <w:r w:rsidR="00A37E51" w:rsidRPr="008A2F12">
        <w:t>to rebut the testimony and physical evidence provide</w:t>
      </w:r>
      <w:r w:rsidRPr="008A2F12">
        <w:t>d</w:t>
      </w:r>
      <w:r w:rsidR="00A37E51" w:rsidRPr="008A2F12">
        <w:t xml:space="preserve"> by the Respondent for a bypassed meter at the service address.</w:t>
      </w:r>
      <w:r w:rsidR="00897536" w:rsidRPr="008A2F12">
        <w:t xml:space="preserve">  </w:t>
      </w:r>
      <w:r w:rsidR="00A37E51" w:rsidRPr="008A2F12">
        <w:t xml:space="preserve">The Complainant </w:t>
      </w:r>
      <w:r w:rsidRPr="008A2F12">
        <w:t xml:space="preserve">is responsible for the bypassed meter and the gas usage that the bypassed meter was prevented from detecting at the service address. </w:t>
      </w:r>
      <w:r w:rsidR="00897536" w:rsidRPr="008A2F12">
        <w:t xml:space="preserve"> </w:t>
      </w:r>
      <w:r w:rsidR="005B4188" w:rsidRPr="008A2F12">
        <w:t xml:space="preserve">Unauthorized use of utility service is defined as, </w:t>
      </w:r>
    </w:p>
    <w:p w:rsidR="00FC0713" w:rsidRDefault="00FC0713" w:rsidP="008A2F12">
      <w:pPr>
        <w:spacing w:line="360" w:lineRule="auto"/>
        <w:ind w:firstLine="1440"/>
      </w:pPr>
    </w:p>
    <w:p w:rsidR="005B4188" w:rsidRPr="008A2F12" w:rsidRDefault="005B4188" w:rsidP="008A2F12">
      <w:pPr>
        <w:ind w:left="1440" w:right="1440"/>
      </w:pPr>
      <w:r w:rsidRPr="008A2F12">
        <w:t xml:space="preserve">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  </w:t>
      </w:r>
    </w:p>
    <w:p w:rsidR="005B4188" w:rsidRPr="008A2F12" w:rsidRDefault="005B4188" w:rsidP="00B93FD0">
      <w:pPr>
        <w:spacing w:line="360" w:lineRule="auto"/>
        <w:ind w:left="1440" w:right="1440"/>
      </w:pPr>
    </w:p>
    <w:p w:rsidR="0053105E" w:rsidRPr="008A2F12" w:rsidRDefault="00794168" w:rsidP="008A2F12">
      <w:pPr>
        <w:spacing w:line="360" w:lineRule="auto"/>
      </w:pPr>
      <w:r>
        <w:t xml:space="preserve">52 Pa.Code § 56.2.  </w:t>
      </w:r>
      <w:r w:rsidR="00897536" w:rsidRPr="008A2F12">
        <w:t xml:space="preserve">A bypassed meter at the service address is tampered public utility equipment and yields unauthorized gas usage by the Complainant.   </w:t>
      </w:r>
    </w:p>
    <w:p w:rsidR="00C2348E" w:rsidRDefault="00C2348E"/>
    <w:p w:rsidR="002E3428" w:rsidRPr="008A2F12" w:rsidRDefault="002E3428" w:rsidP="008A2F12">
      <w:pPr>
        <w:spacing w:line="360" w:lineRule="auto"/>
        <w:ind w:firstLine="1440"/>
      </w:pPr>
      <w:r w:rsidRPr="008A2F12">
        <w:t>B.</w:t>
      </w:r>
      <w:r w:rsidRPr="008A2F12">
        <w:tab/>
        <w:t>The consequence of unauthorized usage</w:t>
      </w:r>
    </w:p>
    <w:p w:rsidR="00897536" w:rsidRPr="008A2F12" w:rsidRDefault="00897536" w:rsidP="008A2F12">
      <w:pPr>
        <w:spacing w:line="360" w:lineRule="auto"/>
        <w:ind w:firstLine="1440"/>
      </w:pPr>
    </w:p>
    <w:p w:rsidR="002065F4" w:rsidRDefault="00897536" w:rsidP="008A2F12">
      <w:pPr>
        <w:spacing w:line="360" w:lineRule="auto"/>
        <w:ind w:firstLine="1440"/>
      </w:pPr>
      <w:r w:rsidRPr="008A2F12">
        <w:t xml:space="preserve">52 Pa.Code § 56.98(a) states, </w:t>
      </w:r>
    </w:p>
    <w:p w:rsidR="00FC0713" w:rsidRPr="008A2F12" w:rsidRDefault="00FC0713" w:rsidP="008A2F12">
      <w:pPr>
        <w:spacing w:line="360" w:lineRule="auto"/>
        <w:ind w:firstLine="1440"/>
      </w:pPr>
    </w:p>
    <w:p w:rsidR="00897536" w:rsidRPr="008A2F12" w:rsidRDefault="00897536" w:rsidP="008A2F12">
      <w:pPr>
        <w:ind w:left="1440" w:right="1530"/>
      </w:pPr>
      <w:r w:rsidRPr="008A2F12">
        <w:t xml:space="preserve">A public utility may immediately terminate service for any of the following action by the customer: </w:t>
      </w:r>
    </w:p>
    <w:p w:rsidR="00897536" w:rsidRPr="008A2F12" w:rsidRDefault="00897536" w:rsidP="008A2F12">
      <w:pPr>
        <w:pStyle w:val="ListParagraph"/>
        <w:numPr>
          <w:ilvl w:val="0"/>
          <w:numId w:val="12"/>
        </w:numPr>
        <w:ind w:left="1440" w:right="1530" w:firstLine="0"/>
      </w:pPr>
      <w:r w:rsidRPr="008A2F12">
        <w:t>Unauthorized use of the service delivered on or about the affected dwelling.</w:t>
      </w:r>
    </w:p>
    <w:p w:rsidR="0053105E" w:rsidRPr="008A2F12" w:rsidRDefault="00897536" w:rsidP="008A2F12">
      <w:pPr>
        <w:ind w:left="1440" w:right="1530" w:firstLine="720"/>
      </w:pPr>
      <w:r w:rsidRPr="008A2F12">
        <w:t>*</w:t>
      </w:r>
      <w:r w:rsidRPr="008A2F12">
        <w:tab/>
      </w:r>
      <w:r w:rsidRPr="008A2F12">
        <w:tab/>
      </w:r>
      <w:r w:rsidRPr="008A2F12">
        <w:tab/>
        <w:t>*</w:t>
      </w:r>
      <w:r w:rsidRPr="008A2F12">
        <w:tab/>
      </w:r>
      <w:r w:rsidRPr="008A2F12">
        <w:tab/>
      </w:r>
      <w:r w:rsidRPr="008A2F12">
        <w:tab/>
        <w:t xml:space="preserve">* </w:t>
      </w:r>
    </w:p>
    <w:p w:rsidR="00897536" w:rsidRPr="008A2F12" w:rsidRDefault="00897536" w:rsidP="008A2F12">
      <w:pPr>
        <w:ind w:left="1440" w:right="1530"/>
      </w:pPr>
      <w:r w:rsidRPr="008A2F12">
        <w:t>(3) Tampering with meters or other public utility equipment.</w:t>
      </w:r>
    </w:p>
    <w:p w:rsidR="00897536" w:rsidRPr="008A2F12" w:rsidRDefault="00897536" w:rsidP="00C2348E">
      <w:pPr>
        <w:spacing w:line="360" w:lineRule="auto"/>
        <w:ind w:firstLine="1440"/>
      </w:pPr>
    </w:p>
    <w:p w:rsidR="004E05B4" w:rsidRPr="008A2F12" w:rsidRDefault="002E3428" w:rsidP="008A2F12">
      <w:pPr>
        <w:spacing w:line="360" w:lineRule="auto"/>
      </w:pPr>
      <w:r w:rsidRPr="008A2F12">
        <w:lastRenderedPageBreak/>
        <w:t xml:space="preserve">Pursuant to Commission regulation 52 Pa.Code § 56.98(a), the Respondent acted appropriately in termination of service at the service address on April 9, 2015, upon discovering a tampered meter. </w:t>
      </w:r>
    </w:p>
    <w:p w:rsidR="002E3428" w:rsidRPr="008A2F12" w:rsidRDefault="002E3428" w:rsidP="008A2F12">
      <w:pPr>
        <w:spacing w:line="360" w:lineRule="auto"/>
        <w:ind w:firstLine="1440"/>
      </w:pPr>
    </w:p>
    <w:p w:rsidR="00A52E88" w:rsidRPr="008A2F12" w:rsidRDefault="00A52E88" w:rsidP="008A2F12">
      <w:pPr>
        <w:pStyle w:val="BodyTextFirstIndent2"/>
        <w:numPr>
          <w:ilvl w:val="0"/>
          <w:numId w:val="0"/>
        </w:numPr>
        <w:tabs>
          <w:tab w:val="left" w:pos="0"/>
        </w:tabs>
        <w:spacing w:after="0" w:line="360" w:lineRule="auto"/>
        <w:ind w:firstLine="1440"/>
      </w:pPr>
      <w:r w:rsidRPr="008A2F12">
        <w:t xml:space="preserve">Pursuant to the </w:t>
      </w:r>
      <w:r w:rsidR="00475E11" w:rsidRPr="008A2F12">
        <w:t xml:space="preserve">Supplement No. 21 to </w:t>
      </w:r>
      <w:r w:rsidRPr="008A2F12">
        <w:t>Philadelphia Gas Works Gas Service Tariff</w:t>
      </w:r>
      <w:r w:rsidR="00CC2FFD" w:rsidRPr="008A2F12">
        <w:t>,</w:t>
      </w:r>
      <w:r w:rsidR="00475E11" w:rsidRPr="008A2F12">
        <w:t xml:space="preserve"> </w:t>
      </w:r>
      <w:r w:rsidR="00786529" w:rsidRPr="008A2F12">
        <w:t xml:space="preserve">First </w:t>
      </w:r>
      <w:r w:rsidR="00475E11" w:rsidRPr="008A2F12">
        <w:t xml:space="preserve">Revised Page </w:t>
      </w:r>
      <w:r w:rsidR="00786529" w:rsidRPr="008A2F12">
        <w:t>No. 44</w:t>
      </w:r>
      <w:r w:rsidR="00475E11" w:rsidRPr="008A2F12">
        <w:t>,</w:t>
      </w:r>
      <w:r w:rsidR="00CC2FFD" w:rsidRPr="008A2F12">
        <w:t xml:space="preserve"> </w:t>
      </w:r>
      <w:r w:rsidRPr="008A2F12">
        <w:t>Pa. P.U.C No. 2 § 8.3</w:t>
      </w:r>
      <w:r w:rsidR="00CC2FFD" w:rsidRPr="008A2F12">
        <w:t>, effective October 19, 2007,</w:t>
      </w:r>
      <w:r w:rsidR="004B5977" w:rsidRPr="008A2F12">
        <w:t xml:space="preserve"> (Gas Tariff)</w:t>
      </w:r>
      <w:r w:rsidRPr="008A2F12">
        <w:t xml:space="preserve"> </w:t>
      </w:r>
    </w:p>
    <w:p w:rsidR="00A52E88" w:rsidRPr="008A2F12" w:rsidRDefault="00A52E88" w:rsidP="008A2F12">
      <w:pPr>
        <w:pStyle w:val="BodyTextFirstIndent2"/>
        <w:numPr>
          <w:ilvl w:val="0"/>
          <w:numId w:val="0"/>
        </w:numPr>
        <w:tabs>
          <w:tab w:val="left" w:pos="0"/>
        </w:tabs>
        <w:spacing w:after="0" w:line="360" w:lineRule="auto"/>
        <w:ind w:left="1440"/>
      </w:pPr>
    </w:p>
    <w:p w:rsidR="00A52E88" w:rsidRPr="008A2F12" w:rsidRDefault="00A52E88" w:rsidP="008A2F12">
      <w:pPr>
        <w:pStyle w:val="BodyTextFirstIndent2"/>
        <w:numPr>
          <w:ilvl w:val="0"/>
          <w:numId w:val="0"/>
        </w:numPr>
        <w:tabs>
          <w:tab w:val="left" w:pos="0"/>
        </w:tabs>
        <w:spacing w:after="0" w:line="240" w:lineRule="auto"/>
        <w:ind w:left="1440" w:right="1440"/>
      </w:pPr>
      <w:r w:rsidRPr="008A2F12">
        <w:t>In the event of the Company’s meters or other property being tampered or interfered with, the Customer being supplied through such equ</w:t>
      </w:r>
      <w:r w:rsidR="008E5FC4">
        <w:t>ipment shall pay the amount which</w:t>
      </w:r>
      <w:r w:rsidR="008A613D">
        <w:t xml:space="preserve"> the C</w:t>
      </w:r>
      <w:r w:rsidRPr="008A2F12">
        <w:t xml:space="preserve">ompany </w:t>
      </w:r>
      <w:r w:rsidRPr="008A2F12">
        <w:rPr>
          <w:b/>
        </w:rPr>
        <w:t xml:space="preserve">may estimate is due for service used even if such usage is not registered on the Company’s meter, </w:t>
      </w:r>
      <w:r w:rsidR="00DF4FEF">
        <w:t>and for any repairs or</w:t>
      </w:r>
      <w:r w:rsidRPr="008A2F12">
        <w:t xml:space="preserve"> replacements required, as well as for costs for inspections, investigations, damages and protective equipment and installations prior to reconnection.  </w:t>
      </w:r>
      <w:r w:rsidR="009D4E48" w:rsidRPr="008A2F12">
        <w:t>(</w:t>
      </w:r>
      <w:r w:rsidRPr="008A2F12">
        <w:t>Emphasis added.</w:t>
      </w:r>
      <w:r w:rsidR="009D4E48" w:rsidRPr="008A2F12">
        <w:t>)</w:t>
      </w:r>
    </w:p>
    <w:p w:rsidR="002E3428" w:rsidRPr="008A2F12" w:rsidRDefault="002E3428" w:rsidP="00181A2E">
      <w:pPr>
        <w:spacing w:line="360" w:lineRule="auto"/>
        <w:ind w:firstLine="1440"/>
      </w:pPr>
    </w:p>
    <w:p w:rsidR="004B5977" w:rsidRPr="008A2F12" w:rsidRDefault="004B5977" w:rsidP="008A2F12">
      <w:pPr>
        <w:spacing w:line="360" w:lineRule="auto"/>
      </w:pPr>
      <w:r w:rsidRPr="008A2F12">
        <w:t>Pursuant to 52 Pa.Code § 5.408(a), the undersigned takes judicial notice of the Gas Tariff as a document on file with the Commission and the content of the identified section.</w:t>
      </w:r>
    </w:p>
    <w:p w:rsidR="004B5977" w:rsidRPr="008A2F12" w:rsidRDefault="004B5977" w:rsidP="008A2F12">
      <w:pPr>
        <w:spacing w:line="360" w:lineRule="auto"/>
      </w:pPr>
      <w:r w:rsidRPr="008A2F12">
        <w:t xml:space="preserve"> </w:t>
      </w:r>
    </w:p>
    <w:p w:rsidR="00475E11" w:rsidRPr="008A2F12" w:rsidRDefault="00475E11" w:rsidP="008A2F12">
      <w:pPr>
        <w:autoSpaceDE w:val="0"/>
        <w:autoSpaceDN w:val="0"/>
        <w:spacing w:line="360" w:lineRule="auto"/>
        <w:ind w:firstLine="1440"/>
      </w:pPr>
      <w:r w:rsidRPr="008A2F12">
        <w:t xml:space="preserve">Section 8.3 of the Respondent’s tariff was in effect and approved by the Commission when the Respondent sought access to the service address and discovered the tamper meter on April 9, 2015.  A public utility’s Commission-approved tariff is prima facie reasonable, has the full force of law and is binding on the utility and the customer.  </w:t>
      </w:r>
      <w:proofErr w:type="gramStart"/>
      <w:r w:rsidR="006B3A99">
        <w:t xml:space="preserve">66 </w:t>
      </w:r>
      <w:proofErr w:type="spellStart"/>
      <w:r w:rsidR="006B3A99">
        <w:t>Pa.C.S</w:t>
      </w:r>
      <w:proofErr w:type="spellEnd"/>
      <w:r w:rsidR="006B3A99">
        <w:t>.</w:t>
      </w:r>
      <w:proofErr w:type="gramEnd"/>
      <w:r w:rsidR="006B3A99">
        <w:t xml:space="preserve"> § </w:t>
      </w:r>
      <w:r w:rsidRPr="008A2F12">
        <w:t xml:space="preserve">316, </w:t>
      </w:r>
      <w:proofErr w:type="spellStart"/>
      <w:r w:rsidRPr="008A2F12">
        <w:rPr>
          <w:i/>
        </w:rPr>
        <w:t>Kossman</w:t>
      </w:r>
      <w:proofErr w:type="spellEnd"/>
      <w:r w:rsidRPr="008A2F12">
        <w:rPr>
          <w:i/>
        </w:rPr>
        <w:t xml:space="preserve"> v. Pa. Pub. Util. Comm’n, </w:t>
      </w:r>
      <w:r w:rsidRPr="008A2F12">
        <w:t>694 A.2d 1147 (Pa.Cmwlth. 1997</w:t>
      </w:r>
      <w:proofErr w:type="gramStart"/>
      <w:r w:rsidRPr="008A2F12">
        <w:t>)(</w:t>
      </w:r>
      <w:proofErr w:type="gramEnd"/>
      <w:r w:rsidRPr="008A2F12">
        <w:rPr>
          <w:i/>
        </w:rPr>
        <w:t>Kossman)</w:t>
      </w:r>
      <w:r w:rsidRPr="008A2F12">
        <w:t xml:space="preserve">; and </w:t>
      </w:r>
      <w:r w:rsidRPr="008A2F12">
        <w:rPr>
          <w:i/>
        </w:rPr>
        <w:t>Stiteler v. Bell Telephone Co. of Pennsylvania,</w:t>
      </w:r>
      <w:r w:rsidRPr="008A2F12">
        <w:t xml:space="preserve"> 379 A.2d 339 (</w:t>
      </w:r>
      <w:proofErr w:type="spellStart"/>
      <w:r w:rsidRPr="008A2F12">
        <w:t>Pa.Cmwlth</w:t>
      </w:r>
      <w:proofErr w:type="spellEnd"/>
      <w:r w:rsidRPr="008A2F12">
        <w:t>. 1977)(</w:t>
      </w:r>
      <w:r w:rsidRPr="008A2F12">
        <w:rPr>
          <w:i/>
        </w:rPr>
        <w:t>Stiteler)</w:t>
      </w:r>
      <w:r w:rsidRPr="008A2F12">
        <w:t xml:space="preserve">.  Where a Complaint involves an existing, Commission-approved tariff, the burden falls upon the customer to prove that the charge or rule is no longer reasonable or the application of the existing tariff at issue is applied unreasonably.  </w:t>
      </w:r>
      <w:r w:rsidRPr="008A2F12">
        <w:rPr>
          <w:i/>
        </w:rPr>
        <w:t>Brockway Glass Co. v. Pa. Pub. Util. Comm’n</w:t>
      </w:r>
      <w:r w:rsidRPr="008A2F12">
        <w:t>, 437 A.2d 1067, 63 Pa. Commw. 238 (Pa.Cmwlth. 1981) (</w:t>
      </w:r>
      <w:r w:rsidRPr="008A2F12">
        <w:rPr>
          <w:i/>
        </w:rPr>
        <w:t>Brockway</w:t>
      </w:r>
      <w:r w:rsidRPr="008A2F12">
        <w:t xml:space="preserve">). </w:t>
      </w:r>
    </w:p>
    <w:p w:rsidR="00CC2FFD" w:rsidRPr="008A2F12" w:rsidRDefault="00CC2FFD" w:rsidP="008A2F12">
      <w:pPr>
        <w:spacing w:line="360" w:lineRule="auto"/>
        <w:ind w:firstLine="1440"/>
      </w:pPr>
    </w:p>
    <w:p w:rsidR="00750B99" w:rsidRPr="008A2F12" w:rsidRDefault="00475E11" w:rsidP="008A2F12">
      <w:pPr>
        <w:spacing w:line="360" w:lineRule="auto"/>
        <w:ind w:firstLine="1440"/>
      </w:pPr>
      <w:r w:rsidRPr="008A2F12">
        <w:t>The Complainant has provided no record evidence that the tariff is applied unreasonabl</w:t>
      </w:r>
      <w:r w:rsidR="00972BB9" w:rsidRPr="008A2F12">
        <w:t>y</w:t>
      </w:r>
      <w:r w:rsidRPr="008A2F12">
        <w:t xml:space="preserve"> in the instant proceeding.  </w:t>
      </w:r>
    </w:p>
    <w:p w:rsidR="00181A2E" w:rsidRDefault="00181A2E">
      <w:r>
        <w:br w:type="page"/>
      </w:r>
    </w:p>
    <w:p w:rsidR="00750B99" w:rsidRPr="008A2F12" w:rsidRDefault="00750B99" w:rsidP="008A2F12"/>
    <w:p w:rsidR="00F961FC" w:rsidRPr="008A2F12" w:rsidRDefault="00972BB9" w:rsidP="008A2F12">
      <w:pPr>
        <w:spacing w:line="360" w:lineRule="auto"/>
      </w:pPr>
      <w:r w:rsidRPr="008A2F12">
        <w:tab/>
      </w:r>
      <w:r w:rsidR="002C310D" w:rsidRPr="008A2F12">
        <w:tab/>
        <w:t>The usage</w:t>
      </w:r>
      <w:r w:rsidR="00F961FC" w:rsidRPr="008A2F12">
        <w:t xml:space="preserve"> of ga</w:t>
      </w:r>
      <w:r w:rsidR="002C310D" w:rsidRPr="008A2F12">
        <w:t>s</w:t>
      </w:r>
      <w:r w:rsidR="00F961FC" w:rsidRPr="008A2F12">
        <w:t xml:space="preserve"> service</w:t>
      </w:r>
      <w:r w:rsidR="002C310D" w:rsidRPr="008A2F12">
        <w:t xml:space="preserve"> for the winter months during </w:t>
      </w:r>
      <w:r w:rsidR="00F961FC" w:rsidRPr="008A2F12">
        <w:t xml:space="preserve">for </w:t>
      </w:r>
      <w:r w:rsidR="002C310D" w:rsidRPr="008A2F12">
        <w:t>the tampering period</w:t>
      </w:r>
      <w:r w:rsidR="00F961FC" w:rsidRPr="008A2F12">
        <w:t xml:space="preserve"> are as follows:</w:t>
      </w:r>
    </w:p>
    <w:tbl>
      <w:tblPr>
        <w:tblStyle w:val="TableGrid"/>
        <w:tblW w:w="8628" w:type="dxa"/>
        <w:tblLook w:val="04A0" w:firstRow="1" w:lastRow="0" w:firstColumn="1" w:lastColumn="0" w:noHBand="0" w:noVBand="1"/>
      </w:tblPr>
      <w:tblGrid>
        <w:gridCol w:w="857"/>
        <w:gridCol w:w="696"/>
        <w:gridCol w:w="740"/>
        <w:gridCol w:w="696"/>
        <w:gridCol w:w="696"/>
        <w:gridCol w:w="696"/>
        <w:gridCol w:w="696"/>
        <w:gridCol w:w="696"/>
        <w:gridCol w:w="696"/>
        <w:gridCol w:w="696"/>
        <w:gridCol w:w="696"/>
        <w:gridCol w:w="750"/>
        <w:gridCol w:w="17"/>
      </w:tblGrid>
      <w:tr w:rsidR="00F961FC" w:rsidRPr="008A2F12" w:rsidTr="00F961FC">
        <w:tc>
          <w:tcPr>
            <w:tcW w:w="8628" w:type="dxa"/>
            <w:gridSpan w:val="13"/>
          </w:tcPr>
          <w:p w:rsidR="00F961FC" w:rsidRPr="008A2F12" w:rsidRDefault="00F961FC" w:rsidP="008A2F12">
            <w:pPr>
              <w:pStyle w:val="ListParagraph"/>
              <w:ind w:left="0"/>
              <w:jc w:val="center"/>
            </w:pPr>
            <w:r w:rsidRPr="008A2F12">
              <w:t>Usage in CCFs during winter months</w:t>
            </w:r>
          </w:p>
        </w:tc>
      </w:tr>
      <w:tr w:rsidR="00F961FC" w:rsidRPr="008A2F12" w:rsidTr="00F961FC">
        <w:trPr>
          <w:gridAfter w:val="1"/>
          <w:wAfter w:w="17" w:type="dxa"/>
        </w:trPr>
        <w:tc>
          <w:tcPr>
            <w:tcW w:w="857" w:type="dxa"/>
          </w:tcPr>
          <w:p w:rsidR="00F961FC" w:rsidRPr="008A2F12" w:rsidRDefault="00F961FC" w:rsidP="008A2F12">
            <w:pPr>
              <w:pStyle w:val="ListParagraph"/>
              <w:ind w:left="0"/>
            </w:pPr>
            <w:r w:rsidRPr="008A2F12">
              <w:t>Month</w:t>
            </w:r>
          </w:p>
        </w:tc>
        <w:tc>
          <w:tcPr>
            <w:tcW w:w="696" w:type="dxa"/>
          </w:tcPr>
          <w:p w:rsidR="00F961FC" w:rsidRPr="008A2F12" w:rsidRDefault="00F961FC" w:rsidP="008A2F12">
            <w:pPr>
              <w:pStyle w:val="ListParagraph"/>
              <w:ind w:left="0"/>
            </w:pPr>
            <w:r w:rsidRPr="008A2F12">
              <w:t>2005</w:t>
            </w:r>
          </w:p>
        </w:tc>
        <w:tc>
          <w:tcPr>
            <w:tcW w:w="740" w:type="dxa"/>
          </w:tcPr>
          <w:p w:rsidR="00F961FC" w:rsidRPr="008A2F12" w:rsidRDefault="00F961FC" w:rsidP="008A2F12">
            <w:pPr>
              <w:pStyle w:val="ListParagraph"/>
              <w:ind w:left="44"/>
            </w:pPr>
            <w:r w:rsidRPr="008A2F12">
              <w:t>2006</w:t>
            </w:r>
          </w:p>
        </w:tc>
        <w:tc>
          <w:tcPr>
            <w:tcW w:w="696" w:type="dxa"/>
          </w:tcPr>
          <w:p w:rsidR="00F961FC" w:rsidRPr="008A2F12" w:rsidRDefault="00F961FC" w:rsidP="008A2F12">
            <w:pPr>
              <w:pStyle w:val="ListParagraph"/>
              <w:ind w:left="0"/>
            </w:pPr>
            <w:r w:rsidRPr="008A2F12">
              <w:t>2007</w:t>
            </w:r>
          </w:p>
        </w:tc>
        <w:tc>
          <w:tcPr>
            <w:tcW w:w="696" w:type="dxa"/>
          </w:tcPr>
          <w:p w:rsidR="00F961FC" w:rsidRPr="008A2F12" w:rsidRDefault="00F961FC" w:rsidP="008A2F12">
            <w:pPr>
              <w:pStyle w:val="ListParagraph"/>
              <w:ind w:left="0"/>
            </w:pPr>
            <w:r w:rsidRPr="008A2F12">
              <w:t>2008</w:t>
            </w:r>
          </w:p>
        </w:tc>
        <w:tc>
          <w:tcPr>
            <w:tcW w:w="696" w:type="dxa"/>
          </w:tcPr>
          <w:p w:rsidR="00F961FC" w:rsidRPr="008A2F12" w:rsidRDefault="00F961FC" w:rsidP="008A2F12">
            <w:pPr>
              <w:pStyle w:val="ListParagraph"/>
              <w:ind w:left="0"/>
            </w:pPr>
            <w:r w:rsidRPr="008A2F12">
              <w:t>2009</w:t>
            </w:r>
          </w:p>
        </w:tc>
        <w:tc>
          <w:tcPr>
            <w:tcW w:w="696" w:type="dxa"/>
          </w:tcPr>
          <w:p w:rsidR="00F961FC" w:rsidRPr="008A2F12" w:rsidRDefault="00F961FC" w:rsidP="008A2F12">
            <w:pPr>
              <w:pStyle w:val="ListParagraph"/>
              <w:ind w:left="0"/>
            </w:pPr>
            <w:r w:rsidRPr="008A2F12">
              <w:t>2010</w:t>
            </w:r>
          </w:p>
        </w:tc>
        <w:tc>
          <w:tcPr>
            <w:tcW w:w="696" w:type="dxa"/>
          </w:tcPr>
          <w:p w:rsidR="00F961FC" w:rsidRPr="008A2F12" w:rsidRDefault="00F961FC" w:rsidP="008A2F12">
            <w:pPr>
              <w:pStyle w:val="ListParagraph"/>
              <w:ind w:left="0"/>
            </w:pPr>
            <w:r w:rsidRPr="008A2F12">
              <w:t>2011</w:t>
            </w:r>
          </w:p>
        </w:tc>
        <w:tc>
          <w:tcPr>
            <w:tcW w:w="696" w:type="dxa"/>
          </w:tcPr>
          <w:p w:rsidR="00F961FC" w:rsidRPr="008A2F12" w:rsidRDefault="00F961FC" w:rsidP="008A2F12">
            <w:pPr>
              <w:pStyle w:val="ListParagraph"/>
              <w:ind w:left="0"/>
            </w:pPr>
            <w:r w:rsidRPr="008A2F12">
              <w:t>2012</w:t>
            </w:r>
          </w:p>
        </w:tc>
        <w:tc>
          <w:tcPr>
            <w:tcW w:w="696" w:type="dxa"/>
          </w:tcPr>
          <w:p w:rsidR="00F961FC" w:rsidRPr="008A2F12" w:rsidRDefault="00F961FC" w:rsidP="008A2F12">
            <w:pPr>
              <w:pStyle w:val="ListParagraph"/>
              <w:ind w:left="0"/>
            </w:pPr>
            <w:r w:rsidRPr="008A2F12">
              <w:t>2013</w:t>
            </w:r>
          </w:p>
        </w:tc>
        <w:tc>
          <w:tcPr>
            <w:tcW w:w="696" w:type="dxa"/>
          </w:tcPr>
          <w:p w:rsidR="00F961FC" w:rsidRPr="008A2F12" w:rsidRDefault="00F961FC" w:rsidP="008A2F12">
            <w:pPr>
              <w:pStyle w:val="ListParagraph"/>
              <w:ind w:left="0"/>
            </w:pPr>
            <w:r w:rsidRPr="008A2F12">
              <w:t>2014</w:t>
            </w:r>
          </w:p>
        </w:tc>
        <w:tc>
          <w:tcPr>
            <w:tcW w:w="750" w:type="dxa"/>
          </w:tcPr>
          <w:p w:rsidR="00F961FC" w:rsidRPr="008A2F12" w:rsidRDefault="00F961FC" w:rsidP="008A2F12">
            <w:pPr>
              <w:pStyle w:val="ListParagraph"/>
              <w:ind w:left="0"/>
            </w:pPr>
            <w:r w:rsidRPr="008A2F12">
              <w:t>2015</w:t>
            </w:r>
          </w:p>
        </w:tc>
      </w:tr>
      <w:tr w:rsidR="00F961FC" w:rsidRPr="008A2F12" w:rsidTr="00F961FC">
        <w:trPr>
          <w:gridAfter w:val="1"/>
          <w:wAfter w:w="17" w:type="dxa"/>
        </w:trPr>
        <w:tc>
          <w:tcPr>
            <w:tcW w:w="857" w:type="dxa"/>
          </w:tcPr>
          <w:p w:rsidR="00F961FC" w:rsidRPr="008A2F12" w:rsidRDefault="00F961FC" w:rsidP="008A2F12">
            <w:pPr>
              <w:pStyle w:val="ListParagraph"/>
              <w:ind w:left="0"/>
            </w:pPr>
            <w:r w:rsidRPr="008A2F12">
              <w:t>Jan.</w:t>
            </w:r>
          </w:p>
        </w:tc>
        <w:tc>
          <w:tcPr>
            <w:tcW w:w="696" w:type="dxa"/>
          </w:tcPr>
          <w:p w:rsidR="00F961FC" w:rsidRPr="008A2F12" w:rsidRDefault="00F961FC" w:rsidP="008A2F12">
            <w:pPr>
              <w:pStyle w:val="ListParagraph"/>
              <w:ind w:left="0"/>
            </w:pPr>
            <w:r w:rsidRPr="008A2F12">
              <w:t>49</w:t>
            </w:r>
          </w:p>
        </w:tc>
        <w:tc>
          <w:tcPr>
            <w:tcW w:w="740" w:type="dxa"/>
          </w:tcPr>
          <w:p w:rsidR="00F961FC" w:rsidRPr="008A2F12" w:rsidRDefault="00F961FC" w:rsidP="008A2F12">
            <w:pPr>
              <w:pStyle w:val="ListParagraph"/>
              <w:ind w:left="0"/>
            </w:pPr>
            <w:r w:rsidRPr="008A2F12">
              <w:t>18</w:t>
            </w:r>
          </w:p>
        </w:tc>
        <w:tc>
          <w:tcPr>
            <w:tcW w:w="696" w:type="dxa"/>
          </w:tcPr>
          <w:p w:rsidR="00F961FC" w:rsidRPr="008A2F12" w:rsidRDefault="00F961FC" w:rsidP="008A2F12">
            <w:pPr>
              <w:pStyle w:val="ListParagraph"/>
              <w:ind w:left="0"/>
            </w:pPr>
            <w:r w:rsidRPr="008A2F12">
              <w:t>150</w:t>
            </w:r>
          </w:p>
        </w:tc>
        <w:tc>
          <w:tcPr>
            <w:tcW w:w="696" w:type="dxa"/>
          </w:tcPr>
          <w:p w:rsidR="00F961FC" w:rsidRPr="008A2F12" w:rsidRDefault="00F961FC" w:rsidP="008A2F12">
            <w:pPr>
              <w:pStyle w:val="ListParagraph"/>
              <w:ind w:left="0"/>
            </w:pPr>
            <w:r w:rsidRPr="008A2F12">
              <w:t>33</w:t>
            </w:r>
          </w:p>
        </w:tc>
        <w:tc>
          <w:tcPr>
            <w:tcW w:w="696" w:type="dxa"/>
          </w:tcPr>
          <w:p w:rsidR="00F961FC" w:rsidRPr="008A2F12" w:rsidRDefault="00F961FC" w:rsidP="008A2F12">
            <w:pPr>
              <w:pStyle w:val="ListParagraph"/>
              <w:ind w:left="0"/>
            </w:pPr>
            <w:r w:rsidRPr="008A2F12">
              <w:t>58</w:t>
            </w:r>
          </w:p>
        </w:tc>
        <w:tc>
          <w:tcPr>
            <w:tcW w:w="696" w:type="dxa"/>
          </w:tcPr>
          <w:p w:rsidR="00F961FC" w:rsidRPr="008A2F12" w:rsidRDefault="00F961FC" w:rsidP="008A2F12">
            <w:pPr>
              <w:pStyle w:val="ListParagraph"/>
              <w:ind w:left="0"/>
            </w:pPr>
            <w:r w:rsidRPr="008A2F12">
              <w:t>23</w:t>
            </w:r>
          </w:p>
        </w:tc>
        <w:tc>
          <w:tcPr>
            <w:tcW w:w="696" w:type="dxa"/>
          </w:tcPr>
          <w:p w:rsidR="00F961FC" w:rsidRPr="008A2F12" w:rsidRDefault="00F961FC" w:rsidP="008A2F12">
            <w:pPr>
              <w:pStyle w:val="ListParagraph"/>
              <w:ind w:left="0"/>
            </w:pPr>
            <w:r w:rsidRPr="008A2F12">
              <w:t>52</w:t>
            </w:r>
          </w:p>
        </w:tc>
        <w:tc>
          <w:tcPr>
            <w:tcW w:w="696" w:type="dxa"/>
          </w:tcPr>
          <w:p w:rsidR="00F961FC" w:rsidRPr="008A2F12" w:rsidRDefault="00F961FC" w:rsidP="008A2F12">
            <w:pPr>
              <w:pStyle w:val="ListParagraph"/>
              <w:ind w:left="0"/>
            </w:pPr>
            <w:r w:rsidRPr="008A2F12">
              <w:t>120</w:t>
            </w:r>
          </w:p>
        </w:tc>
        <w:tc>
          <w:tcPr>
            <w:tcW w:w="696" w:type="dxa"/>
          </w:tcPr>
          <w:p w:rsidR="00F961FC" w:rsidRPr="008A2F12" w:rsidRDefault="00F961FC" w:rsidP="008A2F12">
            <w:pPr>
              <w:pStyle w:val="ListParagraph"/>
              <w:ind w:left="0"/>
            </w:pPr>
            <w:r w:rsidRPr="008A2F12">
              <w:t>31</w:t>
            </w:r>
          </w:p>
        </w:tc>
        <w:tc>
          <w:tcPr>
            <w:tcW w:w="696" w:type="dxa"/>
          </w:tcPr>
          <w:p w:rsidR="00F961FC" w:rsidRPr="008A2F12" w:rsidRDefault="00F961FC" w:rsidP="008A2F12">
            <w:pPr>
              <w:pStyle w:val="ListParagraph"/>
              <w:ind w:left="0"/>
            </w:pPr>
            <w:r w:rsidRPr="008A2F12">
              <w:t>103</w:t>
            </w:r>
          </w:p>
        </w:tc>
        <w:tc>
          <w:tcPr>
            <w:tcW w:w="750" w:type="dxa"/>
          </w:tcPr>
          <w:p w:rsidR="00F961FC" w:rsidRPr="008A2F12" w:rsidRDefault="00F961FC" w:rsidP="008A2F12">
            <w:pPr>
              <w:pStyle w:val="ListParagraph"/>
              <w:ind w:left="0"/>
            </w:pPr>
            <w:r w:rsidRPr="008A2F12">
              <w:t>20</w:t>
            </w:r>
          </w:p>
        </w:tc>
      </w:tr>
      <w:tr w:rsidR="00F961FC" w:rsidRPr="008A2F12" w:rsidTr="00F961FC">
        <w:trPr>
          <w:gridAfter w:val="1"/>
          <w:wAfter w:w="17" w:type="dxa"/>
        </w:trPr>
        <w:tc>
          <w:tcPr>
            <w:tcW w:w="857" w:type="dxa"/>
          </w:tcPr>
          <w:p w:rsidR="00F961FC" w:rsidRPr="008A2F12" w:rsidRDefault="00F961FC" w:rsidP="008A2F12">
            <w:pPr>
              <w:pStyle w:val="ListParagraph"/>
              <w:ind w:left="0"/>
            </w:pPr>
            <w:r w:rsidRPr="008A2F12">
              <w:t>Feb.</w:t>
            </w:r>
          </w:p>
        </w:tc>
        <w:tc>
          <w:tcPr>
            <w:tcW w:w="696" w:type="dxa"/>
          </w:tcPr>
          <w:p w:rsidR="00F961FC" w:rsidRPr="008A2F12" w:rsidRDefault="00F961FC" w:rsidP="008A2F12">
            <w:pPr>
              <w:pStyle w:val="ListParagraph"/>
              <w:ind w:left="0"/>
            </w:pPr>
            <w:r w:rsidRPr="008A2F12">
              <w:t>94</w:t>
            </w:r>
          </w:p>
        </w:tc>
        <w:tc>
          <w:tcPr>
            <w:tcW w:w="740" w:type="dxa"/>
          </w:tcPr>
          <w:p w:rsidR="00F961FC" w:rsidRPr="008A2F12" w:rsidRDefault="00F961FC" w:rsidP="008A2F12">
            <w:pPr>
              <w:pStyle w:val="ListParagraph"/>
              <w:ind w:left="0"/>
            </w:pPr>
            <w:r w:rsidRPr="008A2F12">
              <w:t>55</w:t>
            </w:r>
          </w:p>
        </w:tc>
        <w:tc>
          <w:tcPr>
            <w:tcW w:w="696" w:type="dxa"/>
          </w:tcPr>
          <w:p w:rsidR="00F961FC" w:rsidRPr="008A2F12" w:rsidRDefault="00F961FC" w:rsidP="008A2F12">
            <w:pPr>
              <w:pStyle w:val="ListParagraph"/>
              <w:ind w:left="0"/>
            </w:pPr>
            <w:r w:rsidRPr="008A2F12">
              <w:t>26</w:t>
            </w:r>
          </w:p>
        </w:tc>
        <w:tc>
          <w:tcPr>
            <w:tcW w:w="696" w:type="dxa"/>
          </w:tcPr>
          <w:p w:rsidR="00F961FC" w:rsidRPr="008A2F12" w:rsidRDefault="00F961FC" w:rsidP="008A2F12">
            <w:pPr>
              <w:pStyle w:val="ListParagraph"/>
              <w:ind w:left="0"/>
            </w:pPr>
            <w:r w:rsidRPr="008A2F12">
              <w:t>15</w:t>
            </w:r>
          </w:p>
        </w:tc>
        <w:tc>
          <w:tcPr>
            <w:tcW w:w="696" w:type="dxa"/>
          </w:tcPr>
          <w:p w:rsidR="00F961FC" w:rsidRPr="008A2F12" w:rsidRDefault="00F961FC" w:rsidP="008A2F12">
            <w:pPr>
              <w:pStyle w:val="ListParagraph"/>
              <w:ind w:left="0"/>
            </w:pPr>
            <w:r w:rsidRPr="008A2F12">
              <w:t>51</w:t>
            </w:r>
          </w:p>
        </w:tc>
        <w:tc>
          <w:tcPr>
            <w:tcW w:w="696" w:type="dxa"/>
          </w:tcPr>
          <w:p w:rsidR="00F961FC" w:rsidRPr="008A2F12" w:rsidRDefault="00F961FC" w:rsidP="008A2F12">
            <w:pPr>
              <w:pStyle w:val="ListParagraph"/>
              <w:ind w:left="0"/>
            </w:pPr>
            <w:r w:rsidRPr="008A2F12">
              <w:t>4</w:t>
            </w:r>
          </w:p>
        </w:tc>
        <w:tc>
          <w:tcPr>
            <w:tcW w:w="696" w:type="dxa"/>
          </w:tcPr>
          <w:p w:rsidR="00F961FC" w:rsidRPr="008A2F12" w:rsidRDefault="00F961FC" w:rsidP="008A2F12">
            <w:pPr>
              <w:pStyle w:val="ListParagraph"/>
              <w:ind w:left="0"/>
            </w:pPr>
            <w:r w:rsidRPr="008A2F12">
              <w:t>16</w:t>
            </w:r>
          </w:p>
        </w:tc>
        <w:tc>
          <w:tcPr>
            <w:tcW w:w="696" w:type="dxa"/>
          </w:tcPr>
          <w:p w:rsidR="00F961FC" w:rsidRPr="008A2F12" w:rsidRDefault="00F961FC" w:rsidP="008A2F12">
            <w:pPr>
              <w:pStyle w:val="ListParagraph"/>
              <w:ind w:left="0"/>
            </w:pPr>
            <w:r w:rsidRPr="008A2F12">
              <w:t>9</w:t>
            </w:r>
          </w:p>
        </w:tc>
        <w:tc>
          <w:tcPr>
            <w:tcW w:w="696" w:type="dxa"/>
          </w:tcPr>
          <w:p w:rsidR="00F961FC" w:rsidRPr="008A2F12" w:rsidRDefault="00F961FC" w:rsidP="008A2F12">
            <w:pPr>
              <w:pStyle w:val="ListParagraph"/>
              <w:ind w:left="0"/>
            </w:pPr>
            <w:r w:rsidRPr="008A2F12">
              <w:t>72</w:t>
            </w:r>
          </w:p>
        </w:tc>
        <w:tc>
          <w:tcPr>
            <w:tcW w:w="696" w:type="dxa"/>
          </w:tcPr>
          <w:p w:rsidR="00F961FC" w:rsidRPr="008A2F12" w:rsidRDefault="00F961FC" w:rsidP="008A2F12">
            <w:pPr>
              <w:pStyle w:val="ListParagraph"/>
              <w:ind w:left="0"/>
            </w:pPr>
            <w:r w:rsidRPr="008A2F12">
              <w:t>24</w:t>
            </w:r>
          </w:p>
        </w:tc>
        <w:tc>
          <w:tcPr>
            <w:tcW w:w="750" w:type="dxa"/>
          </w:tcPr>
          <w:p w:rsidR="00F961FC" w:rsidRPr="008A2F12" w:rsidRDefault="00F961FC" w:rsidP="008A2F12">
            <w:pPr>
              <w:pStyle w:val="ListParagraph"/>
              <w:ind w:left="0"/>
            </w:pPr>
            <w:r w:rsidRPr="008A2F12">
              <w:t>5</w:t>
            </w:r>
          </w:p>
        </w:tc>
      </w:tr>
      <w:tr w:rsidR="00F961FC" w:rsidRPr="008A2F12" w:rsidTr="00F961FC">
        <w:trPr>
          <w:gridAfter w:val="1"/>
          <w:wAfter w:w="17" w:type="dxa"/>
        </w:trPr>
        <w:tc>
          <w:tcPr>
            <w:tcW w:w="857" w:type="dxa"/>
          </w:tcPr>
          <w:p w:rsidR="00F961FC" w:rsidRPr="008A2F12" w:rsidRDefault="00F961FC" w:rsidP="008A2F12">
            <w:pPr>
              <w:pStyle w:val="ListParagraph"/>
              <w:ind w:left="0"/>
            </w:pPr>
            <w:r w:rsidRPr="008A2F12">
              <w:t>Mar.</w:t>
            </w:r>
          </w:p>
        </w:tc>
        <w:tc>
          <w:tcPr>
            <w:tcW w:w="696" w:type="dxa"/>
          </w:tcPr>
          <w:p w:rsidR="00F961FC" w:rsidRPr="008A2F12" w:rsidRDefault="00F961FC" w:rsidP="008A2F12">
            <w:pPr>
              <w:pStyle w:val="ListParagraph"/>
              <w:ind w:left="0"/>
            </w:pPr>
            <w:r w:rsidRPr="008A2F12">
              <w:t>119</w:t>
            </w:r>
          </w:p>
        </w:tc>
        <w:tc>
          <w:tcPr>
            <w:tcW w:w="740" w:type="dxa"/>
          </w:tcPr>
          <w:p w:rsidR="00F961FC" w:rsidRPr="008A2F12" w:rsidRDefault="00F961FC" w:rsidP="008A2F12">
            <w:pPr>
              <w:pStyle w:val="ListParagraph"/>
              <w:ind w:left="0"/>
            </w:pPr>
            <w:r w:rsidRPr="008A2F12">
              <w:t>31</w:t>
            </w:r>
          </w:p>
        </w:tc>
        <w:tc>
          <w:tcPr>
            <w:tcW w:w="696" w:type="dxa"/>
          </w:tcPr>
          <w:p w:rsidR="00F961FC" w:rsidRPr="008A2F12" w:rsidRDefault="00F961FC" w:rsidP="008A2F12">
            <w:pPr>
              <w:pStyle w:val="ListParagraph"/>
              <w:ind w:left="0"/>
            </w:pPr>
            <w:r w:rsidRPr="008A2F12">
              <w:t>43</w:t>
            </w:r>
          </w:p>
        </w:tc>
        <w:tc>
          <w:tcPr>
            <w:tcW w:w="696" w:type="dxa"/>
          </w:tcPr>
          <w:p w:rsidR="00F961FC" w:rsidRPr="008A2F12" w:rsidRDefault="00F961FC" w:rsidP="008A2F12">
            <w:pPr>
              <w:pStyle w:val="ListParagraph"/>
              <w:ind w:left="0"/>
            </w:pPr>
            <w:r w:rsidRPr="008A2F12">
              <w:t>3</w:t>
            </w:r>
          </w:p>
        </w:tc>
        <w:tc>
          <w:tcPr>
            <w:tcW w:w="696" w:type="dxa"/>
          </w:tcPr>
          <w:p w:rsidR="00F961FC" w:rsidRPr="008A2F12" w:rsidRDefault="00F961FC" w:rsidP="008A2F12">
            <w:pPr>
              <w:pStyle w:val="ListParagraph"/>
              <w:ind w:left="0"/>
            </w:pPr>
            <w:r w:rsidRPr="008A2F12">
              <w:t>51</w:t>
            </w:r>
          </w:p>
        </w:tc>
        <w:tc>
          <w:tcPr>
            <w:tcW w:w="696" w:type="dxa"/>
          </w:tcPr>
          <w:p w:rsidR="00F961FC" w:rsidRPr="008A2F12" w:rsidRDefault="00F961FC" w:rsidP="008A2F12">
            <w:pPr>
              <w:pStyle w:val="ListParagraph"/>
              <w:ind w:left="0"/>
            </w:pPr>
            <w:r w:rsidRPr="008A2F12">
              <w:t>88</w:t>
            </w:r>
          </w:p>
        </w:tc>
        <w:tc>
          <w:tcPr>
            <w:tcW w:w="696" w:type="dxa"/>
          </w:tcPr>
          <w:p w:rsidR="00F961FC" w:rsidRPr="008A2F12" w:rsidRDefault="00F961FC" w:rsidP="008A2F12">
            <w:pPr>
              <w:pStyle w:val="ListParagraph"/>
              <w:ind w:left="0"/>
            </w:pPr>
            <w:r w:rsidRPr="008A2F12">
              <w:t>65</w:t>
            </w:r>
          </w:p>
        </w:tc>
        <w:tc>
          <w:tcPr>
            <w:tcW w:w="696" w:type="dxa"/>
          </w:tcPr>
          <w:p w:rsidR="00F961FC" w:rsidRPr="008A2F12" w:rsidRDefault="00F961FC" w:rsidP="008A2F12">
            <w:pPr>
              <w:pStyle w:val="ListParagraph"/>
              <w:ind w:left="0"/>
            </w:pPr>
            <w:r w:rsidRPr="008A2F12">
              <w:t>4</w:t>
            </w:r>
          </w:p>
        </w:tc>
        <w:tc>
          <w:tcPr>
            <w:tcW w:w="696" w:type="dxa"/>
          </w:tcPr>
          <w:p w:rsidR="00F961FC" w:rsidRPr="008A2F12" w:rsidRDefault="00F961FC" w:rsidP="008A2F12">
            <w:pPr>
              <w:pStyle w:val="ListParagraph"/>
              <w:ind w:left="0"/>
            </w:pPr>
            <w:r w:rsidRPr="008A2F12">
              <w:t>11</w:t>
            </w:r>
          </w:p>
        </w:tc>
        <w:tc>
          <w:tcPr>
            <w:tcW w:w="696" w:type="dxa"/>
          </w:tcPr>
          <w:p w:rsidR="00F961FC" w:rsidRPr="008A2F12" w:rsidRDefault="00F961FC" w:rsidP="008A2F12">
            <w:pPr>
              <w:pStyle w:val="ListParagraph"/>
              <w:ind w:left="0"/>
            </w:pPr>
            <w:r w:rsidRPr="008A2F12">
              <w:t>192</w:t>
            </w:r>
          </w:p>
        </w:tc>
        <w:tc>
          <w:tcPr>
            <w:tcW w:w="750" w:type="dxa"/>
          </w:tcPr>
          <w:p w:rsidR="00F961FC" w:rsidRPr="008A2F12" w:rsidRDefault="00F961FC" w:rsidP="008A2F12">
            <w:pPr>
              <w:pStyle w:val="ListParagraph"/>
              <w:ind w:left="0"/>
            </w:pPr>
            <w:r w:rsidRPr="008A2F12">
              <w:t>118</w:t>
            </w:r>
          </w:p>
        </w:tc>
      </w:tr>
      <w:tr w:rsidR="00F961FC" w:rsidRPr="008A2F12" w:rsidTr="00F961FC">
        <w:trPr>
          <w:gridAfter w:val="1"/>
          <w:wAfter w:w="17" w:type="dxa"/>
        </w:trPr>
        <w:tc>
          <w:tcPr>
            <w:tcW w:w="857" w:type="dxa"/>
          </w:tcPr>
          <w:p w:rsidR="00F961FC" w:rsidRPr="008A2F12" w:rsidRDefault="00F961FC" w:rsidP="008A2F12">
            <w:pPr>
              <w:pStyle w:val="ListParagraph"/>
              <w:ind w:left="0"/>
            </w:pPr>
            <w:r w:rsidRPr="008A2F12">
              <w:t>Nov.</w:t>
            </w:r>
          </w:p>
        </w:tc>
        <w:tc>
          <w:tcPr>
            <w:tcW w:w="696" w:type="dxa"/>
          </w:tcPr>
          <w:p w:rsidR="00F961FC" w:rsidRPr="008A2F12" w:rsidRDefault="00F961FC" w:rsidP="008A2F12">
            <w:pPr>
              <w:pStyle w:val="ListParagraph"/>
              <w:ind w:left="0"/>
            </w:pPr>
            <w:r w:rsidRPr="008A2F12">
              <w:t>12</w:t>
            </w:r>
          </w:p>
        </w:tc>
        <w:tc>
          <w:tcPr>
            <w:tcW w:w="740" w:type="dxa"/>
          </w:tcPr>
          <w:p w:rsidR="00F961FC" w:rsidRPr="008A2F12" w:rsidRDefault="00F961FC" w:rsidP="008A2F12">
            <w:pPr>
              <w:pStyle w:val="ListParagraph"/>
              <w:ind w:left="0"/>
            </w:pPr>
            <w:r w:rsidRPr="008A2F12">
              <w:t>12</w:t>
            </w:r>
          </w:p>
        </w:tc>
        <w:tc>
          <w:tcPr>
            <w:tcW w:w="696" w:type="dxa"/>
          </w:tcPr>
          <w:p w:rsidR="00F961FC" w:rsidRPr="008A2F12" w:rsidRDefault="00F961FC" w:rsidP="008A2F12">
            <w:pPr>
              <w:pStyle w:val="ListParagraph"/>
              <w:ind w:left="0"/>
            </w:pPr>
            <w:r w:rsidRPr="008A2F12">
              <w:t>11</w:t>
            </w:r>
          </w:p>
        </w:tc>
        <w:tc>
          <w:tcPr>
            <w:tcW w:w="696" w:type="dxa"/>
          </w:tcPr>
          <w:p w:rsidR="00F961FC" w:rsidRPr="008A2F12" w:rsidRDefault="00F961FC" w:rsidP="008A2F12">
            <w:pPr>
              <w:pStyle w:val="ListParagraph"/>
              <w:ind w:left="0"/>
            </w:pPr>
            <w:r w:rsidRPr="008A2F12">
              <w:t>13</w:t>
            </w:r>
          </w:p>
        </w:tc>
        <w:tc>
          <w:tcPr>
            <w:tcW w:w="696" w:type="dxa"/>
          </w:tcPr>
          <w:p w:rsidR="00F961FC" w:rsidRPr="008A2F12" w:rsidRDefault="00F961FC" w:rsidP="008A2F12">
            <w:pPr>
              <w:pStyle w:val="ListParagraph"/>
              <w:ind w:left="0"/>
            </w:pPr>
            <w:r w:rsidRPr="008A2F12">
              <w:t>5</w:t>
            </w:r>
          </w:p>
        </w:tc>
        <w:tc>
          <w:tcPr>
            <w:tcW w:w="696" w:type="dxa"/>
          </w:tcPr>
          <w:p w:rsidR="00F961FC" w:rsidRPr="008A2F12" w:rsidRDefault="00F961FC" w:rsidP="008A2F12">
            <w:pPr>
              <w:pStyle w:val="ListParagraph"/>
              <w:ind w:left="0"/>
            </w:pPr>
            <w:r w:rsidRPr="008A2F12">
              <w:t>28</w:t>
            </w:r>
          </w:p>
        </w:tc>
        <w:tc>
          <w:tcPr>
            <w:tcW w:w="696" w:type="dxa"/>
          </w:tcPr>
          <w:p w:rsidR="00F961FC" w:rsidRPr="008A2F12" w:rsidRDefault="00F961FC" w:rsidP="008A2F12">
            <w:pPr>
              <w:pStyle w:val="ListParagraph"/>
              <w:ind w:left="0"/>
            </w:pPr>
            <w:r w:rsidRPr="008A2F12">
              <w:t>37</w:t>
            </w:r>
          </w:p>
        </w:tc>
        <w:tc>
          <w:tcPr>
            <w:tcW w:w="696" w:type="dxa"/>
          </w:tcPr>
          <w:p w:rsidR="00F961FC" w:rsidRPr="008A2F12" w:rsidRDefault="00F961FC" w:rsidP="008A2F12">
            <w:pPr>
              <w:pStyle w:val="ListParagraph"/>
              <w:ind w:left="0"/>
            </w:pPr>
            <w:r w:rsidRPr="008A2F12">
              <w:t>8</w:t>
            </w:r>
          </w:p>
        </w:tc>
        <w:tc>
          <w:tcPr>
            <w:tcW w:w="696" w:type="dxa"/>
          </w:tcPr>
          <w:p w:rsidR="00F961FC" w:rsidRPr="008A2F12" w:rsidRDefault="00F961FC" w:rsidP="008A2F12">
            <w:pPr>
              <w:pStyle w:val="ListParagraph"/>
              <w:ind w:left="0"/>
            </w:pPr>
            <w:r w:rsidRPr="008A2F12">
              <w:t>104</w:t>
            </w:r>
          </w:p>
        </w:tc>
        <w:tc>
          <w:tcPr>
            <w:tcW w:w="696" w:type="dxa"/>
          </w:tcPr>
          <w:p w:rsidR="00F961FC" w:rsidRPr="008A2F12" w:rsidRDefault="00F961FC" w:rsidP="008A2F12">
            <w:pPr>
              <w:pStyle w:val="ListParagraph"/>
              <w:ind w:left="0"/>
            </w:pPr>
            <w:r w:rsidRPr="008A2F12">
              <w:t>10</w:t>
            </w:r>
          </w:p>
        </w:tc>
        <w:tc>
          <w:tcPr>
            <w:tcW w:w="750" w:type="dxa"/>
          </w:tcPr>
          <w:p w:rsidR="00F961FC" w:rsidRPr="008A2F12" w:rsidRDefault="00F961FC" w:rsidP="008A2F12">
            <w:pPr>
              <w:pStyle w:val="ListParagraph"/>
              <w:ind w:left="0"/>
            </w:pPr>
            <w:r w:rsidRPr="008A2F12">
              <w:t>N/A*</w:t>
            </w:r>
          </w:p>
        </w:tc>
      </w:tr>
      <w:tr w:rsidR="00F961FC" w:rsidRPr="008A2F12" w:rsidTr="00F961FC">
        <w:trPr>
          <w:gridAfter w:val="1"/>
          <w:wAfter w:w="17" w:type="dxa"/>
        </w:trPr>
        <w:tc>
          <w:tcPr>
            <w:tcW w:w="857" w:type="dxa"/>
          </w:tcPr>
          <w:p w:rsidR="00F961FC" w:rsidRPr="008A2F12" w:rsidRDefault="00F961FC" w:rsidP="008A2F12">
            <w:pPr>
              <w:pStyle w:val="ListParagraph"/>
              <w:ind w:left="0"/>
            </w:pPr>
            <w:r w:rsidRPr="008A2F12">
              <w:t>Dec.</w:t>
            </w:r>
          </w:p>
        </w:tc>
        <w:tc>
          <w:tcPr>
            <w:tcW w:w="696" w:type="dxa"/>
          </w:tcPr>
          <w:p w:rsidR="00F961FC" w:rsidRPr="008A2F12" w:rsidRDefault="00F961FC" w:rsidP="008A2F12">
            <w:pPr>
              <w:pStyle w:val="ListParagraph"/>
              <w:ind w:left="0"/>
            </w:pPr>
            <w:r w:rsidRPr="008A2F12">
              <w:t>83</w:t>
            </w:r>
          </w:p>
        </w:tc>
        <w:tc>
          <w:tcPr>
            <w:tcW w:w="740" w:type="dxa"/>
          </w:tcPr>
          <w:p w:rsidR="00F961FC" w:rsidRPr="008A2F12" w:rsidRDefault="00F961FC" w:rsidP="008A2F12">
            <w:pPr>
              <w:pStyle w:val="ListParagraph"/>
              <w:ind w:left="0"/>
            </w:pPr>
            <w:r w:rsidRPr="008A2F12">
              <w:t>28</w:t>
            </w:r>
          </w:p>
        </w:tc>
        <w:tc>
          <w:tcPr>
            <w:tcW w:w="696" w:type="dxa"/>
          </w:tcPr>
          <w:p w:rsidR="00F961FC" w:rsidRPr="008A2F12" w:rsidRDefault="00F961FC" w:rsidP="008A2F12">
            <w:pPr>
              <w:pStyle w:val="ListParagraph"/>
              <w:ind w:left="0"/>
            </w:pPr>
            <w:r w:rsidRPr="008A2F12">
              <w:t>28</w:t>
            </w:r>
          </w:p>
        </w:tc>
        <w:tc>
          <w:tcPr>
            <w:tcW w:w="696" w:type="dxa"/>
          </w:tcPr>
          <w:p w:rsidR="00F961FC" w:rsidRPr="008A2F12" w:rsidRDefault="00F961FC" w:rsidP="008A2F12">
            <w:pPr>
              <w:pStyle w:val="ListParagraph"/>
              <w:ind w:left="0"/>
            </w:pPr>
            <w:r w:rsidRPr="008A2F12">
              <w:t>10</w:t>
            </w:r>
          </w:p>
        </w:tc>
        <w:tc>
          <w:tcPr>
            <w:tcW w:w="696" w:type="dxa"/>
          </w:tcPr>
          <w:p w:rsidR="00F961FC" w:rsidRPr="008A2F12" w:rsidRDefault="00F961FC" w:rsidP="008A2F12">
            <w:pPr>
              <w:pStyle w:val="ListParagraph"/>
              <w:ind w:left="0"/>
            </w:pPr>
            <w:r w:rsidRPr="008A2F12">
              <w:t>7</w:t>
            </w:r>
          </w:p>
        </w:tc>
        <w:tc>
          <w:tcPr>
            <w:tcW w:w="696" w:type="dxa"/>
          </w:tcPr>
          <w:p w:rsidR="00F961FC" w:rsidRPr="008A2F12" w:rsidRDefault="00F961FC" w:rsidP="008A2F12">
            <w:pPr>
              <w:pStyle w:val="ListParagraph"/>
              <w:ind w:left="0"/>
            </w:pPr>
            <w:r w:rsidRPr="008A2F12">
              <w:t>129</w:t>
            </w:r>
          </w:p>
        </w:tc>
        <w:tc>
          <w:tcPr>
            <w:tcW w:w="696" w:type="dxa"/>
          </w:tcPr>
          <w:p w:rsidR="00F961FC" w:rsidRPr="008A2F12" w:rsidRDefault="00F961FC" w:rsidP="008A2F12">
            <w:pPr>
              <w:pStyle w:val="ListParagraph"/>
              <w:ind w:left="0"/>
            </w:pPr>
            <w:r w:rsidRPr="008A2F12">
              <w:t>85</w:t>
            </w:r>
          </w:p>
        </w:tc>
        <w:tc>
          <w:tcPr>
            <w:tcW w:w="696" w:type="dxa"/>
          </w:tcPr>
          <w:p w:rsidR="00F961FC" w:rsidRPr="008A2F12" w:rsidRDefault="00F961FC" w:rsidP="008A2F12">
            <w:pPr>
              <w:pStyle w:val="ListParagraph"/>
              <w:ind w:left="0"/>
            </w:pPr>
            <w:r w:rsidRPr="008A2F12">
              <w:t>111</w:t>
            </w:r>
          </w:p>
        </w:tc>
        <w:tc>
          <w:tcPr>
            <w:tcW w:w="696" w:type="dxa"/>
          </w:tcPr>
          <w:p w:rsidR="00F961FC" w:rsidRPr="008A2F12" w:rsidRDefault="00F961FC" w:rsidP="008A2F12">
            <w:pPr>
              <w:pStyle w:val="ListParagraph"/>
              <w:ind w:left="0"/>
            </w:pPr>
            <w:r w:rsidRPr="008A2F12">
              <w:t>18</w:t>
            </w:r>
          </w:p>
        </w:tc>
        <w:tc>
          <w:tcPr>
            <w:tcW w:w="696" w:type="dxa"/>
          </w:tcPr>
          <w:p w:rsidR="00F961FC" w:rsidRPr="008A2F12" w:rsidRDefault="00F961FC" w:rsidP="008A2F12">
            <w:pPr>
              <w:pStyle w:val="ListParagraph"/>
              <w:ind w:left="0"/>
            </w:pPr>
            <w:r w:rsidRPr="008A2F12">
              <w:t>6</w:t>
            </w:r>
          </w:p>
        </w:tc>
        <w:tc>
          <w:tcPr>
            <w:tcW w:w="750" w:type="dxa"/>
          </w:tcPr>
          <w:p w:rsidR="00F961FC" w:rsidRPr="008A2F12" w:rsidRDefault="00F961FC" w:rsidP="008A2F12">
            <w:pPr>
              <w:pStyle w:val="ListParagraph"/>
              <w:ind w:left="0"/>
            </w:pPr>
            <w:r w:rsidRPr="008A2F12">
              <w:t>N/A*</w:t>
            </w:r>
          </w:p>
        </w:tc>
      </w:tr>
    </w:tbl>
    <w:p w:rsidR="00F961FC" w:rsidRPr="008A2F12" w:rsidRDefault="0042401B" w:rsidP="008A2F12">
      <w:pPr>
        <w:pStyle w:val="ListParagraph"/>
        <w:spacing w:line="360" w:lineRule="auto"/>
      </w:pPr>
      <w:r w:rsidRPr="008A2F12">
        <w:t xml:space="preserve">PGW Exhibits 3, 4. *Note-N/A means not available </w:t>
      </w:r>
    </w:p>
    <w:p w:rsidR="0042401B" w:rsidRPr="008A2F12" w:rsidRDefault="0042401B" w:rsidP="008A2F12">
      <w:pPr>
        <w:pStyle w:val="ListParagraph"/>
        <w:spacing w:line="360" w:lineRule="auto"/>
      </w:pPr>
    </w:p>
    <w:p w:rsidR="002C310D" w:rsidRPr="008A2F12" w:rsidRDefault="00F961FC" w:rsidP="008A2F12">
      <w:pPr>
        <w:spacing w:line="360" w:lineRule="auto"/>
        <w:ind w:firstLine="1440"/>
      </w:pPr>
      <w:r w:rsidRPr="008A2F12">
        <w:t>The</w:t>
      </w:r>
      <w:r w:rsidR="0042401B" w:rsidRPr="008A2F12">
        <w:t xml:space="preserve"> usage of gas service for the winter months during the no</w:t>
      </w:r>
      <w:r w:rsidR="002C310D" w:rsidRPr="008A2F12">
        <w:t>n-tampering period are as follows:</w:t>
      </w:r>
    </w:p>
    <w:tbl>
      <w:tblPr>
        <w:tblStyle w:val="TableGrid"/>
        <w:tblW w:w="0" w:type="auto"/>
        <w:tblInd w:w="618" w:type="dxa"/>
        <w:tblLook w:val="04A0" w:firstRow="1" w:lastRow="0" w:firstColumn="1" w:lastColumn="0" w:noHBand="0" w:noVBand="1"/>
      </w:tblPr>
      <w:tblGrid>
        <w:gridCol w:w="1078"/>
        <w:gridCol w:w="987"/>
        <w:gridCol w:w="988"/>
        <w:gridCol w:w="988"/>
        <w:gridCol w:w="988"/>
        <w:gridCol w:w="988"/>
        <w:gridCol w:w="988"/>
        <w:gridCol w:w="927"/>
        <w:gridCol w:w="9"/>
      </w:tblGrid>
      <w:tr w:rsidR="0042401B" w:rsidRPr="008A2F12" w:rsidTr="0042401B">
        <w:trPr>
          <w:gridAfter w:val="1"/>
          <w:wAfter w:w="9" w:type="dxa"/>
        </w:trPr>
        <w:tc>
          <w:tcPr>
            <w:tcW w:w="7932" w:type="dxa"/>
            <w:gridSpan w:val="8"/>
          </w:tcPr>
          <w:p w:rsidR="0042401B" w:rsidRPr="008A2F12" w:rsidRDefault="0042401B" w:rsidP="008A2F12">
            <w:pPr>
              <w:spacing w:line="360" w:lineRule="auto"/>
              <w:jc w:val="center"/>
            </w:pPr>
            <w:r w:rsidRPr="008A2F12">
              <w:t>Usage in CCFs during the winter months</w:t>
            </w:r>
          </w:p>
        </w:tc>
      </w:tr>
      <w:tr w:rsidR="0042401B" w:rsidRPr="008A2F12" w:rsidTr="00D10153">
        <w:tc>
          <w:tcPr>
            <w:tcW w:w="1078" w:type="dxa"/>
          </w:tcPr>
          <w:p w:rsidR="0042401B" w:rsidRPr="008A2F12" w:rsidRDefault="0042401B" w:rsidP="008A2F12">
            <w:pPr>
              <w:spacing w:line="360" w:lineRule="auto"/>
            </w:pPr>
            <w:r w:rsidRPr="008A2F12">
              <w:t>Month</w:t>
            </w:r>
          </w:p>
        </w:tc>
        <w:tc>
          <w:tcPr>
            <w:tcW w:w="987" w:type="dxa"/>
          </w:tcPr>
          <w:p w:rsidR="0042401B" w:rsidRPr="008A2F12" w:rsidRDefault="0042401B" w:rsidP="008A2F12">
            <w:pPr>
              <w:spacing w:line="360" w:lineRule="auto"/>
            </w:pPr>
            <w:r w:rsidRPr="008A2F12">
              <w:t>1998</w:t>
            </w:r>
          </w:p>
        </w:tc>
        <w:tc>
          <w:tcPr>
            <w:tcW w:w="988" w:type="dxa"/>
          </w:tcPr>
          <w:p w:rsidR="0042401B" w:rsidRPr="008A2F12" w:rsidRDefault="0042401B" w:rsidP="008A2F12">
            <w:pPr>
              <w:spacing w:line="360" w:lineRule="auto"/>
            </w:pPr>
            <w:r w:rsidRPr="008A2F12">
              <w:t>1999</w:t>
            </w:r>
          </w:p>
        </w:tc>
        <w:tc>
          <w:tcPr>
            <w:tcW w:w="988" w:type="dxa"/>
          </w:tcPr>
          <w:p w:rsidR="0042401B" w:rsidRPr="008A2F12" w:rsidRDefault="0042401B" w:rsidP="008A2F12">
            <w:pPr>
              <w:spacing w:line="360" w:lineRule="auto"/>
            </w:pPr>
            <w:r w:rsidRPr="008A2F12">
              <w:t>2000</w:t>
            </w:r>
          </w:p>
        </w:tc>
        <w:tc>
          <w:tcPr>
            <w:tcW w:w="988" w:type="dxa"/>
          </w:tcPr>
          <w:p w:rsidR="0042401B" w:rsidRPr="008A2F12" w:rsidRDefault="0042401B" w:rsidP="008A2F12">
            <w:pPr>
              <w:spacing w:line="360" w:lineRule="auto"/>
            </w:pPr>
            <w:r w:rsidRPr="008A2F12">
              <w:t>2001</w:t>
            </w:r>
          </w:p>
        </w:tc>
        <w:tc>
          <w:tcPr>
            <w:tcW w:w="988" w:type="dxa"/>
          </w:tcPr>
          <w:p w:rsidR="0042401B" w:rsidRPr="008A2F12" w:rsidRDefault="0042401B" w:rsidP="008A2F12">
            <w:pPr>
              <w:spacing w:line="360" w:lineRule="auto"/>
            </w:pPr>
            <w:r w:rsidRPr="008A2F12">
              <w:t>2002</w:t>
            </w:r>
          </w:p>
        </w:tc>
        <w:tc>
          <w:tcPr>
            <w:tcW w:w="988" w:type="dxa"/>
          </w:tcPr>
          <w:p w:rsidR="0042401B" w:rsidRPr="008A2F12" w:rsidRDefault="0042401B" w:rsidP="008A2F12">
            <w:pPr>
              <w:spacing w:line="360" w:lineRule="auto"/>
            </w:pPr>
            <w:r w:rsidRPr="008A2F12">
              <w:t>2003</w:t>
            </w:r>
          </w:p>
        </w:tc>
        <w:tc>
          <w:tcPr>
            <w:tcW w:w="936" w:type="dxa"/>
            <w:gridSpan w:val="2"/>
          </w:tcPr>
          <w:p w:rsidR="0042401B" w:rsidRPr="008A2F12" w:rsidRDefault="0042401B" w:rsidP="008A2F12">
            <w:pPr>
              <w:spacing w:line="360" w:lineRule="auto"/>
            </w:pPr>
            <w:r w:rsidRPr="008A2F12">
              <w:t>2004</w:t>
            </w:r>
          </w:p>
        </w:tc>
      </w:tr>
      <w:tr w:rsidR="0042401B" w:rsidRPr="008A2F12" w:rsidTr="00D10153">
        <w:tc>
          <w:tcPr>
            <w:tcW w:w="1078" w:type="dxa"/>
          </w:tcPr>
          <w:p w:rsidR="0042401B" w:rsidRPr="008A2F12" w:rsidRDefault="0042401B" w:rsidP="008A2F12">
            <w:pPr>
              <w:spacing w:line="360" w:lineRule="auto"/>
            </w:pPr>
            <w:r w:rsidRPr="008A2F12">
              <w:t>Jan.</w:t>
            </w:r>
          </w:p>
        </w:tc>
        <w:tc>
          <w:tcPr>
            <w:tcW w:w="987" w:type="dxa"/>
          </w:tcPr>
          <w:p w:rsidR="0042401B" w:rsidRPr="008A2F12" w:rsidRDefault="0042401B" w:rsidP="008A2F12">
            <w:pPr>
              <w:spacing w:line="360" w:lineRule="auto"/>
            </w:pPr>
            <w:r w:rsidRPr="008A2F12">
              <w:t>79</w:t>
            </w:r>
          </w:p>
        </w:tc>
        <w:tc>
          <w:tcPr>
            <w:tcW w:w="988" w:type="dxa"/>
          </w:tcPr>
          <w:p w:rsidR="0042401B" w:rsidRPr="008A2F12" w:rsidRDefault="0042401B" w:rsidP="008A2F12">
            <w:pPr>
              <w:spacing w:line="360" w:lineRule="auto"/>
            </w:pPr>
            <w:r w:rsidRPr="008A2F12">
              <w:t>99</w:t>
            </w:r>
          </w:p>
        </w:tc>
        <w:tc>
          <w:tcPr>
            <w:tcW w:w="988" w:type="dxa"/>
          </w:tcPr>
          <w:p w:rsidR="0042401B" w:rsidRPr="008A2F12" w:rsidRDefault="0042401B" w:rsidP="008A2F12">
            <w:pPr>
              <w:spacing w:line="360" w:lineRule="auto"/>
            </w:pPr>
            <w:r w:rsidRPr="008A2F12">
              <w:t>217</w:t>
            </w:r>
          </w:p>
        </w:tc>
        <w:tc>
          <w:tcPr>
            <w:tcW w:w="988" w:type="dxa"/>
          </w:tcPr>
          <w:p w:rsidR="0042401B" w:rsidRPr="008A2F12" w:rsidRDefault="0042401B" w:rsidP="008A2F12">
            <w:pPr>
              <w:spacing w:line="360" w:lineRule="auto"/>
            </w:pPr>
            <w:r w:rsidRPr="008A2F12">
              <w:t>326</w:t>
            </w:r>
          </w:p>
        </w:tc>
        <w:tc>
          <w:tcPr>
            <w:tcW w:w="988" w:type="dxa"/>
          </w:tcPr>
          <w:p w:rsidR="0042401B" w:rsidRPr="008A2F12" w:rsidRDefault="0042401B" w:rsidP="008A2F12">
            <w:pPr>
              <w:spacing w:line="360" w:lineRule="auto"/>
            </w:pPr>
            <w:r w:rsidRPr="008A2F12">
              <w:t>122</w:t>
            </w:r>
          </w:p>
        </w:tc>
        <w:tc>
          <w:tcPr>
            <w:tcW w:w="988" w:type="dxa"/>
          </w:tcPr>
          <w:p w:rsidR="0042401B" w:rsidRPr="008A2F12" w:rsidRDefault="0042401B" w:rsidP="008A2F12">
            <w:pPr>
              <w:spacing w:line="360" w:lineRule="auto"/>
            </w:pPr>
            <w:r w:rsidRPr="008A2F12">
              <w:t>96</w:t>
            </w:r>
          </w:p>
        </w:tc>
        <w:tc>
          <w:tcPr>
            <w:tcW w:w="936" w:type="dxa"/>
            <w:gridSpan w:val="2"/>
          </w:tcPr>
          <w:p w:rsidR="0042401B" w:rsidRPr="008A2F12" w:rsidRDefault="0042401B" w:rsidP="008A2F12">
            <w:pPr>
              <w:spacing w:line="360" w:lineRule="auto"/>
            </w:pPr>
            <w:r w:rsidRPr="008A2F12">
              <w:t>116</w:t>
            </w:r>
          </w:p>
        </w:tc>
      </w:tr>
      <w:tr w:rsidR="0042401B" w:rsidRPr="008A2F12" w:rsidTr="00D10153">
        <w:tc>
          <w:tcPr>
            <w:tcW w:w="1078" w:type="dxa"/>
          </w:tcPr>
          <w:p w:rsidR="0042401B" w:rsidRPr="008A2F12" w:rsidRDefault="0042401B" w:rsidP="008A2F12">
            <w:pPr>
              <w:spacing w:line="360" w:lineRule="auto"/>
            </w:pPr>
            <w:r w:rsidRPr="008A2F12">
              <w:t>Feb.</w:t>
            </w:r>
          </w:p>
        </w:tc>
        <w:tc>
          <w:tcPr>
            <w:tcW w:w="987" w:type="dxa"/>
          </w:tcPr>
          <w:p w:rsidR="0042401B" w:rsidRPr="008A2F12" w:rsidRDefault="0042401B" w:rsidP="008A2F12">
            <w:pPr>
              <w:spacing w:line="360" w:lineRule="auto"/>
            </w:pPr>
            <w:r w:rsidRPr="008A2F12">
              <w:t>90</w:t>
            </w:r>
          </w:p>
        </w:tc>
        <w:tc>
          <w:tcPr>
            <w:tcW w:w="988" w:type="dxa"/>
          </w:tcPr>
          <w:p w:rsidR="0042401B" w:rsidRPr="008A2F12" w:rsidRDefault="0042401B" w:rsidP="008A2F12">
            <w:pPr>
              <w:spacing w:line="360" w:lineRule="auto"/>
            </w:pPr>
            <w:r w:rsidRPr="008A2F12">
              <w:t>92</w:t>
            </w:r>
          </w:p>
        </w:tc>
        <w:tc>
          <w:tcPr>
            <w:tcW w:w="988" w:type="dxa"/>
          </w:tcPr>
          <w:p w:rsidR="0042401B" w:rsidRPr="008A2F12" w:rsidRDefault="0042401B" w:rsidP="008A2F12">
            <w:pPr>
              <w:spacing w:line="360" w:lineRule="auto"/>
            </w:pPr>
            <w:r w:rsidRPr="008A2F12">
              <w:t>286</w:t>
            </w:r>
          </w:p>
        </w:tc>
        <w:tc>
          <w:tcPr>
            <w:tcW w:w="988" w:type="dxa"/>
          </w:tcPr>
          <w:p w:rsidR="0042401B" w:rsidRPr="008A2F12" w:rsidRDefault="0042401B" w:rsidP="008A2F12">
            <w:pPr>
              <w:spacing w:line="360" w:lineRule="auto"/>
            </w:pPr>
            <w:r w:rsidRPr="008A2F12">
              <w:t>168</w:t>
            </w:r>
          </w:p>
        </w:tc>
        <w:tc>
          <w:tcPr>
            <w:tcW w:w="988" w:type="dxa"/>
          </w:tcPr>
          <w:p w:rsidR="0042401B" w:rsidRPr="008A2F12" w:rsidRDefault="0042401B" w:rsidP="008A2F12">
            <w:pPr>
              <w:spacing w:line="360" w:lineRule="auto"/>
            </w:pPr>
            <w:r w:rsidRPr="008A2F12">
              <w:t>155</w:t>
            </w:r>
          </w:p>
        </w:tc>
        <w:tc>
          <w:tcPr>
            <w:tcW w:w="988" w:type="dxa"/>
          </w:tcPr>
          <w:p w:rsidR="0042401B" w:rsidRPr="008A2F12" w:rsidRDefault="0042401B" w:rsidP="008A2F12">
            <w:pPr>
              <w:spacing w:line="360" w:lineRule="auto"/>
            </w:pPr>
            <w:r w:rsidRPr="008A2F12">
              <w:t>109</w:t>
            </w:r>
          </w:p>
        </w:tc>
        <w:tc>
          <w:tcPr>
            <w:tcW w:w="936" w:type="dxa"/>
            <w:gridSpan w:val="2"/>
          </w:tcPr>
          <w:p w:rsidR="0042401B" w:rsidRPr="008A2F12" w:rsidRDefault="0042401B" w:rsidP="008A2F12">
            <w:pPr>
              <w:spacing w:line="360" w:lineRule="auto"/>
            </w:pPr>
            <w:r w:rsidRPr="008A2F12">
              <w:t>33</w:t>
            </w:r>
          </w:p>
        </w:tc>
      </w:tr>
      <w:tr w:rsidR="0042401B" w:rsidRPr="008A2F12" w:rsidTr="00D10153">
        <w:tc>
          <w:tcPr>
            <w:tcW w:w="1078" w:type="dxa"/>
          </w:tcPr>
          <w:p w:rsidR="0042401B" w:rsidRPr="008A2F12" w:rsidRDefault="0042401B" w:rsidP="008A2F12">
            <w:pPr>
              <w:spacing w:line="360" w:lineRule="auto"/>
            </w:pPr>
            <w:r w:rsidRPr="008A2F12">
              <w:t>Mar.</w:t>
            </w:r>
          </w:p>
        </w:tc>
        <w:tc>
          <w:tcPr>
            <w:tcW w:w="987" w:type="dxa"/>
          </w:tcPr>
          <w:p w:rsidR="0042401B" w:rsidRPr="008A2F12" w:rsidRDefault="0042401B" w:rsidP="008A2F12">
            <w:pPr>
              <w:spacing w:line="360" w:lineRule="auto"/>
            </w:pPr>
            <w:r w:rsidRPr="008A2F12">
              <w:t>78</w:t>
            </w:r>
          </w:p>
        </w:tc>
        <w:tc>
          <w:tcPr>
            <w:tcW w:w="988" w:type="dxa"/>
          </w:tcPr>
          <w:p w:rsidR="0042401B" w:rsidRPr="008A2F12" w:rsidRDefault="0042401B" w:rsidP="008A2F12">
            <w:pPr>
              <w:spacing w:line="360" w:lineRule="auto"/>
            </w:pPr>
            <w:r w:rsidRPr="008A2F12">
              <w:t>69</w:t>
            </w:r>
          </w:p>
        </w:tc>
        <w:tc>
          <w:tcPr>
            <w:tcW w:w="988" w:type="dxa"/>
          </w:tcPr>
          <w:p w:rsidR="0042401B" w:rsidRPr="008A2F12" w:rsidRDefault="0042401B" w:rsidP="008A2F12">
            <w:pPr>
              <w:spacing w:line="360" w:lineRule="auto"/>
            </w:pPr>
            <w:r w:rsidRPr="008A2F12">
              <w:t>220</w:t>
            </w:r>
          </w:p>
        </w:tc>
        <w:tc>
          <w:tcPr>
            <w:tcW w:w="988" w:type="dxa"/>
          </w:tcPr>
          <w:p w:rsidR="0042401B" w:rsidRPr="008A2F12" w:rsidRDefault="0042401B" w:rsidP="008A2F12">
            <w:pPr>
              <w:spacing w:line="360" w:lineRule="auto"/>
            </w:pPr>
            <w:r w:rsidRPr="008A2F12">
              <w:t>149</w:t>
            </w:r>
          </w:p>
        </w:tc>
        <w:tc>
          <w:tcPr>
            <w:tcW w:w="988" w:type="dxa"/>
          </w:tcPr>
          <w:p w:rsidR="0042401B" w:rsidRPr="008A2F12" w:rsidRDefault="0042401B" w:rsidP="008A2F12">
            <w:pPr>
              <w:spacing w:line="360" w:lineRule="auto"/>
            </w:pPr>
            <w:r w:rsidRPr="008A2F12">
              <w:t>150</w:t>
            </w:r>
          </w:p>
        </w:tc>
        <w:tc>
          <w:tcPr>
            <w:tcW w:w="988" w:type="dxa"/>
          </w:tcPr>
          <w:p w:rsidR="0042401B" w:rsidRPr="008A2F12" w:rsidRDefault="0042401B" w:rsidP="008A2F12">
            <w:pPr>
              <w:spacing w:line="360" w:lineRule="auto"/>
            </w:pPr>
            <w:r w:rsidRPr="008A2F12">
              <w:t>108</w:t>
            </w:r>
          </w:p>
        </w:tc>
        <w:tc>
          <w:tcPr>
            <w:tcW w:w="936" w:type="dxa"/>
            <w:gridSpan w:val="2"/>
          </w:tcPr>
          <w:p w:rsidR="0042401B" w:rsidRPr="008A2F12" w:rsidRDefault="0042401B" w:rsidP="008A2F12">
            <w:pPr>
              <w:spacing w:line="360" w:lineRule="auto"/>
            </w:pPr>
            <w:r w:rsidRPr="008A2F12">
              <w:t>62</w:t>
            </w:r>
          </w:p>
        </w:tc>
      </w:tr>
      <w:tr w:rsidR="0042401B" w:rsidRPr="008A2F12" w:rsidTr="00D10153">
        <w:tc>
          <w:tcPr>
            <w:tcW w:w="1078" w:type="dxa"/>
          </w:tcPr>
          <w:p w:rsidR="0042401B" w:rsidRPr="008A2F12" w:rsidRDefault="0042401B" w:rsidP="008A2F12">
            <w:pPr>
              <w:spacing w:line="360" w:lineRule="auto"/>
            </w:pPr>
            <w:r w:rsidRPr="008A2F12">
              <w:t>Nov.</w:t>
            </w:r>
          </w:p>
        </w:tc>
        <w:tc>
          <w:tcPr>
            <w:tcW w:w="987" w:type="dxa"/>
          </w:tcPr>
          <w:p w:rsidR="0042401B" w:rsidRPr="008A2F12" w:rsidRDefault="0042401B" w:rsidP="008A2F12">
            <w:pPr>
              <w:spacing w:line="360" w:lineRule="auto"/>
            </w:pPr>
            <w:r w:rsidRPr="008A2F12">
              <w:t>31</w:t>
            </w:r>
          </w:p>
        </w:tc>
        <w:tc>
          <w:tcPr>
            <w:tcW w:w="988" w:type="dxa"/>
          </w:tcPr>
          <w:p w:rsidR="0042401B" w:rsidRPr="008A2F12" w:rsidRDefault="0042401B" w:rsidP="008A2F12">
            <w:pPr>
              <w:spacing w:line="360" w:lineRule="auto"/>
            </w:pPr>
            <w:r w:rsidRPr="008A2F12">
              <w:t>58</w:t>
            </w:r>
          </w:p>
        </w:tc>
        <w:tc>
          <w:tcPr>
            <w:tcW w:w="988" w:type="dxa"/>
          </w:tcPr>
          <w:p w:rsidR="0042401B" w:rsidRPr="008A2F12" w:rsidRDefault="0042401B" w:rsidP="008A2F12">
            <w:pPr>
              <w:spacing w:line="360" w:lineRule="auto"/>
            </w:pPr>
            <w:r w:rsidRPr="008A2F12">
              <w:t>106</w:t>
            </w:r>
          </w:p>
        </w:tc>
        <w:tc>
          <w:tcPr>
            <w:tcW w:w="988" w:type="dxa"/>
          </w:tcPr>
          <w:p w:rsidR="0042401B" w:rsidRPr="008A2F12" w:rsidRDefault="0042401B" w:rsidP="008A2F12">
            <w:pPr>
              <w:spacing w:line="360" w:lineRule="auto"/>
            </w:pPr>
            <w:r w:rsidRPr="008A2F12">
              <w:t>102</w:t>
            </w:r>
          </w:p>
        </w:tc>
        <w:tc>
          <w:tcPr>
            <w:tcW w:w="988" w:type="dxa"/>
          </w:tcPr>
          <w:p w:rsidR="0042401B" w:rsidRPr="008A2F12" w:rsidRDefault="0042401B" w:rsidP="008A2F12">
            <w:pPr>
              <w:spacing w:line="360" w:lineRule="auto"/>
            </w:pPr>
            <w:r w:rsidRPr="008A2F12">
              <w:t>26</w:t>
            </w:r>
          </w:p>
        </w:tc>
        <w:tc>
          <w:tcPr>
            <w:tcW w:w="988" w:type="dxa"/>
          </w:tcPr>
          <w:p w:rsidR="0042401B" w:rsidRPr="008A2F12" w:rsidRDefault="0042401B" w:rsidP="008A2F12">
            <w:pPr>
              <w:spacing w:line="360" w:lineRule="auto"/>
            </w:pPr>
            <w:r w:rsidRPr="008A2F12">
              <w:t>8</w:t>
            </w:r>
          </w:p>
        </w:tc>
        <w:tc>
          <w:tcPr>
            <w:tcW w:w="936" w:type="dxa"/>
            <w:gridSpan w:val="2"/>
          </w:tcPr>
          <w:p w:rsidR="0042401B" w:rsidRPr="008A2F12" w:rsidRDefault="0042401B" w:rsidP="008A2F12">
            <w:pPr>
              <w:spacing w:line="360" w:lineRule="auto"/>
            </w:pPr>
            <w:r w:rsidRPr="008A2F12">
              <w:t>12</w:t>
            </w:r>
          </w:p>
        </w:tc>
      </w:tr>
      <w:tr w:rsidR="0042401B" w:rsidRPr="008A2F12" w:rsidTr="00D10153">
        <w:tc>
          <w:tcPr>
            <w:tcW w:w="1078" w:type="dxa"/>
          </w:tcPr>
          <w:p w:rsidR="0042401B" w:rsidRPr="008A2F12" w:rsidRDefault="0042401B" w:rsidP="008A2F12">
            <w:pPr>
              <w:spacing w:line="360" w:lineRule="auto"/>
            </w:pPr>
            <w:r w:rsidRPr="008A2F12">
              <w:t>Dec.</w:t>
            </w:r>
          </w:p>
        </w:tc>
        <w:tc>
          <w:tcPr>
            <w:tcW w:w="987" w:type="dxa"/>
          </w:tcPr>
          <w:p w:rsidR="0042401B" w:rsidRPr="008A2F12" w:rsidRDefault="0042401B" w:rsidP="008A2F12">
            <w:pPr>
              <w:spacing w:line="360" w:lineRule="auto"/>
            </w:pPr>
            <w:r w:rsidRPr="008A2F12">
              <w:t>64</w:t>
            </w:r>
          </w:p>
        </w:tc>
        <w:tc>
          <w:tcPr>
            <w:tcW w:w="988" w:type="dxa"/>
          </w:tcPr>
          <w:p w:rsidR="0042401B" w:rsidRPr="008A2F12" w:rsidRDefault="0042401B" w:rsidP="008A2F12">
            <w:pPr>
              <w:spacing w:line="360" w:lineRule="auto"/>
            </w:pPr>
            <w:r w:rsidRPr="008A2F12">
              <w:t>63</w:t>
            </w:r>
          </w:p>
        </w:tc>
        <w:tc>
          <w:tcPr>
            <w:tcW w:w="988" w:type="dxa"/>
          </w:tcPr>
          <w:p w:rsidR="0042401B" w:rsidRPr="008A2F12" w:rsidRDefault="0042401B" w:rsidP="008A2F12">
            <w:pPr>
              <w:spacing w:line="360" w:lineRule="auto"/>
            </w:pPr>
            <w:r w:rsidRPr="008A2F12">
              <w:t>163</w:t>
            </w:r>
          </w:p>
        </w:tc>
        <w:tc>
          <w:tcPr>
            <w:tcW w:w="988" w:type="dxa"/>
          </w:tcPr>
          <w:p w:rsidR="0042401B" w:rsidRPr="008A2F12" w:rsidRDefault="0042401B" w:rsidP="008A2F12">
            <w:pPr>
              <w:spacing w:line="360" w:lineRule="auto"/>
            </w:pPr>
            <w:r w:rsidRPr="008A2F12">
              <w:t>76</w:t>
            </w:r>
          </w:p>
        </w:tc>
        <w:tc>
          <w:tcPr>
            <w:tcW w:w="988" w:type="dxa"/>
          </w:tcPr>
          <w:p w:rsidR="0042401B" w:rsidRPr="008A2F12" w:rsidRDefault="0042401B" w:rsidP="008A2F12">
            <w:pPr>
              <w:spacing w:line="360" w:lineRule="auto"/>
            </w:pPr>
            <w:r w:rsidRPr="008A2F12">
              <w:t>73</w:t>
            </w:r>
          </w:p>
        </w:tc>
        <w:tc>
          <w:tcPr>
            <w:tcW w:w="988" w:type="dxa"/>
          </w:tcPr>
          <w:p w:rsidR="0042401B" w:rsidRPr="008A2F12" w:rsidRDefault="0042401B" w:rsidP="008A2F12">
            <w:pPr>
              <w:spacing w:line="360" w:lineRule="auto"/>
            </w:pPr>
            <w:r w:rsidRPr="008A2F12">
              <w:t>65</w:t>
            </w:r>
          </w:p>
        </w:tc>
        <w:tc>
          <w:tcPr>
            <w:tcW w:w="936" w:type="dxa"/>
            <w:gridSpan w:val="2"/>
          </w:tcPr>
          <w:p w:rsidR="0042401B" w:rsidRPr="008A2F12" w:rsidRDefault="0042401B" w:rsidP="008A2F12">
            <w:pPr>
              <w:spacing w:line="360" w:lineRule="auto"/>
            </w:pPr>
            <w:r w:rsidRPr="008A2F12">
              <w:t>83</w:t>
            </w:r>
          </w:p>
        </w:tc>
      </w:tr>
    </w:tbl>
    <w:p w:rsidR="00750B99" w:rsidRPr="008A2F12" w:rsidRDefault="0042401B" w:rsidP="008A2F12">
      <w:pPr>
        <w:spacing w:line="360" w:lineRule="auto"/>
      </w:pPr>
      <w:r w:rsidRPr="008A2F12">
        <w:tab/>
        <w:t>PGW Exhibit 3.</w:t>
      </w:r>
    </w:p>
    <w:p w:rsidR="00B93FD0" w:rsidRDefault="00B93FD0"/>
    <w:p w:rsidR="00B93FD0" w:rsidRDefault="0042401B" w:rsidP="008A2F12">
      <w:pPr>
        <w:spacing w:line="360" w:lineRule="auto"/>
      </w:pPr>
      <w:r w:rsidRPr="008A2F12">
        <w:tab/>
      </w:r>
      <w:r w:rsidRPr="008A2F12">
        <w:tab/>
        <w:t xml:space="preserve">The average usage per month of the tampering period versus the non-tampering period is as follows: </w:t>
      </w:r>
    </w:p>
    <w:p w:rsidR="0042401B" w:rsidRPr="008A2F12" w:rsidRDefault="0042401B" w:rsidP="00B93FD0">
      <w:pPr>
        <w:spacing w:line="360" w:lineRule="auto"/>
      </w:pPr>
    </w:p>
    <w:tbl>
      <w:tblPr>
        <w:tblStyle w:val="TableGrid"/>
        <w:tblW w:w="0" w:type="auto"/>
        <w:tblInd w:w="2292" w:type="dxa"/>
        <w:tblLook w:val="04A0" w:firstRow="1" w:lastRow="0" w:firstColumn="1" w:lastColumn="0" w:noHBand="0" w:noVBand="1"/>
      </w:tblPr>
      <w:tblGrid>
        <w:gridCol w:w="1596"/>
        <w:gridCol w:w="1596"/>
        <w:gridCol w:w="1596"/>
      </w:tblGrid>
      <w:tr w:rsidR="002C310D" w:rsidRPr="008A2F12" w:rsidTr="002C310D">
        <w:tc>
          <w:tcPr>
            <w:tcW w:w="1596" w:type="dxa"/>
          </w:tcPr>
          <w:p w:rsidR="002C310D" w:rsidRPr="008A2F12" w:rsidRDefault="002C310D" w:rsidP="008A2F12">
            <w:r w:rsidRPr="008A2F12">
              <w:t>Month</w:t>
            </w:r>
          </w:p>
        </w:tc>
        <w:tc>
          <w:tcPr>
            <w:tcW w:w="1596" w:type="dxa"/>
          </w:tcPr>
          <w:p w:rsidR="002C310D" w:rsidRPr="008A2F12" w:rsidRDefault="002C310D" w:rsidP="008A2F12">
            <w:r w:rsidRPr="008A2F12">
              <w:t>Tampering period (CCFs)</w:t>
            </w:r>
          </w:p>
        </w:tc>
        <w:tc>
          <w:tcPr>
            <w:tcW w:w="1596" w:type="dxa"/>
          </w:tcPr>
          <w:p w:rsidR="002C310D" w:rsidRPr="008A2F12" w:rsidRDefault="002C310D" w:rsidP="008A2F12">
            <w:r w:rsidRPr="008A2F12">
              <w:t>Non-Tampering period (CCFs)</w:t>
            </w:r>
          </w:p>
        </w:tc>
      </w:tr>
      <w:tr w:rsidR="002C310D" w:rsidRPr="008A2F12" w:rsidTr="002C310D">
        <w:tc>
          <w:tcPr>
            <w:tcW w:w="1596" w:type="dxa"/>
          </w:tcPr>
          <w:p w:rsidR="002C310D" w:rsidRPr="008A2F12" w:rsidRDefault="002C310D" w:rsidP="008A2F12">
            <w:pPr>
              <w:spacing w:line="360" w:lineRule="auto"/>
            </w:pPr>
            <w:r w:rsidRPr="008A2F12">
              <w:t>Jan.</w:t>
            </w:r>
          </w:p>
        </w:tc>
        <w:tc>
          <w:tcPr>
            <w:tcW w:w="1596" w:type="dxa"/>
          </w:tcPr>
          <w:p w:rsidR="002C310D" w:rsidRPr="008A2F12" w:rsidRDefault="002C310D" w:rsidP="008A2F12">
            <w:pPr>
              <w:spacing w:line="360" w:lineRule="auto"/>
            </w:pPr>
            <w:r w:rsidRPr="008A2F12">
              <w:t>60</w:t>
            </w:r>
          </w:p>
        </w:tc>
        <w:tc>
          <w:tcPr>
            <w:tcW w:w="1596" w:type="dxa"/>
          </w:tcPr>
          <w:p w:rsidR="002C310D" w:rsidRPr="008A2F12" w:rsidRDefault="002C310D" w:rsidP="008A2F12">
            <w:pPr>
              <w:spacing w:line="360" w:lineRule="auto"/>
            </w:pPr>
            <w:r w:rsidRPr="008A2F12">
              <w:t>151</w:t>
            </w:r>
          </w:p>
        </w:tc>
      </w:tr>
      <w:tr w:rsidR="002C310D" w:rsidRPr="008A2F12" w:rsidTr="002C310D">
        <w:tc>
          <w:tcPr>
            <w:tcW w:w="1596" w:type="dxa"/>
          </w:tcPr>
          <w:p w:rsidR="002C310D" w:rsidRPr="008A2F12" w:rsidRDefault="002C310D" w:rsidP="008A2F12">
            <w:pPr>
              <w:spacing w:line="360" w:lineRule="auto"/>
            </w:pPr>
            <w:r w:rsidRPr="008A2F12">
              <w:t>Feb.</w:t>
            </w:r>
          </w:p>
        </w:tc>
        <w:tc>
          <w:tcPr>
            <w:tcW w:w="1596" w:type="dxa"/>
          </w:tcPr>
          <w:p w:rsidR="002C310D" w:rsidRPr="008A2F12" w:rsidRDefault="002C310D" w:rsidP="008A2F12">
            <w:pPr>
              <w:spacing w:line="360" w:lineRule="auto"/>
            </w:pPr>
            <w:r w:rsidRPr="008A2F12">
              <w:t>34</w:t>
            </w:r>
          </w:p>
        </w:tc>
        <w:tc>
          <w:tcPr>
            <w:tcW w:w="1596" w:type="dxa"/>
          </w:tcPr>
          <w:p w:rsidR="002C310D" w:rsidRPr="008A2F12" w:rsidRDefault="002C310D" w:rsidP="008A2F12">
            <w:pPr>
              <w:spacing w:line="360" w:lineRule="auto"/>
            </w:pPr>
            <w:r w:rsidRPr="008A2F12">
              <w:t>133</w:t>
            </w:r>
          </w:p>
        </w:tc>
      </w:tr>
      <w:tr w:rsidR="002C310D" w:rsidRPr="008A2F12" w:rsidTr="002C310D">
        <w:tc>
          <w:tcPr>
            <w:tcW w:w="1596" w:type="dxa"/>
          </w:tcPr>
          <w:p w:rsidR="002C310D" w:rsidRPr="008A2F12" w:rsidRDefault="002C310D" w:rsidP="008A2F12">
            <w:pPr>
              <w:spacing w:line="360" w:lineRule="auto"/>
            </w:pPr>
            <w:r w:rsidRPr="008A2F12">
              <w:t>Mar.</w:t>
            </w:r>
          </w:p>
        </w:tc>
        <w:tc>
          <w:tcPr>
            <w:tcW w:w="1596" w:type="dxa"/>
          </w:tcPr>
          <w:p w:rsidR="002C310D" w:rsidRPr="008A2F12" w:rsidRDefault="002C310D" w:rsidP="008A2F12">
            <w:pPr>
              <w:spacing w:line="360" w:lineRule="auto"/>
            </w:pPr>
            <w:r w:rsidRPr="008A2F12">
              <w:t>66</w:t>
            </w:r>
          </w:p>
        </w:tc>
        <w:tc>
          <w:tcPr>
            <w:tcW w:w="1596" w:type="dxa"/>
          </w:tcPr>
          <w:p w:rsidR="002C310D" w:rsidRPr="008A2F12" w:rsidRDefault="002C310D" w:rsidP="008A2F12">
            <w:pPr>
              <w:spacing w:line="360" w:lineRule="auto"/>
            </w:pPr>
            <w:r w:rsidRPr="008A2F12">
              <w:t>119</w:t>
            </w:r>
          </w:p>
        </w:tc>
      </w:tr>
      <w:tr w:rsidR="002C310D" w:rsidRPr="008A2F12" w:rsidTr="002C310D">
        <w:tc>
          <w:tcPr>
            <w:tcW w:w="1596" w:type="dxa"/>
          </w:tcPr>
          <w:p w:rsidR="002C310D" w:rsidRPr="008A2F12" w:rsidRDefault="002C310D" w:rsidP="008A2F12">
            <w:pPr>
              <w:spacing w:line="360" w:lineRule="auto"/>
            </w:pPr>
            <w:r w:rsidRPr="008A2F12">
              <w:t>Nov.</w:t>
            </w:r>
          </w:p>
        </w:tc>
        <w:tc>
          <w:tcPr>
            <w:tcW w:w="1596" w:type="dxa"/>
          </w:tcPr>
          <w:p w:rsidR="002C310D" w:rsidRPr="008A2F12" w:rsidRDefault="002C310D" w:rsidP="008A2F12">
            <w:pPr>
              <w:spacing w:line="360" w:lineRule="auto"/>
            </w:pPr>
            <w:r w:rsidRPr="008A2F12">
              <w:t>24</w:t>
            </w:r>
          </w:p>
        </w:tc>
        <w:tc>
          <w:tcPr>
            <w:tcW w:w="1596" w:type="dxa"/>
          </w:tcPr>
          <w:p w:rsidR="002C310D" w:rsidRPr="008A2F12" w:rsidRDefault="002C310D" w:rsidP="008A2F12">
            <w:pPr>
              <w:spacing w:line="360" w:lineRule="auto"/>
            </w:pPr>
            <w:r w:rsidRPr="008A2F12">
              <w:t>49</w:t>
            </w:r>
          </w:p>
        </w:tc>
      </w:tr>
      <w:tr w:rsidR="002C310D" w:rsidRPr="008A2F12" w:rsidTr="002C310D">
        <w:tc>
          <w:tcPr>
            <w:tcW w:w="1596" w:type="dxa"/>
          </w:tcPr>
          <w:p w:rsidR="002C310D" w:rsidRPr="008A2F12" w:rsidRDefault="002C310D" w:rsidP="008A2F12">
            <w:pPr>
              <w:spacing w:line="360" w:lineRule="auto"/>
            </w:pPr>
            <w:r w:rsidRPr="008A2F12">
              <w:t>Dec.</w:t>
            </w:r>
          </w:p>
        </w:tc>
        <w:tc>
          <w:tcPr>
            <w:tcW w:w="1596" w:type="dxa"/>
          </w:tcPr>
          <w:p w:rsidR="002C310D" w:rsidRPr="008A2F12" w:rsidRDefault="002C310D" w:rsidP="008A2F12">
            <w:pPr>
              <w:spacing w:line="360" w:lineRule="auto"/>
            </w:pPr>
            <w:r w:rsidRPr="008A2F12">
              <w:t>51</w:t>
            </w:r>
          </w:p>
        </w:tc>
        <w:tc>
          <w:tcPr>
            <w:tcW w:w="1596" w:type="dxa"/>
          </w:tcPr>
          <w:p w:rsidR="002C310D" w:rsidRPr="008A2F12" w:rsidRDefault="002C310D" w:rsidP="008A2F12">
            <w:pPr>
              <w:spacing w:line="360" w:lineRule="auto"/>
            </w:pPr>
            <w:r w:rsidRPr="008A2F12">
              <w:t>84</w:t>
            </w:r>
          </w:p>
        </w:tc>
      </w:tr>
    </w:tbl>
    <w:p w:rsidR="00972BB9" w:rsidRPr="008A2F12" w:rsidRDefault="00972BB9" w:rsidP="008A2F12">
      <w:pPr>
        <w:spacing w:line="360" w:lineRule="auto"/>
      </w:pPr>
    </w:p>
    <w:p w:rsidR="007871D9" w:rsidRPr="008A2F12" w:rsidRDefault="0042401B" w:rsidP="008A2F12">
      <w:pPr>
        <w:spacing w:line="360" w:lineRule="auto"/>
      </w:pPr>
      <w:r w:rsidRPr="008A2F12">
        <w:lastRenderedPageBreak/>
        <w:t>There is a significant decrease of usage in the tampering per</w:t>
      </w:r>
      <w:r w:rsidR="00781CBB" w:rsidRPr="008A2F12">
        <w:t>iod per</w:t>
      </w:r>
      <w:r w:rsidRPr="008A2F12">
        <w:t xml:space="preserve"> month as compared to the non-tampering</w:t>
      </w:r>
      <w:r w:rsidR="00781CBB" w:rsidRPr="008A2F12">
        <w:t xml:space="preserve"> period</w:t>
      </w:r>
      <w:r w:rsidRPr="008A2F12">
        <w:t xml:space="preserve"> per month.</w:t>
      </w:r>
      <w:r w:rsidR="00786529" w:rsidRPr="008A2F12">
        <w:t xml:space="preserve">  </w:t>
      </w:r>
      <w:r w:rsidR="00781CBB" w:rsidRPr="008A2F12">
        <w:t>B</w:t>
      </w:r>
      <w:r w:rsidR="00786529" w:rsidRPr="008A2F12">
        <w:t xml:space="preserve">ased on the significant decrease in usage, </w:t>
      </w:r>
      <w:r w:rsidR="00781CBB" w:rsidRPr="008A2F12">
        <w:t xml:space="preserve">I find </w:t>
      </w:r>
      <w:r w:rsidR="00786529" w:rsidRPr="008A2F12">
        <w:t xml:space="preserve">that the Respondent’s </w:t>
      </w:r>
      <w:r w:rsidR="00657E8B" w:rsidRPr="008A2F12">
        <w:t>explanation</w:t>
      </w:r>
      <w:r w:rsidR="00786529" w:rsidRPr="008A2F12">
        <w:t xml:space="preserve"> for the tampering period from January 4, 2005</w:t>
      </w:r>
      <w:r w:rsidR="00024AB5" w:rsidRPr="008A2F12">
        <w:t>,</w:t>
      </w:r>
      <w:r w:rsidR="00786529" w:rsidRPr="008A2F12">
        <w:t xml:space="preserve"> through April 9, 2015</w:t>
      </w:r>
      <w:r w:rsidR="00024AB5" w:rsidRPr="008A2F12">
        <w:t>,</w:t>
      </w:r>
      <w:r w:rsidR="005B26CD">
        <w:t xml:space="preserve"> is</w:t>
      </w:r>
      <w:r w:rsidR="00786529" w:rsidRPr="008A2F12">
        <w:t xml:space="preserve"> reasonable.  </w:t>
      </w:r>
    </w:p>
    <w:p w:rsidR="00750B99" w:rsidRPr="008A2F12" w:rsidRDefault="00750B99" w:rsidP="008A2F12">
      <w:pPr>
        <w:spacing w:line="360" w:lineRule="auto"/>
        <w:ind w:left="90" w:firstLine="1350"/>
      </w:pPr>
    </w:p>
    <w:p w:rsidR="00750B99" w:rsidRPr="008A2F12" w:rsidRDefault="00750B99" w:rsidP="008A2F12">
      <w:pPr>
        <w:spacing w:line="360" w:lineRule="auto"/>
        <w:ind w:firstLine="1440"/>
      </w:pPr>
      <w:r w:rsidRPr="008A2F12">
        <w:t>C.</w:t>
      </w:r>
      <w:r w:rsidRPr="008A2F12">
        <w:tab/>
        <w:t>Whether the estimated calculation of usage is reasonable</w:t>
      </w:r>
    </w:p>
    <w:p w:rsidR="00750B99" w:rsidRPr="008A2F12" w:rsidRDefault="00750B99" w:rsidP="008A2F12">
      <w:pPr>
        <w:spacing w:line="360" w:lineRule="auto"/>
        <w:ind w:firstLine="1440"/>
      </w:pPr>
    </w:p>
    <w:p w:rsidR="00750B99" w:rsidRPr="008A2F12" w:rsidRDefault="00750B99" w:rsidP="008A2F12">
      <w:pPr>
        <w:spacing w:line="360" w:lineRule="auto"/>
        <w:ind w:firstLine="1440"/>
      </w:pPr>
      <w:r w:rsidRPr="008A2F12">
        <w:t>The Complainant questioned the estimated calculation</w:t>
      </w:r>
      <w:r w:rsidR="009D4E48" w:rsidRPr="008A2F12">
        <w:t xml:space="preserve"> for the amount owed to restore service at the service address</w:t>
      </w:r>
      <w:r w:rsidRPr="008A2F12">
        <w:t>.  Tr.  155.</w:t>
      </w:r>
    </w:p>
    <w:p w:rsidR="00750B99" w:rsidRPr="008A2F12" w:rsidRDefault="00750B99" w:rsidP="008A2F12">
      <w:pPr>
        <w:spacing w:line="360" w:lineRule="auto"/>
        <w:ind w:left="90" w:firstLine="1350"/>
      </w:pPr>
    </w:p>
    <w:p w:rsidR="009A5667" w:rsidRPr="008A2F12" w:rsidRDefault="009A5667" w:rsidP="008A2F12">
      <w:pPr>
        <w:spacing w:line="360" w:lineRule="auto"/>
        <w:ind w:left="90" w:firstLine="1350"/>
      </w:pPr>
      <w:r w:rsidRPr="008A2F12">
        <w:t>52 Pa.Code § 56.191(d) states,</w:t>
      </w:r>
    </w:p>
    <w:p w:rsidR="009A5667" w:rsidRPr="008A2F12" w:rsidRDefault="009A5667" w:rsidP="008A2F12">
      <w:pPr>
        <w:ind w:left="1440" w:right="1440"/>
      </w:pPr>
      <w:r w:rsidRPr="008A2F12">
        <w:t xml:space="preserve">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 not exceeding 4 years prior to the date of requesting that the service be restore.  </w:t>
      </w:r>
      <w:r w:rsidRPr="008A2F12">
        <w:rPr>
          <w:b/>
        </w:rPr>
        <w:t>The 4-year limit</w:t>
      </w:r>
      <w:r w:rsidRPr="008A2F12">
        <w:t xml:space="preserve"> </w:t>
      </w:r>
      <w:r w:rsidRPr="008A2F12">
        <w:rPr>
          <w:b/>
        </w:rPr>
        <w:t>does not apply in instances of fraud and theft.</w:t>
      </w:r>
      <w:r w:rsidRPr="008A2F12">
        <w:t xml:space="preserve">  </w:t>
      </w:r>
      <w:r w:rsidR="009D4E48" w:rsidRPr="008A2F12">
        <w:t>(</w:t>
      </w:r>
      <w:r w:rsidRPr="008A2F12">
        <w:t>Emphasis</w:t>
      </w:r>
      <w:r w:rsidR="009D4E48" w:rsidRPr="008A2F12">
        <w:t xml:space="preserve"> added.)</w:t>
      </w:r>
      <w:r w:rsidRPr="008A2F12">
        <w:t xml:space="preserve"> </w:t>
      </w:r>
    </w:p>
    <w:p w:rsidR="009A5667" w:rsidRPr="008A2F12" w:rsidRDefault="009A5667" w:rsidP="00B93FD0">
      <w:pPr>
        <w:spacing w:line="360" w:lineRule="auto"/>
        <w:ind w:left="1440" w:right="1440"/>
      </w:pPr>
    </w:p>
    <w:p w:rsidR="009D4E48" w:rsidRPr="008A2F12" w:rsidRDefault="009D4E48" w:rsidP="008A2F12">
      <w:pPr>
        <w:spacing w:line="360" w:lineRule="auto"/>
      </w:pPr>
      <w:r w:rsidRPr="008A2F12">
        <w:t>There is no dispute that the Complainant lived at the service address during a portion of the time the outstanding balance accrued; that is from January 4, 2005 through November 18, 2011.  In addition there is no dispute that the Complainant was responsible for the gas service billed to the service address from November 18, 2011 through April 9, 20</w:t>
      </w:r>
      <w:r w:rsidR="00B93FD0">
        <w:t>15.  Consequently, 52 Pa.Code § </w:t>
      </w:r>
      <w:r w:rsidRPr="008A2F12">
        <w:t>56.191(d) is applicable to the Complainant and the amount owed to restore service at the service address.</w:t>
      </w:r>
    </w:p>
    <w:p w:rsidR="009D4E48" w:rsidRPr="008A2F12" w:rsidRDefault="009D4E48" w:rsidP="008A2F12">
      <w:pPr>
        <w:spacing w:line="360" w:lineRule="auto"/>
      </w:pPr>
      <w:r w:rsidRPr="008A2F12">
        <w:t xml:space="preserve"> </w:t>
      </w:r>
    </w:p>
    <w:p w:rsidR="00750B99" w:rsidRDefault="00750B99" w:rsidP="008A2F12">
      <w:pPr>
        <w:spacing w:line="360" w:lineRule="auto"/>
        <w:ind w:firstLine="1440"/>
      </w:pPr>
      <w:r w:rsidRPr="008A2F12">
        <w:t>The amount billed was estimated because the meter at the service address was bypassed and manipulated by a valve the amount that was measured for billed usage.  An estimated amount billed is in compliance with the Respondent’s tariff.  The amount estimated was calculated by the gas appliances found at the service address estimated usage.  The estimated amount of gas usage for the three gas appliances at the service address was:</w:t>
      </w:r>
    </w:p>
    <w:p w:rsidR="00181A2E" w:rsidRDefault="00181A2E">
      <w:r>
        <w:br w:type="page"/>
      </w:r>
    </w:p>
    <w:p w:rsidR="00750B99" w:rsidRPr="008A2F12" w:rsidRDefault="00750B99" w:rsidP="008A2F12">
      <w:pPr>
        <w:pStyle w:val="ListParagraph"/>
        <w:numPr>
          <w:ilvl w:val="0"/>
          <w:numId w:val="11"/>
        </w:numPr>
        <w:ind w:left="0" w:firstLine="1440"/>
      </w:pPr>
      <w:r w:rsidRPr="008A2F12">
        <w:lastRenderedPageBreak/>
        <w:t>9,072.41 CCFs for the house heater;</w:t>
      </w:r>
    </w:p>
    <w:p w:rsidR="00750B99" w:rsidRPr="008A2F12" w:rsidRDefault="00750B99" w:rsidP="008A2F12">
      <w:pPr>
        <w:pStyle w:val="ListParagraph"/>
        <w:numPr>
          <w:ilvl w:val="0"/>
          <w:numId w:val="11"/>
        </w:numPr>
        <w:ind w:left="0" w:firstLine="1440"/>
      </w:pPr>
      <w:r w:rsidRPr="008A2F12">
        <w:t>1,186.79 CCFs for the water heater; and</w:t>
      </w:r>
    </w:p>
    <w:p w:rsidR="00750B99" w:rsidRPr="008A2F12" w:rsidRDefault="00750B99" w:rsidP="008A2F12">
      <w:pPr>
        <w:pStyle w:val="ListParagraph"/>
        <w:numPr>
          <w:ilvl w:val="0"/>
          <w:numId w:val="11"/>
        </w:numPr>
        <w:ind w:left="0" w:firstLine="1440"/>
      </w:pPr>
      <w:r w:rsidRPr="008A2F12">
        <w:t xml:space="preserve">803.56 CCFs for the range; </w:t>
      </w:r>
    </w:p>
    <w:p w:rsidR="00750B99" w:rsidRPr="008A2F12" w:rsidRDefault="00750B99" w:rsidP="0017226D">
      <w:pPr>
        <w:spacing w:line="360" w:lineRule="auto"/>
        <w:ind w:left="1440"/>
      </w:pPr>
      <w:r w:rsidRPr="008A2F12">
        <w:t xml:space="preserve"> </w:t>
      </w:r>
    </w:p>
    <w:p w:rsidR="00750B99" w:rsidRPr="008A2F12" w:rsidRDefault="00750B99" w:rsidP="008A2F12">
      <w:pPr>
        <w:spacing w:line="360" w:lineRule="auto"/>
      </w:pPr>
      <w:r w:rsidRPr="008A2F12">
        <w:t>for a total usage of (9,072.41 + 1,186.79 + 803.56 = 11,062.76) 11,063 CCFs.  Respondent looked at the usage</w:t>
      </w:r>
      <w:r w:rsidR="00E32F87">
        <w:t xml:space="preserve"> of</w:t>
      </w:r>
      <w:r w:rsidRPr="008A2F12">
        <w:t xml:space="preserve"> gas at the service address and determined that the low usage began on the billed usage corresponding to January 4, 2005 and ended when the bypassed meter was discovered at the service address and the gas was terminated on April 9, 2015.  Tr. 143-48, PGW Exhibit 3.  Respondent calculated the billed amount for estimated gas usage corresponding to the tampering period from January 4, 2005, through April 9, 2015, at $19,550.76.  PGW Exhibit 2.</w:t>
      </w:r>
    </w:p>
    <w:p w:rsidR="00750B99" w:rsidRPr="008A2F12" w:rsidRDefault="00750B99" w:rsidP="008A2F12">
      <w:pPr>
        <w:spacing w:line="360" w:lineRule="auto"/>
        <w:ind w:left="90" w:firstLine="1350"/>
      </w:pPr>
    </w:p>
    <w:p w:rsidR="00786529" w:rsidRPr="008A2F12" w:rsidRDefault="00750B99" w:rsidP="008A2F12">
      <w:pPr>
        <w:spacing w:line="360" w:lineRule="auto"/>
        <w:ind w:left="90" w:firstLine="1350"/>
      </w:pPr>
      <w:r w:rsidRPr="008A2F12">
        <w:t>The Com</w:t>
      </w:r>
      <w:r w:rsidR="00E2026D">
        <w:t>plainant had previously paid</w:t>
      </w:r>
      <w:r w:rsidRPr="008A2F12">
        <w:t xml:space="preserve"> $9,378.50 over the tampering period for gas usage at the service address.  Tr. 13</w:t>
      </w:r>
      <w:r w:rsidR="009A5667" w:rsidRPr="008A2F12">
        <w:t>7, PGW Exhibit 2</w:t>
      </w:r>
      <w:r w:rsidRPr="008A2F12">
        <w:t>.</w:t>
      </w:r>
      <w:r w:rsidR="009A5667" w:rsidRPr="008A2F12">
        <w:t xml:space="preserve">  Thus, the calculated amount </w:t>
      </w:r>
      <w:r w:rsidRPr="008A2F12">
        <w:t xml:space="preserve">owed </w:t>
      </w:r>
      <w:r w:rsidR="009A5667" w:rsidRPr="008A2F12">
        <w:t>was</w:t>
      </w:r>
      <w:r w:rsidRPr="008A2F12">
        <w:t xml:space="preserve"> ($19,550.76 - $9,378.50 = $10,172.26) $10,172.26</w:t>
      </w:r>
      <w:r w:rsidR="009A5667" w:rsidRPr="008A2F12">
        <w:t xml:space="preserve">.  </w:t>
      </w:r>
      <w:r w:rsidR="009A5667" w:rsidRPr="008A2F12">
        <w:rPr>
          <w:i/>
        </w:rPr>
        <w:t>Id.</w:t>
      </w:r>
      <w:r w:rsidR="009A5667" w:rsidRPr="008A2F12">
        <w:t xml:space="preserve">  The Respondent charged a restoration fee of $123.23 and a security deposit of $380.00,</w:t>
      </w:r>
      <w:r w:rsidRPr="008A2F12">
        <w:t xml:space="preserve"> and therefore, the grand total cha</w:t>
      </w:r>
      <w:r w:rsidR="009A5667" w:rsidRPr="008A2F12">
        <w:t>r</w:t>
      </w:r>
      <w:r w:rsidRPr="008A2F12">
        <w:t>ged to</w:t>
      </w:r>
      <w:r w:rsidR="009A5667" w:rsidRPr="008A2F12">
        <w:t xml:space="preserve"> the Complainant was</w:t>
      </w:r>
      <w:r w:rsidRPr="008A2F12">
        <w:t xml:space="preserve"> ($10,172.26 + $123.23 + $380.00 = 10,675.49) $10,675.49</w:t>
      </w:r>
      <w:r w:rsidR="009A5667" w:rsidRPr="008A2F12">
        <w:t>.</w:t>
      </w:r>
      <w:r w:rsidRPr="008A2F12">
        <w:t xml:space="preserve"> to restore gas service.  Tr. 132, 136-37, PGW Exhibits 1, 2.</w:t>
      </w:r>
      <w:r w:rsidR="007871D9" w:rsidRPr="008A2F12">
        <w:t xml:space="preserve"> </w:t>
      </w:r>
      <w:r w:rsidR="009A5667" w:rsidRPr="008A2F12">
        <w:t xml:space="preserve"> I do not find that the calculation to restore service is incorrect or unreasonable.  Furthermore, I find that the Respondent acted in compliance with Commission regulations in charging the Complainant the $10,675.49 to restore service at the service address.</w:t>
      </w:r>
    </w:p>
    <w:p w:rsidR="00B93FD0" w:rsidRDefault="00B93FD0">
      <w:pPr>
        <w:rPr>
          <w:rFonts w:eastAsia="Calibri"/>
        </w:rPr>
      </w:pPr>
    </w:p>
    <w:p w:rsidR="00B7412D" w:rsidRPr="008A2F12" w:rsidRDefault="00616764" w:rsidP="008A2F12">
      <w:pPr>
        <w:pStyle w:val="ListParagraph"/>
        <w:numPr>
          <w:ilvl w:val="0"/>
          <w:numId w:val="4"/>
        </w:numPr>
        <w:spacing w:line="360" w:lineRule="auto"/>
        <w:rPr>
          <w:rFonts w:eastAsia="Calibri"/>
          <w:u w:val="single"/>
        </w:rPr>
      </w:pPr>
      <w:r w:rsidRPr="008A2F12">
        <w:rPr>
          <w:rFonts w:eastAsia="Calibri"/>
          <w:u w:val="single"/>
        </w:rPr>
        <w:t>Whether Termination of Service Violated Commission Rules, Statutes or Orders</w:t>
      </w:r>
      <w:r w:rsidR="00B7412D" w:rsidRPr="008A2F12">
        <w:rPr>
          <w:rFonts w:eastAsia="Calibri"/>
          <w:u w:val="single"/>
        </w:rPr>
        <w:t xml:space="preserve">  </w:t>
      </w:r>
    </w:p>
    <w:p w:rsidR="00616764" w:rsidRPr="008A2F12" w:rsidRDefault="00616764" w:rsidP="008A2F12">
      <w:pPr>
        <w:spacing w:line="360" w:lineRule="auto"/>
        <w:ind w:left="720"/>
        <w:rPr>
          <w:rFonts w:eastAsia="Calibri"/>
          <w:u w:val="single"/>
        </w:rPr>
      </w:pPr>
    </w:p>
    <w:p w:rsidR="00306991" w:rsidRPr="008A2F12" w:rsidRDefault="00306991" w:rsidP="008A2F12">
      <w:pPr>
        <w:spacing w:line="360" w:lineRule="auto"/>
        <w:ind w:firstLine="1440"/>
        <w:rPr>
          <w:rFonts w:eastAsia="Calibri"/>
        </w:rPr>
      </w:pPr>
      <w:r w:rsidRPr="008A2F12">
        <w:rPr>
          <w:rFonts w:eastAsia="Calibri"/>
        </w:rPr>
        <w:t>52 Pa.Code § 59.24(b) states,</w:t>
      </w:r>
    </w:p>
    <w:p w:rsidR="00306991" w:rsidRPr="008A2F12" w:rsidRDefault="00306991" w:rsidP="008A2F12">
      <w:pPr>
        <w:ind w:left="1440" w:right="1440"/>
        <w:rPr>
          <w:rFonts w:eastAsia="Calibri"/>
        </w:rPr>
      </w:pPr>
      <w:r w:rsidRPr="008A2F12">
        <w:rPr>
          <w:rFonts w:eastAsia="Calibri"/>
        </w:rPr>
        <w:t xml:space="preserve">No public utility shall discontinue service to a customer for violation of its rules and regulations or for nonpayment of bills without a diligent attempt to induce the customer to comply with the rules and regulations, or to pay the bills when due.  Service may not be discontinued until after at least 24-hour written notice has been given by the utility that bills are 5 or more days delinquent, or that the violation of rules shall cease.  </w:t>
      </w:r>
      <w:r w:rsidRPr="008A2F12">
        <w:rPr>
          <w:rFonts w:eastAsia="Calibri"/>
          <w:b/>
        </w:rPr>
        <w:t xml:space="preserve">If fraudulent use of gas is detected, or if the regulating or measuring equipment of the utility has been tampered with, </w:t>
      </w:r>
      <w:r w:rsidRPr="008A2F12">
        <w:rPr>
          <w:rFonts w:eastAsia="Calibri"/>
        </w:rPr>
        <w:t xml:space="preserve">or if a dangerous condition is found to exist on the premises of customers, </w:t>
      </w:r>
      <w:r w:rsidRPr="008A2F12">
        <w:rPr>
          <w:rFonts w:eastAsia="Calibri"/>
          <w:b/>
        </w:rPr>
        <w:t xml:space="preserve">the gas may be shut off without advance notice.  </w:t>
      </w:r>
      <w:r w:rsidRPr="008A2F12">
        <w:rPr>
          <w:rFonts w:eastAsia="Calibri"/>
        </w:rPr>
        <w:t>(Emphasis added).</w:t>
      </w:r>
    </w:p>
    <w:p w:rsidR="00B93FD0" w:rsidRDefault="00B93FD0" w:rsidP="00473C42">
      <w:pPr>
        <w:spacing w:line="360" w:lineRule="auto"/>
        <w:rPr>
          <w:rFonts w:eastAsia="Calibri"/>
        </w:rPr>
      </w:pPr>
    </w:p>
    <w:p w:rsidR="009D4E48" w:rsidRPr="008A2F12" w:rsidRDefault="00306991" w:rsidP="008A2F12">
      <w:pPr>
        <w:spacing w:line="360" w:lineRule="auto"/>
        <w:ind w:firstLine="1440"/>
        <w:rPr>
          <w:rFonts w:eastAsia="Calibri"/>
        </w:rPr>
      </w:pPr>
      <w:r w:rsidRPr="008A2F12">
        <w:rPr>
          <w:rFonts w:eastAsia="Calibri"/>
        </w:rPr>
        <w:lastRenderedPageBreak/>
        <w:t>As discussed above, the meter for the service address had been tampered with and was found tampered on April 9, 2015.</w:t>
      </w:r>
      <w:r w:rsidR="00750B99" w:rsidRPr="008A2F12">
        <w:rPr>
          <w:rFonts w:eastAsia="Calibri"/>
        </w:rPr>
        <w:t xml:space="preserve">  See </w:t>
      </w:r>
      <w:r w:rsidR="00750B99" w:rsidRPr="008A2F12">
        <w:rPr>
          <w:rFonts w:eastAsia="Calibri"/>
          <w:i/>
        </w:rPr>
        <w:t xml:space="preserve">supra </w:t>
      </w:r>
      <w:r w:rsidR="00750B99" w:rsidRPr="008A2F12">
        <w:rPr>
          <w:rFonts w:eastAsia="Calibri"/>
        </w:rPr>
        <w:t>11-12.</w:t>
      </w:r>
      <w:r w:rsidRPr="008A2F12">
        <w:rPr>
          <w:rFonts w:eastAsia="Calibri"/>
        </w:rPr>
        <w:t xml:space="preserve">  Consequently, the Respondent terminated gas service upon discovering the tampered </w:t>
      </w:r>
      <w:r w:rsidR="00750B99" w:rsidRPr="008A2F12">
        <w:rPr>
          <w:rFonts w:eastAsia="Calibri"/>
        </w:rPr>
        <w:t>meter in compliance with 5</w:t>
      </w:r>
      <w:r w:rsidR="00EE4C9B">
        <w:rPr>
          <w:rFonts w:eastAsia="Calibri"/>
        </w:rPr>
        <w:t>2 Pa.Code § </w:t>
      </w:r>
      <w:r w:rsidR="00750B99" w:rsidRPr="008A2F12">
        <w:rPr>
          <w:rFonts w:eastAsia="Calibri"/>
        </w:rPr>
        <w:t>59.24(b).</w:t>
      </w:r>
      <w:r w:rsidR="009D4E48" w:rsidRPr="008A2F12">
        <w:rPr>
          <w:rFonts w:eastAsia="Calibri"/>
        </w:rPr>
        <w:t xml:space="preserve">  </w:t>
      </w:r>
    </w:p>
    <w:p w:rsidR="009D4E48" w:rsidRPr="008A2F12" w:rsidRDefault="009D4E48" w:rsidP="008A2F12">
      <w:pPr>
        <w:rPr>
          <w:rFonts w:eastAsia="Calibri"/>
        </w:rPr>
      </w:pPr>
    </w:p>
    <w:p w:rsidR="009D178A" w:rsidRPr="008A2F12" w:rsidRDefault="009D178A" w:rsidP="008A2F12">
      <w:pPr>
        <w:spacing w:line="360" w:lineRule="auto"/>
        <w:jc w:val="center"/>
        <w:rPr>
          <w:u w:val="single"/>
        </w:rPr>
      </w:pPr>
      <w:r w:rsidRPr="008A2F12">
        <w:rPr>
          <w:u w:val="single"/>
        </w:rPr>
        <w:t>CONCLUSIONS OF LAW</w:t>
      </w:r>
    </w:p>
    <w:p w:rsidR="009D178A" w:rsidRPr="008A2F12" w:rsidRDefault="009D178A" w:rsidP="008A2F12">
      <w:pPr>
        <w:spacing w:line="360" w:lineRule="auto"/>
        <w:jc w:val="center"/>
        <w:rPr>
          <w:u w:val="single"/>
        </w:rPr>
      </w:pPr>
    </w:p>
    <w:p w:rsidR="009D178A" w:rsidRPr="008A2F12" w:rsidRDefault="009D178A" w:rsidP="008A2F12">
      <w:pPr>
        <w:numPr>
          <w:ilvl w:val="0"/>
          <w:numId w:val="1"/>
        </w:numPr>
        <w:tabs>
          <w:tab w:val="clear" w:pos="900"/>
          <w:tab w:val="num" w:pos="2160"/>
        </w:tabs>
        <w:spacing w:line="360" w:lineRule="auto"/>
        <w:ind w:left="0" w:firstLine="1440"/>
      </w:pPr>
      <w:r w:rsidRPr="008A2F12">
        <w:t>The Commission has jurisdiction over the parties and the subject matter of this proceeding.  66 Pa.C.S. § 701.</w:t>
      </w:r>
    </w:p>
    <w:p w:rsidR="009D178A" w:rsidRPr="008A2F12" w:rsidRDefault="009D178A" w:rsidP="008A2F12">
      <w:pPr>
        <w:spacing w:line="360" w:lineRule="auto"/>
        <w:ind w:left="1440"/>
      </w:pPr>
    </w:p>
    <w:p w:rsidR="00CD6D25" w:rsidRPr="008A2F12" w:rsidRDefault="00CD6D25" w:rsidP="008A2F12">
      <w:pPr>
        <w:numPr>
          <w:ilvl w:val="0"/>
          <w:numId w:val="1"/>
        </w:numPr>
        <w:tabs>
          <w:tab w:val="clear" w:pos="900"/>
          <w:tab w:val="num" w:pos="2160"/>
        </w:tabs>
        <w:spacing w:line="360" w:lineRule="auto"/>
        <w:ind w:left="0" w:firstLine="1440"/>
      </w:pPr>
      <w:r w:rsidRPr="008A2F12">
        <w:t xml:space="preserve">“Burden of proof” means a duty to establish one’s case by a preponderance of the evidence, which requires that the evidence be more convincing by even the smallest degree, than the evidence presented by the other side.  </w:t>
      </w:r>
      <w:r w:rsidRPr="008A2F12">
        <w:rPr>
          <w:i/>
        </w:rPr>
        <w:t>Se-Ling Hosiery, Inc. v. Margulies</w:t>
      </w:r>
      <w:r w:rsidRPr="008A2F12">
        <w:t>, 364 Pa. 45, 70 A.2d 854 (1950).</w:t>
      </w:r>
    </w:p>
    <w:p w:rsidR="00EF42EE" w:rsidRPr="008A2F12" w:rsidRDefault="00EF42EE" w:rsidP="000F23FA">
      <w:pPr>
        <w:pStyle w:val="ListParagraph"/>
        <w:spacing w:line="360" w:lineRule="auto"/>
      </w:pPr>
    </w:p>
    <w:p w:rsidR="009D4E48" w:rsidRPr="00EE4C9B" w:rsidRDefault="00CD6D25" w:rsidP="008A2F12">
      <w:pPr>
        <w:pStyle w:val="FootnoteText"/>
        <w:numPr>
          <w:ilvl w:val="0"/>
          <w:numId w:val="1"/>
        </w:numPr>
        <w:tabs>
          <w:tab w:val="clear" w:pos="900"/>
          <w:tab w:val="num" w:pos="-90"/>
        </w:tabs>
        <w:spacing w:line="360" w:lineRule="auto"/>
        <w:ind w:left="0" w:firstLine="1440"/>
        <w:rPr>
          <w:sz w:val="24"/>
          <w:szCs w:val="24"/>
          <w:u w:val="single"/>
        </w:rPr>
      </w:pPr>
      <w:r w:rsidRPr="008A2F12">
        <w:rPr>
          <w:sz w:val="24"/>
          <w:szCs w:val="24"/>
        </w:rPr>
        <w:t>The Complainant had the burden of proof</w:t>
      </w:r>
      <w:r w:rsidR="00EF42EE" w:rsidRPr="008A2F12">
        <w:rPr>
          <w:sz w:val="24"/>
          <w:szCs w:val="24"/>
        </w:rPr>
        <w:t xml:space="preserve"> and </w:t>
      </w:r>
      <w:r w:rsidR="009D4E48" w:rsidRPr="008A2F12">
        <w:rPr>
          <w:sz w:val="24"/>
          <w:szCs w:val="24"/>
        </w:rPr>
        <w:t xml:space="preserve">failed to </w:t>
      </w:r>
      <w:r w:rsidR="00F431F3" w:rsidRPr="008A2F12">
        <w:rPr>
          <w:sz w:val="24"/>
          <w:szCs w:val="24"/>
        </w:rPr>
        <w:t>sustain h</w:t>
      </w:r>
      <w:r w:rsidR="009D4E48" w:rsidRPr="008A2F12">
        <w:rPr>
          <w:sz w:val="24"/>
          <w:szCs w:val="24"/>
        </w:rPr>
        <w:t>is</w:t>
      </w:r>
      <w:r w:rsidR="00F431F3" w:rsidRPr="008A2F12">
        <w:rPr>
          <w:sz w:val="24"/>
          <w:szCs w:val="24"/>
        </w:rPr>
        <w:t xml:space="preserve"> burden regarding incorrect charges on h</w:t>
      </w:r>
      <w:r w:rsidR="009D4E48" w:rsidRPr="008A2F12">
        <w:rPr>
          <w:sz w:val="24"/>
          <w:szCs w:val="24"/>
        </w:rPr>
        <w:t>is</w:t>
      </w:r>
      <w:r w:rsidR="00F431F3" w:rsidRPr="008A2F12">
        <w:rPr>
          <w:sz w:val="24"/>
          <w:szCs w:val="24"/>
        </w:rPr>
        <w:t xml:space="preserve"> bil</w:t>
      </w:r>
      <w:r w:rsidR="009D4E48" w:rsidRPr="008A2F12">
        <w:rPr>
          <w:sz w:val="24"/>
          <w:szCs w:val="24"/>
        </w:rPr>
        <w:t>l and termination of gas service.</w:t>
      </w:r>
      <w:r w:rsidR="006B2300" w:rsidRPr="008A2F12">
        <w:rPr>
          <w:sz w:val="24"/>
          <w:szCs w:val="24"/>
        </w:rPr>
        <w:t xml:space="preserve">  </w:t>
      </w:r>
      <w:proofErr w:type="gramStart"/>
      <w:r w:rsidR="006B2300" w:rsidRPr="008A2F12">
        <w:rPr>
          <w:sz w:val="24"/>
          <w:szCs w:val="24"/>
        </w:rPr>
        <w:t>66 Pa.C.S.</w:t>
      </w:r>
      <w:proofErr w:type="gramEnd"/>
      <w:r w:rsidR="006B2300" w:rsidRPr="008A2F12">
        <w:rPr>
          <w:sz w:val="24"/>
          <w:szCs w:val="24"/>
        </w:rPr>
        <w:t xml:space="preserve"> § </w:t>
      </w:r>
      <w:r w:rsidRPr="008A2F12">
        <w:rPr>
          <w:sz w:val="24"/>
          <w:szCs w:val="24"/>
        </w:rPr>
        <w:t>332(a).</w:t>
      </w:r>
    </w:p>
    <w:p w:rsidR="00EE4C9B" w:rsidRPr="00EE4C9B" w:rsidRDefault="00EE4C9B" w:rsidP="00EE4C9B">
      <w:pPr>
        <w:pStyle w:val="FootnoteText"/>
        <w:spacing w:line="360" w:lineRule="auto"/>
        <w:ind w:left="1440"/>
        <w:rPr>
          <w:sz w:val="24"/>
          <w:szCs w:val="24"/>
          <w:u w:val="single"/>
        </w:rPr>
      </w:pPr>
    </w:p>
    <w:p w:rsidR="00EE4C9B" w:rsidRPr="00181A2E" w:rsidRDefault="00EE4C9B" w:rsidP="008A2F12">
      <w:pPr>
        <w:pStyle w:val="FootnoteText"/>
        <w:numPr>
          <w:ilvl w:val="0"/>
          <w:numId w:val="1"/>
        </w:numPr>
        <w:tabs>
          <w:tab w:val="clear" w:pos="900"/>
          <w:tab w:val="num" w:pos="-90"/>
        </w:tabs>
        <w:spacing w:line="360" w:lineRule="auto"/>
        <w:ind w:left="0" w:firstLine="1440"/>
        <w:rPr>
          <w:sz w:val="24"/>
          <w:szCs w:val="24"/>
          <w:u w:val="single"/>
        </w:rPr>
      </w:pPr>
      <w:r>
        <w:rPr>
          <w:sz w:val="24"/>
          <w:szCs w:val="24"/>
        </w:rPr>
        <w:t xml:space="preserve">A public utility may immediately terminate service where a customer tampered with meters or other public utility equipment.  </w:t>
      </w:r>
      <w:r w:rsidRPr="00EE4C9B">
        <w:rPr>
          <w:sz w:val="24"/>
          <w:szCs w:val="24"/>
        </w:rPr>
        <w:t>52</w:t>
      </w:r>
      <w:r w:rsidRPr="00EE4C9B">
        <w:rPr>
          <w:rFonts w:eastAsia="Calibri"/>
          <w:sz w:val="24"/>
          <w:szCs w:val="24"/>
        </w:rPr>
        <w:t xml:space="preserve"> </w:t>
      </w:r>
      <w:proofErr w:type="spellStart"/>
      <w:r w:rsidRPr="00EE4C9B">
        <w:rPr>
          <w:rFonts w:eastAsia="Calibri"/>
          <w:sz w:val="24"/>
          <w:szCs w:val="24"/>
        </w:rPr>
        <w:t>Pa.Code</w:t>
      </w:r>
      <w:proofErr w:type="spellEnd"/>
      <w:r w:rsidRPr="00EE4C9B">
        <w:rPr>
          <w:rFonts w:eastAsia="Calibri"/>
          <w:sz w:val="24"/>
          <w:szCs w:val="24"/>
        </w:rPr>
        <w:t xml:space="preserve"> §</w:t>
      </w:r>
      <w:r>
        <w:rPr>
          <w:rFonts w:eastAsia="Calibri"/>
          <w:sz w:val="24"/>
          <w:szCs w:val="24"/>
        </w:rPr>
        <w:t xml:space="preserve"> 56.98(a</w:t>
      </w:r>
      <w:proofErr w:type="gramStart"/>
      <w:r>
        <w:rPr>
          <w:rFonts w:eastAsia="Calibri"/>
          <w:sz w:val="24"/>
          <w:szCs w:val="24"/>
        </w:rPr>
        <w:t>)(</w:t>
      </w:r>
      <w:proofErr w:type="gramEnd"/>
      <w:r>
        <w:rPr>
          <w:rFonts w:eastAsia="Calibri"/>
          <w:sz w:val="24"/>
          <w:szCs w:val="24"/>
        </w:rPr>
        <w:t>3).</w:t>
      </w:r>
    </w:p>
    <w:p w:rsidR="00181A2E" w:rsidRPr="00EE4C9B" w:rsidRDefault="00181A2E" w:rsidP="00181A2E">
      <w:pPr>
        <w:pStyle w:val="FootnoteText"/>
        <w:spacing w:line="360" w:lineRule="auto"/>
        <w:ind w:left="1440"/>
        <w:rPr>
          <w:sz w:val="24"/>
          <w:szCs w:val="24"/>
          <w:u w:val="single"/>
        </w:rPr>
      </w:pPr>
    </w:p>
    <w:p w:rsidR="00EE4C9B" w:rsidRPr="00F02242" w:rsidRDefault="005B6C0B" w:rsidP="008A2F12">
      <w:pPr>
        <w:pStyle w:val="FootnoteText"/>
        <w:numPr>
          <w:ilvl w:val="0"/>
          <w:numId w:val="1"/>
        </w:numPr>
        <w:tabs>
          <w:tab w:val="clear" w:pos="900"/>
          <w:tab w:val="num" w:pos="-90"/>
        </w:tabs>
        <w:spacing w:line="360" w:lineRule="auto"/>
        <w:ind w:left="0" w:firstLine="1440"/>
        <w:rPr>
          <w:sz w:val="24"/>
          <w:szCs w:val="24"/>
          <w:u w:val="single"/>
        </w:rPr>
      </w:pPr>
      <w:r>
        <w:rPr>
          <w:sz w:val="24"/>
          <w:szCs w:val="24"/>
        </w:rPr>
        <w:t xml:space="preserve">In the event a Company’s </w:t>
      </w:r>
      <w:r w:rsidR="00EE4C9B">
        <w:rPr>
          <w:sz w:val="24"/>
          <w:szCs w:val="24"/>
        </w:rPr>
        <w:t xml:space="preserve">equipment or property </w:t>
      </w:r>
      <w:r>
        <w:rPr>
          <w:sz w:val="24"/>
          <w:szCs w:val="24"/>
        </w:rPr>
        <w:t>is tampered or interfered with,</w:t>
      </w:r>
      <w:r w:rsidR="00EE4C9B">
        <w:rPr>
          <w:sz w:val="24"/>
          <w:szCs w:val="24"/>
        </w:rPr>
        <w:t xml:space="preserve"> the Customer supplied </w:t>
      </w:r>
      <w:r>
        <w:rPr>
          <w:sz w:val="24"/>
          <w:szCs w:val="24"/>
        </w:rPr>
        <w:t xml:space="preserve">thorough such equipment shall pay the amount which the Company shall estimate is due for service even if such usage is not registered on the Company’s meter.  Supplement No. 21 to Philadelphia Gas Works Gas Service Tariff, First Revised Page No. 44, </w:t>
      </w:r>
      <w:proofErr w:type="spellStart"/>
      <w:r>
        <w:rPr>
          <w:sz w:val="24"/>
          <w:szCs w:val="24"/>
        </w:rPr>
        <w:t>Pa.P.U.C</w:t>
      </w:r>
      <w:proofErr w:type="spellEnd"/>
      <w:r>
        <w:rPr>
          <w:sz w:val="24"/>
          <w:szCs w:val="24"/>
        </w:rPr>
        <w:t>. No.2 §</w:t>
      </w:r>
      <w:r w:rsidR="007C0219">
        <w:rPr>
          <w:sz w:val="24"/>
          <w:szCs w:val="24"/>
        </w:rPr>
        <w:t xml:space="preserve"> </w:t>
      </w:r>
      <w:r>
        <w:rPr>
          <w:sz w:val="24"/>
          <w:szCs w:val="24"/>
        </w:rPr>
        <w:t>8.3.</w:t>
      </w:r>
    </w:p>
    <w:p w:rsidR="00F02242" w:rsidRPr="007C0219" w:rsidRDefault="00F02242" w:rsidP="00F02242">
      <w:pPr>
        <w:pStyle w:val="FootnoteText"/>
        <w:spacing w:line="360" w:lineRule="auto"/>
        <w:ind w:left="1440"/>
        <w:rPr>
          <w:sz w:val="24"/>
          <w:szCs w:val="24"/>
          <w:u w:val="single"/>
        </w:rPr>
      </w:pPr>
    </w:p>
    <w:p w:rsidR="007C0219" w:rsidRPr="0055097C" w:rsidRDefault="007C0219" w:rsidP="008A2F12">
      <w:pPr>
        <w:pStyle w:val="FootnoteText"/>
        <w:numPr>
          <w:ilvl w:val="0"/>
          <w:numId w:val="1"/>
        </w:numPr>
        <w:tabs>
          <w:tab w:val="clear" w:pos="900"/>
          <w:tab w:val="num" w:pos="-90"/>
        </w:tabs>
        <w:spacing w:line="360" w:lineRule="auto"/>
        <w:ind w:left="0" w:firstLine="1440"/>
        <w:rPr>
          <w:sz w:val="24"/>
          <w:szCs w:val="24"/>
          <w:u w:val="single"/>
        </w:rPr>
      </w:pPr>
      <w:r>
        <w:rPr>
          <w:sz w:val="24"/>
          <w:szCs w:val="24"/>
        </w:rPr>
        <w:t>A public utility</w:t>
      </w:r>
      <w:r w:rsidR="00F02242">
        <w:rPr>
          <w:sz w:val="24"/>
          <w:szCs w:val="24"/>
        </w:rPr>
        <w:t>’s</w:t>
      </w:r>
      <w:r>
        <w:rPr>
          <w:sz w:val="24"/>
          <w:szCs w:val="24"/>
        </w:rPr>
        <w:t xml:space="preserve"> Commission-approved tariff is prima facie reasonable, has the full force of law and is binding on the utility and the customer.  66 </w:t>
      </w:r>
      <w:proofErr w:type="spellStart"/>
      <w:r>
        <w:rPr>
          <w:sz w:val="24"/>
          <w:szCs w:val="24"/>
        </w:rPr>
        <w:t>Pa.C.S</w:t>
      </w:r>
      <w:proofErr w:type="spellEnd"/>
      <w:r>
        <w:rPr>
          <w:sz w:val="24"/>
          <w:szCs w:val="24"/>
        </w:rPr>
        <w:t xml:space="preserve"> § 316, </w:t>
      </w:r>
      <w:proofErr w:type="spellStart"/>
      <w:r>
        <w:rPr>
          <w:i/>
          <w:sz w:val="24"/>
          <w:szCs w:val="24"/>
        </w:rPr>
        <w:t>Kossman</w:t>
      </w:r>
      <w:proofErr w:type="spellEnd"/>
      <w:r>
        <w:rPr>
          <w:i/>
          <w:sz w:val="24"/>
          <w:szCs w:val="24"/>
        </w:rPr>
        <w:t xml:space="preserve"> v. PA. Pub. Util. </w:t>
      </w:r>
      <w:proofErr w:type="spellStart"/>
      <w:r>
        <w:rPr>
          <w:i/>
          <w:sz w:val="24"/>
          <w:szCs w:val="24"/>
        </w:rPr>
        <w:t>Commn</w:t>
      </w:r>
      <w:proofErr w:type="spellEnd"/>
      <w:r>
        <w:rPr>
          <w:i/>
          <w:sz w:val="24"/>
          <w:szCs w:val="24"/>
        </w:rPr>
        <w:t xml:space="preserve">, </w:t>
      </w:r>
      <w:r>
        <w:rPr>
          <w:sz w:val="24"/>
          <w:szCs w:val="24"/>
        </w:rPr>
        <w:t>694 A.2d 1147 (</w:t>
      </w:r>
      <w:proofErr w:type="spellStart"/>
      <w:r>
        <w:rPr>
          <w:sz w:val="24"/>
          <w:szCs w:val="24"/>
        </w:rPr>
        <w:t>Pa.Cmwlth</w:t>
      </w:r>
      <w:proofErr w:type="spellEnd"/>
      <w:r>
        <w:rPr>
          <w:sz w:val="24"/>
          <w:szCs w:val="24"/>
        </w:rPr>
        <w:t>.</w:t>
      </w:r>
      <w:r w:rsidR="00F02242">
        <w:rPr>
          <w:sz w:val="24"/>
          <w:szCs w:val="24"/>
        </w:rPr>
        <w:t xml:space="preserve"> </w:t>
      </w:r>
      <w:r>
        <w:rPr>
          <w:sz w:val="24"/>
          <w:szCs w:val="24"/>
        </w:rPr>
        <w:t xml:space="preserve">1997) and </w:t>
      </w:r>
      <w:proofErr w:type="spellStart"/>
      <w:r>
        <w:rPr>
          <w:i/>
          <w:sz w:val="24"/>
          <w:szCs w:val="24"/>
        </w:rPr>
        <w:t>Stitler</w:t>
      </w:r>
      <w:proofErr w:type="spellEnd"/>
      <w:r>
        <w:rPr>
          <w:i/>
          <w:sz w:val="24"/>
          <w:szCs w:val="24"/>
        </w:rPr>
        <w:t xml:space="preserve"> v. Bell Telephone Co. of Pennsylvania, </w:t>
      </w:r>
      <w:r>
        <w:rPr>
          <w:sz w:val="24"/>
          <w:szCs w:val="24"/>
        </w:rPr>
        <w:t xml:space="preserve">379 A.2d 339 </w:t>
      </w:r>
      <w:r w:rsidR="00F02242">
        <w:rPr>
          <w:sz w:val="24"/>
          <w:szCs w:val="24"/>
        </w:rPr>
        <w:t>(</w:t>
      </w:r>
      <w:proofErr w:type="spellStart"/>
      <w:r>
        <w:rPr>
          <w:sz w:val="24"/>
          <w:szCs w:val="24"/>
        </w:rPr>
        <w:t>Pa.Cmwlth</w:t>
      </w:r>
      <w:proofErr w:type="spellEnd"/>
      <w:r>
        <w:rPr>
          <w:sz w:val="24"/>
          <w:szCs w:val="24"/>
        </w:rPr>
        <w:t>. 1977</w:t>
      </w:r>
      <w:r w:rsidR="00F02242">
        <w:rPr>
          <w:sz w:val="24"/>
          <w:szCs w:val="24"/>
        </w:rPr>
        <w:t>).</w:t>
      </w:r>
    </w:p>
    <w:p w:rsidR="0055097C" w:rsidRPr="00F02242" w:rsidRDefault="0055097C" w:rsidP="0055097C">
      <w:pPr>
        <w:pStyle w:val="FootnoteText"/>
        <w:spacing w:line="360" w:lineRule="auto"/>
        <w:ind w:left="1440"/>
        <w:rPr>
          <w:sz w:val="24"/>
          <w:szCs w:val="24"/>
          <w:u w:val="single"/>
        </w:rPr>
      </w:pPr>
    </w:p>
    <w:p w:rsidR="00F02242" w:rsidRDefault="0055097C" w:rsidP="00060620">
      <w:pPr>
        <w:pStyle w:val="ListParagraph"/>
        <w:numPr>
          <w:ilvl w:val="0"/>
          <w:numId w:val="1"/>
        </w:numPr>
        <w:tabs>
          <w:tab w:val="clear" w:pos="900"/>
        </w:tabs>
        <w:spacing w:line="360" w:lineRule="auto"/>
        <w:ind w:left="0" w:firstLine="1440"/>
      </w:pPr>
      <w:r>
        <w:lastRenderedPageBreak/>
        <w:t xml:space="preserve">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 not exceeding 4 years prior to the date of requesting that the service be restore.  </w:t>
      </w:r>
      <w:r w:rsidRPr="0055097C">
        <w:t>The 4-year limit does not apply in instances of fraud and theft.</w:t>
      </w:r>
      <w:r>
        <w:t xml:space="preserve">  </w:t>
      </w:r>
      <w:r w:rsidR="00060620">
        <w:t xml:space="preserve">52 </w:t>
      </w:r>
      <w:proofErr w:type="spellStart"/>
      <w:r w:rsidR="00060620">
        <w:t>Pa.Code</w:t>
      </w:r>
      <w:proofErr w:type="spellEnd"/>
      <w:r w:rsidR="00060620">
        <w:t xml:space="preserve"> § </w:t>
      </w:r>
      <w:r>
        <w:t>5</w:t>
      </w:r>
      <w:r w:rsidR="000947B0">
        <w:t>6</w:t>
      </w:r>
      <w:r>
        <w:t>.191(d).</w:t>
      </w:r>
    </w:p>
    <w:p w:rsidR="000947B0" w:rsidRDefault="000947B0" w:rsidP="00060620">
      <w:pPr>
        <w:pStyle w:val="ListParagraph"/>
        <w:spacing w:line="360" w:lineRule="auto"/>
        <w:ind w:left="2160" w:right="1440"/>
      </w:pPr>
    </w:p>
    <w:p w:rsidR="000947B0" w:rsidRPr="000947B0" w:rsidRDefault="000947B0" w:rsidP="00060620">
      <w:pPr>
        <w:pStyle w:val="ListParagraph"/>
        <w:numPr>
          <w:ilvl w:val="0"/>
          <w:numId w:val="1"/>
        </w:numPr>
        <w:tabs>
          <w:tab w:val="clear" w:pos="900"/>
        </w:tabs>
        <w:spacing w:line="360" w:lineRule="auto"/>
        <w:ind w:left="0" w:firstLine="1440"/>
        <w:rPr>
          <w:rFonts w:eastAsia="Calibri"/>
        </w:rPr>
      </w:pPr>
      <w:r w:rsidRPr="000947B0">
        <w:rPr>
          <w:rFonts w:eastAsia="Calibri"/>
        </w:rPr>
        <w:t>No public utility shall discontinue service to a customer for violation of its rules and regulations or for nonpayment of bills without a diligent attempt to induce the customer to comply with the rules and regulations, or to pay the bills when due.  Service may not be discontinued until after at least 24-hour written notice has been given by the utility that bills are 5 or more days delinquent, or that the violation of rules shall cease.  If fraudulent use of gas is detected, or if the regulating or measuring equipment of the utility has been tampered with,</w:t>
      </w:r>
      <w:r w:rsidRPr="000947B0">
        <w:rPr>
          <w:rFonts w:eastAsia="Calibri"/>
          <w:b/>
        </w:rPr>
        <w:t xml:space="preserve"> </w:t>
      </w:r>
      <w:r w:rsidRPr="000947B0">
        <w:rPr>
          <w:rFonts w:eastAsia="Calibri"/>
        </w:rPr>
        <w:t>or if a dangerous condition is found to exist on the premises of customers, the gas may be shut off without advance notice.</w:t>
      </w:r>
      <w:r w:rsidRPr="000947B0">
        <w:rPr>
          <w:rFonts w:eastAsia="Calibri"/>
          <w:b/>
        </w:rPr>
        <w:t xml:space="preserve">  </w:t>
      </w:r>
      <w:r>
        <w:rPr>
          <w:rFonts w:eastAsia="Calibri"/>
        </w:rPr>
        <w:t xml:space="preserve">52 </w:t>
      </w:r>
      <w:proofErr w:type="spellStart"/>
      <w:r>
        <w:rPr>
          <w:rFonts w:eastAsia="Calibri"/>
        </w:rPr>
        <w:t>Pa.Code</w:t>
      </w:r>
      <w:proofErr w:type="spellEnd"/>
      <w:r>
        <w:rPr>
          <w:rFonts w:eastAsia="Calibri"/>
        </w:rPr>
        <w:t xml:space="preserve"> § 59.24(b).</w:t>
      </w:r>
      <w:bookmarkStart w:id="0" w:name="_GoBack"/>
    </w:p>
    <w:bookmarkEnd w:id="0"/>
    <w:p w:rsidR="000947B0" w:rsidRDefault="000947B0" w:rsidP="00F5735C">
      <w:pPr>
        <w:spacing w:line="360" w:lineRule="auto"/>
        <w:rPr>
          <w:u w:val="single"/>
        </w:rPr>
      </w:pPr>
    </w:p>
    <w:p w:rsidR="00CD6D25" w:rsidRPr="008A2F12" w:rsidRDefault="00CD6D25" w:rsidP="008A2F12">
      <w:pPr>
        <w:pStyle w:val="FootnoteText"/>
        <w:spacing w:line="360" w:lineRule="auto"/>
        <w:jc w:val="center"/>
        <w:rPr>
          <w:sz w:val="24"/>
          <w:szCs w:val="24"/>
          <w:u w:val="single"/>
        </w:rPr>
      </w:pPr>
      <w:r w:rsidRPr="008A2F12">
        <w:rPr>
          <w:sz w:val="24"/>
          <w:szCs w:val="24"/>
          <w:u w:val="single"/>
        </w:rPr>
        <w:t>ORDER</w:t>
      </w:r>
    </w:p>
    <w:p w:rsidR="0014393C" w:rsidRDefault="0014393C" w:rsidP="008A2F12">
      <w:pPr>
        <w:spacing w:line="360" w:lineRule="auto"/>
        <w:jc w:val="center"/>
        <w:outlineLvl w:val="0"/>
        <w:rPr>
          <w:u w:val="single"/>
        </w:rPr>
      </w:pPr>
    </w:p>
    <w:p w:rsidR="00B93FD0" w:rsidRPr="008A2F12" w:rsidRDefault="00B93FD0" w:rsidP="008A2F12">
      <w:pPr>
        <w:spacing w:line="360" w:lineRule="auto"/>
        <w:jc w:val="center"/>
        <w:outlineLvl w:val="0"/>
        <w:rPr>
          <w:u w:val="single"/>
        </w:rPr>
      </w:pPr>
    </w:p>
    <w:p w:rsidR="00CD6D25" w:rsidRPr="008A2F12" w:rsidRDefault="00CD6D25" w:rsidP="008A2F12">
      <w:pPr>
        <w:tabs>
          <w:tab w:val="num" w:pos="2160"/>
        </w:tabs>
        <w:spacing w:line="360" w:lineRule="auto"/>
        <w:ind w:firstLine="1440"/>
      </w:pPr>
      <w:r w:rsidRPr="008A2F12">
        <w:t>THEREFORE,</w:t>
      </w:r>
    </w:p>
    <w:p w:rsidR="00CD6D25" w:rsidRPr="008A2F12" w:rsidRDefault="00CD6D25" w:rsidP="008A2F12">
      <w:pPr>
        <w:tabs>
          <w:tab w:val="num" w:pos="2160"/>
        </w:tabs>
        <w:spacing w:line="360" w:lineRule="auto"/>
      </w:pPr>
    </w:p>
    <w:p w:rsidR="00CD6D25" w:rsidRPr="008A2F12" w:rsidRDefault="00CD6D25" w:rsidP="008A2F12">
      <w:pPr>
        <w:tabs>
          <w:tab w:val="num" w:pos="2160"/>
        </w:tabs>
        <w:spacing w:line="360" w:lineRule="auto"/>
        <w:ind w:firstLine="1440"/>
        <w:outlineLvl w:val="0"/>
      </w:pPr>
      <w:r w:rsidRPr="008A2F12">
        <w:t>IT IS ORDERED:</w:t>
      </w:r>
    </w:p>
    <w:p w:rsidR="00CD6D25" w:rsidRPr="008A2F12" w:rsidRDefault="00CD6D25" w:rsidP="008A2F12">
      <w:pPr>
        <w:tabs>
          <w:tab w:val="num" w:pos="2160"/>
        </w:tabs>
        <w:spacing w:line="360" w:lineRule="auto"/>
        <w:ind w:firstLine="1440"/>
        <w:outlineLvl w:val="0"/>
      </w:pPr>
    </w:p>
    <w:p w:rsidR="003920E6" w:rsidRPr="008A2F12" w:rsidRDefault="00CD6D25" w:rsidP="008A2F12">
      <w:pPr>
        <w:pStyle w:val="ListParagraph"/>
        <w:numPr>
          <w:ilvl w:val="0"/>
          <w:numId w:val="2"/>
        </w:numPr>
        <w:spacing w:line="360" w:lineRule="auto"/>
        <w:ind w:left="0" w:firstLine="1440"/>
        <w:contextualSpacing w:val="0"/>
        <w:outlineLvl w:val="0"/>
      </w:pPr>
      <w:r w:rsidRPr="008A2F12">
        <w:t xml:space="preserve">That the formal Complaint filed by </w:t>
      </w:r>
      <w:r w:rsidR="009D4E48" w:rsidRPr="008A2F12">
        <w:t>William Ford</w:t>
      </w:r>
      <w:r w:rsidR="00A330C3" w:rsidRPr="008A2F12">
        <w:t xml:space="preserve"> </w:t>
      </w:r>
      <w:r w:rsidRPr="008A2F12">
        <w:t>against P</w:t>
      </w:r>
      <w:r w:rsidR="007E6735" w:rsidRPr="008A2F12">
        <w:t xml:space="preserve">hiladelphia Gas Works </w:t>
      </w:r>
      <w:r w:rsidRPr="008A2F12">
        <w:t xml:space="preserve">at Docket No. </w:t>
      </w:r>
      <w:r w:rsidR="009D4E48" w:rsidRPr="008A2F12">
        <w:t>F</w:t>
      </w:r>
      <w:r w:rsidRPr="008A2F12">
        <w:t>-201</w:t>
      </w:r>
      <w:r w:rsidR="009D4E48" w:rsidRPr="008A2F12">
        <w:t>5</w:t>
      </w:r>
      <w:r w:rsidRPr="008A2F12">
        <w:t>-2</w:t>
      </w:r>
      <w:r w:rsidR="009D4E48" w:rsidRPr="008A2F12">
        <w:t>519079</w:t>
      </w:r>
      <w:r w:rsidR="007E6735" w:rsidRPr="008A2F12">
        <w:t xml:space="preserve"> is </w:t>
      </w:r>
      <w:r w:rsidR="009D4E48" w:rsidRPr="008A2F12">
        <w:t>d</w:t>
      </w:r>
      <w:r w:rsidR="00FA3D42" w:rsidRPr="008A2F12">
        <w:t>ismissed</w:t>
      </w:r>
      <w:r w:rsidR="007E6735" w:rsidRPr="008A2F12">
        <w:t>.</w:t>
      </w:r>
    </w:p>
    <w:p w:rsidR="0044617C" w:rsidRPr="008A2F12" w:rsidRDefault="0044617C" w:rsidP="008A2F12">
      <w:pPr>
        <w:spacing w:line="360" w:lineRule="auto"/>
        <w:ind w:left="1440"/>
        <w:outlineLvl w:val="0"/>
      </w:pPr>
    </w:p>
    <w:p w:rsidR="007F264B" w:rsidRPr="008A2F12" w:rsidRDefault="007F264B" w:rsidP="008A2F12">
      <w:pPr>
        <w:numPr>
          <w:ilvl w:val="0"/>
          <w:numId w:val="2"/>
        </w:numPr>
        <w:autoSpaceDE w:val="0"/>
        <w:autoSpaceDN w:val="0"/>
        <w:spacing w:line="360" w:lineRule="auto"/>
        <w:ind w:left="0" w:firstLine="1440"/>
      </w:pPr>
      <w:r w:rsidRPr="008A2F12">
        <w:t xml:space="preserve">That the Secretary’s Bureau shall mark the matter at Docket No. </w:t>
      </w:r>
      <w:r w:rsidR="006C25AC" w:rsidRPr="008A2F12">
        <w:t>F</w:t>
      </w:r>
      <w:r w:rsidRPr="008A2F12">
        <w:t>-2015-2</w:t>
      </w:r>
      <w:r w:rsidR="006C25AC" w:rsidRPr="008A2F12">
        <w:t>519079</w:t>
      </w:r>
      <w:r w:rsidRPr="008A2F12">
        <w:t xml:space="preserve"> closed.</w:t>
      </w:r>
    </w:p>
    <w:p w:rsidR="00CD6D25" w:rsidRPr="008A2F12" w:rsidRDefault="00CD6D25" w:rsidP="008A2F12">
      <w:pPr>
        <w:spacing w:line="360" w:lineRule="auto"/>
      </w:pPr>
    </w:p>
    <w:p w:rsidR="00CD6D25" w:rsidRPr="008A2F12" w:rsidRDefault="00CD6D25" w:rsidP="008A2F12">
      <w:pPr>
        <w:tabs>
          <w:tab w:val="num" w:pos="2160"/>
          <w:tab w:val="left" w:pos="5048"/>
        </w:tabs>
        <w:spacing w:line="360" w:lineRule="auto"/>
      </w:pPr>
    </w:p>
    <w:p w:rsidR="00CD6D25" w:rsidRPr="008A2F12" w:rsidRDefault="00CD6D25" w:rsidP="008A2F12">
      <w:pPr>
        <w:tabs>
          <w:tab w:val="num" w:pos="2160"/>
          <w:tab w:val="left" w:pos="5048"/>
        </w:tabs>
        <w:rPr>
          <w:u w:val="single"/>
        </w:rPr>
      </w:pPr>
      <w:r w:rsidRPr="008A2F12">
        <w:t>Date:</w:t>
      </w:r>
      <w:r w:rsidR="0044617C" w:rsidRPr="008A2F12">
        <w:t xml:space="preserve"> </w:t>
      </w:r>
      <w:r w:rsidR="007F264B" w:rsidRPr="008A2F12">
        <w:rPr>
          <w:u w:val="single"/>
        </w:rPr>
        <w:t>A</w:t>
      </w:r>
      <w:r w:rsidR="006C25AC" w:rsidRPr="008A2F12">
        <w:rPr>
          <w:u w:val="single"/>
        </w:rPr>
        <w:t>ugust 11</w:t>
      </w:r>
      <w:r w:rsidR="007F264B" w:rsidRPr="008A2F12">
        <w:rPr>
          <w:u w:val="single"/>
        </w:rPr>
        <w:t>, 2016</w:t>
      </w:r>
      <w:r w:rsidRPr="008A2F12">
        <w:t xml:space="preserve"> </w:t>
      </w:r>
      <w:r w:rsidRPr="008A2F12">
        <w:tab/>
      </w:r>
      <w:r w:rsidRPr="008A2F12">
        <w:rPr>
          <w:u w:val="single"/>
        </w:rPr>
        <w:tab/>
        <w:t>/s/</w:t>
      </w:r>
      <w:r w:rsidRPr="008A2F12">
        <w:rPr>
          <w:u w:val="single"/>
        </w:rPr>
        <w:tab/>
      </w:r>
      <w:r w:rsidRPr="008A2F12">
        <w:rPr>
          <w:u w:val="single"/>
        </w:rPr>
        <w:tab/>
      </w:r>
      <w:r w:rsidRPr="008A2F12">
        <w:rPr>
          <w:u w:val="single"/>
        </w:rPr>
        <w:tab/>
      </w:r>
      <w:r w:rsidRPr="008A2F12">
        <w:rPr>
          <w:u w:val="single"/>
        </w:rPr>
        <w:tab/>
      </w:r>
      <w:r w:rsidRPr="008A2F12">
        <w:rPr>
          <w:u w:val="single"/>
        </w:rPr>
        <w:tab/>
      </w:r>
    </w:p>
    <w:p w:rsidR="00CD6D25" w:rsidRPr="008A2F12" w:rsidRDefault="00CD6D25" w:rsidP="008A2F12">
      <w:pPr>
        <w:tabs>
          <w:tab w:val="num" w:pos="2160"/>
          <w:tab w:val="left" w:pos="5048"/>
        </w:tabs>
      </w:pPr>
      <w:r w:rsidRPr="008A2F12">
        <w:tab/>
      </w:r>
      <w:r w:rsidRPr="008A2F12">
        <w:tab/>
        <w:t xml:space="preserve">Angela T. Jones </w:t>
      </w:r>
    </w:p>
    <w:p w:rsidR="00CD6D25" w:rsidRPr="008A2F12" w:rsidRDefault="00CD6D25" w:rsidP="008A2F12">
      <w:pPr>
        <w:tabs>
          <w:tab w:val="num" w:pos="2160"/>
          <w:tab w:val="left" w:pos="5048"/>
        </w:tabs>
      </w:pPr>
      <w:r w:rsidRPr="008A2F12">
        <w:tab/>
      </w:r>
      <w:r w:rsidRPr="008A2F12">
        <w:tab/>
        <w:t>Administrative Law Judge</w:t>
      </w:r>
    </w:p>
    <w:sectPr w:rsidR="00CD6D25" w:rsidRPr="008A2F12"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BC" w:rsidRDefault="00817ABC">
      <w:r>
        <w:separator/>
      </w:r>
    </w:p>
  </w:endnote>
  <w:endnote w:type="continuationSeparator" w:id="0">
    <w:p w:rsidR="00817ABC" w:rsidRDefault="0081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9B" w:rsidRDefault="00EE4C9B"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C9B" w:rsidRDefault="00EE4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EE4C9B" w:rsidRPr="0014393C" w:rsidRDefault="00EE4C9B">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F5735C">
          <w:rPr>
            <w:noProof/>
            <w:sz w:val="20"/>
            <w:szCs w:val="20"/>
          </w:rPr>
          <w:t>18</w:t>
        </w:r>
        <w:r w:rsidRPr="0014393C">
          <w:rPr>
            <w:noProof/>
            <w:sz w:val="20"/>
            <w:szCs w:val="20"/>
          </w:rPr>
          <w:fldChar w:fldCharType="end"/>
        </w:r>
      </w:p>
    </w:sdtContent>
  </w:sdt>
  <w:p w:rsidR="00EE4C9B" w:rsidRPr="0014393C" w:rsidRDefault="00EE4C9B"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BC" w:rsidRDefault="00817ABC">
      <w:r>
        <w:separator/>
      </w:r>
    </w:p>
  </w:footnote>
  <w:footnote w:type="continuationSeparator" w:id="0">
    <w:p w:rsidR="00817ABC" w:rsidRDefault="00817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5">
    <w:nsid w:val="3AE07013"/>
    <w:multiLevelType w:val="hybridMultilevel"/>
    <w:tmpl w:val="E89EA774"/>
    <w:lvl w:ilvl="0" w:tplc="BE707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516245"/>
    <w:multiLevelType w:val="hybridMultilevel"/>
    <w:tmpl w:val="62BE88BA"/>
    <w:lvl w:ilvl="0" w:tplc="14E28F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4AA78D0"/>
    <w:multiLevelType w:val="hybridMultilevel"/>
    <w:tmpl w:val="6E5E74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E6020"/>
    <w:multiLevelType w:val="hybridMultilevel"/>
    <w:tmpl w:val="466AAD66"/>
    <w:lvl w:ilvl="0" w:tplc="9D22ACB2">
      <w:start w:val="8"/>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A0279"/>
    <w:multiLevelType w:val="hybridMultilevel"/>
    <w:tmpl w:val="945E7A44"/>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A3C2E37A">
      <w:start w:val="1"/>
      <w:numFmt w:val="decimal"/>
      <w:lvlText w:val="(%3)"/>
      <w:lvlJc w:val="left"/>
      <w:pPr>
        <w:ind w:left="3420" w:hanging="360"/>
      </w:pPr>
      <w:rPr>
        <w:rFonts w:hint="default"/>
      </w:rPr>
    </w:lvl>
    <w:lvl w:ilvl="3" w:tplc="022A7B1E">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F026DF"/>
    <w:multiLevelType w:val="hybridMultilevel"/>
    <w:tmpl w:val="2328181E"/>
    <w:lvl w:ilvl="0" w:tplc="077C6B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6"/>
  </w:num>
  <w:num w:numId="6">
    <w:abstractNumId w:val="3"/>
  </w:num>
  <w:num w:numId="7">
    <w:abstractNumId w:val="5"/>
  </w:num>
  <w:num w:numId="8">
    <w:abstractNumId w:val="13"/>
  </w:num>
  <w:num w:numId="9">
    <w:abstractNumId w:val="12"/>
  </w:num>
  <w:num w:numId="10">
    <w:abstractNumId w:val="8"/>
  </w:num>
  <w:num w:numId="11">
    <w:abstractNumId w:val="2"/>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CAB"/>
    <w:rsid w:val="00000E2D"/>
    <w:rsid w:val="000017C4"/>
    <w:rsid w:val="00002A4C"/>
    <w:rsid w:val="000035BB"/>
    <w:rsid w:val="0000360D"/>
    <w:rsid w:val="00006BC2"/>
    <w:rsid w:val="00007520"/>
    <w:rsid w:val="000075FC"/>
    <w:rsid w:val="00007AD3"/>
    <w:rsid w:val="00010964"/>
    <w:rsid w:val="00010F3B"/>
    <w:rsid w:val="0001209D"/>
    <w:rsid w:val="00012624"/>
    <w:rsid w:val="00012651"/>
    <w:rsid w:val="00012AA7"/>
    <w:rsid w:val="00012F0F"/>
    <w:rsid w:val="000130CF"/>
    <w:rsid w:val="0001330B"/>
    <w:rsid w:val="0001395D"/>
    <w:rsid w:val="00013B00"/>
    <w:rsid w:val="00014B9B"/>
    <w:rsid w:val="00015637"/>
    <w:rsid w:val="00015FC5"/>
    <w:rsid w:val="000165B5"/>
    <w:rsid w:val="000205EF"/>
    <w:rsid w:val="00020DD2"/>
    <w:rsid w:val="00021C47"/>
    <w:rsid w:val="00021E05"/>
    <w:rsid w:val="00021F05"/>
    <w:rsid w:val="00024AB5"/>
    <w:rsid w:val="00030013"/>
    <w:rsid w:val="000303CB"/>
    <w:rsid w:val="000315D8"/>
    <w:rsid w:val="00031968"/>
    <w:rsid w:val="000320EA"/>
    <w:rsid w:val="00034D35"/>
    <w:rsid w:val="00035222"/>
    <w:rsid w:val="000353FC"/>
    <w:rsid w:val="000359CF"/>
    <w:rsid w:val="00037AB9"/>
    <w:rsid w:val="00037FC7"/>
    <w:rsid w:val="00040B16"/>
    <w:rsid w:val="0004187E"/>
    <w:rsid w:val="00042212"/>
    <w:rsid w:val="00042CBF"/>
    <w:rsid w:val="000431CB"/>
    <w:rsid w:val="00044226"/>
    <w:rsid w:val="000446DB"/>
    <w:rsid w:val="00046434"/>
    <w:rsid w:val="00046737"/>
    <w:rsid w:val="0004698F"/>
    <w:rsid w:val="00046F49"/>
    <w:rsid w:val="000479B4"/>
    <w:rsid w:val="00047DE8"/>
    <w:rsid w:val="00050656"/>
    <w:rsid w:val="00052875"/>
    <w:rsid w:val="00052AF9"/>
    <w:rsid w:val="0005373A"/>
    <w:rsid w:val="00053792"/>
    <w:rsid w:val="0005431F"/>
    <w:rsid w:val="0005540A"/>
    <w:rsid w:val="0005568B"/>
    <w:rsid w:val="00060620"/>
    <w:rsid w:val="00061103"/>
    <w:rsid w:val="000616D1"/>
    <w:rsid w:val="00061CCC"/>
    <w:rsid w:val="00072F60"/>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7B0"/>
    <w:rsid w:val="00094A2B"/>
    <w:rsid w:val="0009590E"/>
    <w:rsid w:val="000962F2"/>
    <w:rsid w:val="000A02A6"/>
    <w:rsid w:val="000A055A"/>
    <w:rsid w:val="000A07BD"/>
    <w:rsid w:val="000A1769"/>
    <w:rsid w:val="000A25EB"/>
    <w:rsid w:val="000A27C5"/>
    <w:rsid w:val="000A2D8C"/>
    <w:rsid w:val="000A5190"/>
    <w:rsid w:val="000A5360"/>
    <w:rsid w:val="000A741D"/>
    <w:rsid w:val="000A7657"/>
    <w:rsid w:val="000B0781"/>
    <w:rsid w:val="000B08F5"/>
    <w:rsid w:val="000B4662"/>
    <w:rsid w:val="000B4A44"/>
    <w:rsid w:val="000B6777"/>
    <w:rsid w:val="000B7D81"/>
    <w:rsid w:val="000C0751"/>
    <w:rsid w:val="000C0E75"/>
    <w:rsid w:val="000C1740"/>
    <w:rsid w:val="000C1854"/>
    <w:rsid w:val="000C191F"/>
    <w:rsid w:val="000C1970"/>
    <w:rsid w:val="000C3541"/>
    <w:rsid w:val="000C35B5"/>
    <w:rsid w:val="000C46E1"/>
    <w:rsid w:val="000C6FB8"/>
    <w:rsid w:val="000D02BC"/>
    <w:rsid w:val="000D0B38"/>
    <w:rsid w:val="000D0D1E"/>
    <w:rsid w:val="000D2F5A"/>
    <w:rsid w:val="000D4D0A"/>
    <w:rsid w:val="000D567C"/>
    <w:rsid w:val="000D7565"/>
    <w:rsid w:val="000D7958"/>
    <w:rsid w:val="000D7B4D"/>
    <w:rsid w:val="000E09CF"/>
    <w:rsid w:val="000E13B6"/>
    <w:rsid w:val="000E1B03"/>
    <w:rsid w:val="000E2036"/>
    <w:rsid w:val="000E2485"/>
    <w:rsid w:val="000E39C2"/>
    <w:rsid w:val="000E3AA1"/>
    <w:rsid w:val="000E3CD7"/>
    <w:rsid w:val="000E4779"/>
    <w:rsid w:val="000E4AEA"/>
    <w:rsid w:val="000E5F0D"/>
    <w:rsid w:val="000E6383"/>
    <w:rsid w:val="000E70FF"/>
    <w:rsid w:val="000F0061"/>
    <w:rsid w:val="000F06B1"/>
    <w:rsid w:val="000F2274"/>
    <w:rsid w:val="000F23FA"/>
    <w:rsid w:val="000F2AFC"/>
    <w:rsid w:val="000F3BE5"/>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19E0"/>
    <w:rsid w:val="001129E3"/>
    <w:rsid w:val="00113B84"/>
    <w:rsid w:val="00114141"/>
    <w:rsid w:val="00115274"/>
    <w:rsid w:val="00116E34"/>
    <w:rsid w:val="0011780E"/>
    <w:rsid w:val="00117AB3"/>
    <w:rsid w:val="00120EE6"/>
    <w:rsid w:val="0012109F"/>
    <w:rsid w:val="00121685"/>
    <w:rsid w:val="00121BDE"/>
    <w:rsid w:val="00122AB3"/>
    <w:rsid w:val="0012348D"/>
    <w:rsid w:val="0012418E"/>
    <w:rsid w:val="0012462B"/>
    <w:rsid w:val="00124DC1"/>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B13"/>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517D9"/>
    <w:rsid w:val="00151911"/>
    <w:rsid w:val="00152ADD"/>
    <w:rsid w:val="00153028"/>
    <w:rsid w:val="0015332A"/>
    <w:rsid w:val="00153362"/>
    <w:rsid w:val="00154FD6"/>
    <w:rsid w:val="001554C0"/>
    <w:rsid w:val="00155C48"/>
    <w:rsid w:val="001576E9"/>
    <w:rsid w:val="00161882"/>
    <w:rsid w:val="00162991"/>
    <w:rsid w:val="00163921"/>
    <w:rsid w:val="00164042"/>
    <w:rsid w:val="00164213"/>
    <w:rsid w:val="00166790"/>
    <w:rsid w:val="001671A3"/>
    <w:rsid w:val="001673BA"/>
    <w:rsid w:val="00167E26"/>
    <w:rsid w:val="00170954"/>
    <w:rsid w:val="001719B5"/>
    <w:rsid w:val="00171B15"/>
    <w:rsid w:val="00172031"/>
    <w:rsid w:val="0017226D"/>
    <w:rsid w:val="001740D3"/>
    <w:rsid w:val="00175E13"/>
    <w:rsid w:val="00177450"/>
    <w:rsid w:val="00181A2E"/>
    <w:rsid w:val="001825C3"/>
    <w:rsid w:val="00182AEC"/>
    <w:rsid w:val="00184760"/>
    <w:rsid w:val="00185A40"/>
    <w:rsid w:val="001860EB"/>
    <w:rsid w:val="00187FEF"/>
    <w:rsid w:val="0019029B"/>
    <w:rsid w:val="00192956"/>
    <w:rsid w:val="001936E7"/>
    <w:rsid w:val="00193B60"/>
    <w:rsid w:val="00193C8F"/>
    <w:rsid w:val="00194E03"/>
    <w:rsid w:val="00195EBA"/>
    <w:rsid w:val="001973E5"/>
    <w:rsid w:val="001A039F"/>
    <w:rsid w:val="001A12C3"/>
    <w:rsid w:val="001A225A"/>
    <w:rsid w:val="001A281E"/>
    <w:rsid w:val="001A3706"/>
    <w:rsid w:val="001A4C79"/>
    <w:rsid w:val="001A4DCA"/>
    <w:rsid w:val="001A4E20"/>
    <w:rsid w:val="001A7526"/>
    <w:rsid w:val="001A77D3"/>
    <w:rsid w:val="001A7C3D"/>
    <w:rsid w:val="001B009E"/>
    <w:rsid w:val="001B0BEE"/>
    <w:rsid w:val="001B2F07"/>
    <w:rsid w:val="001B39C2"/>
    <w:rsid w:val="001B4411"/>
    <w:rsid w:val="001B65E5"/>
    <w:rsid w:val="001B6AFF"/>
    <w:rsid w:val="001B6F4A"/>
    <w:rsid w:val="001B7509"/>
    <w:rsid w:val="001C0959"/>
    <w:rsid w:val="001C190A"/>
    <w:rsid w:val="001C2D99"/>
    <w:rsid w:val="001C45AF"/>
    <w:rsid w:val="001C63D6"/>
    <w:rsid w:val="001C6995"/>
    <w:rsid w:val="001C73C9"/>
    <w:rsid w:val="001C7624"/>
    <w:rsid w:val="001C7868"/>
    <w:rsid w:val="001D057D"/>
    <w:rsid w:val="001D17E6"/>
    <w:rsid w:val="001D2EB6"/>
    <w:rsid w:val="001D2ED4"/>
    <w:rsid w:val="001D2F5E"/>
    <w:rsid w:val="001D40D2"/>
    <w:rsid w:val="001D43E1"/>
    <w:rsid w:val="001D63E0"/>
    <w:rsid w:val="001D66A1"/>
    <w:rsid w:val="001D6E1D"/>
    <w:rsid w:val="001D708E"/>
    <w:rsid w:val="001D7982"/>
    <w:rsid w:val="001E070A"/>
    <w:rsid w:val="001E12A6"/>
    <w:rsid w:val="001E168D"/>
    <w:rsid w:val="001E3219"/>
    <w:rsid w:val="001E4DE9"/>
    <w:rsid w:val="001E4F80"/>
    <w:rsid w:val="001E5C7B"/>
    <w:rsid w:val="001E6082"/>
    <w:rsid w:val="001E7DCB"/>
    <w:rsid w:val="001F2E47"/>
    <w:rsid w:val="001F38DD"/>
    <w:rsid w:val="001F56DA"/>
    <w:rsid w:val="001F5959"/>
    <w:rsid w:val="001F627F"/>
    <w:rsid w:val="001F6805"/>
    <w:rsid w:val="001F6BA3"/>
    <w:rsid w:val="001F7426"/>
    <w:rsid w:val="001F7766"/>
    <w:rsid w:val="002040B2"/>
    <w:rsid w:val="0020452F"/>
    <w:rsid w:val="0020455D"/>
    <w:rsid w:val="002049CE"/>
    <w:rsid w:val="00204E2B"/>
    <w:rsid w:val="002065F4"/>
    <w:rsid w:val="002068A5"/>
    <w:rsid w:val="00206E08"/>
    <w:rsid w:val="00206FF0"/>
    <w:rsid w:val="00207226"/>
    <w:rsid w:val="002078BB"/>
    <w:rsid w:val="0021072E"/>
    <w:rsid w:val="00210DF5"/>
    <w:rsid w:val="00211026"/>
    <w:rsid w:val="002118A9"/>
    <w:rsid w:val="002119BD"/>
    <w:rsid w:val="002124AF"/>
    <w:rsid w:val="00212782"/>
    <w:rsid w:val="00214AFE"/>
    <w:rsid w:val="00214C16"/>
    <w:rsid w:val="00214D60"/>
    <w:rsid w:val="002150CA"/>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56C5"/>
    <w:rsid w:val="00235F04"/>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5EF"/>
    <w:rsid w:val="0026395A"/>
    <w:rsid w:val="0026397D"/>
    <w:rsid w:val="00265612"/>
    <w:rsid w:val="002664A3"/>
    <w:rsid w:val="00266C2B"/>
    <w:rsid w:val="0026732E"/>
    <w:rsid w:val="00270B7C"/>
    <w:rsid w:val="00270C7A"/>
    <w:rsid w:val="00272A22"/>
    <w:rsid w:val="00273C64"/>
    <w:rsid w:val="0027536E"/>
    <w:rsid w:val="00276A81"/>
    <w:rsid w:val="00276DCE"/>
    <w:rsid w:val="00277337"/>
    <w:rsid w:val="00277A4C"/>
    <w:rsid w:val="00280326"/>
    <w:rsid w:val="00280F50"/>
    <w:rsid w:val="00281E25"/>
    <w:rsid w:val="00284168"/>
    <w:rsid w:val="00284CE5"/>
    <w:rsid w:val="00284D30"/>
    <w:rsid w:val="002852ED"/>
    <w:rsid w:val="00286757"/>
    <w:rsid w:val="00286EC1"/>
    <w:rsid w:val="00286F6A"/>
    <w:rsid w:val="00291609"/>
    <w:rsid w:val="00291FFF"/>
    <w:rsid w:val="0029444D"/>
    <w:rsid w:val="00296273"/>
    <w:rsid w:val="00296C41"/>
    <w:rsid w:val="002972AC"/>
    <w:rsid w:val="00297B4D"/>
    <w:rsid w:val="002A3176"/>
    <w:rsid w:val="002A60FF"/>
    <w:rsid w:val="002A6EDE"/>
    <w:rsid w:val="002A71F6"/>
    <w:rsid w:val="002A78AA"/>
    <w:rsid w:val="002A7B2E"/>
    <w:rsid w:val="002B0A5C"/>
    <w:rsid w:val="002B2612"/>
    <w:rsid w:val="002B2735"/>
    <w:rsid w:val="002B2A86"/>
    <w:rsid w:val="002B406F"/>
    <w:rsid w:val="002B4195"/>
    <w:rsid w:val="002B4D3C"/>
    <w:rsid w:val="002B5408"/>
    <w:rsid w:val="002B69F6"/>
    <w:rsid w:val="002B725F"/>
    <w:rsid w:val="002B7335"/>
    <w:rsid w:val="002B78DD"/>
    <w:rsid w:val="002C0106"/>
    <w:rsid w:val="002C208D"/>
    <w:rsid w:val="002C310D"/>
    <w:rsid w:val="002C398C"/>
    <w:rsid w:val="002C4903"/>
    <w:rsid w:val="002C5896"/>
    <w:rsid w:val="002C665D"/>
    <w:rsid w:val="002C75EE"/>
    <w:rsid w:val="002C786A"/>
    <w:rsid w:val="002C7873"/>
    <w:rsid w:val="002D0361"/>
    <w:rsid w:val="002D05FF"/>
    <w:rsid w:val="002D1C44"/>
    <w:rsid w:val="002D2E41"/>
    <w:rsid w:val="002D3A0E"/>
    <w:rsid w:val="002D45D1"/>
    <w:rsid w:val="002D4D3D"/>
    <w:rsid w:val="002D565B"/>
    <w:rsid w:val="002D5D82"/>
    <w:rsid w:val="002D76E3"/>
    <w:rsid w:val="002D79A2"/>
    <w:rsid w:val="002D7FA4"/>
    <w:rsid w:val="002E0BEF"/>
    <w:rsid w:val="002E0D9D"/>
    <w:rsid w:val="002E1EED"/>
    <w:rsid w:val="002E3428"/>
    <w:rsid w:val="002E4098"/>
    <w:rsid w:val="002E4595"/>
    <w:rsid w:val="002E4D7C"/>
    <w:rsid w:val="002E4FCF"/>
    <w:rsid w:val="002E546C"/>
    <w:rsid w:val="002E6570"/>
    <w:rsid w:val="002E6F33"/>
    <w:rsid w:val="002F1981"/>
    <w:rsid w:val="002F1F6D"/>
    <w:rsid w:val="002F2838"/>
    <w:rsid w:val="002F2FC5"/>
    <w:rsid w:val="002F3EE1"/>
    <w:rsid w:val="002F6B84"/>
    <w:rsid w:val="003015CD"/>
    <w:rsid w:val="00301A3A"/>
    <w:rsid w:val="00301C0B"/>
    <w:rsid w:val="00301F30"/>
    <w:rsid w:val="00302253"/>
    <w:rsid w:val="00302A6D"/>
    <w:rsid w:val="0030574A"/>
    <w:rsid w:val="00305A49"/>
    <w:rsid w:val="00305D74"/>
    <w:rsid w:val="00306991"/>
    <w:rsid w:val="00307556"/>
    <w:rsid w:val="00307C6C"/>
    <w:rsid w:val="003124FC"/>
    <w:rsid w:val="00313833"/>
    <w:rsid w:val="003145E1"/>
    <w:rsid w:val="00314D31"/>
    <w:rsid w:val="00317560"/>
    <w:rsid w:val="00317627"/>
    <w:rsid w:val="00320F10"/>
    <w:rsid w:val="0032153C"/>
    <w:rsid w:val="00321F00"/>
    <w:rsid w:val="0032281C"/>
    <w:rsid w:val="0032416B"/>
    <w:rsid w:val="00327090"/>
    <w:rsid w:val="003271DE"/>
    <w:rsid w:val="00327318"/>
    <w:rsid w:val="003304AF"/>
    <w:rsid w:val="00331E94"/>
    <w:rsid w:val="003330E4"/>
    <w:rsid w:val="003332E9"/>
    <w:rsid w:val="00333743"/>
    <w:rsid w:val="00333E5D"/>
    <w:rsid w:val="003340B2"/>
    <w:rsid w:val="003340EF"/>
    <w:rsid w:val="003362B8"/>
    <w:rsid w:val="00337524"/>
    <w:rsid w:val="00340895"/>
    <w:rsid w:val="00340CED"/>
    <w:rsid w:val="00341495"/>
    <w:rsid w:val="003426C9"/>
    <w:rsid w:val="0034412D"/>
    <w:rsid w:val="00344367"/>
    <w:rsid w:val="003450D5"/>
    <w:rsid w:val="003465D9"/>
    <w:rsid w:val="0034749C"/>
    <w:rsid w:val="00347500"/>
    <w:rsid w:val="003500FF"/>
    <w:rsid w:val="00350218"/>
    <w:rsid w:val="0035049A"/>
    <w:rsid w:val="00351F39"/>
    <w:rsid w:val="00352819"/>
    <w:rsid w:val="003531AF"/>
    <w:rsid w:val="00362686"/>
    <w:rsid w:val="00362EA2"/>
    <w:rsid w:val="00363ADD"/>
    <w:rsid w:val="00364825"/>
    <w:rsid w:val="003660B7"/>
    <w:rsid w:val="003662E1"/>
    <w:rsid w:val="00370894"/>
    <w:rsid w:val="00370A05"/>
    <w:rsid w:val="0037197D"/>
    <w:rsid w:val="00372DCB"/>
    <w:rsid w:val="00374E61"/>
    <w:rsid w:val="0037508B"/>
    <w:rsid w:val="003756D2"/>
    <w:rsid w:val="003759D8"/>
    <w:rsid w:val="00375A0B"/>
    <w:rsid w:val="00375D9F"/>
    <w:rsid w:val="00376639"/>
    <w:rsid w:val="00376858"/>
    <w:rsid w:val="003768EB"/>
    <w:rsid w:val="00376F6B"/>
    <w:rsid w:val="00377790"/>
    <w:rsid w:val="0038043B"/>
    <w:rsid w:val="003824F6"/>
    <w:rsid w:val="00382C34"/>
    <w:rsid w:val="00383038"/>
    <w:rsid w:val="003836E1"/>
    <w:rsid w:val="003838B9"/>
    <w:rsid w:val="00384A39"/>
    <w:rsid w:val="003861F0"/>
    <w:rsid w:val="00391F07"/>
    <w:rsid w:val="003920E6"/>
    <w:rsid w:val="003923E4"/>
    <w:rsid w:val="00392D91"/>
    <w:rsid w:val="0039374E"/>
    <w:rsid w:val="00393B86"/>
    <w:rsid w:val="003946AE"/>
    <w:rsid w:val="0039531D"/>
    <w:rsid w:val="00395648"/>
    <w:rsid w:val="00396DE8"/>
    <w:rsid w:val="0039789B"/>
    <w:rsid w:val="00397C8B"/>
    <w:rsid w:val="003A06E7"/>
    <w:rsid w:val="003A36F3"/>
    <w:rsid w:val="003A6925"/>
    <w:rsid w:val="003A6BDE"/>
    <w:rsid w:val="003B116B"/>
    <w:rsid w:val="003B205A"/>
    <w:rsid w:val="003B5667"/>
    <w:rsid w:val="003B5C86"/>
    <w:rsid w:val="003B645B"/>
    <w:rsid w:val="003B71A0"/>
    <w:rsid w:val="003B78F7"/>
    <w:rsid w:val="003C0275"/>
    <w:rsid w:val="003C032E"/>
    <w:rsid w:val="003C04E8"/>
    <w:rsid w:val="003C08DA"/>
    <w:rsid w:val="003C0E2C"/>
    <w:rsid w:val="003C23C4"/>
    <w:rsid w:val="003C280C"/>
    <w:rsid w:val="003C3014"/>
    <w:rsid w:val="003C3594"/>
    <w:rsid w:val="003C3BA4"/>
    <w:rsid w:val="003C64A0"/>
    <w:rsid w:val="003C6D65"/>
    <w:rsid w:val="003C7165"/>
    <w:rsid w:val="003C7A78"/>
    <w:rsid w:val="003D00EF"/>
    <w:rsid w:val="003D0521"/>
    <w:rsid w:val="003D0F6A"/>
    <w:rsid w:val="003D112B"/>
    <w:rsid w:val="003D15FC"/>
    <w:rsid w:val="003D212D"/>
    <w:rsid w:val="003D43BA"/>
    <w:rsid w:val="003D4CE7"/>
    <w:rsid w:val="003D53CA"/>
    <w:rsid w:val="003D55B8"/>
    <w:rsid w:val="003D575B"/>
    <w:rsid w:val="003D605E"/>
    <w:rsid w:val="003D677D"/>
    <w:rsid w:val="003D7B0C"/>
    <w:rsid w:val="003E2005"/>
    <w:rsid w:val="003E24CD"/>
    <w:rsid w:val="003E4BCD"/>
    <w:rsid w:val="003E6024"/>
    <w:rsid w:val="003E670A"/>
    <w:rsid w:val="003E786D"/>
    <w:rsid w:val="003E792E"/>
    <w:rsid w:val="003F0A3F"/>
    <w:rsid w:val="003F1704"/>
    <w:rsid w:val="003F459E"/>
    <w:rsid w:val="003F45A1"/>
    <w:rsid w:val="003F4BF7"/>
    <w:rsid w:val="003F6606"/>
    <w:rsid w:val="003F7E03"/>
    <w:rsid w:val="00400E61"/>
    <w:rsid w:val="004034CE"/>
    <w:rsid w:val="00403B5A"/>
    <w:rsid w:val="004052B7"/>
    <w:rsid w:val="00405944"/>
    <w:rsid w:val="00405FDA"/>
    <w:rsid w:val="00406434"/>
    <w:rsid w:val="0040648E"/>
    <w:rsid w:val="00406856"/>
    <w:rsid w:val="004110EC"/>
    <w:rsid w:val="00411D76"/>
    <w:rsid w:val="004123F9"/>
    <w:rsid w:val="00415F43"/>
    <w:rsid w:val="00416181"/>
    <w:rsid w:val="00416CD2"/>
    <w:rsid w:val="00417802"/>
    <w:rsid w:val="00417BB5"/>
    <w:rsid w:val="00420E18"/>
    <w:rsid w:val="00421A70"/>
    <w:rsid w:val="004229A6"/>
    <w:rsid w:val="004230D1"/>
    <w:rsid w:val="0042401B"/>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1F85"/>
    <w:rsid w:val="00443515"/>
    <w:rsid w:val="00443DE2"/>
    <w:rsid w:val="00443E23"/>
    <w:rsid w:val="0044617C"/>
    <w:rsid w:val="00450625"/>
    <w:rsid w:val="00450D25"/>
    <w:rsid w:val="00452DF9"/>
    <w:rsid w:val="00453655"/>
    <w:rsid w:val="00453F66"/>
    <w:rsid w:val="00456D91"/>
    <w:rsid w:val="00457018"/>
    <w:rsid w:val="0046053D"/>
    <w:rsid w:val="00460B35"/>
    <w:rsid w:val="00460DCC"/>
    <w:rsid w:val="00461E61"/>
    <w:rsid w:val="0046382E"/>
    <w:rsid w:val="004642A1"/>
    <w:rsid w:val="00464B98"/>
    <w:rsid w:val="0046541A"/>
    <w:rsid w:val="00466080"/>
    <w:rsid w:val="004661AD"/>
    <w:rsid w:val="004663B3"/>
    <w:rsid w:val="00466C76"/>
    <w:rsid w:val="00466E13"/>
    <w:rsid w:val="00472CC3"/>
    <w:rsid w:val="00472F41"/>
    <w:rsid w:val="00473C42"/>
    <w:rsid w:val="00474243"/>
    <w:rsid w:val="00474D81"/>
    <w:rsid w:val="00475928"/>
    <w:rsid w:val="00475949"/>
    <w:rsid w:val="00475D83"/>
    <w:rsid w:val="00475E11"/>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00BF"/>
    <w:rsid w:val="004A2CFF"/>
    <w:rsid w:val="004A52C1"/>
    <w:rsid w:val="004A69DB"/>
    <w:rsid w:val="004A6A6B"/>
    <w:rsid w:val="004B0BCC"/>
    <w:rsid w:val="004B0F6B"/>
    <w:rsid w:val="004B1570"/>
    <w:rsid w:val="004B1B60"/>
    <w:rsid w:val="004B3046"/>
    <w:rsid w:val="004B3061"/>
    <w:rsid w:val="004B5977"/>
    <w:rsid w:val="004B60FF"/>
    <w:rsid w:val="004C21C3"/>
    <w:rsid w:val="004C24C3"/>
    <w:rsid w:val="004C3FD2"/>
    <w:rsid w:val="004C40CE"/>
    <w:rsid w:val="004C593B"/>
    <w:rsid w:val="004C5E0F"/>
    <w:rsid w:val="004C6775"/>
    <w:rsid w:val="004C6C62"/>
    <w:rsid w:val="004D00F1"/>
    <w:rsid w:val="004D0854"/>
    <w:rsid w:val="004D0CD5"/>
    <w:rsid w:val="004D231C"/>
    <w:rsid w:val="004D3350"/>
    <w:rsid w:val="004D626C"/>
    <w:rsid w:val="004D711C"/>
    <w:rsid w:val="004D749A"/>
    <w:rsid w:val="004E01D4"/>
    <w:rsid w:val="004E05B4"/>
    <w:rsid w:val="004E0624"/>
    <w:rsid w:val="004E0EDD"/>
    <w:rsid w:val="004E0FB7"/>
    <w:rsid w:val="004E109F"/>
    <w:rsid w:val="004E12A2"/>
    <w:rsid w:val="004E1D7C"/>
    <w:rsid w:val="004E1F8C"/>
    <w:rsid w:val="004E3785"/>
    <w:rsid w:val="004E381E"/>
    <w:rsid w:val="004E5A27"/>
    <w:rsid w:val="004E5D60"/>
    <w:rsid w:val="004E6B46"/>
    <w:rsid w:val="004E74A6"/>
    <w:rsid w:val="004E75A8"/>
    <w:rsid w:val="004F191F"/>
    <w:rsid w:val="004F2626"/>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2FDA"/>
    <w:rsid w:val="00503B86"/>
    <w:rsid w:val="00503E54"/>
    <w:rsid w:val="00504EB6"/>
    <w:rsid w:val="00504EDF"/>
    <w:rsid w:val="00505687"/>
    <w:rsid w:val="00505A90"/>
    <w:rsid w:val="00505EEE"/>
    <w:rsid w:val="0050663A"/>
    <w:rsid w:val="0050721B"/>
    <w:rsid w:val="005076B1"/>
    <w:rsid w:val="00507EDD"/>
    <w:rsid w:val="0051026F"/>
    <w:rsid w:val="00510C7A"/>
    <w:rsid w:val="00511CE3"/>
    <w:rsid w:val="00511ECD"/>
    <w:rsid w:val="005157DB"/>
    <w:rsid w:val="005171C1"/>
    <w:rsid w:val="005172EA"/>
    <w:rsid w:val="005173E8"/>
    <w:rsid w:val="005201EE"/>
    <w:rsid w:val="0052087C"/>
    <w:rsid w:val="00520BA7"/>
    <w:rsid w:val="00522427"/>
    <w:rsid w:val="00524161"/>
    <w:rsid w:val="005265BE"/>
    <w:rsid w:val="00530859"/>
    <w:rsid w:val="0053105E"/>
    <w:rsid w:val="005312D7"/>
    <w:rsid w:val="005317E1"/>
    <w:rsid w:val="00532B8B"/>
    <w:rsid w:val="00533581"/>
    <w:rsid w:val="00533822"/>
    <w:rsid w:val="00540664"/>
    <w:rsid w:val="005409C5"/>
    <w:rsid w:val="00541FE1"/>
    <w:rsid w:val="00542A59"/>
    <w:rsid w:val="00543B4D"/>
    <w:rsid w:val="005469BF"/>
    <w:rsid w:val="005470FD"/>
    <w:rsid w:val="00547980"/>
    <w:rsid w:val="00547E46"/>
    <w:rsid w:val="00550669"/>
    <w:rsid w:val="0055097C"/>
    <w:rsid w:val="005555A5"/>
    <w:rsid w:val="00556CAC"/>
    <w:rsid w:val="00557F8E"/>
    <w:rsid w:val="005610A1"/>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76219"/>
    <w:rsid w:val="00577811"/>
    <w:rsid w:val="00582597"/>
    <w:rsid w:val="005829ED"/>
    <w:rsid w:val="00582AF3"/>
    <w:rsid w:val="00582F1E"/>
    <w:rsid w:val="00583043"/>
    <w:rsid w:val="0058421D"/>
    <w:rsid w:val="00584C4C"/>
    <w:rsid w:val="005860CC"/>
    <w:rsid w:val="00586449"/>
    <w:rsid w:val="00586718"/>
    <w:rsid w:val="005901BD"/>
    <w:rsid w:val="00590C92"/>
    <w:rsid w:val="0059326C"/>
    <w:rsid w:val="00593772"/>
    <w:rsid w:val="00593B6D"/>
    <w:rsid w:val="00594701"/>
    <w:rsid w:val="00594717"/>
    <w:rsid w:val="00594827"/>
    <w:rsid w:val="005948F4"/>
    <w:rsid w:val="00594AE8"/>
    <w:rsid w:val="0059529E"/>
    <w:rsid w:val="00596DDC"/>
    <w:rsid w:val="005978AA"/>
    <w:rsid w:val="005A34E7"/>
    <w:rsid w:val="005A39CD"/>
    <w:rsid w:val="005A3ABC"/>
    <w:rsid w:val="005A46FE"/>
    <w:rsid w:val="005A6C80"/>
    <w:rsid w:val="005A6E9D"/>
    <w:rsid w:val="005A7A07"/>
    <w:rsid w:val="005A7F69"/>
    <w:rsid w:val="005B0F36"/>
    <w:rsid w:val="005B26CD"/>
    <w:rsid w:val="005B29AE"/>
    <w:rsid w:val="005B2C6F"/>
    <w:rsid w:val="005B3179"/>
    <w:rsid w:val="005B31C8"/>
    <w:rsid w:val="005B3A4D"/>
    <w:rsid w:val="005B4188"/>
    <w:rsid w:val="005B53FA"/>
    <w:rsid w:val="005B6C0B"/>
    <w:rsid w:val="005B72FC"/>
    <w:rsid w:val="005C0391"/>
    <w:rsid w:val="005C047E"/>
    <w:rsid w:val="005C1646"/>
    <w:rsid w:val="005C1CD7"/>
    <w:rsid w:val="005C1D12"/>
    <w:rsid w:val="005C30C9"/>
    <w:rsid w:val="005C5469"/>
    <w:rsid w:val="005C56DE"/>
    <w:rsid w:val="005C780A"/>
    <w:rsid w:val="005D0166"/>
    <w:rsid w:val="005D0972"/>
    <w:rsid w:val="005D1584"/>
    <w:rsid w:val="005D26CB"/>
    <w:rsid w:val="005D29A4"/>
    <w:rsid w:val="005D2A76"/>
    <w:rsid w:val="005D4280"/>
    <w:rsid w:val="005D460A"/>
    <w:rsid w:val="005D5186"/>
    <w:rsid w:val="005D6320"/>
    <w:rsid w:val="005D687C"/>
    <w:rsid w:val="005D7669"/>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2095"/>
    <w:rsid w:val="005F4E63"/>
    <w:rsid w:val="005F6022"/>
    <w:rsid w:val="005F68FF"/>
    <w:rsid w:val="005F6A75"/>
    <w:rsid w:val="005F7E5F"/>
    <w:rsid w:val="0060004E"/>
    <w:rsid w:val="00600512"/>
    <w:rsid w:val="006016D8"/>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06E86"/>
    <w:rsid w:val="006105D0"/>
    <w:rsid w:val="006114AE"/>
    <w:rsid w:val="006121F7"/>
    <w:rsid w:val="0061246F"/>
    <w:rsid w:val="0061247C"/>
    <w:rsid w:val="0061261B"/>
    <w:rsid w:val="006133A0"/>
    <w:rsid w:val="00613BF1"/>
    <w:rsid w:val="00615BB8"/>
    <w:rsid w:val="00616764"/>
    <w:rsid w:val="00616CCF"/>
    <w:rsid w:val="00616F7B"/>
    <w:rsid w:val="00617D73"/>
    <w:rsid w:val="0062025B"/>
    <w:rsid w:val="0062347C"/>
    <w:rsid w:val="0062362C"/>
    <w:rsid w:val="00626A5C"/>
    <w:rsid w:val="00626FCB"/>
    <w:rsid w:val="0062796C"/>
    <w:rsid w:val="00627A2B"/>
    <w:rsid w:val="00631336"/>
    <w:rsid w:val="00631B51"/>
    <w:rsid w:val="00632A8D"/>
    <w:rsid w:val="00632AD7"/>
    <w:rsid w:val="00633537"/>
    <w:rsid w:val="0063436E"/>
    <w:rsid w:val="00634DDA"/>
    <w:rsid w:val="0063529C"/>
    <w:rsid w:val="006353E5"/>
    <w:rsid w:val="00637620"/>
    <w:rsid w:val="00637E6E"/>
    <w:rsid w:val="006406F3"/>
    <w:rsid w:val="00641579"/>
    <w:rsid w:val="00641629"/>
    <w:rsid w:val="00641FBD"/>
    <w:rsid w:val="00643476"/>
    <w:rsid w:val="00644547"/>
    <w:rsid w:val="006447EB"/>
    <w:rsid w:val="00644B43"/>
    <w:rsid w:val="006472F6"/>
    <w:rsid w:val="006477AE"/>
    <w:rsid w:val="00647C81"/>
    <w:rsid w:val="0065008E"/>
    <w:rsid w:val="00651754"/>
    <w:rsid w:val="00652798"/>
    <w:rsid w:val="00652BC4"/>
    <w:rsid w:val="00653C1A"/>
    <w:rsid w:val="0065425D"/>
    <w:rsid w:val="00654315"/>
    <w:rsid w:val="00654A1A"/>
    <w:rsid w:val="00654F90"/>
    <w:rsid w:val="0065547F"/>
    <w:rsid w:val="006577C5"/>
    <w:rsid w:val="00657E49"/>
    <w:rsid w:val="00657E8B"/>
    <w:rsid w:val="0066103B"/>
    <w:rsid w:val="00662E10"/>
    <w:rsid w:val="00662F06"/>
    <w:rsid w:val="00665135"/>
    <w:rsid w:val="00665C79"/>
    <w:rsid w:val="00667157"/>
    <w:rsid w:val="006676D1"/>
    <w:rsid w:val="006677EE"/>
    <w:rsid w:val="00670904"/>
    <w:rsid w:val="00672D33"/>
    <w:rsid w:val="00675D17"/>
    <w:rsid w:val="006765AB"/>
    <w:rsid w:val="00677723"/>
    <w:rsid w:val="0067773D"/>
    <w:rsid w:val="006807DC"/>
    <w:rsid w:val="006818B0"/>
    <w:rsid w:val="006821C5"/>
    <w:rsid w:val="006831A4"/>
    <w:rsid w:val="0068439A"/>
    <w:rsid w:val="006849CE"/>
    <w:rsid w:val="00685947"/>
    <w:rsid w:val="00685B43"/>
    <w:rsid w:val="00685EC0"/>
    <w:rsid w:val="00687DC4"/>
    <w:rsid w:val="00687E26"/>
    <w:rsid w:val="00690C53"/>
    <w:rsid w:val="00691C9D"/>
    <w:rsid w:val="00694801"/>
    <w:rsid w:val="00694BB0"/>
    <w:rsid w:val="0069774D"/>
    <w:rsid w:val="006A1B4A"/>
    <w:rsid w:val="006A2C9A"/>
    <w:rsid w:val="006A2DBF"/>
    <w:rsid w:val="006A3BE6"/>
    <w:rsid w:val="006A6ADB"/>
    <w:rsid w:val="006A73DE"/>
    <w:rsid w:val="006B011C"/>
    <w:rsid w:val="006B0567"/>
    <w:rsid w:val="006B0593"/>
    <w:rsid w:val="006B1C6D"/>
    <w:rsid w:val="006B2300"/>
    <w:rsid w:val="006B252A"/>
    <w:rsid w:val="006B3272"/>
    <w:rsid w:val="006B3A99"/>
    <w:rsid w:val="006B3FBF"/>
    <w:rsid w:val="006B4074"/>
    <w:rsid w:val="006B4635"/>
    <w:rsid w:val="006C06F9"/>
    <w:rsid w:val="006C1767"/>
    <w:rsid w:val="006C184E"/>
    <w:rsid w:val="006C25AC"/>
    <w:rsid w:val="006C309E"/>
    <w:rsid w:val="006C4E10"/>
    <w:rsid w:val="006C742D"/>
    <w:rsid w:val="006C7BA5"/>
    <w:rsid w:val="006D0342"/>
    <w:rsid w:val="006D100A"/>
    <w:rsid w:val="006D1251"/>
    <w:rsid w:val="006D1FC7"/>
    <w:rsid w:val="006D2D7D"/>
    <w:rsid w:val="006D4730"/>
    <w:rsid w:val="006D5DAE"/>
    <w:rsid w:val="006D5E05"/>
    <w:rsid w:val="006D69AA"/>
    <w:rsid w:val="006D73D9"/>
    <w:rsid w:val="006E0829"/>
    <w:rsid w:val="006E0CC8"/>
    <w:rsid w:val="006E11B8"/>
    <w:rsid w:val="006E12B8"/>
    <w:rsid w:val="006E1600"/>
    <w:rsid w:val="006E22D4"/>
    <w:rsid w:val="006E22EE"/>
    <w:rsid w:val="006E4FA6"/>
    <w:rsid w:val="006E5AAC"/>
    <w:rsid w:val="006E660F"/>
    <w:rsid w:val="006E7285"/>
    <w:rsid w:val="006F0519"/>
    <w:rsid w:val="006F0679"/>
    <w:rsid w:val="006F2176"/>
    <w:rsid w:val="006F3CEE"/>
    <w:rsid w:val="006F57D2"/>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178B3"/>
    <w:rsid w:val="00717B01"/>
    <w:rsid w:val="007203F9"/>
    <w:rsid w:val="0072063F"/>
    <w:rsid w:val="00720A5D"/>
    <w:rsid w:val="00720BB7"/>
    <w:rsid w:val="00721125"/>
    <w:rsid w:val="0072152C"/>
    <w:rsid w:val="007217DA"/>
    <w:rsid w:val="00722A1F"/>
    <w:rsid w:val="00723174"/>
    <w:rsid w:val="007238AB"/>
    <w:rsid w:val="00723AA2"/>
    <w:rsid w:val="00724502"/>
    <w:rsid w:val="00724C9C"/>
    <w:rsid w:val="007263F2"/>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A9"/>
    <w:rsid w:val="00741E8C"/>
    <w:rsid w:val="0074267B"/>
    <w:rsid w:val="00743C40"/>
    <w:rsid w:val="00744AF3"/>
    <w:rsid w:val="007453B1"/>
    <w:rsid w:val="007500E6"/>
    <w:rsid w:val="0075097C"/>
    <w:rsid w:val="00750B99"/>
    <w:rsid w:val="00750D18"/>
    <w:rsid w:val="00751F22"/>
    <w:rsid w:val="00753152"/>
    <w:rsid w:val="00753FD1"/>
    <w:rsid w:val="007544B1"/>
    <w:rsid w:val="00754791"/>
    <w:rsid w:val="00754893"/>
    <w:rsid w:val="00755583"/>
    <w:rsid w:val="00755971"/>
    <w:rsid w:val="00755E5F"/>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333C"/>
    <w:rsid w:val="007733E4"/>
    <w:rsid w:val="00774C48"/>
    <w:rsid w:val="00774D85"/>
    <w:rsid w:val="0077529F"/>
    <w:rsid w:val="007765FE"/>
    <w:rsid w:val="00780448"/>
    <w:rsid w:val="00780AAD"/>
    <w:rsid w:val="00780FBD"/>
    <w:rsid w:val="00781CBB"/>
    <w:rsid w:val="00781D0B"/>
    <w:rsid w:val="00782119"/>
    <w:rsid w:val="007836AD"/>
    <w:rsid w:val="00784771"/>
    <w:rsid w:val="007847DE"/>
    <w:rsid w:val="00786529"/>
    <w:rsid w:val="00786881"/>
    <w:rsid w:val="007871D9"/>
    <w:rsid w:val="00787310"/>
    <w:rsid w:val="00787AB7"/>
    <w:rsid w:val="007910EF"/>
    <w:rsid w:val="0079395D"/>
    <w:rsid w:val="00794168"/>
    <w:rsid w:val="0079417E"/>
    <w:rsid w:val="0079526D"/>
    <w:rsid w:val="007960A2"/>
    <w:rsid w:val="007964EA"/>
    <w:rsid w:val="0079668E"/>
    <w:rsid w:val="0079728A"/>
    <w:rsid w:val="0079754C"/>
    <w:rsid w:val="007A2046"/>
    <w:rsid w:val="007A2505"/>
    <w:rsid w:val="007A2630"/>
    <w:rsid w:val="007A2B6B"/>
    <w:rsid w:val="007A3E44"/>
    <w:rsid w:val="007A55D7"/>
    <w:rsid w:val="007A6714"/>
    <w:rsid w:val="007B0095"/>
    <w:rsid w:val="007B069E"/>
    <w:rsid w:val="007B19AC"/>
    <w:rsid w:val="007B1E26"/>
    <w:rsid w:val="007B2034"/>
    <w:rsid w:val="007B232C"/>
    <w:rsid w:val="007B24AA"/>
    <w:rsid w:val="007B25AD"/>
    <w:rsid w:val="007B2D19"/>
    <w:rsid w:val="007B505F"/>
    <w:rsid w:val="007B560C"/>
    <w:rsid w:val="007B5BFE"/>
    <w:rsid w:val="007B69C6"/>
    <w:rsid w:val="007C00B2"/>
    <w:rsid w:val="007C0219"/>
    <w:rsid w:val="007C1657"/>
    <w:rsid w:val="007C27EB"/>
    <w:rsid w:val="007C34FB"/>
    <w:rsid w:val="007C44A0"/>
    <w:rsid w:val="007C4B96"/>
    <w:rsid w:val="007C5CA4"/>
    <w:rsid w:val="007C65FB"/>
    <w:rsid w:val="007D0D5D"/>
    <w:rsid w:val="007D19CE"/>
    <w:rsid w:val="007D25C8"/>
    <w:rsid w:val="007D3639"/>
    <w:rsid w:val="007D49E4"/>
    <w:rsid w:val="007D4B51"/>
    <w:rsid w:val="007D5FDB"/>
    <w:rsid w:val="007D7F7A"/>
    <w:rsid w:val="007E0E82"/>
    <w:rsid w:val="007E16F3"/>
    <w:rsid w:val="007E23B7"/>
    <w:rsid w:val="007E422C"/>
    <w:rsid w:val="007E4F3F"/>
    <w:rsid w:val="007E4F7B"/>
    <w:rsid w:val="007E5467"/>
    <w:rsid w:val="007E6426"/>
    <w:rsid w:val="007E6735"/>
    <w:rsid w:val="007E7528"/>
    <w:rsid w:val="007F0356"/>
    <w:rsid w:val="007F0451"/>
    <w:rsid w:val="007F0952"/>
    <w:rsid w:val="007F18CC"/>
    <w:rsid w:val="007F1B3C"/>
    <w:rsid w:val="007F1E91"/>
    <w:rsid w:val="007F21B9"/>
    <w:rsid w:val="007F264B"/>
    <w:rsid w:val="007F3175"/>
    <w:rsid w:val="007F3E22"/>
    <w:rsid w:val="007F55A8"/>
    <w:rsid w:val="007F5ED4"/>
    <w:rsid w:val="007F7F28"/>
    <w:rsid w:val="0080572E"/>
    <w:rsid w:val="0080612B"/>
    <w:rsid w:val="00807663"/>
    <w:rsid w:val="00807959"/>
    <w:rsid w:val="00807D17"/>
    <w:rsid w:val="0081024D"/>
    <w:rsid w:val="008108C1"/>
    <w:rsid w:val="00812D1B"/>
    <w:rsid w:val="00813A40"/>
    <w:rsid w:val="00814C6C"/>
    <w:rsid w:val="00815510"/>
    <w:rsid w:val="00816FE5"/>
    <w:rsid w:val="0081720D"/>
    <w:rsid w:val="00817ABC"/>
    <w:rsid w:val="00820966"/>
    <w:rsid w:val="00820A0C"/>
    <w:rsid w:val="00825C97"/>
    <w:rsid w:val="00827F90"/>
    <w:rsid w:val="0083023A"/>
    <w:rsid w:val="008304C8"/>
    <w:rsid w:val="00830C63"/>
    <w:rsid w:val="00830CFD"/>
    <w:rsid w:val="00831192"/>
    <w:rsid w:val="008324DA"/>
    <w:rsid w:val="008341BA"/>
    <w:rsid w:val="00834B0B"/>
    <w:rsid w:val="008355D3"/>
    <w:rsid w:val="00836757"/>
    <w:rsid w:val="00836795"/>
    <w:rsid w:val="00837799"/>
    <w:rsid w:val="00837B3B"/>
    <w:rsid w:val="00837F6A"/>
    <w:rsid w:val="00842A09"/>
    <w:rsid w:val="00842C09"/>
    <w:rsid w:val="0084385D"/>
    <w:rsid w:val="008463A8"/>
    <w:rsid w:val="0084647B"/>
    <w:rsid w:val="008464E6"/>
    <w:rsid w:val="00850E0E"/>
    <w:rsid w:val="00850E6F"/>
    <w:rsid w:val="008511FD"/>
    <w:rsid w:val="00854545"/>
    <w:rsid w:val="0085531B"/>
    <w:rsid w:val="00857477"/>
    <w:rsid w:val="008611EB"/>
    <w:rsid w:val="00861EEC"/>
    <w:rsid w:val="008627DA"/>
    <w:rsid w:val="00862C37"/>
    <w:rsid w:val="00863916"/>
    <w:rsid w:val="00864378"/>
    <w:rsid w:val="008646D8"/>
    <w:rsid w:val="00865587"/>
    <w:rsid w:val="00866A06"/>
    <w:rsid w:val="00867289"/>
    <w:rsid w:val="0086746B"/>
    <w:rsid w:val="0086770D"/>
    <w:rsid w:val="00870FDC"/>
    <w:rsid w:val="00871A3F"/>
    <w:rsid w:val="00871C4E"/>
    <w:rsid w:val="00873BB8"/>
    <w:rsid w:val="0087426A"/>
    <w:rsid w:val="00876D49"/>
    <w:rsid w:val="00877702"/>
    <w:rsid w:val="00880197"/>
    <w:rsid w:val="00880410"/>
    <w:rsid w:val="00881B83"/>
    <w:rsid w:val="008840E7"/>
    <w:rsid w:val="00884945"/>
    <w:rsid w:val="00885CD4"/>
    <w:rsid w:val="00886683"/>
    <w:rsid w:val="008866C7"/>
    <w:rsid w:val="0088728A"/>
    <w:rsid w:val="0088742C"/>
    <w:rsid w:val="00887786"/>
    <w:rsid w:val="008879F5"/>
    <w:rsid w:val="0089084E"/>
    <w:rsid w:val="0089176C"/>
    <w:rsid w:val="00891978"/>
    <w:rsid w:val="00891B53"/>
    <w:rsid w:val="00892232"/>
    <w:rsid w:val="00892917"/>
    <w:rsid w:val="00892E71"/>
    <w:rsid w:val="00893A02"/>
    <w:rsid w:val="00893F35"/>
    <w:rsid w:val="00893F68"/>
    <w:rsid w:val="008948F4"/>
    <w:rsid w:val="008955B1"/>
    <w:rsid w:val="00897536"/>
    <w:rsid w:val="00897A03"/>
    <w:rsid w:val="008A1972"/>
    <w:rsid w:val="008A199D"/>
    <w:rsid w:val="008A2224"/>
    <w:rsid w:val="008A2818"/>
    <w:rsid w:val="008A2F12"/>
    <w:rsid w:val="008A36CB"/>
    <w:rsid w:val="008A3980"/>
    <w:rsid w:val="008A3ACC"/>
    <w:rsid w:val="008A3F67"/>
    <w:rsid w:val="008A613D"/>
    <w:rsid w:val="008A70A8"/>
    <w:rsid w:val="008A70B4"/>
    <w:rsid w:val="008A7B2B"/>
    <w:rsid w:val="008A7DB0"/>
    <w:rsid w:val="008B05F2"/>
    <w:rsid w:val="008B1335"/>
    <w:rsid w:val="008B56B6"/>
    <w:rsid w:val="008B58C7"/>
    <w:rsid w:val="008B6C58"/>
    <w:rsid w:val="008B79F0"/>
    <w:rsid w:val="008C0B6A"/>
    <w:rsid w:val="008C0EE5"/>
    <w:rsid w:val="008C0F6E"/>
    <w:rsid w:val="008C1B33"/>
    <w:rsid w:val="008C20EC"/>
    <w:rsid w:val="008C2807"/>
    <w:rsid w:val="008D11BB"/>
    <w:rsid w:val="008D16DD"/>
    <w:rsid w:val="008D1CD4"/>
    <w:rsid w:val="008D35DF"/>
    <w:rsid w:val="008D4696"/>
    <w:rsid w:val="008D5922"/>
    <w:rsid w:val="008D732B"/>
    <w:rsid w:val="008D7AE4"/>
    <w:rsid w:val="008E03B8"/>
    <w:rsid w:val="008E30E5"/>
    <w:rsid w:val="008E34FE"/>
    <w:rsid w:val="008E52F6"/>
    <w:rsid w:val="008E5FC4"/>
    <w:rsid w:val="008E7D23"/>
    <w:rsid w:val="008E7D91"/>
    <w:rsid w:val="008F0230"/>
    <w:rsid w:val="008F1C3C"/>
    <w:rsid w:val="008F32E3"/>
    <w:rsid w:val="008F3D70"/>
    <w:rsid w:val="008F4A0C"/>
    <w:rsid w:val="008F56BF"/>
    <w:rsid w:val="008F5726"/>
    <w:rsid w:val="008F7755"/>
    <w:rsid w:val="008F7BEA"/>
    <w:rsid w:val="0090091E"/>
    <w:rsid w:val="0090153F"/>
    <w:rsid w:val="00901973"/>
    <w:rsid w:val="00901A3D"/>
    <w:rsid w:val="00902A0B"/>
    <w:rsid w:val="00904675"/>
    <w:rsid w:val="00905130"/>
    <w:rsid w:val="0090680D"/>
    <w:rsid w:val="00906871"/>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4BE7"/>
    <w:rsid w:val="00945DE7"/>
    <w:rsid w:val="009470DB"/>
    <w:rsid w:val="0095032A"/>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40C5"/>
    <w:rsid w:val="00965150"/>
    <w:rsid w:val="00965596"/>
    <w:rsid w:val="0096743A"/>
    <w:rsid w:val="00971270"/>
    <w:rsid w:val="009719F6"/>
    <w:rsid w:val="009724BD"/>
    <w:rsid w:val="00972768"/>
    <w:rsid w:val="00972BB9"/>
    <w:rsid w:val="009742BB"/>
    <w:rsid w:val="00974F02"/>
    <w:rsid w:val="00975481"/>
    <w:rsid w:val="00977207"/>
    <w:rsid w:val="00980066"/>
    <w:rsid w:val="0098185A"/>
    <w:rsid w:val="00983EA0"/>
    <w:rsid w:val="00986682"/>
    <w:rsid w:val="009877B3"/>
    <w:rsid w:val="00987846"/>
    <w:rsid w:val="009917DD"/>
    <w:rsid w:val="009919B3"/>
    <w:rsid w:val="00991C41"/>
    <w:rsid w:val="00992621"/>
    <w:rsid w:val="00992BC5"/>
    <w:rsid w:val="00994E33"/>
    <w:rsid w:val="00995309"/>
    <w:rsid w:val="00995D7C"/>
    <w:rsid w:val="009960C3"/>
    <w:rsid w:val="00996BB2"/>
    <w:rsid w:val="00997697"/>
    <w:rsid w:val="0099796B"/>
    <w:rsid w:val="009979D7"/>
    <w:rsid w:val="009A0F77"/>
    <w:rsid w:val="009A18E2"/>
    <w:rsid w:val="009A1D98"/>
    <w:rsid w:val="009A1F82"/>
    <w:rsid w:val="009A217F"/>
    <w:rsid w:val="009A22A5"/>
    <w:rsid w:val="009A436E"/>
    <w:rsid w:val="009A5667"/>
    <w:rsid w:val="009A5962"/>
    <w:rsid w:val="009A646A"/>
    <w:rsid w:val="009A64B8"/>
    <w:rsid w:val="009A6D1E"/>
    <w:rsid w:val="009B243D"/>
    <w:rsid w:val="009B3326"/>
    <w:rsid w:val="009B419A"/>
    <w:rsid w:val="009B54A8"/>
    <w:rsid w:val="009B5AA0"/>
    <w:rsid w:val="009B5B9D"/>
    <w:rsid w:val="009B5E4F"/>
    <w:rsid w:val="009B7124"/>
    <w:rsid w:val="009B73DC"/>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D4E48"/>
    <w:rsid w:val="009E00CB"/>
    <w:rsid w:val="009E0A71"/>
    <w:rsid w:val="009E1321"/>
    <w:rsid w:val="009E4A30"/>
    <w:rsid w:val="009E54F2"/>
    <w:rsid w:val="009E6510"/>
    <w:rsid w:val="009E7179"/>
    <w:rsid w:val="009F0BEF"/>
    <w:rsid w:val="009F3737"/>
    <w:rsid w:val="009F4423"/>
    <w:rsid w:val="009F5756"/>
    <w:rsid w:val="009F611D"/>
    <w:rsid w:val="009F7080"/>
    <w:rsid w:val="009F762B"/>
    <w:rsid w:val="009F7E45"/>
    <w:rsid w:val="00A008DB"/>
    <w:rsid w:val="00A00AA7"/>
    <w:rsid w:val="00A00F2D"/>
    <w:rsid w:val="00A0260B"/>
    <w:rsid w:val="00A02A5D"/>
    <w:rsid w:val="00A03B08"/>
    <w:rsid w:val="00A04498"/>
    <w:rsid w:val="00A04D91"/>
    <w:rsid w:val="00A056DB"/>
    <w:rsid w:val="00A1010F"/>
    <w:rsid w:val="00A108C4"/>
    <w:rsid w:val="00A10BA4"/>
    <w:rsid w:val="00A1150E"/>
    <w:rsid w:val="00A12A94"/>
    <w:rsid w:val="00A12DF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09E"/>
    <w:rsid w:val="00A32938"/>
    <w:rsid w:val="00A329E0"/>
    <w:rsid w:val="00A330C3"/>
    <w:rsid w:val="00A34056"/>
    <w:rsid w:val="00A34262"/>
    <w:rsid w:val="00A353F1"/>
    <w:rsid w:val="00A36D45"/>
    <w:rsid w:val="00A36D91"/>
    <w:rsid w:val="00A3736C"/>
    <w:rsid w:val="00A37E51"/>
    <w:rsid w:val="00A408D7"/>
    <w:rsid w:val="00A40DD7"/>
    <w:rsid w:val="00A418AD"/>
    <w:rsid w:val="00A421BB"/>
    <w:rsid w:val="00A435B6"/>
    <w:rsid w:val="00A45267"/>
    <w:rsid w:val="00A4696F"/>
    <w:rsid w:val="00A470EF"/>
    <w:rsid w:val="00A47161"/>
    <w:rsid w:val="00A512F6"/>
    <w:rsid w:val="00A513ED"/>
    <w:rsid w:val="00A51A63"/>
    <w:rsid w:val="00A52809"/>
    <w:rsid w:val="00A52E88"/>
    <w:rsid w:val="00A54CCE"/>
    <w:rsid w:val="00A5506C"/>
    <w:rsid w:val="00A559AF"/>
    <w:rsid w:val="00A55E4E"/>
    <w:rsid w:val="00A574E2"/>
    <w:rsid w:val="00A57923"/>
    <w:rsid w:val="00A61137"/>
    <w:rsid w:val="00A6134F"/>
    <w:rsid w:val="00A6294C"/>
    <w:rsid w:val="00A65A1C"/>
    <w:rsid w:val="00A65E2A"/>
    <w:rsid w:val="00A66540"/>
    <w:rsid w:val="00A6714F"/>
    <w:rsid w:val="00A714C3"/>
    <w:rsid w:val="00A72115"/>
    <w:rsid w:val="00A726E4"/>
    <w:rsid w:val="00A74AE5"/>
    <w:rsid w:val="00A74CA6"/>
    <w:rsid w:val="00A74F31"/>
    <w:rsid w:val="00A751B8"/>
    <w:rsid w:val="00A75A9D"/>
    <w:rsid w:val="00A75DF9"/>
    <w:rsid w:val="00A75FCD"/>
    <w:rsid w:val="00A7621A"/>
    <w:rsid w:val="00A763A8"/>
    <w:rsid w:val="00A76EDA"/>
    <w:rsid w:val="00A81C4C"/>
    <w:rsid w:val="00A83524"/>
    <w:rsid w:val="00A8564A"/>
    <w:rsid w:val="00A86A37"/>
    <w:rsid w:val="00A87C77"/>
    <w:rsid w:val="00A909C4"/>
    <w:rsid w:val="00A90F08"/>
    <w:rsid w:val="00A92ED9"/>
    <w:rsid w:val="00A934CF"/>
    <w:rsid w:val="00A93BBB"/>
    <w:rsid w:val="00A9559D"/>
    <w:rsid w:val="00A961DC"/>
    <w:rsid w:val="00A961F3"/>
    <w:rsid w:val="00A96A18"/>
    <w:rsid w:val="00AA14F8"/>
    <w:rsid w:val="00AA1646"/>
    <w:rsid w:val="00AA213E"/>
    <w:rsid w:val="00AA5B4D"/>
    <w:rsid w:val="00AA5F9A"/>
    <w:rsid w:val="00AA75DA"/>
    <w:rsid w:val="00AB0D3D"/>
    <w:rsid w:val="00AB2ED0"/>
    <w:rsid w:val="00AB3547"/>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5A1F"/>
    <w:rsid w:val="00AD60C4"/>
    <w:rsid w:val="00AD6DE5"/>
    <w:rsid w:val="00AD6E2D"/>
    <w:rsid w:val="00AD7983"/>
    <w:rsid w:val="00AD7D0A"/>
    <w:rsid w:val="00AE037B"/>
    <w:rsid w:val="00AE0F5F"/>
    <w:rsid w:val="00AE1885"/>
    <w:rsid w:val="00AE231B"/>
    <w:rsid w:val="00AE2B16"/>
    <w:rsid w:val="00AE2D33"/>
    <w:rsid w:val="00AE613E"/>
    <w:rsid w:val="00AE6E3A"/>
    <w:rsid w:val="00AE7309"/>
    <w:rsid w:val="00AE7BCC"/>
    <w:rsid w:val="00AE7F92"/>
    <w:rsid w:val="00AF022B"/>
    <w:rsid w:val="00AF2F87"/>
    <w:rsid w:val="00AF3324"/>
    <w:rsid w:val="00AF5A07"/>
    <w:rsid w:val="00AF5A08"/>
    <w:rsid w:val="00AF7419"/>
    <w:rsid w:val="00B03440"/>
    <w:rsid w:val="00B0450A"/>
    <w:rsid w:val="00B05997"/>
    <w:rsid w:val="00B05DFF"/>
    <w:rsid w:val="00B0780B"/>
    <w:rsid w:val="00B07A6C"/>
    <w:rsid w:val="00B07B2E"/>
    <w:rsid w:val="00B12869"/>
    <w:rsid w:val="00B12A68"/>
    <w:rsid w:val="00B13271"/>
    <w:rsid w:val="00B1367F"/>
    <w:rsid w:val="00B137C9"/>
    <w:rsid w:val="00B14E5D"/>
    <w:rsid w:val="00B1654B"/>
    <w:rsid w:val="00B16FEE"/>
    <w:rsid w:val="00B205EC"/>
    <w:rsid w:val="00B20AD5"/>
    <w:rsid w:val="00B21863"/>
    <w:rsid w:val="00B21E57"/>
    <w:rsid w:val="00B224F8"/>
    <w:rsid w:val="00B2377E"/>
    <w:rsid w:val="00B23B96"/>
    <w:rsid w:val="00B23F37"/>
    <w:rsid w:val="00B23F83"/>
    <w:rsid w:val="00B241C8"/>
    <w:rsid w:val="00B2512F"/>
    <w:rsid w:val="00B3163F"/>
    <w:rsid w:val="00B33CB5"/>
    <w:rsid w:val="00B35DA0"/>
    <w:rsid w:val="00B40C92"/>
    <w:rsid w:val="00B417D4"/>
    <w:rsid w:val="00B41A31"/>
    <w:rsid w:val="00B41BC3"/>
    <w:rsid w:val="00B420CB"/>
    <w:rsid w:val="00B42AC0"/>
    <w:rsid w:val="00B42D67"/>
    <w:rsid w:val="00B43E27"/>
    <w:rsid w:val="00B44BF7"/>
    <w:rsid w:val="00B44BF8"/>
    <w:rsid w:val="00B4523E"/>
    <w:rsid w:val="00B46B86"/>
    <w:rsid w:val="00B46BFF"/>
    <w:rsid w:val="00B505F4"/>
    <w:rsid w:val="00B511FD"/>
    <w:rsid w:val="00B51AB1"/>
    <w:rsid w:val="00B51B4D"/>
    <w:rsid w:val="00B521DC"/>
    <w:rsid w:val="00B5348C"/>
    <w:rsid w:val="00B547D5"/>
    <w:rsid w:val="00B54ABC"/>
    <w:rsid w:val="00B5703C"/>
    <w:rsid w:val="00B5707C"/>
    <w:rsid w:val="00B61066"/>
    <w:rsid w:val="00B61F24"/>
    <w:rsid w:val="00B62903"/>
    <w:rsid w:val="00B629EF"/>
    <w:rsid w:val="00B62E3E"/>
    <w:rsid w:val="00B64663"/>
    <w:rsid w:val="00B663F2"/>
    <w:rsid w:val="00B66D65"/>
    <w:rsid w:val="00B67C7C"/>
    <w:rsid w:val="00B67E2E"/>
    <w:rsid w:val="00B67FE1"/>
    <w:rsid w:val="00B72423"/>
    <w:rsid w:val="00B740BD"/>
    <w:rsid w:val="00B7412D"/>
    <w:rsid w:val="00B742E9"/>
    <w:rsid w:val="00B76A92"/>
    <w:rsid w:val="00B77E4D"/>
    <w:rsid w:val="00B81090"/>
    <w:rsid w:val="00B819CC"/>
    <w:rsid w:val="00B82BD3"/>
    <w:rsid w:val="00B82FCA"/>
    <w:rsid w:val="00B83926"/>
    <w:rsid w:val="00B83BF3"/>
    <w:rsid w:val="00B8424E"/>
    <w:rsid w:val="00B84AEB"/>
    <w:rsid w:val="00B86488"/>
    <w:rsid w:val="00B90D55"/>
    <w:rsid w:val="00B9253B"/>
    <w:rsid w:val="00B92DA4"/>
    <w:rsid w:val="00B931EA"/>
    <w:rsid w:val="00B93FD0"/>
    <w:rsid w:val="00B9595D"/>
    <w:rsid w:val="00B95DA5"/>
    <w:rsid w:val="00B963EF"/>
    <w:rsid w:val="00B97C35"/>
    <w:rsid w:val="00BA0872"/>
    <w:rsid w:val="00BA1206"/>
    <w:rsid w:val="00BA2170"/>
    <w:rsid w:val="00BA309E"/>
    <w:rsid w:val="00BA3BC2"/>
    <w:rsid w:val="00BA4584"/>
    <w:rsid w:val="00BA5C15"/>
    <w:rsid w:val="00BA66BE"/>
    <w:rsid w:val="00BA6FB4"/>
    <w:rsid w:val="00BB0C9F"/>
    <w:rsid w:val="00BB1285"/>
    <w:rsid w:val="00BB2136"/>
    <w:rsid w:val="00BB2A4A"/>
    <w:rsid w:val="00BB515E"/>
    <w:rsid w:val="00BB5EFD"/>
    <w:rsid w:val="00BB7BA3"/>
    <w:rsid w:val="00BC06CE"/>
    <w:rsid w:val="00BC1758"/>
    <w:rsid w:val="00BC1C73"/>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56C9"/>
    <w:rsid w:val="00BE65D8"/>
    <w:rsid w:val="00BE65FA"/>
    <w:rsid w:val="00BE6B44"/>
    <w:rsid w:val="00BF0478"/>
    <w:rsid w:val="00BF1010"/>
    <w:rsid w:val="00BF1054"/>
    <w:rsid w:val="00BF12CA"/>
    <w:rsid w:val="00BF14F0"/>
    <w:rsid w:val="00BF1BBF"/>
    <w:rsid w:val="00BF299C"/>
    <w:rsid w:val="00BF2A19"/>
    <w:rsid w:val="00BF2ADE"/>
    <w:rsid w:val="00BF4A61"/>
    <w:rsid w:val="00BF6191"/>
    <w:rsid w:val="00BF7ED6"/>
    <w:rsid w:val="00C01880"/>
    <w:rsid w:val="00C0194F"/>
    <w:rsid w:val="00C01992"/>
    <w:rsid w:val="00C0199E"/>
    <w:rsid w:val="00C0256F"/>
    <w:rsid w:val="00C025C2"/>
    <w:rsid w:val="00C03B88"/>
    <w:rsid w:val="00C041B3"/>
    <w:rsid w:val="00C0435C"/>
    <w:rsid w:val="00C0458C"/>
    <w:rsid w:val="00C04FBF"/>
    <w:rsid w:val="00C05B41"/>
    <w:rsid w:val="00C068A2"/>
    <w:rsid w:val="00C0782A"/>
    <w:rsid w:val="00C134FC"/>
    <w:rsid w:val="00C136D1"/>
    <w:rsid w:val="00C158FC"/>
    <w:rsid w:val="00C1698C"/>
    <w:rsid w:val="00C16E89"/>
    <w:rsid w:val="00C2015E"/>
    <w:rsid w:val="00C21E65"/>
    <w:rsid w:val="00C2348E"/>
    <w:rsid w:val="00C24A0F"/>
    <w:rsid w:val="00C24E02"/>
    <w:rsid w:val="00C24FB3"/>
    <w:rsid w:val="00C26934"/>
    <w:rsid w:val="00C27176"/>
    <w:rsid w:val="00C2720B"/>
    <w:rsid w:val="00C27584"/>
    <w:rsid w:val="00C319B3"/>
    <w:rsid w:val="00C32B1B"/>
    <w:rsid w:val="00C33327"/>
    <w:rsid w:val="00C33787"/>
    <w:rsid w:val="00C337E0"/>
    <w:rsid w:val="00C40F59"/>
    <w:rsid w:val="00C4154F"/>
    <w:rsid w:val="00C41C20"/>
    <w:rsid w:val="00C43018"/>
    <w:rsid w:val="00C43D81"/>
    <w:rsid w:val="00C43E8C"/>
    <w:rsid w:val="00C44469"/>
    <w:rsid w:val="00C44A70"/>
    <w:rsid w:val="00C4555E"/>
    <w:rsid w:val="00C477F6"/>
    <w:rsid w:val="00C50693"/>
    <w:rsid w:val="00C5245D"/>
    <w:rsid w:val="00C525AE"/>
    <w:rsid w:val="00C52B11"/>
    <w:rsid w:val="00C52CF5"/>
    <w:rsid w:val="00C5370C"/>
    <w:rsid w:val="00C541DD"/>
    <w:rsid w:val="00C54ABE"/>
    <w:rsid w:val="00C55C76"/>
    <w:rsid w:val="00C56EDD"/>
    <w:rsid w:val="00C60C95"/>
    <w:rsid w:val="00C61944"/>
    <w:rsid w:val="00C63007"/>
    <w:rsid w:val="00C63813"/>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03C"/>
    <w:rsid w:val="00CA2672"/>
    <w:rsid w:val="00CA2EA5"/>
    <w:rsid w:val="00CA4525"/>
    <w:rsid w:val="00CA4F94"/>
    <w:rsid w:val="00CA66C0"/>
    <w:rsid w:val="00CB004E"/>
    <w:rsid w:val="00CB0A05"/>
    <w:rsid w:val="00CB1645"/>
    <w:rsid w:val="00CB2293"/>
    <w:rsid w:val="00CB2859"/>
    <w:rsid w:val="00CB4EAE"/>
    <w:rsid w:val="00CB5914"/>
    <w:rsid w:val="00CB5C53"/>
    <w:rsid w:val="00CB5DD0"/>
    <w:rsid w:val="00CB7E7E"/>
    <w:rsid w:val="00CC053F"/>
    <w:rsid w:val="00CC057D"/>
    <w:rsid w:val="00CC0B54"/>
    <w:rsid w:val="00CC2290"/>
    <w:rsid w:val="00CC2C94"/>
    <w:rsid w:val="00CC2FFD"/>
    <w:rsid w:val="00CC37F1"/>
    <w:rsid w:val="00CC3B04"/>
    <w:rsid w:val="00CC3B26"/>
    <w:rsid w:val="00CC4229"/>
    <w:rsid w:val="00CC5A0F"/>
    <w:rsid w:val="00CC5DD5"/>
    <w:rsid w:val="00CC5F17"/>
    <w:rsid w:val="00CC6182"/>
    <w:rsid w:val="00CC63CC"/>
    <w:rsid w:val="00CD2AFA"/>
    <w:rsid w:val="00CD3192"/>
    <w:rsid w:val="00CD354D"/>
    <w:rsid w:val="00CD364E"/>
    <w:rsid w:val="00CD3AAB"/>
    <w:rsid w:val="00CD3EFF"/>
    <w:rsid w:val="00CD4681"/>
    <w:rsid w:val="00CD6D25"/>
    <w:rsid w:val="00CD7A01"/>
    <w:rsid w:val="00CE0219"/>
    <w:rsid w:val="00CE09B6"/>
    <w:rsid w:val="00CE12E6"/>
    <w:rsid w:val="00CE1598"/>
    <w:rsid w:val="00CE1B61"/>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0927"/>
    <w:rsid w:val="00D01DA1"/>
    <w:rsid w:val="00D0244C"/>
    <w:rsid w:val="00D02585"/>
    <w:rsid w:val="00D02F9F"/>
    <w:rsid w:val="00D04BD0"/>
    <w:rsid w:val="00D061A5"/>
    <w:rsid w:val="00D070A0"/>
    <w:rsid w:val="00D07110"/>
    <w:rsid w:val="00D07524"/>
    <w:rsid w:val="00D07606"/>
    <w:rsid w:val="00D07B01"/>
    <w:rsid w:val="00D07D43"/>
    <w:rsid w:val="00D10153"/>
    <w:rsid w:val="00D10D2B"/>
    <w:rsid w:val="00D10E80"/>
    <w:rsid w:val="00D11997"/>
    <w:rsid w:val="00D12D7C"/>
    <w:rsid w:val="00D1413E"/>
    <w:rsid w:val="00D1424F"/>
    <w:rsid w:val="00D15442"/>
    <w:rsid w:val="00D17EFF"/>
    <w:rsid w:val="00D20EAA"/>
    <w:rsid w:val="00D20F3C"/>
    <w:rsid w:val="00D21459"/>
    <w:rsid w:val="00D21AEF"/>
    <w:rsid w:val="00D21CED"/>
    <w:rsid w:val="00D23680"/>
    <w:rsid w:val="00D25456"/>
    <w:rsid w:val="00D259A7"/>
    <w:rsid w:val="00D25B02"/>
    <w:rsid w:val="00D266E0"/>
    <w:rsid w:val="00D2790D"/>
    <w:rsid w:val="00D33019"/>
    <w:rsid w:val="00D34FE1"/>
    <w:rsid w:val="00D351BC"/>
    <w:rsid w:val="00D359CF"/>
    <w:rsid w:val="00D35CFE"/>
    <w:rsid w:val="00D36462"/>
    <w:rsid w:val="00D3679F"/>
    <w:rsid w:val="00D37701"/>
    <w:rsid w:val="00D40C5E"/>
    <w:rsid w:val="00D417CC"/>
    <w:rsid w:val="00D4224A"/>
    <w:rsid w:val="00D42BC8"/>
    <w:rsid w:val="00D42BCE"/>
    <w:rsid w:val="00D42C51"/>
    <w:rsid w:val="00D43154"/>
    <w:rsid w:val="00D4444F"/>
    <w:rsid w:val="00D45198"/>
    <w:rsid w:val="00D47177"/>
    <w:rsid w:val="00D473E4"/>
    <w:rsid w:val="00D47D89"/>
    <w:rsid w:val="00D516F9"/>
    <w:rsid w:val="00D52053"/>
    <w:rsid w:val="00D5247E"/>
    <w:rsid w:val="00D53F20"/>
    <w:rsid w:val="00D5468B"/>
    <w:rsid w:val="00D600A5"/>
    <w:rsid w:val="00D61B3D"/>
    <w:rsid w:val="00D6207A"/>
    <w:rsid w:val="00D62B9A"/>
    <w:rsid w:val="00D63402"/>
    <w:rsid w:val="00D64A38"/>
    <w:rsid w:val="00D65561"/>
    <w:rsid w:val="00D669E0"/>
    <w:rsid w:val="00D675A5"/>
    <w:rsid w:val="00D70324"/>
    <w:rsid w:val="00D72C11"/>
    <w:rsid w:val="00D733F1"/>
    <w:rsid w:val="00D73F7B"/>
    <w:rsid w:val="00D74BCB"/>
    <w:rsid w:val="00D74CF1"/>
    <w:rsid w:val="00D7698B"/>
    <w:rsid w:val="00D76B14"/>
    <w:rsid w:val="00D76ECF"/>
    <w:rsid w:val="00D77590"/>
    <w:rsid w:val="00D778C6"/>
    <w:rsid w:val="00D82429"/>
    <w:rsid w:val="00D82462"/>
    <w:rsid w:val="00D82B93"/>
    <w:rsid w:val="00D82DBF"/>
    <w:rsid w:val="00D83BA6"/>
    <w:rsid w:val="00D8644F"/>
    <w:rsid w:val="00D868C0"/>
    <w:rsid w:val="00D86917"/>
    <w:rsid w:val="00D9297C"/>
    <w:rsid w:val="00D9314E"/>
    <w:rsid w:val="00D9380B"/>
    <w:rsid w:val="00D93DA5"/>
    <w:rsid w:val="00D947A6"/>
    <w:rsid w:val="00D94A3E"/>
    <w:rsid w:val="00D962CC"/>
    <w:rsid w:val="00D96370"/>
    <w:rsid w:val="00D972B0"/>
    <w:rsid w:val="00DA1096"/>
    <w:rsid w:val="00DA16D3"/>
    <w:rsid w:val="00DA19F1"/>
    <w:rsid w:val="00DA3492"/>
    <w:rsid w:val="00DA4C57"/>
    <w:rsid w:val="00DA65E9"/>
    <w:rsid w:val="00DA734C"/>
    <w:rsid w:val="00DB09EB"/>
    <w:rsid w:val="00DB0E1A"/>
    <w:rsid w:val="00DB2DB6"/>
    <w:rsid w:val="00DB303E"/>
    <w:rsid w:val="00DB3177"/>
    <w:rsid w:val="00DB4421"/>
    <w:rsid w:val="00DB5BEA"/>
    <w:rsid w:val="00DB6F9D"/>
    <w:rsid w:val="00DC0281"/>
    <w:rsid w:val="00DC058A"/>
    <w:rsid w:val="00DC1BCE"/>
    <w:rsid w:val="00DC1CB7"/>
    <w:rsid w:val="00DC4D37"/>
    <w:rsid w:val="00DC4FF6"/>
    <w:rsid w:val="00DC6E30"/>
    <w:rsid w:val="00DD0566"/>
    <w:rsid w:val="00DD1587"/>
    <w:rsid w:val="00DD210E"/>
    <w:rsid w:val="00DD4EB0"/>
    <w:rsid w:val="00DD6134"/>
    <w:rsid w:val="00DD7572"/>
    <w:rsid w:val="00DE0176"/>
    <w:rsid w:val="00DE0850"/>
    <w:rsid w:val="00DE1E09"/>
    <w:rsid w:val="00DE1E33"/>
    <w:rsid w:val="00DE278F"/>
    <w:rsid w:val="00DE449F"/>
    <w:rsid w:val="00DF0508"/>
    <w:rsid w:val="00DF1364"/>
    <w:rsid w:val="00DF1835"/>
    <w:rsid w:val="00DF231E"/>
    <w:rsid w:val="00DF3023"/>
    <w:rsid w:val="00DF38DF"/>
    <w:rsid w:val="00DF44B0"/>
    <w:rsid w:val="00DF4FEF"/>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3EB1"/>
    <w:rsid w:val="00E1415C"/>
    <w:rsid w:val="00E14AEB"/>
    <w:rsid w:val="00E14B86"/>
    <w:rsid w:val="00E163D0"/>
    <w:rsid w:val="00E1744E"/>
    <w:rsid w:val="00E17556"/>
    <w:rsid w:val="00E2005E"/>
    <w:rsid w:val="00E2026D"/>
    <w:rsid w:val="00E20316"/>
    <w:rsid w:val="00E209F1"/>
    <w:rsid w:val="00E20C2F"/>
    <w:rsid w:val="00E20E39"/>
    <w:rsid w:val="00E22C83"/>
    <w:rsid w:val="00E237EB"/>
    <w:rsid w:val="00E23A9C"/>
    <w:rsid w:val="00E261F6"/>
    <w:rsid w:val="00E31EC6"/>
    <w:rsid w:val="00E31FEE"/>
    <w:rsid w:val="00E3214D"/>
    <w:rsid w:val="00E32F87"/>
    <w:rsid w:val="00E347FD"/>
    <w:rsid w:val="00E36B32"/>
    <w:rsid w:val="00E412B0"/>
    <w:rsid w:val="00E4193B"/>
    <w:rsid w:val="00E44ACA"/>
    <w:rsid w:val="00E4532F"/>
    <w:rsid w:val="00E45361"/>
    <w:rsid w:val="00E456F0"/>
    <w:rsid w:val="00E4701B"/>
    <w:rsid w:val="00E512C9"/>
    <w:rsid w:val="00E51CE9"/>
    <w:rsid w:val="00E5241B"/>
    <w:rsid w:val="00E55B65"/>
    <w:rsid w:val="00E561C2"/>
    <w:rsid w:val="00E56E54"/>
    <w:rsid w:val="00E57A7C"/>
    <w:rsid w:val="00E62611"/>
    <w:rsid w:val="00E62615"/>
    <w:rsid w:val="00E627BB"/>
    <w:rsid w:val="00E6537A"/>
    <w:rsid w:val="00E656C1"/>
    <w:rsid w:val="00E65BBE"/>
    <w:rsid w:val="00E661DD"/>
    <w:rsid w:val="00E66889"/>
    <w:rsid w:val="00E66E39"/>
    <w:rsid w:val="00E70A64"/>
    <w:rsid w:val="00E72297"/>
    <w:rsid w:val="00E72F70"/>
    <w:rsid w:val="00E74AA7"/>
    <w:rsid w:val="00E76D1E"/>
    <w:rsid w:val="00E77178"/>
    <w:rsid w:val="00E777D1"/>
    <w:rsid w:val="00E80A41"/>
    <w:rsid w:val="00E81550"/>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659"/>
    <w:rsid w:val="00EA388B"/>
    <w:rsid w:val="00EA3982"/>
    <w:rsid w:val="00EA3D52"/>
    <w:rsid w:val="00EA53BC"/>
    <w:rsid w:val="00EA54EB"/>
    <w:rsid w:val="00EB0734"/>
    <w:rsid w:val="00EB1169"/>
    <w:rsid w:val="00EB2025"/>
    <w:rsid w:val="00EB3B29"/>
    <w:rsid w:val="00EB4A00"/>
    <w:rsid w:val="00EB53C0"/>
    <w:rsid w:val="00EB5E68"/>
    <w:rsid w:val="00EB6E59"/>
    <w:rsid w:val="00EB782E"/>
    <w:rsid w:val="00EB7F37"/>
    <w:rsid w:val="00EC0DF2"/>
    <w:rsid w:val="00EC283A"/>
    <w:rsid w:val="00EC28DF"/>
    <w:rsid w:val="00EC2942"/>
    <w:rsid w:val="00EC4A90"/>
    <w:rsid w:val="00EC51B5"/>
    <w:rsid w:val="00EC5F25"/>
    <w:rsid w:val="00EC6B12"/>
    <w:rsid w:val="00EC7BE7"/>
    <w:rsid w:val="00EC7BEA"/>
    <w:rsid w:val="00ED0CCF"/>
    <w:rsid w:val="00ED0D4E"/>
    <w:rsid w:val="00ED0DB2"/>
    <w:rsid w:val="00ED11BE"/>
    <w:rsid w:val="00ED1521"/>
    <w:rsid w:val="00ED2283"/>
    <w:rsid w:val="00ED301C"/>
    <w:rsid w:val="00ED39FA"/>
    <w:rsid w:val="00ED57FB"/>
    <w:rsid w:val="00ED6BC7"/>
    <w:rsid w:val="00ED719D"/>
    <w:rsid w:val="00EE0471"/>
    <w:rsid w:val="00EE0531"/>
    <w:rsid w:val="00EE17A4"/>
    <w:rsid w:val="00EE18E3"/>
    <w:rsid w:val="00EE4C9B"/>
    <w:rsid w:val="00EE51D6"/>
    <w:rsid w:val="00EE6C7D"/>
    <w:rsid w:val="00EE6D48"/>
    <w:rsid w:val="00EE7EDA"/>
    <w:rsid w:val="00EF1D82"/>
    <w:rsid w:val="00EF1FB8"/>
    <w:rsid w:val="00EF3176"/>
    <w:rsid w:val="00EF3E9C"/>
    <w:rsid w:val="00EF42EE"/>
    <w:rsid w:val="00EF6033"/>
    <w:rsid w:val="00EF65C2"/>
    <w:rsid w:val="00EF72F0"/>
    <w:rsid w:val="00EF72FA"/>
    <w:rsid w:val="00F000AA"/>
    <w:rsid w:val="00F0200A"/>
    <w:rsid w:val="00F02022"/>
    <w:rsid w:val="00F02242"/>
    <w:rsid w:val="00F03479"/>
    <w:rsid w:val="00F043F3"/>
    <w:rsid w:val="00F06061"/>
    <w:rsid w:val="00F130A9"/>
    <w:rsid w:val="00F13605"/>
    <w:rsid w:val="00F155FD"/>
    <w:rsid w:val="00F1718B"/>
    <w:rsid w:val="00F2167F"/>
    <w:rsid w:val="00F23ABE"/>
    <w:rsid w:val="00F24AAC"/>
    <w:rsid w:val="00F251C1"/>
    <w:rsid w:val="00F2704A"/>
    <w:rsid w:val="00F2754A"/>
    <w:rsid w:val="00F27D70"/>
    <w:rsid w:val="00F31552"/>
    <w:rsid w:val="00F316FF"/>
    <w:rsid w:val="00F317E5"/>
    <w:rsid w:val="00F32702"/>
    <w:rsid w:val="00F32808"/>
    <w:rsid w:val="00F34C63"/>
    <w:rsid w:val="00F34C86"/>
    <w:rsid w:val="00F34DBB"/>
    <w:rsid w:val="00F35730"/>
    <w:rsid w:val="00F358FC"/>
    <w:rsid w:val="00F3676D"/>
    <w:rsid w:val="00F36A0F"/>
    <w:rsid w:val="00F37AFA"/>
    <w:rsid w:val="00F40077"/>
    <w:rsid w:val="00F4033A"/>
    <w:rsid w:val="00F40CF8"/>
    <w:rsid w:val="00F40FD2"/>
    <w:rsid w:val="00F419F7"/>
    <w:rsid w:val="00F41EAE"/>
    <w:rsid w:val="00F42C12"/>
    <w:rsid w:val="00F42CB9"/>
    <w:rsid w:val="00F431F3"/>
    <w:rsid w:val="00F43373"/>
    <w:rsid w:val="00F443F5"/>
    <w:rsid w:val="00F47CAE"/>
    <w:rsid w:val="00F511BF"/>
    <w:rsid w:val="00F51ADF"/>
    <w:rsid w:val="00F520F9"/>
    <w:rsid w:val="00F5735C"/>
    <w:rsid w:val="00F57FC3"/>
    <w:rsid w:val="00F6004E"/>
    <w:rsid w:val="00F60136"/>
    <w:rsid w:val="00F60852"/>
    <w:rsid w:val="00F6300B"/>
    <w:rsid w:val="00F648F9"/>
    <w:rsid w:val="00F64D43"/>
    <w:rsid w:val="00F654E9"/>
    <w:rsid w:val="00F6590E"/>
    <w:rsid w:val="00F65AE2"/>
    <w:rsid w:val="00F65AFA"/>
    <w:rsid w:val="00F67414"/>
    <w:rsid w:val="00F67AA1"/>
    <w:rsid w:val="00F701C0"/>
    <w:rsid w:val="00F70774"/>
    <w:rsid w:val="00F714CB"/>
    <w:rsid w:val="00F721F9"/>
    <w:rsid w:val="00F73C86"/>
    <w:rsid w:val="00F73CC8"/>
    <w:rsid w:val="00F77A7A"/>
    <w:rsid w:val="00F77F2B"/>
    <w:rsid w:val="00F814C8"/>
    <w:rsid w:val="00F823C6"/>
    <w:rsid w:val="00F83844"/>
    <w:rsid w:val="00F85B69"/>
    <w:rsid w:val="00F85F58"/>
    <w:rsid w:val="00F85F9D"/>
    <w:rsid w:val="00F8648B"/>
    <w:rsid w:val="00F8690A"/>
    <w:rsid w:val="00F86C2F"/>
    <w:rsid w:val="00F90BC9"/>
    <w:rsid w:val="00F90F6B"/>
    <w:rsid w:val="00F914CD"/>
    <w:rsid w:val="00F937D6"/>
    <w:rsid w:val="00F9541D"/>
    <w:rsid w:val="00F95C09"/>
    <w:rsid w:val="00F961FC"/>
    <w:rsid w:val="00F965E3"/>
    <w:rsid w:val="00F97AD9"/>
    <w:rsid w:val="00FA08A0"/>
    <w:rsid w:val="00FA0B35"/>
    <w:rsid w:val="00FA1243"/>
    <w:rsid w:val="00FA1EFE"/>
    <w:rsid w:val="00FA2433"/>
    <w:rsid w:val="00FA336A"/>
    <w:rsid w:val="00FA3D42"/>
    <w:rsid w:val="00FA505C"/>
    <w:rsid w:val="00FA58BB"/>
    <w:rsid w:val="00FA6E2D"/>
    <w:rsid w:val="00FA7643"/>
    <w:rsid w:val="00FA7850"/>
    <w:rsid w:val="00FA786E"/>
    <w:rsid w:val="00FA78BB"/>
    <w:rsid w:val="00FA7F20"/>
    <w:rsid w:val="00FB0456"/>
    <w:rsid w:val="00FB0D74"/>
    <w:rsid w:val="00FB11EF"/>
    <w:rsid w:val="00FB3431"/>
    <w:rsid w:val="00FB4096"/>
    <w:rsid w:val="00FB4438"/>
    <w:rsid w:val="00FB5975"/>
    <w:rsid w:val="00FB5A71"/>
    <w:rsid w:val="00FB62AB"/>
    <w:rsid w:val="00FB7379"/>
    <w:rsid w:val="00FB7B65"/>
    <w:rsid w:val="00FC0303"/>
    <w:rsid w:val="00FC0713"/>
    <w:rsid w:val="00FC3A9C"/>
    <w:rsid w:val="00FC6F22"/>
    <w:rsid w:val="00FC7E81"/>
    <w:rsid w:val="00FD0302"/>
    <w:rsid w:val="00FD3164"/>
    <w:rsid w:val="00FD44A8"/>
    <w:rsid w:val="00FD5B47"/>
    <w:rsid w:val="00FD5E87"/>
    <w:rsid w:val="00FD6AC7"/>
    <w:rsid w:val="00FE153E"/>
    <w:rsid w:val="00FE1B9D"/>
    <w:rsid w:val="00FE1D5C"/>
    <w:rsid w:val="00FE2D3A"/>
    <w:rsid w:val="00FE2E67"/>
    <w:rsid w:val="00FE449A"/>
    <w:rsid w:val="00FE5ACD"/>
    <w:rsid w:val="00FE5BC5"/>
    <w:rsid w:val="00FE60FB"/>
    <w:rsid w:val="00FE6D1C"/>
    <w:rsid w:val="00FE79B1"/>
    <w:rsid w:val="00FF5059"/>
    <w:rsid w:val="00FF5570"/>
    <w:rsid w:val="00FF593D"/>
    <w:rsid w:val="00FF6357"/>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A52E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A52E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52E8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52E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52E88"/>
    <w:pPr>
      <w:spacing w:after="120"/>
      <w:ind w:left="360"/>
    </w:pPr>
  </w:style>
  <w:style w:type="character" w:customStyle="1" w:styleId="BodyTextIndentChar">
    <w:name w:val="Body Text Indent Char"/>
    <w:basedOn w:val="DefaultParagraphFont"/>
    <w:link w:val="BodyTextIndent"/>
    <w:rsid w:val="00A52E88"/>
    <w:rPr>
      <w:sz w:val="24"/>
      <w:szCs w:val="24"/>
    </w:rPr>
  </w:style>
  <w:style w:type="paragraph" w:styleId="BodyTextFirstIndent2">
    <w:name w:val="Body Text First Indent 2"/>
    <w:basedOn w:val="BodyTextIndent"/>
    <w:link w:val="BodyTextFirstIndent2Char"/>
    <w:unhideWhenUsed/>
    <w:rsid w:val="00A52E88"/>
    <w:pPr>
      <w:numPr>
        <w:ilvl w:val="1"/>
        <w:numId w:val="13"/>
      </w:numPr>
      <w:spacing w:line="480" w:lineRule="auto"/>
      <w:ind w:left="720" w:firstLine="720"/>
    </w:pPr>
  </w:style>
  <w:style w:type="character" w:customStyle="1" w:styleId="BodyTextFirstIndent2Char">
    <w:name w:val="Body Text First Indent 2 Char"/>
    <w:basedOn w:val="BodyTextIndentChar"/>
    <w:link w:val="BodyTextFirstIndent2"/>
    <w:rsid w:val="00A52E88"/>
    <w:rPr>
      <w:sz w:val="24"/>
      <w:szCs w:val="24"/>
    </w:rPr>
  </w:style>
  <w:style w:type="paragraph" w:customStyle="1" w:styleId="FR-HEADING1">
    <w:name w:val="FR-HEADING1"/>
    <w:basedOn w:val="Heading1"/>
    <w:next w:val="BodyTextFirstIndent2"/>
    <w:rsid w:val="00A52E88"/>
    <w:pPr>
      <w:keepNext w:val="0"/>
      <w:keepLines w:val="0"/>
      <w:numPr>
        <w:numId w:val="13"/>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A52E88"/>
    <w:pPr>
      <w:numPr>
        <w:ilvl w:val="2"/>
        <w:numId w:val="13"/>
      </w:numPr>
      <w:spacing w:after="240"/>
      <w:ind w:left="0" w:firstLine="720"/>
    </w:pPr>
  </w:style>
  <w:style w:type="paragraph" w:customStyle="1" w:styleId="FR-SUBDOCTITLE">
    <w:name w:val="FR-SUBDOCTITLE"/>
    <w:basedOn w:val="Normal"/>
    <w:rsid w:val="00A52E88"/>
    <w:pPr>
      <w:numPr>
        <w:ilvl w:val="3"/>
        <w:numId w:val="13"/>
      </w:numPr>
      <w:ind w:left="0" w:firstLine="0"/>
      <w:jc w:val="center"/>
    </w:pPr>
  </w:style>
  <w:style w:type="paragraph" w:customStyle="1" w:styleId="FR-HEADING3">
    <w:name w:val="FR-HEADING3"/>
    <w:basedOn w:val="Heading3"/>
    <w:next w:val="BodyTextFirstIndent2"/>
    <w:rsid w:val="00A52E88"/>
    <w:pPr>
      <w:keepNext w:val="0"/>
      <w:keepLines w:val="0"/>
      <w:numPr>
        <w:ilvl w:val="4"/>
        <w:numId w:val="13"/>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A52E88"/>
    <w:pPr>
      <w:numPr>
        <w:ilvl w:val="5"/>
        <w:numId w:val="13"/>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A52E88"/>
    <w:pPr>
      <w:keepNext w:val="0"/>
      <w:keepLines w:val="0"/>
      <w:numPr>
        <w:ilvl w:val="6"/>
        <w:numId w:val="13"/>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A52E88"/>
    <w:pPr>
      <w:keepNext w:val="0"/>
      <w:keepLines w:val="0"/>
      <w:numPr>
        <w:ilvl w:val="7"/>
        <w:numId w:val="13"/>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A52E88"/>
    <w:pPr>
      <w:keepNext w:val="0"/>
      <w:keepLines w:val="0"/>
      <w:numPr>
        <w:ilvl w:val="8"/>
        <w:numId w:val="13"/>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A52E88"/>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A52E8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A52E8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52E88"/>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A52E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A52E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52E8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52E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52E88"/>
    <w:pPr>
      <w:spacing w:after="120"/>
      <w:ind w:left="360"/>
    </w:pPr>
  </w:style>
  <w:style w:type="character" w:customStyle="1" w:styleId="BodyTextIndentChar">
    <w:name w:val="Body Text Indent Char"/>
    <w:basedOn w:val="DefaultParagraphFont"/>
    <w:link w:val="BodyTextIndent"/>
    <w:rsid w:val="00A52E88"/>
    <w:rPr>
      <w:sz w:val="24"/>
      <w:szCs w:val="24"/>
    </w:rPr>
  </w:style>
  <w:style w:type="paragraph" w:styleId="BodyTextFirstIndent2">
    <w:name w:val="Body Text First Indent 2"/>
    <w:basedOn w:val="BodyTextIndent"/>
    <w:link w:val="BodyTextFirstIndent2Char"/>
    <w:unhideWhenUsed/>
    <w:rsid w:val="00A52E88"/>
    <w:pPr>
      <w:numPr>
        <w:ilvl w:val="1"/>
        <w:numId w:val="13"/>
      </w:numPr>
      <w:spacing w:line="480" w:lineRule="auto"/>
      <w:ind w:left="720" w:firstLine="720"/>
    </w:pPr>
  </w:style>
  <w:style w:type="character" w:customStyle="1" w:styleId="BodyTextFirstIndent2Char">
    <w:name w:val="Body Text First Indent 2 Char"/>
    <w:basedOn w:val="BodyTextIndentChar"/>
    <w:link w:val="BodyTextFirstIndent2"/>
    <w:rsid w:val="00A52E88"/>
    <w:rPr>
      <w:sz w:val="24"/>
      <w:szCs w:val="24"/>
    </w:rPr>
  </w:style>
  <w:style w:type="paragraph" w:customStyle="1" w:styleId="FR-HEADING1">
    <w:name w:val="FR-HEADING1"/>
    <w:basedOn w:val="Heading1"/>
    <w:next w:val="BodyTextFirstIndent2"/>
    <w:rsid w:val="00A52E88"/>
    <w:pPr>
      <w:keepNext w:val="0"/>
      <w:keepLines w:val="0"/>
      <w:numPr>
        <w:numId w:val="13"/>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A52E88"/>
    <w:pPr>
      <w:numPr>
        <w:ilvl w:val="2"/>
        <w:numId w:val="13"/>
      </w:numPr>
      <w:spacing w:after="240"/>
      <w:ind w:left="0" w:firstLine="720"/>
    </w:pPr>
  </w:style>
  <w:style w:type="paragraph" w:customStyle="1" w:styleId="FR-SUBDOCTITLE">
    <w:name w:val="FR-SUBDOCTITLE"/>
    <w:basedOn w:val="Normal"/>
    <w:rsid w:val="00A52E88"/>
    <w:pPr>
      <w:numPr>
        <w:ilvl w:val="3"/>
        <w:numId w:val="13"/>
      </w:numPr>
      <w:ind w:left="0" w:firstLine="0"/>
      <w:jc w:val="center"/>
    </w:pPr>
  </w:style>
  <w:style w:type="paragraph" w:customStyle="1" w:styleId="FR-HEADING3">
    <w:name w:val="FR-HEADING3"/>
    <w:basedOn w:val="Heading3"/>
    <w:next w:val="BodyTextFirstIndent2"/>
    <w:rsid w:val="00A52E88"/>
    <w:pPr>
      <w:keepNext w:val="0"/>
      <w:keepLines w:val="0"/>
      <w:numPr>
        <w:ilvl w:val="4"/>
        <w:numId w:val="13"/>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A52E88"/>
    <w:pPr>
      <w:numPr>
        <w:ilvl w:val="5"/>
        <w:numId w:val="13"/>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A52E88"/>
    <w:pPr>
      <w:keepNext w:val="0"/>
      <w:keepLines w:val="0"/>
      <w:numPr>
        <w:ilvl w:val="6"/>
        <w:numId w:val="13"/>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A52E88"/>
    <w:pPr>
      <w:keepNext w:val="0"/>
      <w:keepLines w:val="0"/>
      <w:numPr>
        <w:ilvl w:val="7"/>
        <w:numId w:val="13"/>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A52E88"/>
    <w:pPr>
      <w:keepNext w:val="0"/>
      <w:keepLines w:val="0"/>
      <w:numPr>
        <w:ilvl w:val="8"/>
        <w:numId w:val="13"/>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A52E88"/>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A52E8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A52E8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52E88"/>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653722802">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633311">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59369">
      <w:bodyDiv w:val="1"/>
      <w:marLeft w:val="0"/>
      <w:marRight w:val="0"/>
      <w:marTop w:val="0"/>
      <w:marBottom w:val="0"/>
      <w:divBdr>
        <w:top w:val="none" w:sz="0" w:space="0" w:color="auto"/>
        <w:left w:val="none" w:sz="0" w:space="0" w:color="auto"/>
        <w:bottom w:val="none" w:sz="0" w:space="0" w:color="auto"/>
        <w:right w:val="none" w:sz="0" w:space="0" w:color="auto"/>
      </w:divBdr>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E137C-584F-47E8-B771-1B79BA9D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21</cp:revision>
  <cp:lastPrinted>2016-09-06T14:46:00Z</cp:lastPrinted>
  <dcterms:created xsi:type="dcterms:W3CDTF">2016-08-22T17:10:00Z</dcterms:created>
  <dcterms:modified xsi:type="dcterms:W3CDTF">2016-09-06T15:06:00Z</dcterms:modified>
</cp:coreProperties>
</file>