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7F75CF">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Pr="006625B2" w:rsidRDefault="00C74A51">
            <w:pPr>
              <w:suppressAutoHyphens/>
              <w:spacing w:line="204" w:lineRule="auto"/>
              <w:jc w:val="center"/>
              <w:rPr>
                <w:rFonts w:ascii="Arial" w:hAnsi="Arial"/>
                <w:color w:val="000080"/>
                <w:spacing w:val="-3"/>
                <w:sz w:val="24"/>
                <w:szCs w:val="24"/>
              </w:rPr>
            </w:pPr>
            <w:r w:rsidRPr="006625B2">
              <w:rPr>
                <w:rFonts w:ascii="Arial" w:hAnsi="Arial"/>
                <w:color w:val="000080"/>
                <w:spacing w:val="-3"/>
                <w:sz w:val="24"/>
                <w:szCs w:val="24"/>
              </w:rPr>
              <w:t>COMMONWEALTH OF PENNSYLVANIA</w:t>
            </w:r>
          </w:p>
          <w:p w:rsidR="00C74A51" w:rsidRPr="006625B2" w:rsidRDefault="00C74A51">
            <w:pPr>
              <w:suppressAutoHyphens/>
              <w:spacing w:line="204" w:lineRule="auto"/>
              <w:jc w:val="center"/>
              <w:rPr>
                <w:rFonts w:ascii="Arial" w:hAnsi="Arial"/>
                <w:color w:val="000080"/>
                <w:spacing w:val="-3"/>
                <w:sz w:val="24"/>
                <w:szCs w:val="24"/>
              </w:rPr>
            </w:pPr>
            <w:r w:rsidRPr="006625B2">
              <w:rPr>
                <w:rFonts w:ascii="Arial" w:hAnsi="Arial"/>
                <w:color w:val="000080"/>
                <w:spacing w:val="-3"/>
                <w:sz w:val="24"/>
                <w:szCs w:val="24"/>
              </w:rPr>
              <w:t>PENNSYLVANIA PUBLIC UTILITY COMMISSION</w:t>
            </w:r>
          </w:p>
          <w:p w:rsidR="00C74A51" w:rsidRPr="006625B2" w:rsidRDefault="00684C5E">
            <w:pPr>
              <w:jc w:val="center"/>
              <w:rPr>
                <w:rFonts w:ascii="Arial" w:hAnsi="Arial"/>
                <w:color w:val="000080"/>
                <w:spacing w:val="-3"/>
                <w:sz w:val="24"/>
                <w:szCs w:val="24"/>
              </w:rPr>
            </w:pPr>
            <w:r w:rsidRPr="006625B2">
              <w:rPr>
                <w:rFonts w:ascii="Arial" w:hAnsi="Arial"/>
                <w:color w:val="000080"/>
                <w:spacing w:val="-3"/>
                <w:sz w:val="24"/>
                <w:szCs w:val="24"/>
              </w:rPr>
              <w:t>OFFICE OF ADMINISTRATIVE LAW JUDGE</w:t>
            </w:r>
          </w:p>
          <w:p w:rsidR="008C78A8" w:rsidRPr="006625B2" w:rsidRDefault="008C78A8" w:rsidP="008C78A8">
            <w:pPr>
              <w:jc w:val="center"/>
              <w:rPr>
                <w:rFonts w:ascii="Arial" w:hAnsi="Arial"/>
                <w:color w:val="000080"/>
                <w:spacing w:val="-3"/>
                <w:sz w:val="24"/>
                <w:szCs w:val="24"/>
              </w:rPr>
            </w:pPr>
            <w:r w:rsidRPr="006625B2">
              <w:rPr>
                <w:rFonts w:ascii="Arial" w:hAnsi="Arial"/>
                <w:color w:val="000080"/>
                <w:spacing w:val="-3"/>
                <w:sz w:val="24"/>
                <w:szCs w:val="24"/>
              </w:rPr>
              <w:t>301 Fifth Avenue</w:t>
            </w:r>
            <w:r w:rsidR="00684C5E" w:rsidRPr="006625B2">
              <w:rPr>
                <w:rFonts w:ascii="Arial" w:hAnsi="Arial"/>
                <w:color w:val="000080"/>
                <w:spacing w:val="-3"/>
                <w:sz w:val="24"/>
                <w:szCs w:val="24"/>
              </w:rPr>
              <w:t xml:space="preserve">, </w:t>
            </w:r>
            <w:r w:rsidRPr="006625B2">
              <w:rPr>
                <w:rFonts w:ascii="Arial" w:hAnsi="Arial"/>
                <w:color w:val="000080"/>
                <w:spacing w:val="-3"/>
                <w:sz w:val="24"/>
                <w:szCs w:val="24"/>
              </w:rPr>
              <w:t>Suite 220, Piatt Place</w:t>
            </w:r>
            <w:r w:rsidR="00684C5E" w:rsidRPr="006625B2">
              <w:rPr>
                <w:rFonts w:ascii="Arial" w:hAnsi="Arial"/>
                <w:color w:val="000080"/>
                <w:spacing w:val="-3"/>
                <w:sz w:val="24"/>
                <w:szCs w:val="24"/>
              </w:rPr>
              <w:t xml:space="preserve"> </w:t>
            </w:r>
          </w:p>
          <w:p w:rsidR="00684C5E" w:rsidRPr="00684C5E" w:rsidRDefault="00684C5E" w:rsidP="008C78A8">
            <w:pPr>
              <w:jc w:val="center"/>
              <w:rPr>
                <w:rFonts w:ascii="Arial" w:hAnsi="Arial"/>
                <w:color w:val="000080"/>
                <w:spacing w:val="-3"/>
                <w:sz w:val="26"/>
              </w:rPr>
            </w:pPr>
            <w:r w:rsidRPr="006625B2">
              <w:rPr>
                <w:rFonts w:ascii="Arial" w:hAnsi="Arial"/>
                <w:color w:val="000080"/>
                <w:spacing w:val="-3"/>
                <w:sz w:val="24"/>
                <w:szCs w:val="24"/>
              </w:rPr>
              <w:t>PITTSBURGH, PA 15222</w:t>
            </w:r>
            <w:r w:rsidR="008C78A8" w:rsidRPr="006625B2">
              <w:rPr>
                <w:rFonts w:ascii="Arial" w:hAnsi="Arial"/>
                <w:color w:val="000080"/>
                <w:spacing w:val="-3"/>
                <w:sz w:val="24"/>
                <w:szCs w:val="24"/>
              </w:rPr>
              <w:t>-2440</w:t>
            </w:r>
          </w:p>
        </w:tc>
        <w:tc>
          <w:tcPr>
            <w:tcW w:w="1452" w:type="dxa"/>
          </w:tcPr>
          <w:p w:rsidR="00C74A51" w:rsidRDefault="00C74A51">
            <w:pPr>
              <w:rPr>
                <w:rFonts w:ascii="Arial" w:hAnsi="Arial"/>
                <w:sz w:val="12"/>
              </w:rPr>
            </w:pPr>
          </w:p>
          <w:p w:rsidR="00C74A51" w:rsidRDefault="00C74A51">
            <w:pPr>
              <w:rPr>
                <w:rFonts w:ascii="Arial" w:hAnsi="Arial"/>
                <w:sz w:val="12"/>
              </w:rPr>
            </w:pPr>
          </w:p>
          <w:p w:rsidR="00684C5E" w:rsidRPr="00684C5E" w:rsidRDefault="00684C5E" w:rsidP="00684C5E">
            <w:pPr>
              <w:pStyle w:val="BodyText"/>
              <w:rPr>
                <w:sz w:val="14"/>
              </w:rPr>
            </w:pPr>
            <w:r w:rsidRPr="00684C5E">
              <w:rPr>
                <w:sz w:val="14"/>
              </w:rPr>
              <w:t xml:space="preserve">Tel:   </w:t>
            </w:r>
            <w:smartTag w:uri="urn:schemas-microsoft-com:office:smarttags" w:element="phone">
              <w:smartTagPr>
                <w:attr w:uri="urn:schemas-microsoft-com:office:office" w:name="ls" w:val="trans"/>
                <w:attr w:name="phonenumber" w:val="$6565$$$"/>
              </w:smartTagPr>
              <w:r w:rsidRPr="00684C5E">
                <w:rPr>
                  <w:sz w:val="14"/>
                </w:rPr>
                <w:t>412-565-3550</w:t>
              </w:r>
            </w:smartTag>
          </w:p>
          <w:p w:rsidR="00684C5E" w:rsidRPr="00684C5E" w:rsidRDefault="00684C5E" w:rsidP="00684C5E">
            <w:pPr>
              <w:rPr>
                <w:sz w:val="14"/>
              </w:rPr>
            </w:pPr>
            <w:r w:rsidRPr="00684C5E">
              <w:rPr>
                <w:sz w:val="14"/>
              </w:rPr>
              <w:t xml:space="preserve">Fax:  </w:t>
            </w:r>
            <w:smartTag w:uri="urn:schemas-microsoft-com:office:smarttags" w:element="phone">
              <w:smartTagPr>
                <w:attr w:uri="urn:schemas-microsoft-com:office:office" w:name="ls" w:val="trans"/>
                <w:attr w:name="phonenumber" w:val="$6565$$$"/>
              </w:smartTagPr>
              <w:r w:rsidRPr="00684C5E">
                <w:rPr>
                  <w:sz w:val="14"/>
                </w:rPr>
                <w:t>412-565-5692</w:t>
              </w:r>
            </w:smartTag>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pgSz w:w="12240" w:h="15840"/>
          <w:pgMar w:top="504" w:right="1440" w:bottom="1440" w:left="1440" w:header="720" w:footer="720" w:gutter="0"/>
          <w:cols w:space="720"/>
        </w:sectPr>
      </w:pPr>
    </w:p>
    <w:p w:rsidR="00C74A51" w:rsidRDefault="00C74A51">
      <w:r>
        <w:lastRenderedPageBreak/>
        <w:tab/>
      </w:r>
    </w:p>
    <w:p w:rsidR="00452FE7" w:rsidRDefault="000F1E91" w:rsidP="00D53356">
      <w:pPr>
        <w:jc w:val="center"/>
        <w:rPr>
          <w:sz w:val="24"/>
          <w:szCs w:val="24"/>
        </w:rPr>
      </w:pPr>
      <w:r>
        <w:rPr>
          <w:sz w:val="24"/>
          <w:szCs w:val="24"/>
        </w:rPr>
        <w:t xml:space="preserve">September </w:t>
      </w:r>
      <w:r w:rsidR="00F42CB9">
        <w:rPr>
          <w:sz w:val="24"/>
          <w:szCs w:val="24"/>
        </w:rPr>
        <w:t>9</w:t>
      </w:r>
      <w:bookmarkStart w:id="0" w:name="_GoBack"/>
      <w:bookmarkEnd w:id="0"/>
      <w:r w:rsidR="00375200">
        <w:rPr>
          <w:sz w:val="24"/>
          <w:szCs w:val="24"/>
        </w:rPr>
        <w:t>, 2016</w:t>
      </w:r>
    </w:p>
    <w:p w:rsidR="00452FE7" w:rsidRDefault="00452FE7" w:rsidP="00D53356">
      <w:pPr>
        <w:jc w:val="center"/>
        <w:rPr>
          <w:sz w:val="24"/>
          <w:szCs w:val="24"/>
        </w:rPr>
      </w:pPr>
    </w:p>
    <w:p w:rsidR="00546AD9" w:rsidRPr="00546AD9" w:rsidRDefault="00546AD9" w:rsidP="00546AD9">
      <w:pPr>
        <w:rPr>
          <w:sz w:val="24"/>
          <w:szCs w:val="24"/>
        </w:rPr>
      </w:pPr>
      <w:r w:rsidRPr="00546AD9">
        <w:rPr>
          <w:sz w:val="24"/>
          <w:szCs w:val="24"/>
        </w:rPr>
        <w:tab/>
      </w:r>
    </w:p>
    <w:p w:rsidR="00375200" w:rsidRDefault="00375200" w:rsidP="00375200">
      <w:pPr>
        <w:ind w:left="3600" w:firstLine="720"/>
        <w:rPr>
          <w:sz w:val="24"/>
          <w:szCs w:val="24"/>
          <w:u w:val="single"/>
        </w:rPr>
      </w:pPr>
    </w:p>
    <w:p w:rsidR="000F1E91" w:rsidRDefault="000F1E91" w:rsidP="00375200">
      <w:pPr>
        <w:jc w:val="both"/>
        <w:rPr>
          <w:sz w:val="24"/>
          <w:szCs w:val="24"/>
        </w:rPr>
      </w:pPr>
      <w:r>
        <w:rPr>
          <w:sz w:val="24"/>
          <w:szCs w:val="24"/>
        </w:rPr>
        <w:t>David D. Johnson</w:t>
      </w:r>
    </w:p>
    <w:p w:rsidR="000F1E91" w:rsidRDefault="000F1E91" w:rsidP="00375200">
      <w:pPr>
        <w:jc w:val="both"/>
        <w:rPr>
          <w:sz w:val="24"/>
          <w:szCs w:val="24"/>
        </w:rPr>
      </w:pPr>
      <w:r>
        <w:rPr>
          <w:sz w:val="24"/>
          <w:szCs w:val="24"/>
        </w:rPr>
        <w:t>2627 Community Drive</w:t>
      </w:r>
    </w:p>
    <w:p w:rsidR="000F1E91" w:rsidRDefault="000F1E91" w:rsidP="00375200">
      <w:pPr>
        <w:jc w:val="both"/>
        <w:rPr>
          <w:sz w:val="24"/>
          <w:szCs w:val="24"/>
        </w:rPr>
      </w:pPr>
      <w:r>
        <w:rPr>
          <w:sz w:val="24"/>
          <w:szCs w:val="24"/>
        </w:rPr>
        <w:t>Bath, PA 18014</w:t>
      </w:r>
    </w:p>
    <w:p w:rsidR="000F1E91" w:rsidRPr="008048C4" w:rsidRDefault="000F1E91" w:rsidP="000F1E91">
      <w:pPr>
        <w:ind w:left="2880" w:firstLine="720"/>
        <w:rPr>
          <w:i/>
          <w:sz w:val="24"/>
          <w:szCs w:val="24"/>
        </w:rPr>
      </w:pPr>
      <w:r w:rsidRPr="00546AD9">
        <w:rPr>
          <w:sz w:val="24"/>
          <w:szCs w:val="24"/>
        </w:rPr>
        <w:t>Re:</w:t>
      </w:r>
      <w:r w:rsidRPr="00546AD9">
        <w:rPr>
          <w:sz w:val="24"/>
          <w:szCs w:val="24"/>
        </w:rPr>
        <w:tab/>
      </w:r>
      <w:r w:rsidRPr="008048C4">
        <w:rPr>
          <w:i/>
          <w:sz w:val="24"/>
          <w:szCs w:val="24"/>
        </w:rPr>
        <w:t xml:space="preserve">Pennsylvania Public Utility Commission, et al.  </w:t>
      </w:r>
      <w:proofErr w:type="gramStart"/>
      <w:r w:rsidRPr="008048C4">
        <w:rPr>
          <w:i/>
          <w:sz w:val="24"/>
          <w:szCs w:val="24"/>
        </w:rPr>
        <w:t>v</w:t>
      </w:r>
      <w:proofErr w:type="gramEnd"/>
      <w:r w:rsidRPr="008048C4">
        <w:rPr>
          <w:i/>
          <w:sz w:val="24"/>
          <w:szCs w:val="24"/>
        </w:rPr>
        <w:t>.</w:t>
      </w:r>
    </w:p>
    <w:p w:rsidR="000F1E91" w:rsidRPr="00546AD9" w:rsidRDefault="000F1E91" w:rsidP="000F1E91">
      <w:pPr>
        <w:ind w:left="4320"/>
        <w:rPr>
          <w:sz w:val="24"/>
          <w:szCs w:val="24"/>
        </w:rPr>
      </w:pPr>
      <w:r w:rsidRPr="008048C4">
        <w:rPr>
          <w:i/>
          <w:sz w:val="24"/>
          <w:szCs w:val="24"/>
        </w:rPr>
        <w:t>Met-Ed, Penelec, Penn Power and West Penn Power</w:t>
      </w:r>
      <w:r>
        <w:rPr>
          <w:sz w:val="24"/>
          <w:szCs w:val="24"/>
        </w:rPr>
        <w:t>,</w:t>
      </w:r>
    </w:p>
    <w:p w:rsidR="000F1E91" w:rsidRDefault="000F1E91" w:rsidP="000F1E91">
      <w:pPr>
        <w:ind w:left="4320"/>
        <w:rPr>
          <w:sz w:val="24"/>
          <w:szCs w:val="24"/>
          <w:u w:val="single"/>
        </w:rPr>
      </w:pPr>
      <w:r w:rsidRPr="00546AD9">
        <w:rPr>
          <w:sz w:val="24"/>
          <w:szCs w:val="24"/>
          <w:u w:val="single"/>
        </w:rPr>
        <w:t>Docket Nos. R-</w:t>
      </w:r>
      <w:r>
        <w:rPr>
          <w:sz w:val="24"/>
          <w:szCs w:val="24"/>
          <w:u w:val="single"/>
        </w:rPr>
        <w:t>2016-2537349, R-2016-2537352</w:t>
      </w:r>
      <w:proofErr w:type="gramStart"/>
      <w:r>
        <w:rPr>
          <w:sz w:val="24"/>
          <w:szCs w:val="24"/>
          <w:u w:val="single"/>
        </w:rPr>
        <w:t xml:space="preserve">, </w:t>
      </w:r>
      <w:r w:rsidR="00F42CB9">
        <w:rPr>
          <w:sz w:val="24"/>
          <w:szCs w:val="24"/>
          <w:u w:val="single"/>
        </w:rPr>
        <w:t xml:space="preserve"> </w:t>
      </w:r>
      <w:r>
        <w:rPr>
          <w:sz w:val="24"/>
          <w:szCs w:val="24"/>
          <w:u w:val="single"/>
        </w:rPr>
        <w:t>R</w:t>
      </w:r>
      <w:proofErr w:type="gramEnd"/>
      <w:r>
        <w:rPr>
          <w:sz w:val="24"/>
          <w:szCs w:val="24"/>
          <w:u w:val="single"/>
        </w:rPr>
        <w:t>-2016-2537352, R-2016-2537359</w:t>
      </w:r>
    </w:p>
    <w:p w:rsidR="000F1E91" w:rsidRDefault="000F1E91" w:rsidP="00375200">
      <w:pPr>
        <w:jc w:val="both"/>
        <w:rPr>
          <w:sz w:val="24"/>
          <w:szCs w:val="24"/>
        </w:rPr>
      </w:pPr>
    </w:p>
    <w:p w:rsidR="00546AD9" w:rsidRPr="00546AD9" w:rsidRDefault="00546AD9" w:rsidP="00375200">
      <w:pPr>
        <w:jc w:val="both"/>
        <w:rPr>
          <w:sz w:val="24"/>
          <w:szCs w:val="24"/>
        </w:rPr>
      </w:pPr>
      <w:r w:rsidRPr="00546AD9">
        <w:rPr>
          <w:sz w:val="24"/>
          <w:szCs w:val="24"/>
        </w:rPr>
        <w:t xml:space="preserve">Dear </w:t>
      </w:r>
      <w:r w:rsidR="000F1E91">
        <w:rPr>
          <w:sz w:val="24"/>
          <w:szCs w:val="24"/>
        </w:rPr>
        <w:t>Mr. Johnson</w:t>
      </w:r>
      <w:r w:rsidRPr="00546AD9">
        <w:rPr>
          <w:sz w:val="24"/>
          <w:szCs w:val="24"/>
        </w:rPr>
        <w:t>:</w:t>
      </w:r>
    </w:p>
    <w:p w:rsidR="00546AD9" w:rsidRPr="00546AD9" w:rsidRDefault="00546AD9" w:rsidP="00546AD9">
      <w:pPr>
        <w:rPr>
          <w:sz w:val="24"/>
          <w:szCs w:val="24"/>
        </w:rPr>
      </w:pPr>
    </w:p>
    <w:p w:rsidR="00546AD9" w:rsidRPr="00546AD9" w:rsidRDefault="00546AD9" w:rsidP="00FF3610">
      <w:pPr>
        <w:rPr>
          <w:sz w:val="24"/>
          <w:szCs w:val="24"/>
        </w:rPr>
      </w:pPr>
      <w:r w:rsidRPr="00546AD9">
        <w:rPr>
          <w:sz w:val="24"/>
          <w:szCs w:val="24"/>
        </w:rPr>
        <w:tab/>
      </w:r>
      <w:r w:rsidRPr="00546AD9">
        <w:rPr>
          <w:sz w:val="24"/>
          <w:szCs w:val="24"/>
        </w:rPr>
        <w:tab/>
        <w:t>I am the Administrative Law Judge assigned by the Pennsylvania Public Utility Commission to preside over this case.  I am sending this letter to you because you filed a formal complaint in this proceeding.</w:t>
      </w:r>
    </w:p>
    <w:p w:rsidR="00546AD9" w:rsidRPr="00546AD9" w:rsidRDefault="00546AD9" w:rsidP="00546AD9">
      <w:pPr>
        <w:rPr>
          <w:sz w:val="24"/>
          <w:szCs w:val="24"/>
        </w:rPr>
      </w:pPr>
    </w:p>
    <w:p w:rsidR="00FF3610" w:rsidRDefault="00546AD9" w:rsidP="00546AD9">
      <w:pPr>
        <w:rPr>
          <w:sz w:val="24"/>
          <w:szCs w:val="24"/>
        </w:rPr>
      </w:pPr>
      <w:r w:rsidRPr="00546AD9">
        <w:rPr>
          <w:sz w:val="24"/>
          <w:szCs w:val="24"/>
        </w:rPr>
        <w:tab/>
      </w:r>
      <w:r w:rsidRPr="00546AD9">
        <w:rPr>
          <w:sz w:val="24"/>
          <w:szCs w:val="24"/>
        </w:rPr>
        <w:tab/>
        <w:t xml:space="preserve">On </w:t>
      </w:r>
      <w:r w:rsidR="00375200">
        <w:rPr>
          <w:sz w:val="24"/>
          <w:szCs w:val="24"/>
        </w:rPr>
        <w:t>June 17, 2016</w:t>
      </w:r>
      <w:r w:rsidRPr="00546AD9">
        <w:rPr>
          <w:sz w:val="24"/>
          <w:szCs w:val="24"/>
        </w:rPr>
        <w:t xml:space="preserve">, a prehearing conference was held in this case.  Following the conference, I issued a Prehearing Order that established a litigation schedule.  </w:t>
      </w:r>
      <w:r w:rsidRPr="00546AD9">
        <w:rPr>
          <w:sz w:val="23"/>
          <w:szCs w:val="23"/>
        </w:rPr>
        <w:t>This litigation schedule applies to all parties in this case</w:t>
      </w:r>
      <w:r w:rsidR="00D13CB1">
        <w:rPr>
          <w:sz w:val="24"/>
          <w:szCs w:val="24"/>
        </w:rPr>
        <w:t xml:space="preserve">. The evidentiary hearing was held on September 7, 2016.  </w:t>
      </w:r>
      <w:r w:rsidR="00047AFD">
        <w:rPr>
          <w:sz w:val="24"/>
          <w:szCs w:val="24"/>
        </w:rPr>
        <w:t>When</w:t>
      </w:r>
      <w:r w:rsidRPr="00546AD9">
        <w:rPr>
          <w:sz w:val="24"/>
          <w:szCs w:val="24"/>
        </w:rPr>
        <w:t xml:space="preserve"> a party enters a case after the litigation has commenced, that party must take the case, especially the procedural schedule, as it has been developed to date.  </w:t>
      </w:r>
      <w:r w:rsidR="00D13CB1">
        <w:rPr>
          <w:sz w:val="24"/>
          <w:szCs w:val="24"/>
        </w:rPr>
        <w:t xml:space="preserve">The parties will file briefs </w:t>
      </w:r>
      <w:r w:rsidR="00CF101C">
        <w:rPr>
          <w:sz w:val="24"/>
          <w:szCs w:val="24"/>
        </w:rPr>
        <w:t>on any issues that they are not able to resolve by settlement on September 30, 2016.  Reply briefs and a petition for settlement will be filed on October 14, 2016.  You will receive copies of these documents.</w:t>
      </w:r>
    </w:p>
    <w:p w:rsidR="00FF3610" w:rsidRDefault="00FF3610" w:rsidP="00546AD9">
      <w:pPr>
        <w:rPr>
          <w:sz w:val="24"/>
          <w:szCs w:val="24"/>
        </w:rPr>
      </w:pPr>
    </w:p>
    <w:p w:rsidR="00546AD9" w:rsidRPr="008048C4" w:rsidRDefault="00546AD9" w:rsidP="00546AD9">
      <w:pPr>
        <w:rPr>
          <w:b/>
          <w:sz w:val="24"/>
          <w:szCs w:val="24"/>
        </w:rPr>
      </w:pPr>
      <w:r w:rsidRPr="00546AD9">
        <w:rPr>
          <w:sz w:val="24"/>
          <w:szCs w:val="24"/>
        </w:rPr>
        <w:tab/>
      </w:r>
      <w:r w:rsidRPr="00546AD9">
        <w:rPr>
          <w:sz w:val="24"/>
          <w:szCs w:val="24"/>
        </w:rPr>
        <w:tab/>
      </w:r>
      <w:r w:rsidRPr="008048C4">
        <w:rPr>
          <w:b/>
          <w:sz w:val="24"/>
          <w:szCs w:val="24"/>
        </w:rPr>
        <w:t xml:space="preserve">If you file any documents in this case, or mail any documents to the undersigned or any other parties listed on the attached service list, you must provide copies to all other parties as well.  </w:t>
      </w:r>
    </w:p>
    <w:p w:rsidR="00546AD9" w:rsidRPr="00546AD9" w:rsidRDefault="00546AD9" w:rsidP="00546AD9">
      <w:pPr>
        <w:rPr>
          <w:sz w:val="23"/>
          <w:szCs w:val="23"/>
        </w:rPr>
      </w:pPr>
      <w:r w:rsidRPr="00546AD9">
        <w:rPr>
          <w:sz w:val="24"/>
          <w:szCs w:val="24"/>
        </w:rPr>
        <w:t xml:space="preserve">             </w:t>
      </w:r>
      <w:r w:rsidRPr="00546AD9">
        <w:rPr>
          <w:sz w:val="24"/>
          <w:szCs w:val="24"/>
        </w:rPr>
        <w:tab/>
      </w:r>
      <w:r w:rsidRPr="00546AD9">
        <w:rPr>
          <w:sz w:val="23"/>
          <w:szCs w:val="23"/>
        </w:rPr>
        <w:t xml:space="preserve">  </w:t>
      </w:r>
    </w:p>
    <w:p w:rsidR="00546AD9" w:rsidRPr="00546AD9" w:rsidRDefault="00546AD9" w:rsidP="00546AD9">
      <w:pPr>
        <w:rPr>
          <w:sz w:val="24"/>
          <w:szCs w:val="24"/>
        </w:rPr>
      </w:pPr>
      <w:r w:rsidRPr="00546AD9">
        <w:rPr>
          <w:sz w:val="23"/>
          <w:szCs w:val="23"/>
        </w:rPr>
        <w:tab/>
      </w:r>
      <w:r w:rsidRPr="00546AD9">
        <w:rPr>
          <w:sz w:val="23"/>
          <w:szCs w:val="23"/>
        </w:rPr>
        <w:tab/>
      </w:r>
      <w:r w:rsidRPr="00546AD9">
        <w:rPr>
          <w:sz w:val="24"/>
          <w:szCs w:val="24"/>
        </w:rPr>
        <w:t>Thank you for your time and attention to this matter.</w:t>
      </w:r>
    </w:p>
    <w:p w:rsidR="00546AD9" w:rsidRPr="00546AD9" w:rsidRDefault="00546AD9" w:rsidP="00546AD9">
      <w:pPr>
        <w:rPr>
          <w:sz w:val="24"/>
          <w:szCs w:val="24"/>
        </w:rPr>
      </w:pPr>
      <w:r w:rsidRPr="00546AD9">
        <w:rPr>
          <w:sz w:val="24"/>
          <w:szCs w:val="24"/>
        </w:rPr>
        <w:t xml:space="preserve">  </w:t>
      </w:r>
    </w:p>
    <w:p w:rsidR="00546AD9" w:rsidRPr="00546AD9" w:rsidRDefault="00546AD9" w:rsidP="00546AD9">
      <w:pPr>
        <w:rPr>
          <w:sz w:val="24"/>
          <w:szCs w:val="24"/>
        </w:rPr>
      </w:pPr>
    </w:p>
    <w:p w:rsidR="00546AD9" w:rsidRP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t>Sincerely,</w:t>
      </w:r>
    </w:p>
    <w:p w:rsidR="00546AD9" w:rsidRDefault="00546AD9" w:rsidP="00546AD9">
      <w:pPr>
        <w:rPr>
          <w:sz w:val="24"/>
          <w:szCs w:val="24"/>
        </w:rPr>
      </w:pPr>
    </w:p>
    <w:p w:rsidR="00312CD2" w:rsidRPr="00546AD9" w:rsidRDefault="00312CD2" w:rsidP="00546AD9">
      <w:pPr>
        <w:rPr>
          <w:sz w:val="24"/>
          <w:szCs w:val="24"/>
        </w:rPr>
      </w:pPr>
    </w:p>
    <w:p w:rsidR="00546AD9" w:rsidRP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t>Mary D. Long</w:t>
      </w:r>
    </w:p>
    <w:p w:rsid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t>Administrative Law Judge</w:t>
      </w:r>
    </w:p>
    <w:p w:rsidR="00667620" w:rsidRDefault="00667620" w:rsidP="00546AD9">
      <w:pPr>
        <w:rPr>
          <w:sz w:val="24"/>
          <w:szCs w:val="24"/>
        </w:rPr>
      </w:pPr>
    </w:p>
    <w:p w:rsidR="00546AD9" w:rsidRPr="00546AD9" w:rsidRDefault="00546AD9" w:rsidP="00546AD9">
      <w:pPr>
        <w:rPr>
          <w:sz w:val="24"/>
          <w:szCs w:val="24"/>
        </w:rPr>
      </w:pPr>
      <w:r w:rsidRPr="00546AD9">
        <w:rPr>
          <w:sz w:val="24"/>
          <w:szCs w:val="24"/>
        </w:rPr>
        <w:t>c</w:t>
      </w:r>
      <w:r w:rsidR="00667620">
        <w:rPr>
          <w:sz w:val="24"/>
          <w:szCs w:val="24"/>
        </w:rPr>
        <w:t>c</w:t>
      </w:r>
      <w:r w:rsidRPr="00546AD9">
        <w:rPr>
          <w:sz w:val="24"/>
          <w:szCs w:val="24"/>
        </w:rPr>
        <w:t>:</w:t>
      </w:r>
      <w:r w:rsidRPr="00546AD9">
        <w:rPr>
          <w:sz w:val="24"/>
          <w:szCs w:val="24"/>
        </w:rPr>
        <w:tab/>
      </w:r>
      <w:r w:rsidR="00EB1D6A">
        <w:rPr>
          <w:sz w:val="24"/>
          <w:szCs w:val="24"/>
        </w:rPr>
        <w:t>Parties List</w:t>
      </w:r>
      <w:r w:rsidR="00480FD2">
        <w:rPr>
          <w:sz w:val="24"/>
          <w:szCs w:val="24"/>
        </w:rPr>
        <w:t xml:space="preserve"> </w:t>
      </w:r>
    </w:p>
    <w:p w:rsidR="00546AD9" w:rsidRDefault="00546AD9" w:rsidP="00AA33C3">
      <w:pPr>
        <w:rPr>
          <w:sz w:val="24"/>
          <w:szCs w:val="24"/>
        </w:rPr>
      </w:pPr>
      <w:r w:rsidRPr="00546AD9">
        <w:rPr>
          <w:sz w:val="24"/>
          <w:szCs w:val="24"/>
        </w:rPr>
        <w:tab/>
      </w:r>
      <w:r w:rsidR="00740282" w:rsidRPr="00683EBC">
        <w:rPr>
          <w:sz w:val="24"/>
          <w:szCs w:val="24"/>
        </w:rPr>
        <w:t>Secretary’s Bureau</w:t>
      </w:r>
    </w:p>
    <w:p w:rsidR="00546AD9" w:rsidRDefault="00047AFD" w:rsidP="00AA33C3">
      <w:pPr>
        <w:rPr>
          <w:sz w:val="24"/>
          <w:szCs w:val="24"/>
        </w:rPr>
      </w:pPr>
      <w:r>
        <w:rPr>
          <w:sz w:val="24"/>
          <w:szCs w:val="24"/>
        </w:rPr>
        <w:lastRenderedPageBreak/>
        <w:t xml:space="preserve"> </w:t>
      </w:r>
    </w:p>
    <w:p w:rsidR="00C74A51" w:rsidRPr="0037156A" w:rsidRDefault="00AA33C3">
      <w:pPr>
        <w:rPr>
          <w:sz w:val="24"/>
          <w:szCs w:val="24"/>
        </w:rPr>
      </w:pPr>
      <w:r>
        <w:rPr>
          <w:sz w:val="24"/>
          <w:szCs w:val="24"/>
        </w:rPr>
        <w:t xml:space="preserve">     </w:t>
      </w:r>
    </w:p>
    <w:sectPr w:rsidR="00C74A51" w:rsidRPr="0037156A" w:rsidSect="0066762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644" w:rsidRDefault="00B64644">
      <w:r>
        <w:separator/>
      </w:r>
    </w:p>
  </w:endnote>
  <w:endnote w:type="continuationSeparator" w:id="0">
    <w:p w:rsidR="00B64644" w:rsidRDefault="00B64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644" w:rsidRDefault="00B64644">
      <w:r>
        <w:separator/>
      </w:r>
    </w:p>
  </w:footnote>
  <w:footnote w:type="continuationSeparator" w:id="0">
    <w:p w:rsidR="00B64644" w:rsidRDefault="00B646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E6403E"/>
    <w:lvl w:ilvl="0">
      <w:start w:val="1"/>
      <w:numFmt w:val="bullet"/>
      <w:lvlText w:val=""/>
      <w:lvlJc w:val="left"/>
      <w:pPr>
        <w:tabs>
          <w:tab w:val="num" w:pos="360"/>
        </w:tabs>
        <w:ind w:left="360" w:hanging="360"/>
      </w:pPr>
      <w:rPr>
        <w:rFonts w:ascii="Symbol" w:hAnsi="Symbol" w:hint="default"/>
      </w:rPr>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47AFD"/>
    <w:rsid w:val="00070CCE"/>
    <w:rsid w:val="000A0447"/>
    <w:rsid w:val="000B0026"/>
    <w:rsid w:val="000F1E91"/>
    <w:rsid w:val="00101C10"/>
    <w:rsid w:val="00115455"/>
    <w:rsid w:val="001209F1"/>
    <w:rsid w:val="001302FC"/>
    <w:rsid w:val="00135354"/>
    <w:rsid w:val="00177256"/>
    <w:rsid w:val="00183C50"/>
    <w:rsid w:val="002229C3"/>
    <w:rsid w:val="002365D0"/>
    <w:rsid w:val="0029471C"/>
    <w:rsid w:val="00297AA2"/>
    <w:rsid w:val="002D40CD"/>
    <w:rsid w:val="002F4427"/>
    <w:rsid w:val="00312CD2"/>
    <w:rsid w:val="00364A98"/>
    <w:rsid w:val="0037156A"/>
    <w:rsid w:val="00375200"/>
    <w:rsid w:val="00452FE7"/>
    <w:rsid w:val="00480FD2"/>
    <w:rsid w:val="004A11AB"/>
    <w:rsid w:val="004B68A3"/>
    <w:rsid w:val="004F45E1"/>
    <w:rsid w:val="00504CFE"/>
    <w:rsid w:val="005239BB"/>
    <w:rsid w:val="00546AD9"/>
    <w:rsid w:val="005479E3"/>
    <w:rsid w:val="00551675"/>
    <w:rsid w:val="00554E3D"/>
    <w:rsid w:val="005C1FBF"/>
    <w:rsid w:val="005E25C5"/>
    <w:rsid w:val="005E50A6"/>
    <w:rsid w:val="005E7FFB"/>
    <w:rsid w:val="00642DDD"/>
    <w:rsid w:val="006625B2"/>
    <w:rsid w:val="00667620"/>
    <w:rsid w:val="006755C0"/>
    <w:rsid w:val="00684C5E"/>
    <w:rsid w:val="006A777F"/>
    <w:rsid w:val="006D101A"/>
    <w:rsid w:val="006F3734"/>
    <w:rsid w:val="007079F6"/>
    <w:rsid w:val="00740282"/>
    <w:rsid w:val="007633D8"/>
    <w:rsid w:val="007F75CF"/>
    <w:rsid w:val="008048C4"/>
    <w:rsid w:val="008C78A8"/>
    <w:rsid w:val="009257D0"/>
    <w:rsid w:val="009623D6"/>
    <w:rsid w:val="00980E57"/>
    <w:rsid w:val="009F5F66"/>
    <w:rsid w:val="00A164DF"/>
    <w:rsid w:val="00A31D0A"/>
    <w:rsid w:val="00A5565D"/>
    <w:rsid w:val="00A55FCF"/>
    <w:rsid w:val="00A5629B"/>
    <w:rsid w:val="00AA33C3"/>
    <w:rsid w:val="00AC4AB2"/>
    <w:rsid w:val="00AF4384"/>
    <w:rsid w:val="00B64644"/>
    <w:rsid w:val="00B71212"/>
    <w:rsid w:val="00BB3BE4"/>
    <w:rsid w:val="00BC21D5"/>
    <w:rsid w:val="00BC3FC4"/>
    <w:rsid w:val="00BE5119"/>
    <w:rsid w:val="00C74A51"/>
    <w:rsid w:val="00CB5738"/>
    <w:rsid w:val="00CE4CE9"/>
    <w:rsid w:val="00CF101C"/>
    <w:rsid w:val="00D13CB1"/>
    <w:rsid w:val="00D53356"/>
    <w:rsid w:val="00D83428"/>
    <w:rsid w:val="00D8524D"/>
    <w:rsid w:val="00DD25FA"/>
    <w:rsid w:val="00E25799"/>
    <w:rsid w:val="00EB1D6A"/>
    <w:rsid w:val="00F21570"/>
    <w:rsid w:val="00F254A7"/>
    <w:rsid w:val="00F42CB9"/>
    <w:rsid w:val="00F661AC"/>
    <w:rsid w:val="00F67000"/>
    <w:rsid w:val="00F7094C"/>
    <w:rsid w:val="00FF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684C5E"/>
    <w:pPr>
      <w:spacing w:after="120"/>
    </w:pPr>
  </w:style>
  <w:style w:type="paragraph" w:styleId="ListBullet">
    <w:name w:val="List Bullet"/>
    <w:basedOn w:val="Normal"/>
    <w:autoRedefine/>
    <w:rsid w:val="00504CFE"/>
    <w:pPr>
      <w:ind w:firstLine="1440"/>
    </w:pPr>
  </w:style>
  <w:style w:type="paragraph" w:styleId="FootnoteText">
    <w:name w:val="footnote text"/>
    <w:basedOn w:val="Normal"/>
    <w:link w:val="FootnoteTextChar"/>
    <w:rsid w:val="006625B2"/>
    <w:pPr>
      <w:jc w:val="both"/>
    </w:pPr>
    <w:rPr>
      <w:sz w:val="26"/>
    </w:rPr>
  </w:style>
  <w:style w:type="character" w:customStyle="1" w:styleId="FootnoteTextChar">
    <w:name w:val="Footnote Text Char"/>
    <w:link w:val="FootnoteText"/>
    <w:rsid w:val="006625B2"/>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684C5E"/>
    <w:pPr>
      <w:spacing w:after="120"/>
    </w:pPr>
  </w:style>
  <w:style w:type="paragraph" w:styleId="ListBullet">
    <w:name w:val="List Bullet"/>
    <w:basedOn w:val="Normal"/>
    <w:autoRedefine/>
    <w:rsid w:val="00504CFE"/>
    <w:pPr>
      <w:ind w:firstLine="1440"/>
    </w:pPr>
  </w:style>
  <w:style w:type="paragraph" w:styleId="FootnoteText">
    <w:name w:val="footnote text"/>
    <w:basedOn w:val="Normal"/>
    <w:link w:val="FootnoteTextChar"/>
    <w:rsid w:val="006625B2"/>
    <w:pPr>
      <w:jc w:val="both"/>
    </w:pPr>
    <w:rPr>
      <w:sz w:val="26"/>
    </w:rPr>
  </w:style>
  <w:style w:type="character" w:customStyle="1" w:styleId="FootnoteTextChar">
    <w:name w:val="Footnote Text Char"/>
    <w:link w:val="FootnoteText"/>
    <w:rsid w:val="006625B2"/>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3980">
      <w:bodyDiv w:val="1"/>
      <w:marLeft w:val="0"/>
      <w:marRight w:val="0"/>
      <w:marTop w:val="0"/>
      <w:marBottom w:val="0"/>
      <w:divBdr>
        <w:top w:val="none" w:sz="0" w:space="0" w:color="auto"/>
        <w:left w:val="none" w:sz="0" w:space="0" w:color="auto"/>
        <w:bottom w:val="none" w:sz="0" w:space="0" w:color="auto"/>
        <w:right w:val="none" w:sz="0" w:space="0" w:color="auto"/>
      </w:divBdr>
    </w:div>
    <w:div w:id="1220169524">
      <w:bodyDiv w:val="1"/>
      <w:marLeft w:val="0"/>
      <w:marRight w:val="0"/>
      <w:marTop w:val="0"/>
      <w:marBottom w:val="0"/>
      <w:divBdr>
        <w:top w:val="none" w:sz="0" w:space="0" w:color="auto"/>
        <w:left w:val="none" w:sz="0" w:space="0" w:color="auto"/>
        <w:bottom w:val="none" w:sz="0" w:space="0" w:color="auto"/>
        <w:right w:val="none" w:sz="0" w:space="0" w:color="auto"/>
      </w:divBdr>
    </w:div>
    <w:div w:id="18113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Eubanks, Arlene</cp:lastModifiedBy>
  <cp:revision>2</cp:revision>
  <cp:lastPrinted>2016-09-09T12:47:00Z</cp:lastPrinted>
  <dcterms:created xsi:type="dcterms:W3CDTF">2016-09-09T13:16:00Z</dcterms:created>
  <dcterms:modified xsi:type="dcterms:W3CDTF">2016-09-09T13:16:00Z</dcterms:modified>
</cp:coreProperties>
</file>