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C50EA" w:rsidRDefault="00141506">
      <w:pPr>
        <w:suppressAutoHyphens/>
        <w:jc w:val="center"/>
        <w:rPr>
          <w:rFonts w:ascii="Times New Roman" w:hAnsi="Times New Roman"/>
          <w:b/>
          <w:spacing w:val="-3"/>
          <w:szCs w:val="24"/>
        </w:rPr>
      </w:pPr>
      <w:r w:rsidRPr="007C50EA">
        <w:rPr>
          <w:rFonts w:ascii="Times New Roman" w:hAnsi="Times New Roman"/>
          <w:b/>
          <w:spacing w:val="-3"/>
          <w:szCs w:val="24"/>
        </w:rPr>
        <w:t xml:space="preserve">PENNSYLVANIA </w:t>
      </w:r>
      <w:r w:rsidR="00D95AD2" w:rsidRPr="007C50EA">
        <w:rPr>
          <w:rFonts w:ascii="Times New Roman" w:hAnsi="Times New Roman"/>
          <w:b/>
          <w:spacing w:val="-3"/>
          <w:szCs w:val="24"/>
        </w:rPr>
        <w:fldChar w:fldCharType="begin"/>
      </w:r>
      <w:r w:rsidRPr="007C50EA">
        <w:rPr>
          <w:rFonts w:ascii="Times New Roman" w:hAnsi="Times New Roman"/>
          <w:b/>
          <w:spacing w:val="-3"/>
          <w:szCs w:val="24"/>
        </w:rPr>
        <w:instrText xml:space="preserve">PRIVATE </w:instrText>
      </w:r>
      <w:r w:rsidR="00D95AD2" w:rsidRPr="007C50EA">
        <w:rPr>
          <w:rFonts w:ascii="Times New Roman" w:hAnsi="Times New Roman"/>
          <w:b/>
          <w:spacing w:val="-3"/>
          <w:szCs w:val="24"/>
        </w:rPr>
        <w:fldChar w:fldCharType="end"/>
      </w:r>
    </w:p>
    <w:p w:rsidR="00141506" w:rsidRPr="007C50EA" w:rsidRDefault="00141506" w:rsidP="00DD51DC">
      <w:pPr>
        <w:suppressAutoHyphens/>
        <w:jc w:val="center"/>
        <w:rPr>
          <w:rFonts w:ascii="Times New Roman" w:hAnsi="Times New Roman"/>
          <w:b/>
          <w:spacing w:val="-3"/>
          <w:szCs w:val="24"/>
        </w:rPr>
      </w:pPr>
      <w:r w:rsidRPr="007C50EA">
        <w:rPr>
          <w:rFonts w:ascii="Times New Roman" w:hAnsi="Times New Roman"/>
          <w:b/>
          <w:spacing w:val="-3"/>
          <w:szCs w:val="24"/>
        </w:rPr>
        <w:t>PUBLIC UTILITY COMMISSION</w:t>
      </w:r>
    </w:p>
    <w:p w:rsidR="00441A14" w:rsidRDefault="00141506" w:rsidP="007C50EA">
      <w:pPr>
        <w:tabs>
          <w:tab w:val="center" w:pos="4680"/>
        </w:tabs>
        <w:suppressAutoHyphens/>
        <w:jc w:val="center"/>
        <w:rPr>
          <w:rFonts w:ascii="Times New Roman" w:hAnsi="Times New Roman"/>
          <w:b/>
          <w:spacing w:val="-3"/>
          <w:szCs w:val="24"/>
        </w:rPr>
      </w:pPr>
      <w:r w:rsidRPr="007C50EA">
        <w:rPr>
          <w:rFonts w:ascii="Times New Roman" w:hAnsi="Times New Roman"/>
          <w:b/>
          <w:spacing w:val="-3"/>
          <w:szCs w:val="24"/>
        </w:rPr>
        <w:t>Harrisburg, PA  17105-3265</w:t>
      </w:r>
    </w:p>
    <w:p w:rsidR="007C50EA" w:rsidRDefault="007C50EA" w:rsidP="007C50EA">
      <w:pPr>
        <w:tabs>
          <w:tab w:val="center" w:pos="4680"/>
        </w:tabs>
        <w:suppressAutoHyphens/>
        <w:jc w:val="center"/>
        <w:rPr>
          <w:rFonts w:ascii="Times New Roman" w:hAnsi="Times New Roman"/>
          <w:b/>
          <w:spacing w:val="-3"/>
          <w:szCs w:val="24"/>
        </w:rPr>
      </w:pPr>
    </w:p>
    <w:p w:rsidR="007C50EA" w:rsidRDefault="007C50EA" w:rsidP="007C50EA">
      <w:pPr>
        <w:tabs>
          <w:tab w:val="center" w:pos="4680"/>
        </w:tabs>
        <w:suppressAutoHyphens/>
        <w:jc w:val="center"/>
        <w:rPr>
          <w:rFonts w:ascii="Times New Roman" w:hAnsi="Times New Roman"/>
          <w:b/>
          <w:spacing w:val="-3"/>
          <w:szCs w:val="24"/>
        </w:rPr>
      </w:pPr>
    </w:p>
    <w:p w:rsidR="007C50EA" w:rsidRDefault="007C50EA" w:rsidP="007C50EA">
      <w:pPr>
        <w:tabs>
          <w:tab w:val="center" w:pos="4680"/>
        </w:tabs>
        <w:suppressAutoHyphens/>
        <w:jc w:val="center"/>
        <w:rPr>
          <w:rFonts w:ascii="Times New Roman" w:hAnsi="Times New Roman"/>
          <w:b/>
          <w:spacing w:val="-3"/>
          <w:szCs w:val="24"/>
        </w:rPr>
      </w:pPr>
    </w:p>
    <w:p w:rsidR="007C50EA" w:rsidRPr="007C50EA" w:rsidRDefault="007C50EA" w:rsidP="007C50EA">
      <w:pPr>
        <w:tabs>
          <w:tab w:val="left" w:pos="5220"/>
        </w:tabs>
        <w:rPr>
          <w:rFonts w:ascii="Times New Roman" w:hAnsi="Times New Roman"/>
          <w:szCs w:val="24"/>
        </w:rPr>
      </w:pPr>
      <w:r w:rsidRPr="007C50EA">
        <w:rPr>
          <w:rFonts w:ascii="Times New Roman" w:hAnsi="Times New Roman"/>
          <w:szCs w:val="23"/>
        </w:rPr>
        <w:t>Ap</w:t>
      </w:r>
      <w:r>
        <w:rPr>
          <w:rFonts w:ascii="Times New Roman" w:hAnsi="Times New Roman"/>
          <w:szCs w:val="23"/>
        </w:rPr>
        <w:t xml:space="preserve">plication of Columbia Gas of </w:t>
      </w:r>
      <w:r>
        <w:rPr>
          <w:rFonts w:ascii="Times New Roman" w:hAnsi="Times New Roman"/>
          <w:szCs w:val="23"/>
        </w:rPr>
        <w:tab/>
      </w:r>
      <w:r w:rsidRPr="007C50EA">
        <w:rPr>
          <w:rFonts w:ascii="Times New Roman" w:hAnsi="Times New Roman"/>
          <w:szCs w:val="23"/>
        </w:rPr>
        <w:t>:</w:t>
      </w:r>
      <w:r w:rsidRPr="007C50EA">
        <w:rPr>
          <w:rFonts w:ascii="Times New Roman" w:hAnsi="Times New Roman"/>
          <w:szCs w:val="23"/>
        </w:rPr>
        <w:tab/>
      </w:r>
      <w:r w:rsidRPr="007C50EA">
        <w:rPr>
          <w:rFonts w:ascii="Times New Roman" w:hAnsi="Times New Roman"/>
          <w:szCs w:val="23"/>
        </w:rPr>
        <w:tab/>
      </w:r>
      <w:r w:rsidRPr="007C50EA">
        <w:rPr>
          <w:rFonts w:ascii="Times New Roman" w:hAnsi="Times New Roman"/>
          <w:szCs w:val="24"/>
        </w:rPr>
        <w:t>A-2015-2513395</w:t>
      </w:r>
    </w:p>
    <w:p w:rsidR="007C50EA" w:rsidRPr="007C50EA" w:rsidRDefault="007C50EA" w:rsidP="007C50EA">
      <w:pPr>
        <w:tabs>
          <w:tab w:val="left" w:pos="5220"/>
        </w:tabs>
        <w:rPr>
          <w:rFonts w:ascii="Times New Roman" w:hAnsi="Times New Roman"/>
          <w:szCs w:val="23"/>
        </w:rPr>
      </w:pPr>
      <w:r w:rsidRPr="007C50EA">
        <w:rPr>
          <w:rFonts w:ascii="Times New Roman" w:hAnsi="Times New Roman"/>
          <w:szCs w:val="23"/>
        </w:rPr>
        <w:t>Pennsylva</w:t>
      </w:r>
      <w:r>
        <w:rPr>
          <w:rFonts w:ascii="Times New Roman" w:hAnsi="Times New Roman"/>
          <w:szCs w:val="23"/>
        </w:rPr>
        <w:t xml:space="preserve">nia, Inc. for approval of the </w:t>
      </w:r>
      <w:r>
        <w:rPr>
          <w:rFonts w:ascii="Times New Roman" w:hAnsi="Times New Roman"/>
          <w:szCs w:val="23"/>
        </w:rPr>
        <w:tab/>
      </w:r>
      <w:r w:rsidRPr="007C50EA">
        <w:rPr>
          <w:rFonts w:ascii="Times New Roman" w:hAnsi="Times New Roman"/>
          <w:szCs w:val="23"/>
        </w:rPr>
        <w:t>:</w:t>
      </w:r>
    </w:p>
    <w:p w:rsidR="007C50EA" w:rsidRPr="007C50EA" w:rsidRDefault="007C50EA" w:rsidP="007C50EA">
      <w:pPr>
        <w:tabs>
          <w:tab w:val="left" w:pos="5220"/>
        </w:tabs>
        <w:ind w:right="1440"/>
        <w:jc w:val="both"/>
        <w:rPr>
          <w:rFonts w:ascii="Times New Roman" w:hAnsi="Times New Roman"/>
          <w:szCs w:val="23"/>
        </w:rPr>
      </w:pPr>
      <w:r w:rsidRPr="007C50EA">
        <w:rPr>
          <w:rFonts w:ascii="Times New Roman" w:hAnsi="Times New Roman"/>
          <w:szCs w:val="23"/>
        </w:rPr>
        <w:t xml:space="preserve">Abandonment of Service by Columbia Gas of </w:t>
      </w:r>
      <w:r w:rsidRPr="007C50EA">
        <w:rPr>
          <w:rFonts w:ascii="Times New Roman" w:hAnsi="Times New Roman"/>
          <w:szCs w:val="23"/>
        </w:rPr>
        <w:tab/>
        <w:t>:</w:t>
      </w:r>
    </w:p>
    <w:p w:rsidR="007C50EA" w:rsidRPr="007C50EA" w:rsidRDefault="007C50EA" w:rsidP="007C50EA">
      <w:pPr>
        <w:tabs>
          <w:tab w:val="left" w:pos="5220"/>
        </w:tabs>
        <w:ind w:right="1440"/>
        <w:jc w:val="both"/>
        <w:rPr>
          <w:rFonts w:ascii="Times New Roman" w:hAnsi="Times New Roman"/>
          <w:szCs w:val="23"/>
        </w:rPr>
      </w:pPr>
      <w:r w:rsidRPr="007C50EA">
        <w:rPr>
          <w:rFonts w:ascii="Times New Roman" w:hAnsi="Times New Roman"/>
          <w:szCs w:val="23"/>
        </w:rPr>
        <w:t xml:space="preserve">Pennsylvania, Inc., of natural gas service to six (6) </w:t>
      </w:r>
      <w:r w:rsidRPr="007C50EA">
        <w:rPr>
          <w:rFonts w:ascii="Times New Roman" w:hAnsi="Times New Roman"/>
          <w:szCs w:val="23"/>
        </w:rPr>
        <w:tab/>
        <w:t>:</w:t>
      </w:r>
    </w:p>
    <w:p w:rsidR="007C50EA" w:rsidRP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3"/>
        </w:rPr>
        <w:t xml:space="preserve">customers located in Centre County, PA. </w:t>
      </w:r>
      <w:r w:rsidRPr="007C50EA">
        <w:rPr>
          <w:rFonts w:ascii="Times New Roman" w:hAnsi="Times New Roman"/>
          <w:szCs w:val="24"/>
        </w:rPr>
        <w:t xml:space="preserve"> </w:t>
      </w:r>
      <w:r w:rsidRPr="007C50EA">
        <w:rPr>
          <w:rFonts w:ascii="Times New Roman" w:hAnsi="Times New Roman"/>
          <w:szCs w:val="24"/>
        </w:rPr>
        <w:tab/>
        <w:t>:</w:t>
      </w:r>
    </w:p>
    <w:p w:rsidR="007C50EA" w:rsidRP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4"/>
        </w:rPr>
        <w:tab/>
      </w:r>
      <w:r>
        <w:rPr>
          <w:rFonts w:ascii="Times New Roman" w:hAnsi="Times New Roman"/>
          <w:szCs w:val="24"/>
        </w:rPr>
        <w:tab/>
      </w:r>
    </w:p>
    <w:p w:rsidR="007C50EA" w:rsidRP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4"/>
        </w:rPr>
        <w:tab/>
      </w:r>
      <w:r>
        <w:rPr>
          <w:rFonts w:ascii="Times New Roman" w:hAnsi="Times New Roman"/>
          <w:szCs w:val="24"/>
        </w:rPr>
        <w:t>a</w:t>
      </w:r>
      <w:r w:rsidRPr="007C50EA">
        <w:rPr>
          <w:rFonts w:ascii="Times New Roman" w:hAnsi="Times New Roman"/>
          <w:szCs w:val="24"/>
        </w:rPr>
        <w:t>nd</w:t>
      </w:r>
      <w:r>
        <w:rPr>
          <w:rFonts w:ascii="Times New Roman" w:hAnsi="Times New Roman"/>
          <w:szCs w:val="24"/>
        </w:rPr>
        <w:tab/>
      </w:r>
    </w:p>
    <w:p w:rsid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4"/>
        </w:rPr>
        <w:tab/>
      </w:r>
      <w:r w:rsidRPr="007C50EA">
        <w:rPr>
          <w:rFonts w:ascii="Times New Roman" w:hAnsi="Times New Roman"/>
          <w:szCs w:val="24"/>
        </w:rPr>
        <w:tab/>
      </w:r>
    </w:p>
    <w:p w:rsidR="007C50EA" w:rsidRPr="007C50EA" w:rsidRDefault="007C50EA" w:rsidP="007C50EA">
      <w:pPr>
        <w:tabs>
          <w:tab w:val="left" w:pos="1440"/>
          <w:tab w:val="left" w:pos="5220"/>
        </w:tabs>
        <w:ind w:right="1440"/>
        <w:jc w:val="both"/>
        <w:rPr>
          <w:rFonts w:ascii="Times New Roman" w:hAnsi="Times New Roman"/>
          <w:szCs w:val="24"/>
        </w:rPr>
      </w:pPr>
      <w:r>
        <w:rPr>
          <w:rFonts w:ascii="Times New Roman" w:hAnsi="Times New Roman"/>
          <w:szCs w:val="24"/>
        </w:rPr>
        <w:t>R</w:t>
      </w:r>
      <w:r w:rsidRPr="007C50EA">
        <w:rPr>
          <w:rFonts w:ascii="Times New Roman" w:hAnsi="Times New Roman"/>
          <w:szCs w:val="24"/>
        </w:rPr>
        <w:t xml:space="preserve">obert </w:t>
      </w:r>
      <w:proofErr w:type="spellStart"/>
      <w:r w:rsidRPr="007C50EA">
        <w:rPr>
          <w:rFonts w:ascii="Times New Roman" w:hAnsi="Times New Roman"/>
          <w:szCs w:val="24"/>
        </w:rPr>
        <w:t>Bucha</w:t>
      </w:r>
      <w:proofErr w:type="spellEnd"/>
      <w:r w:rsidRPr="007C50EA">
        <w:rPr>
          <w:rFonts w:ascii="Times New Roman" w:hAnsi="Times New Roman"/>
          <w:szCs w:val="24"/>
        </w:rPr>
        <w:tab/>
      </w:r>
      <w:r w:rsidRPr="007C50EA">
        <w:rPr>
          <w:rFonts w:ascii="Times New Roman" w:hAnsi="Times New Roman"/>
          <w:szCs w:val="24"/>
        </w:rPr>
        <w:tab/>
        <w:t>:</w:t>
      </w:r>
      <w:r w:rsidRPr="007C50EA">
        <w:rPr>
          <w:rFonts w:ascii="Times New Roman" w:hAnsi="Times New Roman"/>
          <w:szCs w:val="24"/>
        </w:rPr>
        <w:tab/>
      </w:r>
      <w:r w:rsidRPr="007C50EA">
        <w:rPr>
          <w:rFonts w:ascii="Times New Roman" w:hAnsi="Times New Roman"/>
          <w:szCs w:val="24"/>
        </w:rPr>
        <w:tab/>
      </w:r>
    </w:p>
    <w:p w:rsidR="007C50EA" w:rsidRP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4"/>
        </w:rPr>
        <w:tab/>
      </w:r>
      <w:r w:rsidRPr="007C50EA">
        <w:rPr>
          <w:rFonts w:ascii="Times New Roman" w:hAnsi="Times New Roman"/>
          <w:szCs w:val="24"/>
        </w:rPr>
        <w:tab/>
        <w:t>:</w:t>
      </w:r>
    </w:p>
    <w:p w:rsidR="007C50EA" w:rsidRPr="007C50EA" w:rsidRDefault="007C50EA" w:rsidP="007C50EA">
      <w:pPr>
        <w:tabs>
          <w:tab w:val="left" w:pos="1440"/>
          <w:tab w:val="left" w:pos="5220"/>
        </w:tabs>
        <w:jc w:val="both"/>
        <w:rPr>
          <w:rFonts w:ascii="Times New Roman" w:hAnsi="Times New Roman"/>
          <w:szCs w:val="24"/>
        </w:rPr>
      </w:pPr>
      <w:r w:rsidRPr="007C50EA">
        <w:rPr>
          <w:rFonts w:ascii="Times New Roman" w:hAnsi="Times New Roman"/>
          <w:szCs w:val="24"/>
        </w:rPr>
        <w:tab/>
        <w:t>v.</w:t>
      </w:r>
      <w:r w:rsidRPr="007C50EA">
        <w:rPr>
          <w:rFonts w:ascii="Times New Roman" w:hAnsi="Times New Roman"/>
          <w:szCs w:val="24"/>
        </w:rPr>
        <w:tab/>
        <w:t>:</w:t>
      </w:r>
      <w:r w:rsidRPr="007C50EA">
        <w:rPr>
          <w:rFonts w:ascii="Times New Roman" w:hAnsi="Times New Roman"/>
          <w:szCs w:val="24"/>
        </w:rPr>
        <w:tab/>
      </w:r>
      <w:r w:rsidRPr="007C50EA">
        <w:rPr>
          <w:rFonts w:ascii="Times New Roman" w:hAnsi="Times New Roman"/>
          <w:szCs w:val="24"/>
        </w:rPr>
        <w:tab/>
        <w:t>C-2016-2528019</w:t>
      </w:r>
      <w:r w:rsidRPr="007C50EA">
        <w:rPr>
          <w:rFonts w:ascii="Times New Roman" w:hAnsi="Times New Roman"/>
          <w:szCs w:val="24"/>
        </w:rPr>
        <w:tab/>
      </w:r>
      <w:r w:rsidRPr="007C50EA">
        <w:rPr>
          <w:rFonts w:ascii="Times New Roman" w:hAnsi="Times New Roman"/>
          <w:szCs w:val="24"/>
        </w:rPr>
        <w:tab/>
      </w:r>
    </w:p>
    <w:p w:rsidR="007C50EA" w:rsidRP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4"/>
        </w:rPr>
        <w:tab/>
      </w:r>
      <w:r w:rsidRPr="007C50EA">
        <w:rPr>
          <w:rFonts w:ascii="Times New Roman" w:hAnsi="Times New Roman"/>
          <w:szCs w:val="24"/>
        </w:rPr>
        <w:tab/>
        <w:t>:</w:t>
      </w:r>
    </w:p>
    <w:p w:rsidR="007C50EA" w:rsidRP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4"/>
        </w:rPr>
        <w:t>Columbia Gas of Pennsylvania, Inc.</w:t>
      </w:r>
      <w:r w:rsidRPr="007C50EA">
        <w:rPr>
          <w:rFonts w:ascii="Times New Roman" w:hAnsi="Times New Roman"/>
          <w:szCs w:val="24"/>
        </w:rPr>
        <w:tab/>
        <w:t>:</w:t>
      </w:r>
      <w:r w:rsidRPr="007C50EA">
        <w:rPr>
          <w:rFonts w:ascii="Times New Roman" w:hAnsi="Times New Roman"/>
          <w:szCs w:val="24"/>
        </w:rPr>
        <w:tab/>
      </w:r>
      <w:r w:rsidRPr="007C50EA">
        <w:rPr>
          <w:rFonts w:ascii="Times New Roman" w:hAnsi="Times New Roman"/>
          <w:szCs w:val="24"/>
        </w:rPr>
        <w:tab/>
      </w:r>
    </w:p>
    <w:p w:rsidR="007C50EA" w:rsidRPr="007C50EA" w:rsidRDefault="007C50EA" w:rsidP="007C50EA">
      <w:pPr>
        <w:tabs>
          <w:tab w:val="left" w:pos="1440"/>
          <w:tab w:val="left" w:pos="5220"/>
        </w:tabs>
        <w:jc w:val="both"/>
        <w:rPr>
          <w:rFonts w:ascii="Times New Roman" w:hAnsi="Times New Roman"/>
          <w:sz w:val="20"/>
          <w:szCs w:val="24"/>
        </w:rPr>
      </w:pPr>
      <w:r>
        <w:rPr>
          <w:rFonts w:ascii="Times New Roman" w:hAnsi="Times New Roman"/>
          <w:b/>
          <w:sz w:val="20"/>
          <w:szCs w:val="24"/>
        </w:rPr>
        <w:tab/>
      </w:r>
      <w:r>
        <w:rPr>
          <w:rFonts w:ascii="Times New Roman" w:hAnsi="Times New Roman"/>
          <w:b/>
          <w:sz w:val="20"/>
          <w:szCs w:val="24"/>
        </w:rPr>
        <w:tab/>
      </w:r>
    </w:p>
    <w:p w:rsidR="007C50EA" w:rsidRPr="007C50EA" w:rsidRDefault="007C50EA" w:rsidP="007C50EA">
      <w:pPr>
        <w:tabs>
          <w:tab w:val="left" w:pos="1440"/>
          <w:tab w:val="left" w:pos="5220"/>
        </w:tabs>
        <w:jc w:val="both"/>
        <w:rPr>
          <w:rFonts w:ascii="Times New Roman" w:hAnsi="Times New Roman"/>
          <w:szCs w:val="24"/>
        </w:rPr>
      </w:pPr>
      <w:r w:rsidRPr="007C50EA">
        <w:rPr>
          <w:rFonts w:ascii="Times New Roman" w:hAnsi="Times New Roman"/>
          <w:szCs w:val="24"/>
        </w:rPr>
        <w:tab/>
      </w:r>
      <w:r>
        <w:rPr>
          <w:rFonts w:ascii="Times New Roman" w:hAnsi="Times New Roman"/>
          <w:szCs w:val="24"/>
        </w:rPr>
        <w:t>a</w:t>
      </w:r>
      <w:r w:rsidRPr="007C50EA">
        <w:rPr>
          <w:rFonts w:ascii="Times New Roman" w:hAnsi="Times New Roman"/>
          <w:szCs w:val="24"/>
        </w:rPr>
        <w:t>nd</w:t>
      </w:r>
      <w:r>
        <w:rPr>
          <w:rFonts w:ascii="Times New Roman" w:hAnsi="Times New Roman"/>
          <w:szCs w:val="24"/>
        </w:rPr>
        <w:tab/>
      </w:r>
    </w:p>
    <w:p w:rsidR="007C50EA" w:rsidRPr="007C50EA" w:rsidRDefault="007C50EA" w:rsidP="007C50EA">
      <w:pPr>
        <w:tabs>
          <w:tab w:val="left" w:pos="1440"/>
          <w:tab w:val="left" w:pos="5220"/>
        </w:tabs>
        <w:jc w:val="both"/>
        <w:rPr>
          <w:rFonts w:ascii="Times New Roman" w:hAnsi="Times New Roman"/>
          <w:szCs w:val="24"/>
        </w:rPr>
      </w:pPr>
    </w:p>
    <w:p w:rsidR="007C50EA" w:rsidRPr="007C50EA" w:rsidRDefault="007C50EA" w:rsidP="007C50EA">
      <w:pPr>
        <w:tabs>
          <w:tab w:val="left" w:pos="1440"/>
          <w:tab w:val="left" w:pos="5220"/>
        </w:tabs>
        <w:jc w:val="both"/>
        <w:rPr>
          <w:rFonts w:ascii="Times New Roman" w:hAnsi="Times New Roman"/>
          <w:szCs w:val="24"/>
        </w:rPr>
      </w:pPr>
      <w:r w:rsidRPr="007C50EA">
        <w:rPr>
          <w:rFonts w:ascii="Times New Roman" w:hAnsi="Times New Roman"/>
          <w:szCs w:val="24"/>
        </w:rPr>
        <w:t>Pennsylvania State University</w:t>
      </w:r>
      <w:r w:rsidRPr="007C50EA">
        <w:rPr>
          <w:rFonts w:ascii="Times New Roman" w:hAnsi="Times New Roman"/>
          <w:szCs w:val="24"/>
        </w:rPr>
        <w:tab/>
        <w:t>:</w:t>
      </w:r>
      <w:r w:rsidRPr="007C50EA">
        <w:rPr>
          <w:rFonts w:ascii="Times New Roman" w:hAnsi="Times New Roman"/>
          <w:szCs w:val="24"/>
        </w:rPr>
        <w:tab/>
      </w:r>
      <w:r w:rsidRPr="007C50EA">
        <w:rPr>
          <w:rFonts w:ascii="Times New Roman" w:hAnsi="Times New Roman"/>
          <w:szCs w:val="24"/>
        </w:rPr>
        <w:tab/>
      </w:r>
    </w:p>
    <w:p w:rsidR="007C50EA" w:rsidRP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4"/>
        </w:rPr>
        <w:tab/>
      </w:r>
      <w:r w:rsidRPr="007C50EA">
        <w:rPr>
          <w:rFonts w:ascii="Times New Roman" w:hAnsi="Times New Roman"/>
          <w:szCs w:val="24"/>
        </w:rPr>
        <w:tab/>
        <w:t>:</w:t>
      </w:r>
    </w:p>
    <w:p w:rsidR="007C50EA" w:rsidRPr="007C50EA" w:rsidRDefault="007C50EA" w:rsidP="007C50EA">
      <w:pPr>
        <w:tabs>
          <w:tab w:val="left" w:pos="1440"/>
          <w:tab w:val="left" w:pos="5220"/>
        </w:tabs>
        <w:jc w:val="both"/>
        <w:rPr>
          <w:rFonts w:ascii="Times New Roman" w:hAnsi="Times New Roman"/>
          <w:szCs w:val="24"/>
        </w:rPr>
      </w:pPr>
      <w:r w:rsidRPr="007C50EA">
        <w:rPr>
          <w:rFonts w:ascii="Times New Roman" w:hAnsi="Times New Roman"/>
          <w:szCs w:val="24"/>
        </w:rPr>
        <w:tab/>
        <w:t>v.</w:t>
      </w:r>
      <w:r w:rsidRPr="007C50EA">
        <w:rPr>
          <w:rFonts w:ascii="Times New Roman" w:hAnsi="Times New Roman"/>
          <w:szCs w:val="24"/>
        </w:rPr>
        <w:tab/>
        <w:t>:</w:t>
      </w:r>
      <w:r w:rsidRPr="007C50EA">
        <w:rPr>
          <w:rFonts w:ascii="Times New Roman" w:hAnsi="Times New Roman"/>
          <w:szCs w:val="24"/>
        </w:rPr>
        <w:tab/>
      </w:r>
      <w:r w:rsidRPr="007C50EA">
        <w:rPr>
          <w:rFonts w:ascii="Times New Roman" w:hAnsi="Times New Roman"/>
          <w:szCs w:val="24"/>
        </w:rPr>
        <w:tab/>
        <w:t>C-2016-2522399</w:t>
      </w:r>
      <w:r w:rsidRPr="007C50EA">
        <w:rPr>
          <w:rFonts w:ascii="Times New Roman" w:hAnsi="Times New Roman"/>
          <w:szCs w:val="24"/>
        </w:rPr>
        <w:tab/>
      </w:r>
      <w:r w:rsidRPr="007C50EA">
        <w:rPr>
          <w:rFonts w:ascii="Times New Roman" w:hAnsi="Times New Roman"/>
          <w:szCs w:val="24"/>
        </w:rPr>
        <w:tab/>
      </w:r>
    </w:p>
    <w:p w:rsidR="007C50EA" w:rsidRPr="007C50EA" w:rsidRDefault="007C50EA" w:rsidP="007C50EA">
      <w:pPr>
        <w:tabs>
          <w:tab w:val="left" w:pos="1440"/>
          <w:tab w:val="left" w:pos="5220"/>
        </w:tabs>
        <w:ind w:right="1440"/>
        <w:jc w:val="both"/>
        <w:rPr>
          <w:rFonts w:ascii="Times New Roman" w:hAnsi="Times New Roman"/>
          <w:szCs w:val="24"/>
        </w:rPr>
      </w:pPr>
      <w:r w:rsidRPr="007C50EA">
        <w:rPr>
          <w:rFonts w:ascii="Times New Roman" w:hAnsi="Times New Roman"/>
          <w:szCs w:val="24"/>
        </w:rPr>
        <w:tab/>
      </w:r>
      <w:r w:rsidRPr="007C50EA">
        <w:rPr>
          <w:rFonts w:ascii="Times New Roman" w:hAnsi="Times New Roman"/>
          <w:szCs w:val="24"/>
        </w:rPr>
        <w:tab/>
        <w:t>:</w:t>
      </w:r>
    </w:p>
    <w:p w:rsidR="007C50EA" w:rsidRDefault="007C50EA" w:rsidP="007C50EA">
      <w:pPr>
        <w:tabs>
          <w:tab w:val="left" w:pos="1440"/>
          <w:tab w:val="center" w:pos="4680"/>
          <w:tab w:val="left" w:pos="5220"/>
        </w:tabs>
        <w:suppressAutoHyphens/>
        <w:rPr>
          <w:rFonts w:ascii="Times New Roman" w:hAnsi="Times New Roman"/>
          <w:szCs w:val="24"/>
        </w:rPr>
      </w:pPr>
      <w:r w:rsidRPr="007C50EA">
        <w:rPr>
          <w:rFonts w:ascii="Times New Roman" w:hAnsi="Times New Roman"/>
          <w:szCs w:val="24"/>
        </w:rPr>
        <w:t>Columbia Gas of Pennsylvania, Inc.</w:t>
      </w:r>
      <w:r w:rsidRPr="007C50EA">
        <w:rPr>
          <w:rFonts w:ascii="Times New Roman" w:hAnsi="Times New Roman"/>
          <w:szCs w:val="24"/>
        </w:rPr>
        <w:tab/>
      </w:r>
      <w:r w:rsidRPr="007C50EA">
        <w:rPr>
          <w:rFonts w:ascii="Times New Roman" w:hAnsi="Times New Roman"/>
          <w:szCs w:val="24"/>
        </w:rPr>
        <w:tab/>
        <w:t>:</w:t>
      </w:r>
    </w:p>
    <w:p w:rsidR="007C50EA" w:rsidRDefault="007C50EA" w:rsidP="007C50EA">
      <w:pPr>
        <w:tabs>
          <w:tab w:val="center" w:pos="4680"/>
          <w:tab w:val="left" w:pos="5220"/>
        </w:tabs>
        <w:suppressAutoHyphens/>
        <w:rPr>
          <w:rFonts w:ascii="Times New Roman" w:hAnsi="Times New Roman"/>
          <w:szCs w:val="24"/>
        </w:rPr>
      </w:pPr>
    </w:p>
    <w:p w:rsidR="007C50EA" w:rsidRDefault="007C50EA" w:rsidP="007C50EA">
      <w:pPr>
        <w:tabs>
          <w:tab w:val="center" w:pos="4680"/>
          <w:tab w:val="left" w:pos="5220"/>
        </w:tabs>
        <w:suppressAutoHyphens/>
        <w:rPr>
          <w:rFonts w:ascii="Times New Roman" w:hAnsi="Times New Roman"/>
          <w:szCs w:val="24"/>
        </w:rPr>
      </w:pPr>
    </w:p>
    <w:p w:rsidR="007C50EA" w:rsidRPr="007C50EA" w:rsidRDefault="007C50EA" w:rsidP="007C50EA">
      <w:pPr>
        <w:tabs>
          <w:tab w:val="center" w:pos="4680"/>
          <w:tab w:val="left" w:pos="5220"/>
        </w:tabs>
        <w:suppressAutoHyphens/>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C50EA">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Mary</w:t>
      </w:r>
      <w:r w:rsidR="007C50EA">
        <w:rPr>
          <w:rFonts w:ascii="Times New Roman" w:hAnsi="Times New Roman"/>
          <w:spacing w:val="-3"/>
          <w:szCs w:val="24"/>
        </w:rPr>
        <w:t xml:space="preserve"> D. </w:t>
      </w:r>
      <w:r w:rsidR="00C224DB" w:rsidRPr="00B616F5">
        <w:rPr>
          <w:rFonts w:ascii="Times New Roman" w:hAnsi="Times New Roman"/>
          <w:spacing w:val="-3"/>
          <w:szCs w:val="24"/>
        </w:rPr>
        <w:t>Long</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C50EA" w:rsidRPr="007C50EA">
        <w:rPr>
          <w:rFonts w:ascii="Times New Roman" w:hAnsi="Times New Roman"/>
          <w:szCs w:val="24"/>
        </w:rPr>
        <w:t>June 24, 2016</w:t>
      </w:r>
      <w:r w:rsidRPr="00FB6879">
        <w:rPr>
          <w:rFonts w:ascii="Times New Roman" w:hAnsi="Times New Roman"/>
          <w:spacing w:val="-3"/>
          <w:szCs w:val="24"/>
        </w:rPr>
        <w:t xml:space="preserve">, has become final without further Commission action; </w:t>
      </w:r>
    </w:p>
    <w:p w:rsidR="007C0D22" w:rsidRPr="00FB6879" w:rsidRDefault="007C0D22" w:rsidP="007C50EA">
      <w:pPr>
        <w:tabs>
          <w:tab w:val="left" w:pos="-720"/>
        </w:tabs>
        <w:suppressAutoHyphens/>
        <w:spacing w:line="360" w:lineRule="auto"/>
        <w:jc w:val="both"/>
        <w:rPr>
          <w:rFonts w:ascii="Times New Roman" w:hAnsi="Times New Roman"/>
          <w:spacing w:val="-3"/>
          <w:szCs w:val="24"/>
        </w:rPr>
      </w:pPr>
    </w:p>
    <w:p w:rsidR="00141506" w:rsidRPr="00FB6879" w:rsidRDefault="00141506" w:rsidP="007C50EA">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50EA">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C50EA">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50EA">
      <w:pPr>
        <w:tabs>
          <w:tab w:val="left" w:pos="-720"/>
        </w:tabs>
        <w:suppressAutoHyphens/>
        <w:spacing w:line="360" w:lineRule="auto"/>
        <w:ind w:firstLine="1440"/>
        <w:jc w:val="both"/>
        <w:rPr>
          <w:rFonts w:ascii="Times New Roman" w:hAnsi="Times New Roman"/>
          <w:spacing w:val="-3"/>
          <w:szCs w:val="24"/>
        </w:rPr>
      </w:pPr>
    </w:p>
    <w:p w:rsidR="007C50EA" w:rsidRDefault="007C50EA" w:rsidP="007C50EA">
      <w:pPr>
        <w:tabs>
          <w:tab w:val="left" w:pos="1440"/>
        </w:tabs>
        <w:spacing w:line="360" w:lineRule="auto"/>
        <w:rPr>
          <w:rFonts w:ascii="Times New Roman" w:hAnsi="Times New Roman"/>
        </w:rPr>
        <w:sectPr w:rsidR="007C50EA" w:rsidSect="007C50EA">
          <w:endnotePr>
            <w:numFmt w:val="decimal"/>
          </w:endnotePr>
          <w:pgSz w:w="12240" w:h="15840" w:code="1"/>
          <w:pgMar w:top="1296" w:right="1440" w:bottom="1296" w:left="1440" w:header="720" w:footer="720" w:gutter="0"/>
          <w:pgNumType w:start="1"/>
          <w:cols w:space="720"/>
          <w:noEndnote/>
          <w:docGrid w:linePitch="326"/>
        </w:sectPr>
      </w:pPr>
      <w:r>
        <w:rPr>
          <w:rFonts w:ascii="Times New Roman" w:hAnsi="Times New Roman"/>
        </w:rPr>
        <w:tab/>
      </w:r>
      <w:r w:rsidRPr="007C50EA">
        <w:rPr>
          <w:rFonts w:ascii="Times New Roman" w:hAnsi="Times New Roman"/>
        </w:rPr>
        <w:t>1.</w:t>
      </w:r>
      <w:r w:rsidRPr="007C50EA">
        <w:rPr>
          <w:rFonts w:ascii="Times New Roman" w:hAnsi="Times New Roman"/>
        </w:rPr>
        <w:tab/>
        <w:t xml:space="preserve">That the application of Columbia Gas of Pennsylvania, Inc., docketed with the Pennsylvania Public Utility Commission at Docket No. A-2015-2513395, for approval of the </w:t>
      </w:r>
    </w:p>
    <w:p w:rsidR="007C50EA" w:rsidRPr="007C50EA" w:rsidRDefault="007C50EA" w:rsidP="007C50EA">
      <w:pPr>
        <w:tabs>
          <w:tab w:val="left" w:pos="1440"/>
        </w:tabs>
        <w:spacing w:line="360" w:lineRule="auto"/>
        <w:rPr>
          <w:rFonts w:ascii="Times New Roman" w:hAnsi="Times New Roman"/>
        </w:rPr>
      </w:pPr>
      <w:r w:rsidRPr="007C50EA">
        <w:rPr>
          <w:rFonts w:ascii="Times New Roman" w:hAnsi="Times New Roman"/>
        </w:rPr>
        <w:lastRenderedPageBreak/>
        <w:t>abandonment of natural gas service to six natural gas service customers located in Centre County, Pennsylvania, is hereby approved, subject to the following conditions:</w:t>
      </w:r>
    </w:p>
    <w:p w:rsidR="007C50EA" w:rsidRPr="007C50EA" w:rsidRDefault="007C50EA" w:rsidP="007C50EA">
      <w:pPr>
        <w:tabs>
          <w:tab w:val="left" w:pos="1440"/>
        </w:tabs>
        <w:rPr>
          <w:rFonts w:ascii="Times New Roman" w:hAnsi="Times New Roman"/>
        </w:rPr>
      </w:pPr>
    </w:p>
    <w:p w:rsidR="007C50EA" w:rsidRPr="007C50EA" w:rsidRDefault="007C50EA" w:rsidP="007C50EA">
      <w:pPr>
        <w:tabs>
          <w:tab w:val="left" w:pos="1440"/>
        </w:tabs>
        <w:spacing w:line="360" w:lineRule="auto"/>
        <w:ind w:left="1440" w:right="1440"/>
        <w:rPr>
          <w:rFonts w:ascii="Times New Roman" w:hAnsi="Times New Roman"/>
        </w:rPr>
      </w:pPr>
      <w:r w:rsidRPr="007C50EA">
        <w:rPr>
          <w:rFonts w:ascii="Times New Roman" w:hAnsi="Times New Roman"/>
        </w:rPr>
        <w:tab/>
      </w:r>
      <w:r w:rsidRPr="007C50EA">
        <w:rPr>
          <w:rFonts w:ascii="Times New Roman" w:hAnsi="Times New Roman"/>
        </w:rPr>
        <w:tab/>
        <w:t>a.</w:t>
      </w:r>
      <w:r w:rsidRPr="007C50EA">
        <w:rPr>
          <w:rFonts w:ascii="Times New Roman" w:hAnsi="Times New Roman"/>
        </w:rPr>
        <w:tab/>
        <w:t>Columbia Gas of Pennsylvania, Inc. shall pay the amounts of compensation set forth in CONFIDENTIAL Columbia Exhibits RCW-3, RCW-4, RCW-1R, RCW-2R, RCW-3R, and RCW-4R to the six customers to help defray the cost of converting to an alternative fuel source within 30 days of entry of the Commission’s Order in this proceeding;</w:t>
      </w:r>
    </w:p>
    <w:p w:rsidR="007C50EA" w:rsidRPr="007C50EA" w:rsidRDefault="007C50EA" w:rsidP="007C50EA">
      <w:pPr>
        <w:tabs>
          <w:tab w:val="left" w:pos="1440"/>
        </w:tabs>
        <w:spacing w:line="360" w:lineRule="auto"/>
        <w:ind w:left="1440" w:right="1440"/>
        <w:rPr>
          <w:rFonts w:ascii="Times New Roman" w:hAnsi="Times New Roman"/>
        </w:rPr>
      </w:pPr>
    </w:p>
    <w:p w:rsidR="007C50EA" w:rsidRPr="007C50EA" w:rsidRDefault="007C50EA" w:rsidP="007C50EA">
      <w:pPr>
        <w:tabs>
          <w:tab w:val="left" w:pos="1440"/>
        </w:tabs>
        <w:spacing w:line="360" w:lineRule="auto"/>
        <w:ind w:left="1440" w:right="1440"/>
        <w:rPr>
          <w:rFonts w:ascii="Times New Roman" w:hAnsi="Times New Roman"/>
        </w:rPr>
      </w:pPr>
      <w:r w:rsidRPr="007C50EA">
        <w:rPr>
          <w:rFonts w:ascii="Times New Roman" w:hAnsi="Times New Roman"/>
        </w:rPr>
        <w:tab/>
      </w:r>
      <w:r w:rsidRPr="007C50EA">
        <w:rPr>
          <w:rFonts w:ascii="Times New Roman" w:hAnsi="Times New Roman"/>
        </w:rPr>
        <w:tab/>
        <w:t>b.</w:t>
      </w:r>
      <w:r w:rsidRPr="007C50EA">
        <w:rPr>
          <w:rFonts w:ascii="Times New Roman" w:hAnsi="Times New Roman"/>
        </w:rPr>
        <w:tab/>
        <w:t xml:space="preserve">Columbia Gas of Pennsylvania, Inc. shall purge and cap all services lines, which had been used to deliver gas to the affected customers, at its sole cost and expense in compliance with the directives of the Gas Safety Division of the Commission’s Bureau of Transportation and Safety, as part of its abandonment of the middle section of the Snowshoe Lateral; </w:t>
      </w:r>
    </w:p>
    <w:p w:rsidR="007C50EA" w:rsidRPr="007C50EA" w:rsidRDefault="007C50EA" w:rsidP="007C50EA">
      <w:pPr>
        <w:tabs>
          <w:tab w:val="left" w:pos="1440"/>
        </w:tabs>
        <w:spacing w:line="360" w:lineRule="auto"/>
        <w:ind w:left="1440" w:right="1440"/>
        <w:rPr>
          <w:rFonts w:ascii="Times New Roman" w:hAnsi="Times New Roman"/>
        </w:rPr>
      </w:pPr>
    </w:p>
    <w:p w:rsidR="007C50EA" w:rsidRPr="007C50EA" w:rsidRDefault="007C50EA" w:rsidP="007C50EA">
      <w:pPr>
        <w:tabs>
          <w:tab w:val="left" w:pos="1440"/>
        </w:tabs>
        <w:spacing w:line="360" w:lineRule="auto"/>
        <w:ind w:left="1440" w:right="1440"/>
        <w:rPr>
          <w:rFonts w:ascii="Times New Roman" w:hAnsi="Times New Roman"/>
        </w:rPr>
      </w:pPr>
      <w:r w:rsidRPr="007C50EA">
        <w:rPr>
          <w:rFonts w:ascii="Times New Roman" w:hAnsi="Times New Roman"/>
        </w:rPr>
        <w:tab/>
      </w:r>
      <w:r w:rsidRPr="007C50EA">
        <w:rPr>
          <w:rFonts w:ascii="Times New Roman" w:hAnsi="Times New Roman"/>
        </w:rPr>
        <w:tab/>
        <w:t>c.</w:t>
      </w:r>
      <w:r w:rsidRPr="007C50EA">
        <w:rPr>
          <w:rFonts w:ascii="Times New Roman" w:hAnsi="Times New Roman"/>
        </w:rPr>
        <w:tab/>
        <w:t>Columbia Gas of Pennsylvania, Inc. shall continue to comply with the terms of the PSU Settlement as part of its abandonment of the middle section of the Snowshoe Lateral; and</w:t>
      </w:r>
    </w:p>
    <w:p w:rsidR="007C50EA" w:rsidRPr="007C50EA" w:rsidRDefault="007C50EA" w:rsidP="007C50EA">
      <w:pPr>
        <w:tabs>
          <w:tab w:val="left" w:pos="1440"/>
        </w:tabs>
        <w:spacing w:line="360" w:lineRule="auto"/>
        <w:ind w:left="1440" w:right="1440"/>
        <w:rPr>
          <w:rFonts w:ascii="Times New Roman" w:hAnsi="Times New Roman"/>
        </w:rPr>
      </w:pPr>
    </w:p>
    <w:p w:rsidR="007C50EA" w:rsidRPr="007C50EA" w:rsidRDefault="007C50EA" w:rsidP="007C50EA">
      <w:pPr>
        <w:tabs>
          <w:tab w:val="left" w:pos="1440"/>
        </w:tabs>
        <w:spacing w:line="360" w:lineRule="auto"/>
        <w:ind w:left="1440" w:right="1440"/>
        <w:rPr>
          <w:rFonts w:ascii="Times New Roman" w:hAnsi="Times New Roman"/>
        </w:rPr>
      </w:pPr>
      <w:r w:rsidRPr="007C50EA">
        <w:rPr>
          <w:rFonts w:ascii="Times New Roman" w:hAnsi="Times New Roman"/>
        </w:rPr>
        <w:tab/>
      </w:r>
      <w:r w:rsidRPr="007C50EA">
        <w:rPr>
          <w:rFonts w:ascii="Times New Roman" w:hAnsi="Times New Roman"/>
        </w:rPr>
        <w:tab/>
        <w:t>d.</w:t>
      </w:r>
      <w:r w:rsidRPr="007C50EA">
        <w:rPr>
          <w:rFonts w:ascii="Times New Roman" w:hAnsi="Times New Roman"/>
        </w:rPr>
        <w:tab/>
        <w:t>Columbia Gas of Pennsylvania, Inc. shall file a sworn certification with this Commission of its compliance with these terms and conditions within 90 days of its abandonment of the middle section of the Snowshoe Lateral.</w:t>
      </w:r>
    </w:p>
    <w:p w:rsidR="007C50EA" w:rsidRPr="007C50EA" w:rsidRDefault="007C50EA" w:rsidP="007C50EA">
      <w:pPr>
        <w:tabs>
          <w:tab w:val="left" w:pos="1440"/>
        </w:tabs>
        <w:spacing w:line="360" w:lineRule="auto"/>
        <w:ind w:left="1440" w:right="1440"/>
        <w:rPr>
          <w:rFonts w:ascii="Times New Roman" w:hAnsi="Times New Roman"/>
        </w:rPr>
      </w:pPr>
    </w:p>
    <w:p w:rsidR="007C50EA" w:rsidRPr="007C50EA" w:rsidRDefault="007C50EA" w:rsidP="007C50EA">
      <w:pPr>
        <w:tabs>
          <w:tab w:val="left" w:pos="1440"/>
        </w:tabs>
        <w:spacing w:line="360" w:lineRule="auto"/>
        <w:jc w:val="both"/>
        <w:rPr>
          <w:rFonts w:ascii="Times New Roman" w:hAnsi="Times New Roman"/>
        </w:rPr>
      </w:pPr>
      <w:r w:rsidRPr="007C50EA">
        <w:rPr>
          <w:rFonts w:ascii="Times New Roman" w:hAnsi="Times New Roman"/>
        </w:rPr>
        <w:tab/>
        <w:t>2.</w:t>
      </w:r>
      <w:r w:rsidRPr="007C50EA">
        <w:rPr>
          <w:rFonts w:ascii="Times New Roman" w:hAnsi="Times New Roman"/>
        </w:rPr>
        <w:tab/>
        <w:t>That Docket No. A-2015-2513395 shall remain open until the subject facilities of Columbia Gas of Pennsylvania, Inc. meet the approval of the Gas Safety Division of the Bureau of Transportation and Safety, as evidenced by its letter to that effect, which letter shall be served upon the Applicant as well as the affected customers, and inserted into the documents folder for this application proceeding.</w:t>
      </w:r>
    </w:p>
    <w:p w:rsidR="007C50EA" w:rsidRPr="007C50EA" w:rsidRDefault="007C50EA" w:rsidP="007C50EA">
      <w:pPr>
        <w:tabs>
          <w:tab w:val="left" w:pos="1440"/>
        </w:tabs>
        <w:spacing w:line="360" w:lineRule="auto"/>
        <w:jc w:val="both"/>
        <w:rPr>
          <w:rFonts w:ascii="Times New Roman" w:hAnsi="Times New Roman"/>
        </w:rPr>
      </w:pPr>
    </w:p>
    <w:p w:rsidR="007C50EA" w:rsidRPr="007C50EA" w:rsidRDefault="007C50EA" w:rsidP="007C50EA">
      <w:pPr>
        <w:tabs>
          <w:tab w:val="left" w:pos="1440"/>
        </w:tabs>
        <w:spacing w:line="360" w:lineRule="auto"/>
        <w:jc w:val="both"/>
        <w:rPr>
          <w:rFonts w:ascii="Times New Roman" w:hAnsi="Times New Roman"/>
        </w:rPr>
      </w:pPr>
      <w:r w:rsidRPr="007C50EA">
        <w:rPr>
          <w:rFonts w:ascii="Times New Roman" w:hAnsi="Times New Roman"/>
        </w:rPr>
        <w:tab/>
        <w:t>3.</w:t>
      </w:r>
      <w:r w:rsidRPr="007C50EA">
        <w:rPr>
          <w:rFonts w:ascii="Times New Roman" w:hAnsi="Times New Roman"/>
        </w:rPr>
        <w:tab/>
        <w:t>That upon Columbia Gas of Pennsylvania, Inc. filing the certificate of compliance and the Gas Safety Division of the Bureau of Transportation and Safety inserting its letter in accordance with the foregoing ordering paragraphs, Docket No. A-2015-2513395 shall be marked closed.</w:t>
      </w:r>
    </w:p>
    <w:p w:rsidR="007C50EA" w:rsidRPr="007C50EA" w:rsidRDefault="007C50EA" w:rsidP="007C50EA">
      <w:pPr>
        <w:tabs>
          <w:tab w:val="left" w:pos="1440"/>
        </w:tabs>
        <w:spacing w:line="360" w:lineRule="auto"/>
        <w:jc w:val="both"/>
        <w:rPr>
          <w:rFonts w:ascii="Times New Roman" w:hAnsi="Times New Roman"/>
        </w:rPr>
      </w:pPr>
    </w:p>
    <w:p w:rsidR="007C50EA" w:rsidRPr="007C50EA" w:rsidRDefault="007C50EA" w:rsidP="007C50EA">
      <w:pPr>
        <w:tabs>
          <w:tab w:val="left" w:pos="1440"/>
        </w:tabs>
        <w:spacing w:line="360" w:lineRule="auto"/>
        <w:jc w:val="both"/>
        <w:rPr>
          <w:rFonts w:ascii="Times New Roman" w:hAnsi="Times New Roman"/>
        </w:rPr>
      </w:pPr>
      <w:r w:rsidRPr="007C50EA">
        <w:rPr>
          <w:rFonts w:ascii="Times New Roman" w:hAnsi="Times New Roman"/>
        </w:rPr>
        <w:tab/>
        <w:t>4.</w:t>
      </w:r>
      <w:r w:rsidRPr="007C50EA">
        <w:rPr>
          <w:rFonts w:ascii="Times New Roman" w:hAnsi="Times New Roman"/>
        </w:rPr>
        <w:tab/>
        <w:t>That if Columbia Gas of Pennsylvania, Inc. does not comply with the foregoing terms and conditions for abandoning service or fails to file and serve the required certificate of compliance as set forth in the foregoing ordering paragraphs, its application for abandonment of natural gas service at Docket No. A-2015-2513395 shall be dismissed without further action.</w:t>
      </w:r>
    </w:p>
    <w:p w:rsidR="007C50EA" w:rsidRPr="007C50EA" w:rsidRDefault="007C50EA" w:rsidP="007C50EA">
      <w:pPr>
        <w:tabs>
          <w:tab w:val="left" w:pos="1440"/>
        </w:tabs>
        <w:spacing w:line="360" w:lineRule="auto"/>
        <w:jc w:val="both"/>
        <w:rPr>
          <w:rFonts w:ascii="Times New Roman" w:hAnsi="Times New Roman"/>
        </w:rPr>
      </w:pPr>
    </w:p>
    <w:p w:rsidR="007C50EA" w:rsidRPr="007C50EA" w:rsidRDefault="007C50EA" w:rsidP="007C50EA">
      <w:pPr>
        <w:tabs>
          <w:tab w:val="left" w:pos="1440"/>
        </w:tabs>
        <w:spacing w:line="360" w:lineRule="auto"/>
        <w:jc w:val="both"/>
        <w:rPr>
          <w:rFonts w:ascii="Times New Roman" w:hAnsi="Times New Roman"/>
        </w:rPr>
      </w:pPr>
      <w:r w:rsidRPr="007C50EA">
        <w:rPr>
          <w:rFonts w:ascii="Times New Roman" w:hAnsi="Times New Roman"/>
        </w:rPr>
        <w:tab/>
        <w:t>5.</w:t>
      </w:r>
      <w:r w:rsidRPr="007C50EA">
        <w:rPr>
          <w:rFonts w:ascii="Times New Roman" w:hAnsi="Times New Roman"/>
        </w:rPr>
        <w:tab/>
        <w:t xml:space="preserve">That the formal complaint filed by Robert </w:t>
      </w:r>
      <w:proofErr w:type="spellStart"/>
      <w:r w:rsidRPr="007C50EA">
        <w:rPr>
          <w:rFonts w:ascii="Times New Roman" w:hAnsi="Times New Roman"/>
        </w:rPr>
        <w:t>Bucha</w:t>
      </w:r>
      <w:proofErr w:type="spellEnd"/>
      <w:r w:rsidRPr="007C50EA">
        <w:rPr>
          <w:rFonts w:ascii="Times New Roman" w:hAnsi="Times New Roman"/>
        </w:rPr>
        <w:t xml:space="preserve"> against Columbia Gas of Pennsylvania, Inc. at Docket No. C-2016-2528019 is satisfied and shall be marked closed.</w:t>
      </w:r>
    </w:p>
    <w:p w:rsidR="007C50EA" w:rsidRPr="007C50EA" w:rsidRDefault="007C50EA" w:rsidP="007C50EA">
      <w:pPr>
        <w:tabs>
          <w:tab w:val="left" w:pos="1440"/>
        </w:tabs>
        <w:spacing w:line="360" w:lineRule="auto"/>
        <w:jc w:val="both"/>
        <w:rPr>
          <w:rFonts w:ascii="Times New Roman" w:hAnsi="Times New Roman"/>
        </w:rPr>
      </w:pPr>
    </w:p>
    <w:p w:rsidR="007C50EA" w:rsidRPr="007C50EA" w:rsidRDefault="007C50EA" w:rsidP="007C50EA">
      <w:pPr>
        <w:tabs>
          <w:tab w:val="left" w:pos="1440"/>
        </w:tabs>
        <w:spacing w:line="360" w:lineRule="auto"/>
        <w:jc w:val="both"/>
        <w:rPr>
          <w:rFonts w:ascii="Times New Roman" w:hAnsi="Times New Roman"/>
        </w:rPr>
      </w:pPr>
      <w:r w:rsidRPr="007C50EA">
        <w:rPr>
          <w:rFonts w:ascii="Times New Roman" w:hAnsi="Times New Roman"/>
        </w:rPr>
        <w:tab/>
        <w:t>6.</w:t>
      </w:r>
      <w:r w:rsidRPr="007C50EA">
        <w:rPr>
          <w:rFonts w:ascii="Times New Roman" w:hAnsi="Times New Roman"/>
        </w:rPr>
        <w:tab/>
        <w:t>That the formal complaint filed by Pennsylvania State University against Columbia Gas of Pennsylvania, Inc. at Docket. No. C-2016-2522399 shall be marked closed.</w:t>
      </w:r>
    </w:p>
    <w:p w:rsidR="00A47CC7" w:rsidRPr="00441A14" w:rsidRDefault="00C224DB" w:rsidP="007C50EA">
      <w:pPr>
        <w:tabs>
          <w:tab w:val="num" w:pos="2160"/>
        </w:tabs>
        <w:ind w:firstLine="1440"/>
        <w:jc w:val="both"/>
        <w:rPr>
          <w:rFonts w:ascii="Times New Roman" w:hAnsi="Times New Roman"/>
        </w:rPr>
      </w:pPr>
      <w:r>
        <w:rPr>
          <w:rFonts w:ascii="Times New Roman" w:hAnsi="Times New Roman"/>
        </w:rPr>
        <w:t xml:space="preserve"> </w:t>
      </w:r>
    </w:p>
    <w:p w:rsidR="0031293C" w:rsidRDefault="007168A1" w:rsidP="0031293C">
      <w:pPr>
        <w:ind w:firstLine="1440"/>
        <w:jc w:val="both"/>
        <w:rPr>
          <w:rFonts w:ascii="Times New Roman" w:hAnsi="Times New Roman"/>
          <w:spacing w:val="-3"/>
        </w:rPr>
      </w:pPr>
      <w:bookmarkStart w:id="1" w:name="_GoBack"/>
      <w:r w:rsidRPr="00F45E06">
        <w:rPr>
          <w:b/>
          <w:noProof/>
        </w:rPr>
        <w:drawing>
          <wp:anchor distT="0" distB="0" distL="114300" distR="114300" simplePos="0" relativeHeight="251659264" behindDoc="1" locked="0" layoutInCell="1" allowOverlap="1" wp14:anchorId="5DF73C3F" wp14:editId="70CF385E">
            <wp:simplePos x="0" y="0"/>
            <wp:positionH relativeFrom="column">
              <wp:posOffset>2880360</wp:posOffset>
            </wp:positionH>
            <wp:positionV relativeFrom="paragraph">
              <wp:posOffset>71120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168A1">
        <w:rPr>
          <w:rFonts w:ascii="Times New Roman" w:hAnsi="Times New Roman"/>
          <w:spacing w:val="-3"/>
          <w:szCs w:val="24"/>
        </w:rPr>
        <w:t>September 9, 2016</w:t>
      </w:r>
    </w:p>
    <w:sectPr w:rsidR="00141506" w:rsidRPr="00FB6879" w:rsidSect="007C50EA">
      <w:footerReference w:type="default" r:id="rId9"/>
      <w:endnotePr>
        <w:numFmt w:val="decimal"/>
      </w:endnotePr>
      <w:pgSz w:w="12240" w:h="15840" w:code="1"/>
      <w:pgMar w:top="1296" w:right="1440" w:bottom="1296"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E22" w:rsidRDefault="00D43E22">
      <w:pPr>
        <w:spacing w:line="20" w:lineRule="exact"/>
      </w:pPr>
    </w:p>
  </w:endnote>
  <w:endnote w:type="continuationSeparator" w:id="0">
    <w:p w:rsidR="00D43E22" w:rsidRDefault="00D43E22">
      <w:r>
        <w:t xml:space="preserve"> </w:t>
      </w:r>
    </w:p>
  </w:endnote>
  <w:endnote w:type="continuationNotice" w:id="1">
    <w:p w:rsidR="00D43E22" w:rsidRDefault="00D43E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219041"/>
      <w:docPartObj>
        <w:docPartGallery w:val="Page Numbers (Bottom of Page)"/>
        <w:docPartUnique/>
      </w:docPartObj>
    </w:sdtPr>
    <w:sdtEndPr>
      <w:rPr>
        <w:rFonts w:ascii="Times New Roman" w:hAnsi="Times New Roman"/>
        <w:noProof/>
        <w:sz w:val="20"/>
      </w:rPr>
    </w:sdtEndPr>
    <w:sdtContent>
      <w:p w:rsidR="007C50EA" w:rsidRPr="007C50EA" w:rsidRDefault="007C50EA">
        <w:pPr>
          <w:pStyle w:val="Footer"/>
          <w:jc w:val="center"/>
          <w:rPr>
            <w:rFonts w:ascii="Times New Roman" w:hAnsi="Times New Roman"/>
            <w:sz w:val="20"/>
          </w:rPr>
        </w:pPr>
        <w:r w:rsidRPr="007C50EA">
          <w:rPr>
            <w:rFonts w:ascii="Times New Roman" w:hAnsi="Times New Roman"/>
            <w:sz w:val="20"/>
          </w:rPr>
          <w:fldChar w:fldCharType="begin"/>
        </w:r>
        <w:r w:rsidRPr="007C50EA">
          <w:rPr>
            <w:rFonts w:ascii="Times New Roman" w:hAnsi="Times New Roman"/>
            <w:sz w:val="20"/>
          </w:rPr>
          <w:instrText xml:space="preserve"> PAGE   \* MERGEFORMAT </w:instrText>
        </w:r>
        <w:r w:rsidRPr="007C50EA">
          <w:rPr>
            <w:rFonts w:ascii="Times New Roman" w:hAnsi="Times New Roman"/>
            <w:sz w:val="20"/>
          </w:rPr>
          <w:fldChar w:fldCharType="separate"/>
        </w:r>
        <w:r w:rsidR="007168A1">
          <w:rPr>
            <w:rFonts w:ascii="Times New Roman" w:hAnsi="Times New Roman"/>
            <w:noProof/>
            <w:sz w:val="20"/>
          </w:rPr>
          <w:t>3</w:t>
        </w:r>
        <w:r w:rsidRPr="007C50EA">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E22" w:rsidRDefault="00D43E22">
      <w:r>
        <w:separator/>
      </w:r>
    </w:p>
  </w:footnote>
  <w:footnote w:type="continuationSeparator" w:id="0">
    <w:p w:rsidR="00D43E22" w:rsidRDefault="00D43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02501"/>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8A1"/>
    <w:rsid w:val="00716C34"/>
    <w:rsid w:val="00721A28"/>
    <w:rsid w:val="00762518"/>
    <w:rsid w:val="00771E7B"/>
    <w:rsid w:val="007C0D22"/>
    <w:rsid w:val="007C50EA"/>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43E22"/>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7C50E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2016-09-09T13:58:00Z</cp:lastPrinted>
  <dcterms:created xsi:type="dcterms:W3CDTF">2010-09-08T19:30:00Z</dcterms:created>
  <dcterms:modified xsi:type="dcterms:W3CDTF">2016-09-09T13:58:00Z</dcterms:modified>
</cp:coreProperties>
</file>