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EF309B">
        <w:trPr>
          <w:trHeight w:val="990"/>
        </w:trPr>
        <w:tc>
          <w:tcPr>
            <w:tcW w:w="1363" w:type="dxa"/>
          </w:tcPr>
          <w:p w:rsidR="00B62B94" w:rsidRDefault="00B62B94" w:rsidP="00EF309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EF309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EF309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EF309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EE79E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BOX </w:t>
            </w:r>
            <w:r w:rsidRPr="00EE79E3">
              <w:rPr>
                <w:rFonts w:ascii="Arial" w:hAnsi="Arial"/>
                <w:color w:val="000080"/>
                <w:spacing w:val="-3"/>
                <w:sz w:val="26"/>
              </w:rPr>
              <w:t>32</w:t>
            </w:r>
            <w:r w:rsidR="00EE79E3" w:rsidRPr="00EE79E3">
              <w:rPr>
                <w:rFonts w:ascii="Arial" w:hAnsi="Arial"/>
                <w:color w:val="000080"/>
                <w:spacing w:val="-3"/>
                <w:sz w:val="26"/>
              </w:rPr>
              <w:t>6</w:t>
            </w:r>
            <w:r w:rsidRPr="00EE79E3">
              <w:rPr>
                <w:rFonts w:ascii="Arial" w:hAnsi="Arial"/>
                <w:color w:val="000080"/>
                <w:spacing w:val="-3"/>
                <w:sz w:val="26"/>
              </w:rPr>
              <w:t>5,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HARRISBURG, PA 17105-3265</w:t>
            </w:r>
          </w:p>
        </w:tc>
        <w:tc>
          <w:tcPr>
            <w:tcW w:w="1452" w:type="dxa"/>
          </w:tcPr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rPr>
                <w:rFonts w:ascii="Arial" w:hAnsi="Arial"/>
                <w:sz w:val="12"/>
              </w:rPr>
            </w:pPr>
          </w:p>
          <w:p w:rsidR="00B62B94" w:rsidRDefault="00B62B94" w:rsidP="00EF309B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1D0B3F" w:rsidRPr="00EE79E3" w:rsidRDefault="001D0B3F" w:rsidP="00EF309B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B62B94" w:rsidRDefault="00C07A68" w:rsidP="00C07A68">
      <w:pPr>
        <w:ind w:righ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September 12, 2016</w:t>
      </w:r>
    </w:p>
    <w:p w:rsidR="001D0B3F" w:rsidRDefault="001D0B3F" w:rsidP="000D5F21">
      <w:pPr>
        <w:ind w:left="720" w:right="576" w:hanging="720"/>
        <w:rPr>
          <w:sz w:val="26"/>
          <w:szCs w:val="26"/>
        </w:rPr>
      </w:pPr>
    </w:p>
    <w:p w:rsidR="001D0B3F" w:rsidRDefault="001D0B3F" w:rsidP="000D5F21">
      <w:pPr>
        <w:ind w:left="720" w:right="576" w:hanging="720"/>
        <w:rPr>
          <w:sz w:val="26"/>
          <w:szCs w:val="26"/>
        </w:rPr>
      </w:pPr>
    </w:p>
    <w:p w:rsidR="00EF309B" w:rsidRDefault="00B62B94" w:rsidP="00EE79E3">
      <w:pPr>
        <w:adjustRightInd w:val="0"/>
        <w:rPr>
          <w:b/>
          <w:sz w:val="26"/>
          <w:szCs w:val="26"/>
        </w:rPr>
      </w:pPr>
      <w:r w:rsidRPr="00441FD0">
        <w:rPr>
          <w:b/>
          <w:sz w:val="26"/>
          <w:szCs w:val="26"/>
        </w:rPr>
        <w:t>Re:</w:t>
      </w:r>
      <w:r w:rsidR="00EF309B">
        <w:rPr>
          <w:b/>
          <w:sz w:val="26"/>
          <w:szCs w:val="26"/>
        </w:rPr>
        <w:tab/>
        <w:t xml:space="preserve">Joint Application of Mid-Atlantic Interstate Transmission, LLC (“MAIT”); </w:t>
      </w:r>
      <w:r w:rsidR="00A0160B">
        <w:rPr>
          <w:b/>
          <w:sz w:val="26"/>
          <w:szCs w:val="26"/>
        </w:rPr>
        <w:tab/>
      </w:r>
      <w:r w:rsidR="00EF309B">
        <w:rPr>
          <w:b/>
          <w:sz w:val="26"/>
          <w:szCs w:val="26"/>
        </w:rPr>
        <w:t xml:space="preserve">Metropolitan Edison Company (“Met-Ed”) and Pennsylvania-Electric </w:t>
      </w:r>
      <w:r w:rsidR="00A0160B">
        <w:rPr>
          <w:b/>
          <w:sz w:val="26"/>
          <w:szCs w:val="26"/>
        </w:rPr>
        <w:tab/>
      </w:r>
      <w:r w:rsidR="00EF309B">
        <w:rPr>
          <w:b/>
          <w:sz w:val="26"/>
          <w:szCs w:val="26"/>
        </w:rPr>
        <w:t>Company (“</w:t>
      </w:r>
      <w:proofErr w:type="spellStart"/>
      <w:r w:rsidR="00EF309B">
        <w:rPr>
          <w:b/>
          <w:sz w:val="26"/>
          <w:szCs w:val="26"/>
        </w:rPr>
        <w:t>Penelec</w:t>
      </w:r>
      <w:proofErr w:type="spellEnd"/>
      <w:r w:rsidR="00EF309B">
        <w:rPr>
          <w:b/>
          <w:sz w:val="26"/>
          <w:szCs w:val="26"/>
        </w:rPr>
        <w:t xml:space="preserve">”) for:  (1) a Certificate of Public Convenience Under 66 </w:t>
      </w:r>
      <w:r w:rsidR="00A0160B">
        <w:rPr>
          <w:b/>
          <w:sz w:val="26"/>
          <w:szCs w:val="26"/>
        </w:rPr>
        <w:tab/>
      </w:r>
      <w:r w:rsidR="00EF309B">
        <w:rPr>
          <w:b/>
          <w:sz w:val="26"/>
          <w:szCs w:val="26"/>
        </w:rPr>
        <w:t xml:space="preserve">Pa. C.S. § 1102(a)(3) Authorizing the Transfer of Certain Transmission </w:t>
      </w:r>
      <w:r w:rsidR="00A0160B">
        <w:rPr>
          <w:b/>
          <w:sz w:val="26"/>
          <w:szCs w:val="26"/>
        </w:rPr>
        <w:tab/>
      </w:r>
      <w:r w:rsidR="00EF309B">
        <w:rPr>
          <w:b/>
          <w:sz w:val="26"/>
          <w:szCs w:val="26"/>
        </w:rPr>
        <w:t xml:space="preserve">Assets from Met-Ed and </w:t>
      </w:r>
      <w:proofErr w:type="spellStart"/>
      <w:r w:rsidR="00EF309B">
        <w:rPr>
          <w:b/>
          <w:sz w:val="26"/>
          <w:szCs w:val="26"/>
        </w:rPr>
        <w:t>Penelec</w:t>
      </w:r>
      <w:proofErr w:type="spellEnd"/>
      <w:r w:rsidR="00EF309B">
        <w:rPr>
          <w:b/>
          <w:sz w:val="26"/>
          <w:szCs w:val="26"/>
        </w:rPr>
        <w:t xml:space="preserve"> to </w:t>
      </w:r>
      <w:r w:rsidR="00A0160B">
        <w:rPr>
          <w:b/>
          <w:sz w:val="26"/>
          <w:szCs w:val="26"/>
        </w:rPr>
        <w:t xml:space="preserve">MAIT; (2) a Certificate of Public </w:t>
      </w:r>
      <w:r w:rsidR="00A0160B">
        <w:rPr>
          <w:b/>
          <w:sz w:val="26"/>
          <w:szCs w:val="26"/>
        </w:rPr>
        <w:tab/>
        <w:t xml:space="preserve">Convenience Conferring Upon MAIT the Status of a Pennsylvania Public </w:t>
      </w:r>
      <w:r w:rsidR="00A0160B">
        <w:rPr>
          <w:b/>
          <w:sz w:val="26"/>
          <w:szCs w:val="26"/>
        </w:rPr>
        <w:tab/>
        <w:t xml:space="preserve">Utility Under 66 Pa. C.S. § 102; and (3) Approval of Certain Affiliate Interest </w:t>
      </w:r>
      <w:r w:rsidR="00A0160B">
        <w:rPr>
          <w:b/>
          <w:sz w:val="26"/>
          <w:szCs w:val="26"/>
        </w:rPr>
        <w:tab/>
        <w:t xml:space="preserve">Agreements Under 66 Pa. C.S. § 2102.   </w:t>
      </w:r>
      <w:r w:rsidR="00EF309B">
        <w:rPr>
          <w:b/>
          <w:sz w:val="26"/>
          <w:szCs w:val="26"/>
        </w:rPr>
        <w:t xml:space="preserve"> </w:t>
      </w:r>
      <w:r w:rsidRPr="00441FD0">
        <w:rPr>
          <w:b/>
          <w:sz w:val="26"/>
          <w:szCs w:val="26"/>
        </w:rPr>
        <w:tab/>
      </w:r>
    </w:p>
    <w:p w:rsidR="00B83CA2" w:rsidRPr="00B83CA2" w:rsidRDefault="00EF309B" w:rsidP="00B83CA2">
      <w:pPr>
        <w:adjustRightInd w:val="0"/>
        <w:rPr>
          <w:b/>
          <w:sz w:val="26"/>
        </w:rPr>
      </w:pPr>
      <w:r>
        <w:rPr>
          <w:b/>
          <w:sz w:val="26"/>
          <w:szCs w:val="26"/>
        </w:rPr>
        <w:tab/>
      </w:r>
      <w:r w:rsidR="00C72065">
        <w:rPr>
          <w:b/>
          <w:sz w:val="26"/>
          <w:szCs w:val="26"/>
        </w:rPr>
        <w:t>Docket No</w:t>
      </w:r>
      <w:r w:rsidR="00B83CA2">
        <w:rPr>
          <w:b/>
          <w:sz w:val="26"/>
          <w:szCs w:val="26"/>
        </w:rPr>
        <w:t>s</w:t>
      </w:r>
      <w:r w:rsidR="00C7206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A-2015-2488903</w:t>
      </w:r>
      <w:r w:rsidR="00B83CA2" w:rsidRPr="00B83CA2">
        <w:rPr>
          <w:b/>
          <w:sz w:val="26"/>
          <w:szCs w:val="26"/>
        </w:rPr>
        <w:t>,</w:t>
      </w:r>
      <w:r w:rsidR="00EE79E3" w:rsidRPr="00B83CA2">
        <w:rPr>
          <w:b/>
          <w:bCs/>
          <w:color w:val="000000"/>
          <w:sz w:val="26"/>
          <w:szCs w:val="26"/>
        </w:rPr>
        <w:t xml:space="preserve"> </w:t>
      </w:r>
      <w:r w:rsidR="00B83CA2" w:rsidRPr="00B83CA2">
        <w:rPr>
          <w:b/>
          <w:sz w:val="26"/>
        </w:rPr>
        <w:t xml:space="preserve">A-2015-2488904, A-2015-2488905, </w:t>
      </w:r>
    </w:p>
    <w:p w:rsidR="00B83CA2" w:rsidRPr="00B83CA2" w:rsidRDefault="00B83CA2" w:rsidP="00B83CA2">
      <w:pPr>
        <w:adjustRightInd w:val="0"/>
        <w:rPr>
          <w:b/>
          <w:sz w:val="26"/>
        </w:rPr>
      </w:pPr>
      <w:r w:rsidRPr="00B83CA2">
        <w:rPr>
          <w:b/>
          <w:sz w:val="26"/>
        </w:rPr>
        <w:tab/>
        <w:t>G-2015-2488906, G-2015-2488907, G-2015-2489542, G-2015-2489543</w:t>
      </w:r>
    </w:p>
    <w:p w:rsidR="00B83CA2" w:rsidRPr="00B83CA2" w:rsidRDefault="00B83CA2" w:rsidP="00B83CA2">
      <w:pPr>
        <w:adjustRightInd w:val="0"/>
        <w:rPr>
          <w:b/>
          <w:sz w:val="26"/>
        </w:rPr>
      </w:pPr>
      <w:r w:rsidRPr="00B83CA2">
        <w:rPr>
          <w:b/>
          <w:sz w:val="26"/>
        </w:rPr>
        <w:tab/>
        <w:t xml:space="preserve">G-2015-2489544, G-2015-2489545, G-2015-2489547, G-2015-2490801, </w:t>
      </w:r>
    </w:p>
    <w:p w:rsidR="00B83CA2" w:rsidRPr="00B83CA2" w:rsidRDefault="00B83CA2" w:rsidP="00B83CA2">
      <w:pPr>
        <w:adjustRightInd w:val="0"/>
        <w:rPr>
          <w:b/>
          <w:sz w:val="26"/>
        </w:rPr>
      </w:pPr>
      <w:r w:rsidRPr="00B83CA2">
        <w:rPr>
          <w:b/>
          <w:sz w:val="26"/>
        </w:rPr>
        <w:tab/>
        <w:t>G-2015-2490802</w:t>
      </w:r>
    </w:p>
    <w:p w:rsidR="00B83CA2" w:rsidRDefault="00B83CA2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EE79E3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On </w:t>
      </w:r>
      <w:r w:rsidR="0014025D">
        <w:rPr>
          <w:sz w:val="26"/>
          <w:szCs w:val="26"/>
        </w:rPr>
        <w:t>August 24</w:t>
      </w:r>
      <w:r w:rsidR="00EE79E3">
        <w:rPr>
          <w:sz w:val="26"/>
          <w:szCs w:val="26"/>
        </w:rPr>
        <w:t xml:space="preserve">, </w:t>
      </w:r>
      <w:r w:rsidR="0014025D">
        <w:rPr>
          <w:sz w:val="26"/>
          <w:szCs w:val="26"/>
        </w:rPr>
        <w:t xml:space="preserve">2016, </w:t>
      </w:r>
      <w:r w:rsidR="00EE79E3">
        <w:rPr>
          <w:sz w:val="26"/>
          <w:szCs w:val="26"/>
        </w:rPr>
        <w:t>the Commission entered a</w:t>
      </w:r>
      <w:r w:rsidR="0014025D">
        <w:rPr>
          <w:sz w:val="26"/>
          <w:szCs w:val="26"/>
        </w:rPr>
        <w:t>n</w:t>
      </w:r>
      <w:r w:rsidR="00EE79E3">
        <w:rPr>
          <w:sz w:val="26"/>
          <w:szCs w:val="26"/>
        </w:rPr>
        <w:t xml:space="preserve"> Opinion and Order (Order) in the above-captioned docket which, </w:t>
      </w:r>
      <w:r w:rsidR="00EE79E3">
        <w:rPr>
          <w:i/>
          <w:sz w:val="26"/>
          <w:szCs w:val="26"/>
        </w:rPr>
        <w:t>inter alia</w:t>
      </w:r>
      <w:r w:rsidR="00EE79E3">
        <w:rPr>
          <w:sz w:val="26"/>
          <w:szCs w:val="26"/>
        </w:rPr>
        <w:t xml:space="preserve">, approved </w:t>
      </w:r>
      <w:r w:rsidR="006E50AF">
        <w:rPr>
          <w:sz w:val="26"/>
          <w:szCs w:val="26"/>
        </w:rPr>
        <w:t>a</w:t>
      </w:r>
      <w:r w:rsidR="00EE79E3">
        <w:rPr>
          <w:sz w:val="26"/>
          <w:szCs w:val="26"/>
        </w:rPr>
        <w:t xml:space="preserve"> </w:t>
      </w:r>
      <w:r w:rsidR="00EE79E3" w:rsidRPr="00353AAB">
        <w:rPr>
          <w:sz w:val="26"/>
          <w:szCs w:val="26"/>
        </w:rPr>
        <w:t xml:space="preserve">Joint Petition for </w:t>
      </w:r>
      <w:r w:rsidR="0014025D">
        <w:rPr>
          <w:sz w:val="26"/>
          <w:szCs w:val="26"/>
        </w:rPr>
        <w:t>Full</w:t>
      </w:r>
      <w:r w:rsidR="00EE79E3" w:rsidRPr="00353AAB">
        <w:rPr>
          <w:sz w:val="26"/>
          <w:szCs w:val="26"/>
        </w:rPr>
        <w:t xml:space="preserve"> Settlement </w:t>
      </w:r>
      <w:r w:rsidR="006E50AF">
        <w:rPr>
          <w:sz w:val="26"/>
          <w:szCs w:val="26"/>
        </w:rPr>
        <w:t xml:space="preserve">(Settlement) </w:t>
      </w:r>
      <w:r w:rsidR="0014025D">
        <w:rPr>
          <w:sz w:val="26"/>
          <w:szCs w:val="26"/>
        </w:rPr>
        <w:t>subject to modifications</w:t>
      </w:r>
      <w:r w:rsidR="00EE79E3">
        <w:rPr>
          <w:sz w:val="26"/>
          <w:szCs w:val="26"/>
        </w:rPr>
        <w:t xml:space="preserve">.  The </w:t>
      </w:r>
      <w:r w:rsidR="006E50AF">
        <w:rPr>
          <w:sz w:val="26"/>
          <w:szCs w:val="26"/>
        </w:rPr>
        <w:t>O</w:t>
      </w:r>
      <w:r w:rsidR="00EE79E3">
        <w:rPr>
          <w:sz w:val="26"/>
          <w:szCs w:val="26"/>
        </w:rPr>
        <w:t xml:space="preserve">rder provided that if no </w:t>
      </w:r>
      <w:r w:rsidR="00016128">
        <w:rPr>
          <w:sz w:val="26"/>
          <w:szCs w:val="26"/>
        </w:rPr>
        <w:t>Joint Petitioner elected to withdraw from the Settlement within five business days from</w:t>
      </w:r>
      <w:r w:rsidR="00EE79E3">
        <w:rPr>
          <w:sz w:val="26"/>
          <w:szCs w:val="26"/>
        </w:rPr>
        <w:t xml:space="preserve"> the entry of the </w:t>
      </w:r>
      <w:r w:rsidR="006E50AF">
        <w:rPr>
          <w:sz w:val="26"/>
          <w:szCs w:val="26"/>
        </w:rPr>
        <w:t>O</w:t>
      </w:r>
      <w:r w:rsidR="00EE79E3">
        <w:rPr>
          <w:sz w:val="26"/>
          <w:szCs w:val="26"/>
        </w:rPr>
        <w:t xml:space="preserve">rder, the Order would become final without further action by the Commission.  </w:t>
      </w:r>
      <w:r w:rsidR="006E50AF">
        <w:rPr>
          <w:i/>
          <w:sz w:val="26"/>
          <w:szCs w:val="26"/>
        </w:rPr>
        <w:t xml:space="preserve">See </w:t>
      </w:r>
      <w:r w:rsidR="00EE79E3">
        <w:rPr>
          <w:sz w:val="26"/>
          <w:szCs w:val="26"/>
        </w:rPr>
        <w:t>Order at</w:t>
      </w:r>
      <w:r w:rsidR="006E50AF">
        <w:rPr>
          <w:sz w:val="26"/>
          <w:szCs w:val="26"/>
        </w:rPr>
        <w:t xml:space="preserve"> </w:t>
      </w:r>
      <w:r w:rsidR="00016128">
        <w:rPr>
          <w:sz w:val="26"/>
          <w:szCs w:val="26"/>
        </w:rPr>
        <w:t>20</w:t>
      </w:r>
      <w:r w:rsidR="006E50AF">
        <w:rPr>
          <w:sz w:val="26"/>
          <w:szCs w:val="26"/>
        </w:rPr>
        <w:t>,</w:t>
      </w:r>
      <w:r w:rsidR="00EE79E3">
        <w:rPr>
          <w:sz w:val="26"/>
          <w:szCs w:val="26"/>
        </w:rPr>
        <w:t xml:space="preserve"> Ordering </w:t>
      </w:r>
      <w:r w:rsidR="006E50AF">
        <w:rPr>
          <w:sz w:val="26"/>
          <w:szCs w:val="26"/>
        </w:rPr>
        <w:t xml:space="preserve">¶ </w:t>
      </w:r>
      <w:r w:rsidR="00016128">
        <w:rPr>
          <w:sz w:val="26"/>
          <w:szCs w:val="26"/>
        </w:rPr>
        <w:t>4</w:t>
      </w:r>
      <w:r w:rsidR="00EE79E3">
        <w:rPr>
          <w:sz w:val="26"/>
          <w:szCs w:val="26"/>
        </w:rPr>
        <w:t>.</w:t>
      </w:r>
    </w:p>
    <w:p w:rsidR="00EE79E3" w:rsidRDefault="00EE79E3" w:rsidP="00E46D6D">
      <w:pPr>
        <w:ind w:firstLine="1440"/>
        <w:rPr>
          <w:sz w:val="26"/>
          <w:szCs w:val="26"/>
        </w:rPr>
      </w:pPr>
    </w:p>
    <w:p w:rsidR="003666EF" w:rsidRDefault="00EE79E3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No </w:t>
      </w:r>
      <w:r w:rsidR="00016128">
        <w:rPr>
          <w:sz w:val="26"/>
          <w:szCs w:val="26"/>
        </w:rPr>
        <w:t>elections to withdraw</w:t>
      </w:r>
      <w:r>
        <w:rPr>
          <w:sz w:val="26"/>
          <w:szCs w:val="26"/>
        </w:rPr>
        <w:t xml:space="preserve"> were filed within </w:t>
      </w:r>
      <w:r w:rsidR="00016128">
        <w:rPr>
          <w:sz w:val="26"/>
          <w:szCs w:val="26"/>
        </w:rPr>
        <w:t xml:space="preserve">five business </w:t>
      </w:r>
      <w:r>
        <w:rPr>
          <w:sz w:val="26"/>
          <w:szCs w:val="26"/>
        </w:rPr>
        <w:t xml:space="preserve">days following the entry of the Order.  Accordingly, by its terms, the Order entered </w:t>
      </w:r>
      <w:r w:rsidR="00016128">
        <w:rPr>
          <w:sz w:val="26"/>
          <w:szCs w:val="26"/>
        </w:rPr>
        <w:t>August 24</w:t>
      </w:r>
      <w:r>
        <w:rPr>
          <w:sz w:val="26"/>
          <w:szCs w:val="26"/>
        </w:rPr>
        <w:t xml:space="preserve">, </w:t>
      </w:r>
      <w:r w:rsidR="00016128">
        <w:rPr>
          <w:sz w:val="26"/>
          <w:szCs w:val="26"/>
        </w:rPr>
        <w:t xml:space="preserve">2016, </w:t>
      </w:r>
      <w:r>
        <w:rPr>
          <w:sz w:val="26"/>
          <w:szCs w:val="26"/>
        </w:rPr>
        <w:t xml:space="preserve">is deemed final as of </w:t>
      </w:r>
      <w:r w:rsidR="00016128">
        <w:rPr>
          <w:sz w:val="26"/>
          <w:szCs w:val="26"/>
        </w:rPr>
        <w:t>September 1</w:t>
      </w:r>
      <w:r>
        <w:rPr>
          <w:sz w:val="26"/>
          <w:szCs w:val="26"/>
        </w:rPr>
        <w:t>, 2016.</w:t>
      </w:r>
      <w:r w:rsidR="000161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3666EF" w:rsidRDefault="003666EF" w:rsidP="00E46D6D">
      <w:pPr>
        <w:ind w:firstLine="1440"/>
        <w:rPr>
          <w:sz w:val="26"/>
          <w:szCs w:val="26"/>
        </w:rPr>
      </w:pPr>
    </w:p>
    <w:p w:rsidR="002232B6" w:rsidRDefault="002232B6" w:rsidP="002232B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66EF">
        <w:rPr>
          <w:sz w:val="26"/>
          <w:szCs w:val="26"/>
        </w:rPr>
        <w:t>Should you have any questions</w:t>
      </w:r>
      <w:r>
        <w:rPr>
          <w:sz w:val="26"/>
          <w:szCs w:val="26"/>
        </w:rPr>
        <w:t>,</w:t>
      </w:r>
      <w:r w:rsidR="003666EF">
        <w:rPr>
          <w:sz w:val="26"/>
          <w:szCs w:val="26"/>
        </w:rPr>
        <w:t xml:space="preserve"> you may contact the Office of Special Assistants, Cheryl Walker Davis, </w:t>
      </w:r>
      <w:proofErr w:type="gramStart"/>
      <w:r w:rsidR="003666EF">
        <w:rPr>
          <w:sz w:val="26"/>
          <w:szCs w:val="26"/>
        </w:rPr>
        <w:t>Director</w:t>
      </w:r>
      <w:proofErr w:type="gramEnd"/>
      <w:r w:rsidR="003666EF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Please direct your inquiry to </w:t>
      </w:r>
      <w:hyperlink r:id="rId7" w:history="1">
        <w:r w:rsidRPr="00FC4439">
          <w:rPr>
            <w:rStyle w:val="Hyperlink"/>
            <w:color w:val="auto"/>
            <w:sz w:val="26"/>
            <w:szCs w:val="26"/>
            <w:u w:val="none"/>
          </w:rPr>
          <w:t>Jaime</w:t>
        </w:r>
      </w:hyperlink>
      <w:r w:rsidRPr="00FC443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McClintock, Esq., at (717) 346-2615 or </w:t>
      </w:r>
      <w:hyperlink r:id="rId8" w:history="1">
        <w:r w:rsidRPr="00ED0117">
          <w:rPr>
            <w:rStyle w:val="Hyperlink"/>
            <w:sz w:val="26"/>
            <w:szCs w:val="26"/>
          </w:rPr>
          <w:t>jmcclintoc@pa.gov</w:t>
        </w:r>
      </w:hyperlink>
      <w:r>
        <w:rPr>
          <w:sz w:val="26"/>
          <w:szCs w:val="26"/>
        </w:rPr>
        <w:t>.</w:t>
      </w:r>
    </w:p>
    <w:p w:rsidR="002232B6" w:rsidRDefault="002232B6" w:rsidP="002232B6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8000D" w:rsidRDefault="0088000D" w:rsidP="00E46D6D">
      <w:pPr>
        <w:ind w:firstLine="1440"/>
        <w:rPr>
          <w:sz w:val="26"/>
          <w:szCs w:val="26"/>
        </w:rPr>
      </w:pPr>
    </w:p>
    <w:p w:rsidR="00B62B94" w:rsidRDefault="00C07A68" w:rsidP="00EB4230">
      <w:pPr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B19CCED" wp14:editId="37D78DB8">
            <wp:simplePos x="0" y="0"/>
            <wp:positionH relativeFrom="column">
              <wp:posOffset>2971800</wp:posOffset>
            </wp:positionH>
            <wp:positionV relativeFrom="paragraph">
              <wp:posOffset>122555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>Very truly yours,</w:t>
      </w:r>
    </w:p>
    <w:p w:rsidR="00441FD0" w:rsidRPr="00D12C93" w:rsidRDefault="00441FD0" w:rsidP="00EB4230">
      <w:pPr>
        <w:rPr>
          <w:sz w:val="26"/>
          <w:szCs w:val="26"/>
        </w:rPr>
      </w:pPr>
    </w:p>
    <w:p w:rsidR="00C07A68" w:rsidRDefault="00C07A68"/>
    <w:p w:rsidR="00DF0025" w:rsidRDefault="00DF0025" w:rsidP="00EB4230">
      <w:pPr>
        <w:rPr>
          <w:sz w:val="26"/>
          <w:szCs w:val="26"/>
        </w:rPr>
      </w:pPr>
    </w:p>
    <w:p w:rsidR="00587CCC" w:rsidRDefault="00185D09" w:rsidP="008516C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77628A4" wp14:editId="2B01C6BD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94" w:rsidRPr="00D12C93" w:rsidRDefault="00441FD0" w:rsidP="00441FD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1D0B3F">
        <w:rPr>
          <w:sz w:val="26"/>
          <w:szCs w:val="26"/>
        </w:rPr>
        <w:tab/>
      </w:r>
      <w:r w:rsidR="000D5F21">
        <w:rPr>
          <w:sz w:val="26"/>
          <w:szCs w:val="26"/>
        </w:rPr>
        <w:t>Rosemary Chiavetta</w:t>
      </w:r>
    </w:p>
    <w:p w:rsidR="00C52EB6" w:rsidRDefault="001D0B3F" w:rsidP="00EB423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16128"/>
    <w:rsid w:val="00056DE2"/>
    <w:rsid w:val="0006217B"/>
    <w:rsid w:val="00065FA5"/>
    <w:rsid w:val="00087996"/>
    <w:rsid w:val="000977EC"/>
    <w:rsid w:val="000B2C5A"/>
    <w:rsid w:val="000D5F21"/>
    <w:rsid w:val="000E1A1C"/>
    <w:rsid w:val="00104F92"/>
    <w:rsid w:val="0014025D"/>
    <w:rsid w:val="00181AC7"/>
    <w:rsid w:val="00185D09"/>
    <w:rsid w:val="001907B1"/>
    <w:rsid w:val="0019345D"/>
    <w:rsid w:val="001C46D9"/>
    <w:rsid w:val="001C702D"/>
    <w:rsid w:val="001D0B3F"/>
    <w:rsid w:val="00204AD0"/>
    <w:rsid w:val="002232B6"/>
    <w:rsid w:val="00232901"/>
    <w:rsid w:val="0025560C"/>
    <w:rsid w:val="0027124B"/>
    <w:rsid w:val="002920AD"/>
    <w:rsid w:val="00296BB6"/>
    <w:rsid w:val="002B44F3"/>
    <w:rsid w:val="00320FE4"/>
    <w:rsid w:val="0034202A"/>
    <w:rsid w:val="00354A97"/>
    <w:rsid w:val="003606EB"/>
    <w:rsid w:val="00366356"/>
    <w:rsid w:val="003666EF"/>
    <w:rsid w:val="003851F7"/>
    <w:rsid w:val="00395BA6"/>
    <w:rsid w:val="003F4A94"/>
    <w:rsid w:val="00415875"/>
    <w:rsid w:val="00441FD0"/>
    <w:rsid w:val="00455E5B"/>
    <w:rsid w:val="004569EA"/>
    <w:rsid w:val="00475994"/>
    <w:rsid w:val="00480C28"/>
    <w:rsid w:val="00483258"/>
    <w:rsid w:val="004B0328"/>
    <w:rsid w:val="004B6344"/>
    <w:rsid w:val="004C3587"/>
    <w:rsid w:val="004F0C27"/>
    <w:rsid w:val="004F2157"/>
    <w:rsid w:val="004F569A"/>
    <w:rsid w:val="00546B89"/>
    <w:rsid w:val="005548BE"/>
    <w:rsid w:val="00581438"/>
    <w:rsid w:val="00582241"/>
    <w:rsid w:val="00587CCC"/>
    <w:rsid w:val="005917D1"/>
    <w:rsid w:val="005A124F"/>
    <w:rsid w:val="005B4CAE"/>
    <w:rsid w:val="005C6C54"/>
    <w:rsid w:val="005E0820"/>
    <w:rsid w:val="005F341F"/>
    <w:rsid w:val="005F4487"/>
    <w:rsid w:val="005F7FE0"/>
    <w:rsid w:val="006261E7"/>
    <w:rsid w:val="00644289"/>
    <w:rsid w:val="00651182"/>
    <w:rsid w:val="006541DB"/>
    <w:rsid w:val="00683B07"/>
    <w:rsid w:val="00686954"/>
    <w:rsid w:val="006B7E55"/>
    <w:rsid w:val="006C681E"/>
    <w:rsid w:val="006E50AF"/>
    <w:rsid w:val="006E7430"/>
    <w:rsid w:val="006F2853"/>
    <w:rsid w:val="006F3E97"/>
    <w:rsid w:val="00700D70"/>
    <w:rsid w:val="00721B11"/>
    <w:rsid w:val="00736D36"/>
    <w:rsid w:val="00747180"/>
    <w:rsid w:val="0075173A"/>
    <w:rsid w:val="007633D9"/>
    <w:rsid w:val="0076747D"/>
    <w:rsid w:val="007756C1"/>
    <w:rsid w:val="007D0FBD"/>
    <w:rsid w:val="007D4FD1"/>
    <w:rsid w:val="007E1DA2"/>
    <w:rsid w:val="007E4056"/>
    <w:rsid w:val="007F6B69"/>
    <w:rsid w:val="008255D3"/>
    <w:rsid w:val="00842EBF"/>
    <w:rsid w:val="0084444F"/>
    <w:rsid w:val="008516C6"/>
    <w:rsid w:val="008573FB"/>
    <w:rsid w:val="008644FD"/>
    <w:rsid w:val="0088000D"/>
    <w:rsid w:val="00884366"/>
    <w:rsid w:val="00894B88"/>
    <w:rsid w:val="008A6D58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B2419"/>
    <w:rsid w:val="009C17A0"/>
    <w:rsid w:val="009D22AF"/>
    <w:rsid w:val="00A0160B"/>
    <w:rsid w:val="00A13778"/>
    <w:rsid w:val="00A33299"/>
    <w:rsid w:val="00A47424"/>
    <w:rsid w:val="00A57EEC"/>
    <w:rsid w:val="00A6317B"/>
    <w:rsid w:val="00A701F5"/>
    <w:rsid w:val="00AA38E4"/>
    <w:rsid w:val="00AD48D2"/>
    <w:rsid w:val="00B2191B"/>
    <w:rsid w:val="00B22C59"/>
    <w:rsid w:val="00B30A45"/>
    <w:rsid w:val="00B62B94"/>
    <w:rsid w:val="00B83CA2"/>
    <w:rsid w:val="00B91006"/>
    <w:rsid w:val="00B97F48"/>
    <w:rsid w:val="00BB370D"/>
    <w:rsid w:val="00BC12F1"/>
    <w:rsid w:val="00BC3B04"/>
    <w:rsid w:val="00BC7403"/>
    <w:rsid w:val="00C04137"/>
    <w:rsid w:val="00C04CFD"/>
    <w:rsid w:val="00C07A68"/>
    <w:rsid w:val="00C3274E"/>
    <w:rsid w:val="00C33A94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D008C8"/>
    <w:rsid w:val="00D27E7A"/>
    <w:rsid w:val="00D61CBA"/>
    <w:rsid w:val="00D672BA"/>
    <w:rsid w:val="00DA50E5"/>
    <w:rsid w:val="00DB5FC3"/>
    <w:rsid w:val="00DC09CB"/>
    <w:rsid w:val="00DD023D"/>
    <w:rsid w:val="00DE14A0"/>
    <w:rsid w:val="00DE52A3"/>
    <w:rsid w:val="00DF0025"/>
    <w:rsid w:val="00E146DC"/>
    <w:rsid w:val="00E46D6D"/>
    <w:rsid w:val="00E53130"/>
    <w:rsid w:val="00E72773"/>
    <w:rsid w:val="00E77239"/>
    <w:rsid w:val="00E80A1A"/>
    <w:rsid w:val="00E82B18"/>
    <w:rsid w:val="00E963BE"/>
    <w:rsid w:val="00EA73F7"/>
    <w:rsid w:val="00EB4230"/>
    <w:rsid w:val="00EE79E3"/>
    <w:rsid w:val="00EF309B"/>
    <w:rsid w:val="00F2058A"/>
    <w:rsid w:val="00F212F8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lintoc@p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9CD8-4956-4DC2-A00E-6219008F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Reynolds, Doris</cp:lastModifiedBy>
  <cp:revision>4</cp:revision>
  <cp:lastPrinted>2016-09-12T17:55:00Z</cp:lastPrinted>
  <dcterms:created xsi:type="dcterms:W3CDTF">2016-09-12T14:53:00Z</dcterms:created>
  <dcterms:modified xsi:type="dcterms:W3CDTF">2016-09-12T17:55:00Z</dcterms:modified>
</cp:coreProperties>
</file>