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5E" w:rsidRPr="00314E5E" w:rsidRDefault="00314E5E" w:rsidP="00314E5E">
      <w:pPr>
        <w:widowControl/>
        <w:tabs>
          <w:tab w:val="center" w:pos="4680"/>
        </w:tabs>
        <w:suppressAutoHyphens/>
        <w:jc w:val="center"/>
        <w:rPr>
          <w:b/>
          <w:sz w:val="26"/>
          <w:szCs w:val="26"/>
        </w:rPr>
      </w:pPr>
      <w:r w:rsidRPr="00314E5E">
        <w:rPr>
          <w:b/>
          <w:sz w:val="26"/>
          <w:szCs w:val="26"/>
        </w:rPr>
        <w:t>PENNSYLVANIA</w:t>
      </w:r>
    </w:p>
    <w:p w:rsidR="00314E5E" w:rsidRPr="00314E5E" w:rsidRDefault="00314E5E" w:rsidP="00314E5E">
      <w:pPr>
        <w:widowControl/>
        <w:tabs>
          <w:tab w:val="center" w:pos="4680"/>
        </w:tabs>
        <w:suppressAutoHyphens/>
        <w:jc w:val="center"/>
        <w:rPr>
          <w:sz w:val="26"/>
          <w:szCs w:val="26"/>
        </w:rPr>
      </w:pPr>
      <w:r w:rsidRPr="00314E5E">
        <w:rPr>
          <w:b/>
          <w:sz w:val="26"/>
          <w:szCs w:val="26"/>
        </w:rPr>
        <w:t>PUBLIC UTILITY COMMISSION</w:t>
      </w:r>
    </w:p>
    <w:p w:rsidR="00314E5E" w:rsidRPr="00314E5E" w:rsidRDefault="00314E5E" w:rsidP="00314E5E">
      <w:pPr>
        <w:widowControl/>
        <w:tabs>
          <w:tab w:val="center" w:pos="4680"/>
        </w:tabs>
        <w:suppressAutoHyphens/>
        <w:jc w:val="center"/>
        <w:rPr>
          <w:sz w:val="26"/>
          <w:szCs w:val="26"/>
        </w:rPr>
      </w:pPr>
      <w:r w:rsidRPr="00314E5E">
        <w:rPr>
          <w:b/>
          <w:sz w:val="26"/>
          <w:szCs w:val="26"/>
        </w:rPr>
        <w:t>Harrisburg, PA 17105-3265</w:t>
      </w:r>
    </w:p>
    <w:p w:rsidR="00314E5E" w:rsidRPr="00314E5E" w:rsidRDefault="00314E5E" w:rsidP="00314E5E">
      <w:pPr>
        <w:widowControl/>
        <w:tabs>
          <w:tab w:val="left" w:pos="-720"/>
        </w:tabs>
        <w:suppressAutoHyphens/>
        <w:rPr>
          <w:sz w:val="26"/>
          <w:szCs w:val="26"/>
        </w:rPr>
      </w:pPr>
    </w:p>
    <w:p w:rsidR="00314E5E" w:rsidRPr="00314E5E" w:rsidRDefault="00314E5E" w:rsidP="00314E5E">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314E5E" w:rsidRPr="00314E5E" w:rsidTr="00384B77">
        <w:tc>
          <w:tcPr>
            <w:tcW w:w="5058" w:type="dxa"/>
          </w:tcPr>
          <w:p w:rsidR="00314E5E" w:rsidRPr="00314E5E" w:rsidRDefault="00314E5E" w:rsidP="00384B77">
            <w:pPr>
              <w:widowControl/>
              <w:rPr>
                <w:sz w:val="26"/>
                <w:szCs w:val="26"/>
              </w:rPr>
            </w:pPr>
          </w:p>
        </w:tc>
        <w:tc>
          <w:tcPr>
            <w:tcW w:w="4428" w:type="dxa"/>
          </w:tcPr>
          <w:p w:rsidR="00314E5E" w:rsidRPr="00314E5E" w:rsidRDefault="00314E5E" w:rsidP="00384B77">
            <w:pPr>
              <w:widowControl/>
              <w:ind w:right="-90"/>
              <w:rPr>
                <w:sz w:val="26"/>
                <w:szCs w:val="26"/>
              </w:rPr>
            </w:pPr>
            <w:r>
              <w:rPr>
                <w:sz w:val="26"/>
                <w:szCs w:val="26"/>
              </w:rPr>
              <w:t>Public Meeting held September 1</w:t>
            </w:r>
            <w:r w:rsidR="00FC787C">
              <w:rPr>
                <w:sz w:val="26"/>
                <w:szCs w:val="26"/>
              </w:rPr>
              <w:t>5</w:t>
            </w:r>
            <w:r w:rsidRPr="00314E5E">
              <w:rPr>
                <w:sz w:val="26"/>
                <w:szCs w:val="26"/>
              </w:rPr>
              <w:t>, 2016</w:t>
            </w:r>
          </w:p>
          <w:p w:rsidR="00314E5E" w:rsidRPr="00314E5E" w:rsidRDefault="00314E5E" w:rsidP="00384B77">
            <w:pPr>
              <w:widowControl/>
              <w:jc w:val="right"/>
              <w:rPr>
                <w:sz w:val="26"/>
                <w:szCs w:val="26"/>
              </w:rPr>
            </w:pPr>
          </w:p>
          <w:p w:rsidR="00314E5E" w:rsidRPr="00314E5E" w:rsidRDefault="00314E5E" w:rsidP="00384B77">
            <w:pPr>
              <w:widowControl/>
              <w:jc w:val="right"/>
              <w:rPr>
                <w:sz w:val="26"/>
                <w:szCs w:val="26"/>
              </w:rPr>
            </w:pPr>
          </w:p>
        </w:tc>
      </w:tr>
      <w:tr w:rsidR="00314E5E" w:rsidRPr="00314E5E" w:rsidTr="00384B77">
        <w:tc>
          <w:tcPr>
            <w:tcW w:w="9486" w:type="dxa"/>
            <w:gridSpan w:val="2"/>
          </w:tcPr>
          <w:p w:rsidR="00314E5E" w:rsidRPr="00314E5E" w:rsidRDefault="00314E5E" w:rsidP="00384B77">
            <w:pPr>
              <w:widowControl/>
              <w:rPr>
                <w:sz w:val="26"/>
                <w:szCs w:val="26"/>
              </w:rPr>
            </w:pPr>
            <w:r w:rsidRPr="00314E5E">
              <w:rPr>
                <w:sz w:val="26"/>
                <w:szCs w:val="26"/>
              </w:rPr>
              <w:t>Commissioners Present:</w:t>
            </w:r>
          </w:p>
          <w:p w:rsidR="00314E5E" w:rsidRPr="00314E5E" w:rsidRDefault="00314E5E" w:rsidP="00384B77">
            <w:pPr>
              <w:widowControl/>
              <w:rPr>
                <w:sz w:val="26"/>
                <w:szCs w:val="26"/>
              </w:rPr>
            </w:pPr>
          </w:p>
          <w:p w:rsidR="00314E5E" w:rsidRPr="00314E5E" w:rsidRDefault="00314E5E" w:rsidP="00384B77">
            <w:pPr>
              <w:widowControl/>
              <w:rPr>
                <w:sz w:val="26"/>
                <w:szCs w:val="26"/>
              </w:rPr>
            </w:pPr>
          </w:p>
          <w:p w:rsidR="00314E5E" w:rsidRPr="00314E5E" w:rsidRDefault="00314E5E" w:rsidP="00384B77">
            <w:pPr>
              <w:widowControl/>
              <w:tabs>
                <w:tab w:val="left" w:pos="705"/>
              </w:tabs>
              <w:ind w:firstLine="720"/>
              <w:rPr>
                <w:sz w:val="26"/>
                <w:szCs w:val="26"/>
              </w:rPr>
            </w:pPr>
            <w:r w:rsidRPr="00314E5E">
              <w:rPr>
                <w:sz w:val="26"/>
                <w:szCs w:val="26"/>
              </w:rPr>
              <w:t>Gladys M. Brown, Chairman</w:t>
            </w:r>
          </w:p>
          <w:p w:rsidR="00314E5E" w:rsidRPr="00314E5E" w:rsidRDefault="00314E5E" w:rsidP="00384B77">
            <w:pPr>
              <w:widowControl/>
              <w:tabs>
                <w:tab w:val="left" w:pos="705"/>
              </w:tabs>
              <w:ind w:firstLine="720"/>
              <w:rPr>
                <w:sz w:val="26"/>
                <w:szCs w:val="26"/>
              </w:rPr>
            </w:pPr>
            <w:r w:rsidRPr="00314E5E">
              <w:rPr>
                <w:sz w:val="26"/>
                <w:szCs w:val="26"/>
              </w:rPr>
              <w:t>Andrew G. Place, Vice Chairman</w:t>
            </w:r>
          </w:p>
          <w:p w:rsidR="00314E5E" w:rsidRPr="00314E5E" w:rsidRDefault="00314E5E" w:rsidP="00384B77">
            <w:pPr>
              <w:widowControl/>
              <w:tabs>
                <w:tab w:val="left" w:pos="705"/>
              </w:tabs>
              <w:ind w:firstLine="720"/>
              <w:rPr>
                <w:sz w:val="26"/>
                <w:szCs w:val="26"/>
              </w:rPr>
            </w:pPr>
            <w:r w:rsidRPr="00314E5E">
              <w:rPr>
                <w:sz w:val="26"/>
                <w:szCs w:val="26"/>
              </w:rPr>
              <w:t>John F. Coleman, Jr.</w:t>
            </w:r>
          </w:p>
          <w:p w:rsidR="00314E5E" w:rsidRDefault="00314E5E" w:rsidP="00384B77">
            <w:pPr>
              <w:widowControl/>
              <w:tabs>
                <w:tab w:val="left" w:pos="705"/>
              </w:tabs>
              <w:ind w:firstLine="720"/>
              <w:rPr>
                <w:sz w:val="26"/>
                <w:szCs w:val="26"/>
              </w:rPr>
            </w:pPr>
            <w:r w:rsidRPr="00314E5E">
              <w:rPr>
                <w:sz w:val="26"/>
                <w:szCs w:val="26"/>
              </w:rPr>
              <w:t>Robert F. Powelson</w:t>
            </w:r>
          </w:p>
          <w:p w:rsidR="00314E5E" w:rsidRPr="00314E5E" w:rsidRDefault="00314E5E" w:rsidP="00384B77">
            <w:pPr>
              <w:widowControl/>
              <w:tabs>
                <w:tab w:val="left" w:pos="705"/>
              </w:tabs>
              <w:ind w:firstLine="720"/>
              <w:rPr>
                <w:sz w:val="26"/>
                <w:szCs w:val="26"/>
              </w:rPr>
            </w:pPr>
            <w:r>
              <w:rPr>
                <w:sz w:val="26"/>
                <w:szCs w:val="26"/>
              </w:rPr>
              <w:t>David W. Sweet</w:t>
            </w:r>
          </w:p>
          <w:p w:rsidR="00314E5E" w:rsidRPr="00314E5E" w:rsidRDefault="00314E5E" w:rsidP="00384B77">
            <w:pPr>
              <w:widowControl/>
              <w:rPr>
                <w:sz w:val="26"/>
                <w:szCs w:val="26"/>
              </w:rPr>
            </w:pPr>
          </w:p>
          <w:p w:rsidR="00314E5E" w:rsidRPr="00314E5E" w:rsidRDefault="00314E5E" w:rsidP="00384B77">
            <w:pPr>
              <w:widowControl/>
              <w:rPr>
                <w:sz w:val="26"/>
                <w:szCs w:val="26"/>
              </w:rPr>
            </w:pPr>
          </w:p>
        </w:tc>
      </w:tr>
      <w:tr w:rsidR="00314E5E" w:rsidRPr="00314E5E" w:rsidTr="00384B77">
        <w:tc>
          <w:tcPr>
            <w:tcW w:w="5058" w:type="dxa"/>
          </w:tcPr>
          <w:p w:rsidR="00314E5E" w:rsidRPr="00314E5E" w:rsidRDefault="00314E5E" w:rsidP="00384B77">
            <w:pPr>
              <w:widowControl/>
              <w:rPr>
                <w:sz w:val="26"/>
                <w:szCs w:val="26"/>
              </w:rPr>
            </w:pPr>
            <w:r>
              <w:rPr>
                <w:sz w:val="26"/>
                <w:szCs w:val="26"/>
              </w:rPr>
              <w:t>Lavoris Mintz</w:t>
            </w:r>
            <w:r w:rsidRPr="00314E5E">
              <w:rPr>
                <w:sz w:val="26"/>
                <w:szCs w:val="26"/>
              </w:rPr>
              <w:t xml:space="preserve">  </w:t>
            </w:r>
          </w:p>
          <w:p w:rsidR="00314E5E" w:rsidRPr="00314E5E" w:rsidRDefault="00314E5E" w:rsidP="00384B77">
            <w:pPr>
              <w:widowControl/>
              <w:jc w:val="right"/>
              <w:rPr>
                <w:sz w:val="26"/>
                <w:szCs w:val="26"/>
              </w:rPr>
            </w:pPr>
          </w:p>
        </w:tc>
        <w:tc>
          <w:tcPr>
            <w:tcW w:w="4428" w:type="dxa"/>
          </w:tcPr>
          <w:p w:rsidR="00314E5E" w:rsidRPr="00314E5E" w:rsidRDefault="00314E5E" w:rsidP="00384B77">
            <w:pPr>
              <w:widowControl/>
              <w:jc w:val="right"/>
              <w:rPr>
                <w:sz w:val="26"/>
                <w:szCs w:val="26"/>
              </w:rPr>
            </w:pPr>
            <w:r>
              <w:rPr>
                <w:sz w:val="26"/>
                <w:szCs w:val="26"/>
              </w:rPr>
              <w:t>F-2014-2460301</w:t>
            </w:r>
          </w:p>
          <w:p w:rsidR="00314E5E" w:rsidRPr="00314E5E" w:rsidRDefault="00314E5E" w:rsidP="00384B77">
            <w:pPr>
              <w:widowControl/>
              <w:jc w:val="right"/>
              <w:rPr>
                <w:sz w:val="26"/>
                <w:szCs w:val="26"/>
              </w:rPr>
            </w:pPr>
            <w:r w:rsidRPr="00314E5E">
              <w:rPr>
                <w:sz w:val="26"/>
                <w:szCs w:val="26"/>
              </w:rPr>
              <w:t xml:space="preserve"> </w:t>
            </w:r>
          </w:p>
        </w:tc>
      </w:tr>
      <w:tr w:rsidR="00314E5E" w:rsidRPr="00314E5E" w:rsidTr="00384B77">
        <w:tc>
          <w:tcPr>
            <w:tcW w:w="5058" w:type="dxa"/>
          </w:tcPr>
          <w:p w:rsidR="00314E5E" w:rsidRPr="00314E5E" w:rsidRDefault="00894AC9" w:rsidP="00384B77">
            <w:pPr>
              <w:widowControl/>
              <w:ind w:firstLine="720"/>
              <w:rPr>
                <w:sz w:val="26"/>
                <w:szCs w:val="26"/>
              </w:rPr>
            </w:pPr>
            <w:r w:rsidRPr="00314E5E">
              <w:rPr>
                <w:sz w:val="26"/>
                <w:szCs w:val="26"/>
              </w:rPr>
              <w:t>V</w:t>
            </w:r>
            <w:r w:rsidR="00314E5E" w:rsidRPr="00314E5E">
              <w:rPr>
                <w:sz w:val="26"/>
                <w:szCs w:val="26"/>
              </w:rPr>
              <w:t>.</w:t>
            </w:r>
          </w:p>
          <w:p w:rsidR="00314E5E" w:rsidRPr="00314E5E" w:rsidRDefault="00314E5E" w:rsidP="00384B77">
            <w:pPr>
              <w:widowControl/>
              <w:ind w:firstLine="1440"/>
              <w:rPr>
                <w:sz w:val="26"/>
                <w:szCs w:val="26"/>
              </w:rPr>
            </w:pPr>
          </w:p>
        </w:tc>
        <w:tc>
          <w:tcPr>
            <w:tcW w:w="4428" w:type="dxa"/>
          </w:tcPr>
          <w:p w:rsidR="00314E5E" w:rsidRPr="00314E5E" w:rsidRDefault="00314E5E" w:rsidP="00384B77">
            <w:pPr>
              <w:widowControl/>
              <w:rPr>
                <w:sz w:val="26"/>
                <w:szCs w:val="26"/>
              </w:rPr>
            </w:pPr>
          </w:p>
        </w:tc>
      </w:tr>
      <w:tr w:rsidR="00314E5E" w:rsidRPr="00314E5E" w:rsidTr="00384B77">
        <w:tc>
          <w:tcPr>
            <w:tcW w:w="5058" w:type="dxa"/>
          </w:tcPr>
          <w:p w:rsidR="00314E5E" w:rsidRPr="00314E5E" w:rsidRDefault="00314E5E" w:rsidP="00384B77">
            <w:pPr>
              <w:widowControl/>
              <w:rPr>
                <w:sz w:val="26"/>
                <w:szCs w:val="26"/>
              </w:rPr>
            </w:pPr>
            <w:r w:rsidRPr="00314E5E">
              <w:rPr>
                <w:sz w:val="26"/>
                <w:szCs w:val="26"/>
              </w:rPr>
              <w:t xml:space="preserve">Philadelphia Gas Works </w:t>
            </w:r>
          </w:p>
        </w:tc>
        <w:tc>
          <w:tcPr>
            <w:tcW w:w="4428" w:type="dxa"/>
          </w:tcPr>
          <w:p w:rsidR="00314E5E" w:rsidRPr="00314E5E" w:rsidRDefault="00314E5E" w:rsidP="00384B77">
            <w:pPr>
              <w:widowControl/>
              <w:rPr>
                <w:sz w:val="26"/>
                <w:szCs w:val="26"/>
              </w:rPr>
            </w:pPr>
          </w:p>
        </w:tc>
      </w:tr>
    </w:tbl>
    <w:p w:rsidR="00314E5E" w:rsidRPr="00314E5E" w:rsidRDefault="00314E5E" w:rsidP="00314E5E">
      <w:pPr>
        <w:widowControl/>
        <w:rPr>
          <w:sz w:val="26"/>
          <w:szCs w:val="26"/>
        </w:rPr>
      </w:pPr>
    </w:p>
    <w:p w:rsidR="00314E5E" w:rsidRPr="00314E5E" w:rsidRDefault="00314E5E" w:rsidP="00314E5E">
      <w:pPr>
        <w:widowControl/>
        <w:rPr>
          <w:sz w:val="26"/>
          <w:szCs w:val="26"/>
        </w:rPr>
      </w:pPr>
    </w:p>
    <w:p w:rsidR="00314E5E" w:rsidRPr="00314E5E" w:rsidRDefault="00314E5E" w:rsidP="00314E5E">
      <w:pPr>
        <w:widowControl/>
        <w:jc w:val="center"/>
        <w:rPr>
          <w:b/>
          <w:sz w:val="26"/>
          <w:szCs w:val="26"/>
        </w:rPr>
      </w:pPr>
      <w:r w:rsidRPr="00314E5E">
        <w:rPr>
          <w:b/>
          <w:sz w:val="26"/>
          <w:szCs w:val="26"/>
        </w:rPr>
        <w:t xml:space="preserve">OPINION </w:t>
      </w:r>
      <w:smartTag w:uri="urn:schemas-microsoft-com:office:smarttags" w:element="stockticker">
        <w:r w:rsidRPr="00314E5E">
          <w:rPr>
            <w:b/>
            <w:sz w:val="26"/>
            <w:szCs w:val="26"/>
          </w:rPr>
          <w:t>AND</w:t>
        </w:r>
      </w:smartTag>
      <w:r w:rsidRPr="00314E5E">
        <w:rPr>
          <w:b/>
          <w:sz w:val="26"/>
          <w:szCs w:val="26"/>
        </w:rPr>
        <w:t xml:space="preserve"> ORDER</w:t>
      </w:r>
    </w:p>
    <w:p w:rsidR="00314E5E" w:rsidRPr="00314E5E" w:rsidRDefault="00314E5E" w:rsidP="00314E5E">
      <w:pPr>
        <w:widowControl/>
        <w:jc w:val="center"/>
        <w:rPr>
          <w:b/>
          <w:sz w:val="26"/>
          <w:szCs w:val="26"/>
        </w:rPr>
      </w:pPr>
    </w:p>
    <w:p w:rsidR="00314E5E" w:rsidRPr="00314E5E" w:rsidRDefault="00314E5E" w:rsidP="00314E5E">
      <w:pPr>
        <w:widowControl/>
        <w:jc w:val="center"/>
        <w:rPr>
          <w:b/>
          <w:sz w:val="26"/>
          <w:szCs w:val="26"/>
        </w:rPr>
      </w:pPr>
    </w:p>
    <w:p w:rsidR="00314E5E" w:rsidRPr="00314E5E" w:rsidRDefault="00314E5E" w:rsidP="00314E5E">
      <w:pPr>
        <w:widowControl/>
        <w:spacing w:line="360" w:lineRule="auto"/>
        <w:rPr>
          <w:b/>
          <w:sz w:val="26"/>
          <w:szCs w:val="26"/>
        </w:rPr>
      </w:pPr>
      <w:r w:rsidRPr="00314E5E">
        <w:rPr>
          <w:b/>
          <w:sz w:val="26"/>
          <w:szCs w:val="26"/>
        </w:rPr>
        <w:t>BY THE COMMISSION:</w:t>
      </w:r>
    </w:p>
    <w:p w:rsidR="00314E5E" w:rsidRPr="00314E5E" w:rsidRDefault="00314E5E" w:rsidP="00314E5E">
      <w:pPr>
        <w:widowControl/>
        <w:spacing w:line="360" w:lineRule="auto"/>
        <w:rPr>
          <w:sz w:val="26"/>
          <w:szCs w:val="26"/>
        </w:rPr>
      </w:pPr>
    </w:p>
    <w:p w:rsidR="00314E5E" w:rsidRPr="00314E5E" w:rsidRDefault="00314E5E" w:rsidP="00314E5E">
      <w:pPr>
        <w:widowControl/>
        <w:spacing w:line="360" w:lineRule="auto"/>
        <w:ind w:firstLine="1440"/>
        <w:rPr>
          <w:sz w:val="26"/>
          <w:szCs w:val="26"/>
        </w:rPr>
      </w:pPr>
      <w:r w:rsidRPr="00314E5E">
        <w:rPr>
          <w:sz w:val="26"/>
          <w:szCs w:val="26"/>
        </w:rPr>
        <w:t xml:space="preserve">Before the Pennsylvania Public Utility Commission (Commission) for consideration and disposition </w:t>
      </w:r>
      <w:r w:rsidRPr="00314E5E">
        <w:rPr>
          <w:color w:val="000000"/>
          <w:sz w:val="26"/>
          <w:szCs w:val="26"/>
        </w:rPr>
        <w:t xml:space="preserve">are the </w:t>
      </w:r>
      <w:r>
        <w:rPr>
          <w:color w:val="000000"/>
          <w:sz w:val="26"/>
          <w:szCs w:val="26"/>
        </w:rPr>
        <w:t>Exceptions of the Philadelphia Gas Works (PGW)</w:t>
      </w:r>
      <w:r w:rsidR="009B2A7C">
        <w:rPr>
          <w:color w:val="000000"/>
          <w:sz w:val="26"/>
          <w:szCs w:val="26"/>
        </w:rPr>
        <w:t xml:space="preserve"> filed on September 14, 2015, and the </w:t>
      </w:r>
      <w:r w:rsidRPr="00314E5E">
        <w:rPr>
          <w:color w:val="000000"/>
          <w:sz w:val="26"/>
          <w:szCs w:val="26"/>
        </w:rPr>
        <w:t xml:space="preserve">Exceptions of </w:t>
      </w:r>
      <w:r>
        <w:rPr>
          <w:sz w:val="26"/>
          <w:szCs w:val="26"/>
        </w:rPr>
        <w:t>Lavoris Mintz</w:t>
      </w:r>
      <w:r w:rsidRPr="00314E5E">
        <w:rPr>
          <w:color w:val="000000"/>
          <w:sz w:val="26"/>
          <w:szCs w:val="26"/>
        </w:rPr>
        <w:t xml:space="preserve"> (Complainant) filed on</w:t>
      </w:r>
      <w:r>
        <w:rPr>
          <w:color w:val="000000"/>
          <w:sz w:val="26"/>
          <w:szCs w:val="26"/>
        </w:rPr>
        <w:t xml:space="preserve"> September 18</w:t>
      </w:r>
      <w:r w:rsidRPr="00314E5E">
        <w:rPr>
          <w:color w:val="000000"/>
          <w:sz w:val="26"/>
          <w:szCs w:val="26"/>
        </w:rPr>
        <w:t>, 2015,</w:t>
      </w:r>
      <w:r w:rsidR="009B2A7C" w:rsidRPr="009B2A7C">
        <w:rPr>
          <w:rStyle w:val="FootnoteReference"/>
          <w:color w:val="000000"/>
          <w:sz w:val="26"/>
          <w:szCs w:val="26"/>
        </w:rPr>
        <w:t xml:space="preserve"> </w:t>
      </w:r>
      <w:r w:rsidR="009B2A7C" w:rsidRPr="00314E5E">
        <w:rPr>
          <w:rStyle w:val="FootnoteReference"/>
          <w:color w:val="000000"/>
          <w:sz w:val="26"/>
          <w:szCs w:val="26"/>
        </w:rPr>
        <w:footnoteReference w:id="1"/>
      </w:r>
      <w:r w:rsidRPr="00314E5E">
        <w:rPr>
          <w:color w:val="000000"/>
          <w:sz w:val="26"/>
          <w:szCs w:val="26"/>
        </w:rPr>
        <w:t xml:space="preserve"> to the Initial Decision (I.D.) of Administrative Law Judge </w:t>
      </w:r>
      <w:r w:rsidR="009B2A7C">
        <w:rPr>
          <w:color w:val="000000"/>
          <w:sz w:val="26"/>
          <w:szCs w:val="26"/>
        </w:rPr>
        <w:lastRenderedPageBreak/>
        <w:t>Mary</w:t>
      </w:r>
      <w:r w:rsidR="001475FB">
        <w:rPr>
          <w:color w:val="000000"/>
          <w:sz w:val="26"/>
          <w:szCs w:val="26"/>
        </w:rPr>
        <w:t> </w:t>
      </w:r>
      <w:r w:rsidR="009B2A7C">
        <w:rPr>
          <w:color w:val="000000"/>
          <w:sz w:val="26"/>
          <w:szCs w:val="26"/>
        </w:rPr>
        <w:t>D.</w:t>
      </w:r>
      <w:r w:rsidR="001475FB">
        <w:rPr>
          <w:color w:val="000000"/>
          <w:sz w:val="26"/>
          <w:szCs w:val="26"/>
        </w:rPr>
        <w:t> </w:t>
      </w:r>
      <w:r w:rsidR="009B2A7C">
        <w:rPr>
          <w:color w:val="000000"/>
          <w:sz w:val="26"/>
          <w:szCs w:val="26"/>
        </w:rPr>
        <w:t>Long</w:t>
      </w:r>
      <w:r w:rsidRPr="00314E5E">
        <w:rPr>
          <w:color w:val="000000"/>
          <w:sz w:val="26"/>
          <w:szCs w:val="26"/>
        </w:rPr>
        <w:t xml:space="preserve"> (ALJ)</w:t>
      </w:r>
      <w:r w:rsidR="009B2A7C">
        <w:rPr>
          <w:color w:val="000000"/>
          <w:sz w:val="26"/>
          <w:szCs w:val="26"/>
        </w:rPr>
        <w:t>, which was issued on August 2</w:t>
      </w:r>
      <w:r w:rsidR="004170C6">
        <w:rPr>
          <w:color w:val="000000"/>
          <w:sz w:val="26"/>
          <w:szCs w:val="26"/>
        </w:rPr>
        <w:t>4</w:t>
      </w:r>
      <w:r w:rsidRPr="00314E5E">
        <w:rPr>
          <w:color w:val="000000"/>
          <w:sz w:val="26"/>
          <w:szCs w:val="26"/>
        </w:rPr>
        <w:t>, 2015, in the above-captioned proceeding.</w:t>
      </w:r>
      <w:r w:rsidRPr="00314E5E">
        <w:rPr>
          <w:rStyle w:val="FootnoteReference"/>
          <w:color w:val="000000"/>
          <w:sz w:val="26"/>
          <w:szCs w:val="26"/>
        </w:rPr>
        <w:t xml:space="preserve"> </w:t>
      </w:r>
      <w:r w:rsidR="001475FB">
        <w:rPr>
          <w:color w:val="000000"/>
          <w:sz w:val="26"/>
          <w:szCs w:val="26"/>
        </w:rPr>
        <w:t xml:space="preserve"> </w:t>
      </w:r>
      <w:r w:rsidR="009B2A7C">
        <w:rPr>
          <w:color w:val="000000"/>
          <w:sz w:val="26"/>
          <w:szCs w:val="26"/>
        </w:rPr>
        <w:t xml:space="preserve">PGW filed </w:t>
      </w:r>
      <w:r w:rsidRPr="00314E5E">
        <w:rPr>
          <w:color w:val="000000"/>
          <w:sz w:val="26"/>
          <w:szCs w:val="26"/>
        </w:rPr>
        <w:t xml:space="preserve">Replies to </w:t>
      </w:r>
      <w:r w:rsidR="009B2A7C">
        <w:rPr>
          <w:color w:val="000000"/>
          <w:sz w:val="26"/>
          <w:szCs w:val="26"/>
        </w:rPr>
        <w:t xml:space="preserve">the </w:t>
      </w:r>
      <w:r w:rsidRPr="00314E5E">
        <w:rPr>
          <w:color w:val="000000"/>
          <w:sz w:val="26"/>
          <w:szCs w:val="26"/>
        </w:rPr>
        <w:t xml:space="preserve">Exceptions </w:t>
      </w:r>
      <w:r w:rsidR="009B2A7C">
        <w:rPr>
          <w:color w:val="000000"/>
          <w:sz w:val="26"/>
          <w:szCs w:val="26"/>
        </w:rPr>
        <w:t>of the Complainant on September 29, 2015</w:t>
      </w:r>
      <w:r w:rsidRPr="00314E5E">
        <w:rPr>
          <w:color w:val="000000"/>
          <w:sz w:val="26"/>
          <w:szCs w:val="26"/>
        </w:rPr>
        <w:t xml:space="preserve">.  </w:t>
      </w:r>
      <w:r w:rsidRPr="00314E5E">
        <w:rPr>
          <w:sz w:val="26"/>
          <w:szCs w:val="26"/>
        </w:rPr>
        <w:t>For the reasons stated below, we shall deny the Complainant’s Exceptions</w:t>
      </w:r>
      <w:r w:rsidR="004E67A0">
        <w:rPr>
          <w:sz w:val="26"/>
          <w:szCs w:val="26"/>
        </w:rPr>
        <w:t xml:space="preserve">, </w:t>
      </w:r>
      <w:r w:rsidR="001125BF">
        <w:rPr>
          <w:sz w:val="26"/>
          <w:szCs w:val="26"/>
        </w:rPr>
        <w:t>grant</w:t>
      </w:r>
      <w:r w:rsidR="004E67A0">
        <w:rPr>
          <w:sz w:val="26"/>
          <w:szCs w:val="26"/>
        </w:rPr>
        <w:t xml:space="preserve"> PGW’s Exceptions</w:t>
      </w:r>
      <w:r w:rsidRPr="00314E5E">
        <w:rPr>
          <w:sz w:val="26"/>
          <w:szCs w:val="26"/>
        </w:rPr>
        <w:t xml:space="preserve"> and </w:t>
      </w:r>
      <w:r w:rsidR="00553560">
        <w:rPr>
          <w:sz w:val="26"/>
          <w:szCs w:val="26"/>
        </w:rPr>
        <w:t>modify</w:t>
      </w:r>
      <w:r w:rsidRPr="00314E5E">
        <w:rPr>
          <w:sz w:val="26"/>
          <w:szCs w:val="26"/>
        </w:rPr>
        <w:t xml:space="preserve"> the ALJ’s Initial Decision.</w:t>
      </w:r>
      <w:r w:rsidR="00553560">
        <w:rPr>
          <w:sz w:val="26"/>
          <w:szCs w:val="26"/>
        </w:rPr>
        <w:t xml:space="preserve">  </w:t>
      </w:r>
    </w:p>
    <w:p w:rsidR="00D45D36" w:rsidRDefault="00D45D36" w:rsidP="00D45D36">
      <w:pPr>
        <w:widowControl/>
        <w:spacing w:line="360" w:lineRule="auto"/>
        <w:ind w:firstLine="1440"/>
        <w:rPr>
          <w:sz w:val="26"/>
          <w:szCs w:val="26"/>
        </w:rPr>
      </w:pPr>
    </w:p>
    <w:p w:rsidR="00D45D36" w:rsidRDefault="00D45D36" w:rsidP="00D45D36">
      <w:pPr>
        <w:widowControl/>
        <w:spacing w:line="360" w:lineRule="auto"/>
        <w:jc w:val="center"/>
        <w:rPr>
          <w:b/>
          <w:sz w:val="26"/>
          <w:szCs w:val="26"/>
        </w:rPr>
      </w:pPr>
      <w:r w:rsidRPr="00D64605">
        <w:rPr>
          <w:b/>
          <w:sz w:val="26"/>
          <w:szCs w:val="26"/>
        </w:rPr>
        <w:t>History of the Proceeding</w:t>
      </w:r>
    </w:p>
    <w:p w:rsidR="004E67A0" w:rsidRPr="00A531A7" w:rsidRDefault="004E67A0" w:rsidP="00D45D36">
      <w:pPr>
        <w:widowControl/>
        <w:spacing w:line="360" w:lineRule="auto"/>
        <w:jc w:val="center"/>
        <w:rPr>
          <w:b/>
          <w:sz w:val="26"/>
          <w:szCs w:val="26"/>
        </w:rPr>
      </w:pPr>
    </w:p>
    <w:p w:rsidR="00A531A7" w:rsidRDefault="00A531A7" w:rsidP="00A531A7">
      <w:pPr>
        <w:spacing w:line="360" w:lineRule="auto"/>
        <w:ind w:firstLine="1440"/>
        <w:rPr>
          <w:sz w:val="26"/>
          <w:szCs w:val="26"/>
        </w:rPr>
      </w:pPr>
      <w:r w:rsidRPr="00A531A7">
        <w:rPr>
          <w:sz w:val="26"/>
          <w:szCs w:val="26"/>
        </w:rPr>
        <w:t>On De</w:t>
      </w:r>
      <w:r>
        <w:rPr>
          <w:sz w:val="26"/>
          <w:szCs w:val="26"/>
        </w:rPr>
        <w:t xml:space="preserve">cember 29, 2014, the </w:t>
      </w:r>
      <w:r w:rsidRPr="00A531A7">
        <w:rPr>
          <w:sz w:val="26"/>
          <w:szCs w:val="26"/>
        </w:rPr>
        <w:t>Complainant</w:t>
      </w:r>
      <w:r w:rsidR="00B73BE5">
        <w:rPr>
          <w:sz w:val="26"/>
          <w:szCs w:val="26"/>
        </w:rPr>
        <w:t xml:space="preserve"> filed a Formal C</w:t>
      </w:r>
      <w:r w:rsidRPr="00A531A7">
        <w:rPr>
          <w:sz w:val="26"/>
          <w:szCs w:val="26"/>
        </w:rPr>
        <w:t xml:space="preserve">omplaint </w:t>
      </w:r>
      <w:r>
        <w:rPr>
          <w:sz w:val="26"/>
          <w:szCs w:val="26"/>
        </w:rPr>
        <w:t>against PGW with the Commission</w:t>
      </w:r>
      <w:r w:rsidRPr="00A531A7">
        <w:rPr>
          <w:sz w:val="26"/>
          <w:szCs w:val="26"/>
        </w:rPr>
        <w:t>.  The Compl</w:t>
      </w:r>
      <w:r>
        <w:rPr>
          <w:sz w:val="26"/>
          <w:szCs w:val="26"/>
        </w:rPr>
        <w:t>ainant stated</w:t>
      </w:r>
      <w:r w:rsidRPr="00A531A7">
        <w:rPr>
          <w:sz w:val="26"/>
          <w:szCs w:val="26"/>
        </w:rPr>
        <w:t xml:space="preserve"> that her gas service ha</w:t>
      </w:r>
      <w:r w:rsidR="001475FB">
        <w:rPr>
          <w:sz w:val="26"/>
          <w:szCs w:val="26"/>
        </w:rPr>
        <w:t>d</w:t>
      </w:r>
      <w:r w:rsidRPr="00A531A7">
        <w:rPr>
          <w:sz w:val="26"/>
          <w:szCs w:val="26"/>
        </w:rPr>
        <w:t xml:space="preserve"> been terminated because she missed installment payments on her payment arrangement</w:t>
      </w:r>
      <w:r w:rsidR="00B73BE5">
        <w:rPr>
          <w:sz w:val="26"/>
          <w:szCs w:val="26"/>
        </w:rPr>
        <w:t>.  She claimed</w:t>
      </w:r>
      <w:r w:rsidRPr="00A531A7">
        <w:rPr>
          <w:sz w:val="26"/>
          <w:szCs w:val="26"/>
        </w:rPr>
        <w:t xml:space="preserve"> </w:t>
      </w:r>
      <w:r w:rsidR="00B73BE5">
        <w:rPr>
          <w:sz w:val="26"/>
          <w:szCs w:val="26"/>
        </w:rPr>
        <w:t xml:space="preserve">that she could not understand how her gas bill became so high and alleged </w:t>
      </w:r>
      <w:r w:rsidRPr="00A531A7">
        <w:rPr>
          <w:sz w:val="26"/>
          <w:szCs w:val="26"/>
        </w:rPr>
        <w:t xml:space="preserve">that payments which she made were not credited to her balance.  </w:t>
      </w:r>
      <w:r w:rsidR="00B73BE5">
        <w:rPr>
          <w:sz w:val="26"/>
          <w:szCs w:val="26"/>
        </w:rPr>
        <w:t xml:space="preserve">She further claimed that there were incorrect charges on her bill.  As relief, she requested that </w:t>
      </w:r>
      <w:r w:rsidRPr="00A531A7">
        <w:rPr>
          <w:sz w:val="26"/>
          <w:szCs w:val="26"/>
        </w:rPr>
        <w:t>her gas service</w:t>
      </w:r>
      <w:r w:rsidR="00B73BE5">
        <w:rPr>
          <w:sz w:val="26"/>
          <w:szCs w:val="26"/>
        </w:rPr>
        <w:t xml:space="preserve"> be</w:t>
      </w:r>
      <w:r w:rsidRPr="00A531A7">
        <w:rPr>
          <w:sz w:val="26"/>
          <w:szCs w:val="26"/>
        </w:rPr>
        <w:t xml:space="preserve"> reinstated and </w:t>
      </w:r>
      <w:r w:rsidR="00B73BE5">
        <w:rPr>
          <w:sz w:val="26"/>
          <w:szCs w:val="26"/>
        </w:rPr>
        <w:t xml:space="preserve">requested </w:t>
      </w:r>
      <w:r w:rsidRPr="00A531A7">
        <w:rPr>
          <w:sz w:val="26"/>
          <w:szCs w:val="26"/>
        </w:rPr>
        <w:t>a new payment arrangement.</w:t>
      </w:r>
    </w:p>
    <w:p w:rsidR="00B73BE5" w:rsidRPr="00A531A7" w:rsidRDefault="00B73BE5" w:rsidP="00A531A7">
      <w:pPr>
        <w:spacing w:line="360" w:lineRule="auto"/>
        <w:ind w:firstLine="1440"/>
        <w:rPr>
          <w:sz w:val="26"/>
          <w:szCs w:val="26"/>
        </w:rPr>
      </w:pPr>
    </w:p>
    <w:p w:rsidR="00082D11" w:rsidRDefault="00A531A7" w:rsidP="00A531A7">
      <w:pPr>
        <w:spacing w:line="360" w:lineRule="auto"/>
        <w:rPr>
          <w:sz w:val="26"/>
          <w:szCs w:val="26"/>
        </w:rPr>
      </w:pPr>
      <w:r w:rsidRPr="00A531A7">
        <w:rPr>
          <w:sz w:val="26"/>
          <w:szCs w:val="26"/>
        </w:rPr>
        <w:tab/>
      </w:r>
      <w:r w:rsidR="00B73BE5">
        <w:rPr>
          <w:sz w:val="26"/>
          <w:szCs w:val="26"/>
        </w:rPr>
        <w:tab/>
        <w:t>On January 20, 2015, PGW filed an Answer with New M</w:t>
      </w:r>
      <w:r w:rsidRPr="00A531A7">
        <w:rPr>
          <w:sz w:val="26"/>
          <w:szCs w:val="26"/>
        </w:rPr>
        <w:t xml:space="preserve">atter </w:t>
      </w:r>
      <w:r w:rsidR="00B73BE5">
        <w:rPr>
          <w:sz w:val="26"/>
          <w:szCs w:val="26"/>
        </w:rPr>
        <w:t xml:space="preserve">admitting that the </w:t>
      </w:r>
      <w:r w:rsidR="00082D11">
        <w:rPr>
          <w:sz w:val="26"/>
          <w:szCs w:val="26"/>
        </w:rPr>
        <w:t xml:space="preserve">Complainant’s gas service was off, but </w:t>
      </w:r>
      <w:r w:rsidRPr="00A531A7">
        <w:rPr>
          <w:sz w:val="26"/>
          <w:szCs w:val="26"/>
        </w:rPr>
        <w:t>denying t</w:t>
      </w:r>
      <w:r w:rsidR="00B73BE5">
        <w:rPr>
          <w:sz w:val="26"/>
          <w:szCs w:val="26"/>
        </w:rPr>
        <w:t>he material allegations of the C</w:t>
      </w:r>
      <w:r w:rsidRPr="00A531A7">
        <w:rPr>
          <w:sz w:val="26"/>
          <w:szCs w:val="26"/>
        </w:rPr>
        <w:t xml:space="preserve">omplaint.  </w:t>
      </w:r>
      <w:r w:rsidR="00082D11">
        <w:rPr>
          <w:sz w:val="26"/>
          <w:szCs w:val="26"/>
        </w:rPr>
        <w:t>The Answer stated that the Complainant established service at the service address on January 1, 1996, and that between 2002 and November 2007, the Complainant had four informal complaints, two formal settlements, two Company</w:t>
      </w:r>
      <w:r w:rsidR="001475FB">
        <w:rPr>
          <w:sz w:val="26"/>
          <w:szCs w:val="26"/>
        </w:rPr>
        <w:t>-</w:t>
      </w:r>
      <w:r w:rsidR="00082D11">
        <w:rPr>
          <w:sz w:val="26"/>
          <w:szCs w:val="26"/>
        </w:rPr>
        <w:t>issued payment agreements and six medical certifications on her account.  PGW’s Answer further stated that on April 3, 2007, it terminated the gas service at the service address with an outstanding balance of $17,845.99.  Answer at 1.</w:t>
      </w:r>
    </w:p>
    <w:p w:rsidR="00C9421A" w:rsidRDefault="00C9421A" w:rsidP="00A531A7">
      <w:pPr>
        <w:spacing w:line="360" w:lineRule="auto"/>
        <w:rPr>
          <w:sz w:val="26"/>
          <w:szCs w:val="26"/>
        </w:rPr>
      </w:pPr>
    </w:p>
    <w:p w:rsidR="000C72BD" w:rsidRDefault="00C9421A" w:rsidP="00A531A7">
      <w:pPr>
        <w:spacing w:line="360" w:lineRule="auto"/>
        <w:rPr>
          <w:sz w:val="26"/>
          <w:szCs w:val="26"/>
        </w:rPr>
      </w:pPr>
      <w:r>
        <w:rPr>
          <w:sz w:val="26"/>
          <w:szCs w:val="26"/>
        </w:rPr>
        <w:tab/>
      </w:r>
      <w:r>
        <w:rPr>
          <w:sz w:val="26"/>
          <w:szCs w:val="26"/>
        </w:rPr>
        <w:tab/>
        <w:t xml:space="preserve">PGW’s Answer further stated that it restored the Complainant’s service in November 2007 under a new account number, but in June 2010, the Company again terminated the gas service at the service address for non-payment.  PGW noted that the Complainant was made aware of the outstanding balance she owed under her previous account number and that upon restoration of service, the balance would be transferred to </w:t>
      </w:r>
      <w:r>
        <w:rPr>
          <w:sz w:val="26"/>
          <w:szCs w:val="26"/>
        </w:rPr>
        <w:lastRenderedPageBreak/>
        <w:t>her new account number.</w:t>
      </w:r>
      <w:r w:rsidR="001A4A31">
        <w:rPr>
          <w:sz w:val="26"/>
          <w:szCs w:val="26"/>
        </w:rPr>
        <w:t xml:space="preserve">  PGW explained that pursuant to a settlement of an August 4, 2010 formal complaint </w:t>
      </w:r>
      <w:r w:rsidR="000C72BD">
        <w:rPr>
          <w:sz w:val="26"/>
          <w:szCs w:val="26"/>
        </w:rPr>
        <w:t>filed by the Complainant at Docket No. F-2010-2191733</w:t>
      </w:r>
      <w:r w:rsidR="001A4A31">
        <w:rPr>
          <w:sz w:val="26"/>
          <w:szCs w:val="26"/>
        </w:rPr>
        <w:t xml:space="preserve">, </w:t>
      </w:r>
      <w:r w:rsidR="00C41AB9">
        <w:rPr>
          <w:sz w:val="26"/>
          <w:szCs w:val="26"/>
        </w:rPr>
        <w:t>the Complainant</w:t>
      </w:r>
      <w:r w:rsidR="001A4A31">
        <w:rPr>
          <w:sz w:val="26"/>
          <w:szCs w:val="26"/>
        </w:rPr>
        <w:t xml:space="preserve"> accepted a payment agreement based on her total account balance, including the amount transferred from her previous account number</w:t>
      </w:r>
      <w:r w:rsidR="00C41AB9">
        <w:rPr>
          <w:sz w:val="26"/>
          <w:szCs w:val="26"/>
        </w:rPr>
        <w:t>,</w:t>
      </w:r>
      <w:r w:rsidR="001A4A31">
        <w:rPr>
          <w:sz w:val="26"/>
          <w:szCs w:val="26"/>
        </w:rPr>
        <w:t xml:space="preserve"> and agreed to a $557 monthly payment.  However, </w:t>
      </w:r>
      <w:r w:rsidR="00AA6AFD">
        <w:rPr>
          <w:sz w:val="26"/>
          <w:szCs w:val="26"/>
        </w:rPr>
        <w:t xml:space="preserve">PGW stated that on November 21, 2011, it </w:t>
      </w:r>
      <w:r w:rsidR="001A4A31">
        <w:rPr>
          <w:sz w:val="26"/>
          <w:szCs w:val="26"/>
        </w:rPr>
        <w:t>again terminated the service at her service address for non-payment.  Answer at 2.</w:t>
      </w:r>
      <w:r w:rsidR="00AA6AFD">
        <w:rPr>
          <w:sz w:val="26"/>
          <w:szCs w:val="26"/>
        </w:rPr>
        <w:t xml:space="preserve"> </w:t>
      </w:r>
    </w:p>
    <w:p w:rsidR="000C72BD" w:rsidRDefault="000C72BD" w:rsidP="00A531A7">
      <w:pPr>
        <w:spacing w:line="360" w:lineRule="auto"/>
        <w:rPr>
          <w:sz w:val="26"/>
          <w:szCs w:val="26"/>
        </w:rPr>
      </w:pPr>
    </w:p>
    <w:p w:rsidR="00A1441E" w:rsidRDefault="000C72BD" w:rsidP="00A531A7">
      <w:pPr>
        <w:spacing w:line="360" w:lineRule="auto"/>
        <w:rPr>
          <w:sz w:val="26"/>
          <w:szCs w:val="26"/>
        </w:rPr>
      </w:pPr>
      <w:r>
        <w:rPr>
          <w:sz w:val="26"/>
          <w:szCs w:val="26"/>
        </w:rPr>
        <w:tab/>
      </w:r>
      <w:r>
        <w:rPr>
          <w:sz w:val="26"/>
          <w:szCs w:val="26"/>
        </w:rPr>
        <w:tab/>
        <w:t xml:space="preserve">In its New </w:t>
      </w:r>
      <w:r w:rsidR="00C41AB9">
        <w:rPr>
          <w:sz w:val="26"/>
          <w:szCs w:val="26"/>
        </w:rPr>
        <w:t>Matter</w:t>
      </w:r>
      <w:r>
        <w:rPr>
          <w:sz w:val="26"/>
          <w:szCs w:val="26"/>
        </w:rPr>
        <w:t xml:space="preserve">, PGW noted that the Company had filed a Certificate of Satisfaction with the Commission indicating that the Formal Complaint under Docket No. F-2010-2191733 was settled.  </w:t>
      </w:r>
      <w:r w:rsidR="00601F3F">
        <w:rPr>
          <w:sz w:val="26"/>
          <w:szCs w:val="26"/>
        </w:rPr>
        <w:t xml:space="preserve">According to PGW, Commission </w:t>
      </w:r>
      <w:r w:rsidR="00C41AB9">
        <w:rPr>
          <w:sz w:val="26"/>
          <w:szCs w:val="26"/>
        </w:rPr>
        <w:t>R</w:t>
      </w:r>
      <w:r w:rsidR="00601F3F">
        <w:rPr>
          <w:sz w:val="26"/>
          <w:szCs w:val="26"/>
        </w:rPr>
        <w:t xml:space="preserve">egulations at 52 Pa. Code </w:t>
      </w:r>
      <w:r w:rsidR="00C41AB9">
        <w:rPr>
          <w:sz w:val="26"/>
          <w:szCs w:val="26"/>
        </w:rPr>
        <w:t>§</w:t>
      </w:r>
      <w:r w:rsidR="00601F3F">
        <w:rPr>
          <w:sz w:val="26"/>
          <w:szCs w:val="26"/>
        </w:rPr>
        <w:t xml:space="preserve"> 5.24(b) permit a utility to file a certificate of satisfaction, indicating that a complaint has been addressed and that a Complainant has ten days to object, and if no objection is filed, the matter is closed.  As the Complainant did not file an objection to the certificate of satisfaction, PGW asserted that she is precluded from resurrecting the events of 2010 as the basis for a cause of action as those same factual and legal issues have been addressed and previously settled by the Parties.  New Matter at 3-4.</w:t>
      </w:r>
      <w:r w:rsidR="00A1441E">
        <w:rPr>
          <w:sz w:val="26"/>
          <w:szCs w:val="26"/>
        </w:rPr>
        <w:tab/>
      </w:r>
      <w:r w:rsidR="00A1441E">
        <w:rPr>
          <w:sz w:val="26"/>
          <w:szCs w:val="26"/>
        </w:rPr>
        <w:tab/>
      </w:r>
    </w:p>
    <w:p w:rsidR="00082D11" w:rsidRDefault="00082D11" w:rsidP="00A531A7">
      <w:pPr>
        <w:spacing w:line="360" w:lineRule="auto"/>
        <w:rPr>
          <w:sz w:val="26"/>
          <w:szCs w:val="26"/>
        </w:rPr>
      </w:pPr>
    </w:p>
    <w:p w:rsidR="00573E06" w:rsidRDefault="00573E06" w:rsidP="000C72BD">
      <w:pPr>
        <w:spacing w:line="360" w:lineRule="auto"/>
        <w:ind w:firstLine="1440"/>
        <w:rPr>
          <w:sz w:val="26"/>
          <w:szCs w:val="26"/>
        </w:rPr>
      </w:pPr>
      <w:r>
        <w:rPr>
          <w:sz w:val="26"/>
          <w:szCs w:val="26"/>
        </w:rPr>
        <w:t xml:space="preserve">Also, on January 20, 2015, </w:t>
      </w:r>
      <w:r w:rsidR="00A531A7" w:rsidRPr="00A531A7">
        <w:rPr>
          <w:sz w:val="26"/>
          <w:szCs w:val="26"/>
        </w:rPr>
        <w:t xml:space="preserve">PGW </w:t>
      </w:r>
      <w:r>
        <w:rPr>
          <w:sz w:val="26"/>
          <w:szCs w:val="26"/>
        </w:rPr>
        <w:t>filed Preliminary Objections as well as a Motion for Summary J</w:t>
      </w:r>
      <w:r w:rsidR="00A531A7" w:rsidRPr="00A531A7">
        <w:rPr>
          <w:sz w:val="26"/>
          <w:szCs w:val="26"/>
        </w:rPr>
        <w:t xml:space="preserve">udgment.  </w:t>
      </w:r>
      <w:r>
        <w:rPr>
          <w:sz w:val="26"/>
          <w:szCs w:val="26"/>
        </w:rPr>
        <w:t xml:space="preserve">In its Preliminary Objections, PGW stated that the issues raised in the Complaint arise from activity on the Complainant’s account that occurred in 2010 and, as such, </w:t>
      </w:r>
      <w:r w:rsidR="00727E9E">
        <w:rPr>
          <w:sz w:val="26"/>
          <w:szCs w:val="26"/>
        </w:rPr>
        <w:t>are</w:t>
      </w:r>
      <w:r>
        <w:rPr>
          <w:sz w:val="26"/>
          <w:szCs w:val="26"/>
        </w:rPr>
        <w:t xml:space="preserve"> beyond the statute of limitations, which divests the Commission of jurisdiction to hear an action brought more than three years from the date the liability arose.  Preliminary Objections at 2-3.</w:t>
      </w:r>
    </w:p>
    <w:p w:rsidR="00573E06" w:rsidRDefault="00573E06" w:rsidP="000C72BD">
      <w:pPr>
        <w:spacing w:line="360" w:lineRule="auto"/>
        <w:ind w:firstLine="1440"/>
        <w:rPr>
          <w:sz w:val="26"/>
          <w:szCs w:val="26"/>
        </w:rPr>
      </w:pPr>
    </w:p>
    <w:p w:rsidR="00573E06" w:rsidRDefault="00573E06" w:rsidP="000C72BD">
      <w:pPr>
        <w:spacing w:line="360" w:lineRule="auto"/>
        <w:ind w:firstLine="1440"/>
        <w:rPr>
          <w:sz w:val="26"/>
          <w:szCs w:val="26"/>
        </w:rPr>
      </w:pPr>
      <w:r>
        <w:rPr>
          <w:sz w:val="26"/>
          <w:szCs w:val="26"/>
        </w:rPr>
        <w:t xml:space="preserve">In its Motion for Summary Judgment, </w:t>
      </w:r>
      <w:r w:rsidR="00F06306">
        <w:rPr>
          <w:sz w:val="26"/>
          <w:szCs w:val="26"/>
        </w:rPr>
        <w:t xml:space="preserve">PGW requested dismissal of the Complaint on the grounds that: (1) the issues raised in the Complaint arise from activity on the Complainant’s account that occurred in 2010 and as such, are beyond the statute of limitations, and (2) that the same factual and legal issues that are the basis of the instant Complaint have been addressed and previously settled by the parties by way of a </w:t>
      </w:r>
      <w:r w:rsidR="00F06306">
        <w:rPr>
          <w:sz w:val="26"/>
          <w:szCs w:val="26"/>
        </w:rPr>
        <w:lastRenderedPageBreak/>
        <w:t>Certificate of Satisfaction under Docket No. F-2010-2191733, filed on March 17, 2011.  Motion for Summary Judgment at 2-4.</w:t>
      </w:r>
    </w:p>
    <w:p w:rsidR="00573E06" w:rsidRDefault="00573E06" w:rsidP="000C72BD">
      <w:pPr>
        <w:spacing w:line="360" w:lineRule="auto"/>
        <w:ind w:firstLine="1440"/>
        <w:rPr>
          <w:sz w:val="26"/>
          <w:szCs w:val="26"/>
        </w:rPr>
      </w:pPr>
    </w:p>
    <w:p w:rsidR="00A531A7" w:rsidRPr="00A531A7" w:rsidRDefault="00A531A7" w:rsidP="000C72BD">
      <w:pPr>
        <w:spacing w:line="360" w:lineRule="auto"/>
        <w:ind w:firstLine="1440"/>
        <w:rPr>
          <w:sz w:val="26"/>
          <w:szCs w:val="26"/>
        </w:rPr>
      </w:pPr>
      <w:r w:rsidRPr="00A531A7">
        <w:rPr>
          <w:sz w:val="26"/>
          <w:szCs w:val="26"/>
        </w:rPr>
        <w:t xml:space="preserve">The Complainant </w:t>
      </w:r>
      <w:r w:rsidR="00413650">
        <w:rPr>
          <w:sz w:val="26"/>
          <w:szCs w:val="26"/>
        </w:rPr>
        <w:t>did not file a response to the New M</w:t>
      </w:r>
      <w:r w:rsidRPr="00A531A7">
        <w:rPr>
          <w:sz w:val="26"/>
          <w:szCs w:val="26"/>
        </w:rPr>
        <w:t xml:space="preserve">atter or </w:t>
      </w:r>
      <w:r w:rsidR="00413650">
        <w:rPr>
          <w:sz w:val="26"/>
          <w:szCs w:val="26"/>
        </w:rPr>
        <w:t>the M</w:t>
      </w:r>
      <w:r w:rsidRPr="00A531A7">
        <w:rPr>
          <w:sz w:val="26"/>
          <w:szCs w:val="26"/>
        </w:rPr>
        <w:t>otion</w:t>
      </w:r>
      <w:r w:rsidR="00413650">
        <w:rPr>
          <w:sz w:val="26"/>
          <w:szCs w:val="26"/>
        </w:rPr>
        <w:t xml:space="preserve"> for Summary Judgment.</w:t>
      </w:r>
    </w:p>
    <w:p w:rsidR="00A531A7" w:rsidRPr="00A531A7" w:rsidRDefault="00A531A7" w:rsidP="00A531A7">
      <w:pPr>
        <w:spacing w:line="360" w:lineRule="auto"/>
        <w:rPr>
          <w:sz w:val="26"/>
          <w:szCs w:val="26"/>
        </w:rPr>
      </w:pPr>
    </w:p>
    <w:p w:rsidR="00A531A7" w:rsidRPr="00A531A7" w:rsidRDefault="00A531A7" w:rsidP="00A531A7">
      <w:pPr>
        <w:spacing w:line="360" w:lineRule="auto"/>
        <w:rPr>
          <w:sz w:val="26"/>
          <w:szCs w:val="26"/>
        </w:rPr>
      </w:pPr>
      <w:r w:rsidRPr="00A531A7">
        <w:rPr>
          <w:sz w:val="26"/>
          <w:szCs w:val="26"/>
        </w:rPr>
        <w:tab/>
      </w:r>
      <w:r w:rsidR="00BC4493">
        <w:rPr>
          <w:sz w:val="26"/>
          <w:szCs w:val="26"/>
        </w:rPr>
        <w:tab/>
      </w:r>
      <w:r w:rsidRPr="00A531A7">
        <w:rPr>
          <w:sz w:val="26"/>
          <w:szCs w:val="26"/>
        </w:rPr>
        <w:t xml:space="preserve">By </w:t>
      </w:r>
      <w:r w:rsidR="00413650">
        <w:rPr>
          <w:sz w:val="26"/>
          <w:szCs w:val="26"/>
        </w:rPr>
        <w:t>Order issued on March 9, 2015, PGW’s Preliminary O</w:t>
      </w:r>
      <w:r w:rsidRPr="00A531A7">
        <w:rPr>
          <w:sz w:val="26"/>
          <w:szCs w:val="26"/>
        </w:rPr>
        <w:t xml:space="preserve">bjections were dismissed by </w:t>
      </w:r>
      <w:r w:rsidR="00413650">
        <w:rPr>
          <w:sz w:val="26"/>
          <w:szCs w:val="26"/>
        </w:rPr>
        <w:t>the ALJ.</w:t>
      </w:r>
      <w:r w:rsidRPr="00A531A7">
        <w:rPr>
          <w:sz w:val="26"/>
          <w:szCs w:val="26"/>
        </w:rPr>
        <w:t xml:space="preserve">  </w:t>
      </w:r>
      <w:r w:rsidR="00413650">
        <w:rPr>
          <w:sz w:val="26"/>
          <w:szCs w:val="26"/>
        </w:rPr>
        <w:t>Also, by Order issued on March 10, 2015, PGW’s Motion for Summary J</w:t>
      </w:r>
      <w:r w:rsidRPr="00A531A7">
        <w:rPr>
          <w:sz w:val="26"/>
          <w:szCs w:val="26"/>
        </w:rPr>
        <w:t>udgment was denied</w:t>
      </w:r>
      <w:r w:rsidR="00413650">
        <w:rPr>
          <w:sz w:val="26"/>
          <w:szCs w:val="26"/>
        </w:rPr>
        <w:t xml:space="preserve"> by the ALJ</w:t>
      </w:r>
      <w:r w:rsidRPr="00A531A7">
        <w:rPr>
          <w:sz w:val="26"/>
          <w:szCs w:val="26"/>
        </w:rPr>
        <w:t>.</w:t>
      </w:r>
    </w:p>
    <w:p w:rsidR="00A531A7" w:rsidRPr="00A531A7" w:rsidRDefault="00A531A7" w:rsidP="00A531A7">
      <w:pPr>
        <w:spacing w:line="360" w:lineRule="auto"/>
        <w:rPr>
          <w:sz w:val="26"/>
          <w:szCs w:val="26"/>
        </w:rPr>
      </w:pPr>
      <w:r w:rsidRPr="00A531A7">
        <w:rPr>
          <w:sz w:val="26"/>
          <w:szCs w:val="26"/>
        </w:rPr>
        <w:t xml:space="preserve">  </w:t>
      </w:r>
    </w:p>
    <w:p w:rsidR="00A531A7" w:rsidRPr="00A531A7" w:rsidRDefault="00A531A7" w:rsidP="00A531A7">
      <w:pPr>
        <w:spacing w:line="360" w:lineRule="auto"/>
        <w:rPr>
          <w:sz w:val="26"/>
          <w:szCs w:val="26"/>
        </w:rPr>
      </w:pPr>
      <w:r w:rsidRPr="00A531A7">
        <w:rPr>
          <w:sz w:val="26"/>
          <w:szCs w:val="26"/>
        </w:rPr>
        <w:tab/>
      </w:r>
      <w:r w:rsidR="00BC4493">
        <w:rPr>
          <w:sz w:val="26"/>
          <w:szCs w:val="26"/>
        </w:rPr>
        <w:tab/>
      </w:r>
      <w:r w:rsidRPr="00A531A7">
        <w:rPr>
          <w:sz w:val="26"/>
          <w:szCs w:val="26"/>
        </w:rPr>
        <w:t>Th</w:t>
      </w:r>
      <w:r w:rsidR="00413650">
        <w:rPr>
          <w:sz w:val="26"/>
          <w:szCs w:val="26"/>
        </w:rPr>
        <w:t xml:space="preserve">e ALJ conducted a telephonic </w:t>
      </w:r>
      <w:r w:rsidRPr="00A531A7">
        <w:rPr>
          <w:sz w:val="26"/>
          <w:szCs w:val="26"/>
        </w:rPr>
        <w:t>hearing on May 5, 2015</w:t>
      </w:r>
      <w:r w:rsidR="00413650">
        <w:rPr>
          <w:sz w:val="26"/>
          <w:szCs w:val="26"/>
        </w:rPr>
        <w:t xml:space="preserve">. </w:t>
      </w:r>
      <w:r w:rsidRPr="00A531A7">
        <w:rPr>
          <w:sz w:val="26"/>
          <w:szCs w:val="26"/>
        </w:rPr>
        <w:t xml:space="preserve"> The Complainant </w:t>
      </w:r>
      <w:r w:rsidR="00413650">
        <w:rPr>
          <w:sz w:val="26"/>
          <w:szCs w:val="26"/>
        </w:rPr>
        <w:t xml:space="preserve">appeared </w:t>
      </w:r>
      <w:r w:rsidR="00413650">
        <w:rPr>
          <w:i/>
          <w:sz w:val="26"/>
          <w:szCs w:val="26"/>
        </w:rPr>
        <w:t>pro se</w:t>
      </w:r>
      <w:r w:rsidR="00413650">
        <w:rPr>
          <w:sz w:val="26"/>
          <w:szCs w:val="26"/>
        </w:rPr>
        <w:t>, testified on her own behalf, and presented no other witnesses.</w:t>
      </w:r>
      <w:r w:rsidRPr="00A531A7">
        <w:rPr>
          <w:sz w:val="26"/>
          <w:szCs w:val="26"/>
        </w:rPr>
        <w:t xml:space="preserve">  PGW</w:t>
      </w:r>
      <w:r w:rsidR="00413650">
        <w:rPr>
          <w:sz w:val="26"/>
          <w:szCs w:val="26"/>
        </w:rPr>
        <w:t>, which</w:t>
      </w:r>
      <w:r w:rsidRPr="00A531A7">
        <w:rPr>
          <w:sz w:val="26"/>
          <w:szCs w:val="26"/>
        </w:rPr>
        <w:t xml:space="preserve"> was represented by </w:t>
      </w:r>
      <w:r w:rsidR="00413650">
        <w:rPr>
          <w:sz w:val="26"/>
          <w:szCs w:val="26"/>
        </w:rPr>
        <w:t>counsel,</w:t>
      </w:r>
      <w:r w:rsidRPr="00A531A7">
        <w:rPr>
          <w:sz w:val="26"/>
          <w:szCs w:val="26"/>
        </w:rPr>
        <w:t xml:space="preserve"> presented the testimony of one witness</w:t>
      </w:r>
      <w:r w:rsidR="00413650">
        <w:rPr>
          <w:sz w:val="26"/>
          <w:szCs w:val="26"/>
        </w:rPr>
        <w:t xml:space="preserve"> and </w:t>
      </w:r>
      <w:r w:rsidRPr="00A531A7">
        <w:rPr>
          <w:sz w:val="26"/>
          <w:szCs w:val="26"/>
        </w:rPr>
        <w:t>offered</w:t>
      </w:r>
      <w:r w:rsidR="00413650">
        <w:rPr>
          <w:sz w:val="26"/>
          <w:szCs w:val="26"/>
        </w:rPr>
        <w:t xml:space="preserve"> </w:t>
      </w:r>
      <w:r w:rsidRPr="00A531A7">
        <w:rPr>
          <w:sz w:val="26"/>
          <w:szCs w:val="26"/>
        </w:rPr>
        <w:t>PGW Exhibits 1 and 2, which were admitted into the record without objection.  PGW also offered Exhibits 3 and 4, but neither of these exhibits was admitted into the record.</w:t>
      </w:r>
    </w:p>
    <w:p w:rsidR="00A531A7" w:rsidRPr="00A531A7" w:rsidRDefault="00A531A7" w:rsidP="00A531A7">
      <w:pPr>
        <w:spacing w:line="360" w:lineRule="auto"/>
        <w:rPr>
          <w:sz w:val="26"/>
          <w:szCs w:val="26"/>
        </w:rPr>
      </w:pPr>
    </w:p>
    <w:p w:rsidR="00A531A7" w:rsidRDefault="00A531A7" w:rsidP="00A531A7">
      <w:pPr>
        <w:spacing w:line="360" w:lineRule="auto"/>
        <w:rPr>
          <w:sz w:val="26"/>
          <w:szCs w:val="26"/>
        </w:rPr>
      </w:pPr>
      <w:r w:rsidRPr="00A531A7">
        <w:rPr>
          <w:sz w:val="26"/>
          <w:szCs w:val="26"/>
        </w:rPr>
        <w:tab/>
      </w:r>
      <w:r w:rsidR="00BC4493">
        <w:rPr>
          <w:sz w:val="26"/>
          <w:szCs w:val="26"/>
        </w:rPr>
        <w:tab/>
      </w:r>
      <w:r w:rsidRPr="00A531A7">
        <w:rPr>
          <w:sz w:val="26"/>
          <w:szCs w:val="26"/>
        </w:rPr>
        <w:t xml:space="preserve">Both PGW and the Complainant sought leave to submit late-filed exhibits in support of the testimony offered at the hearing.  </w:t>
      </w:r>
      <w:r w:rsidR="00BC4493">
        <w:rPr>
          <w:sz w:val="26"/>
          <w:szCs w:val="26"/>
        </w:rPr>
        <w:t xml:space="preserve">By Interim Order </w:t>
      </w:r>
      <w:r w:rsidR="00727E9E">
        <w:rPr>
          <w:sz w:val="26"/>
          <w:szCs w:val="26"/>
        </w:rPr>
        <w:t>dated</w:t>
      </w:r>
      <w:r w:rsidR="00BC4493">
        <w:rPr>
          <w:sz w:val="26"/>
          <w:szCs w:val="26"/>
        </w:rPr>
        <w:t xml:space="preserve"> June </w:t>
      </w:r>
      <w:r w:rsidR="00727E9E">
        <w:rPr>
          <w:sz w:val="26"/>
          <w:szCs w:val="26"/>
        </w:rPr>
        <w:t>2</w:t>
      </w:r>
      <w:r w:rsidR="00BC4493">
        <w:rPr>
          <w:sz w:val="26"/>
          <w:szCs w:val="26"/>
        </w:rPr>
        <w:t xml:space="preserve">, 2015, by the ALJ, </w:t>
      </w:r>
      <w:r w:rsidRPr="00A531A7">
        <w:rPr>
          <w:sz w:val="26"/>
          <w:szCs w:val="26"/>
        </w:rPr>
        <w:t xml:space="preserve">PGW Exhibits 5, 6 and 7 were admitted </w:t>
      </w:r>
      <w:r w:rsidR="00BC4493">
        <w:rPr>
          <w:sz w:val="26"/>
          <w:szCs w:val="26"/>
        </w:rPr>
        <w:t xml:space="preserve">into the record </w:t>
      </w:r>
      <w:r w:rsidRPr="00A531A7">
        <w:rPr>
          <w:sz w:val="26"/>
          <w:szCs w:val="26"/>
        </w:rPr>
        <w:t xml:space="preserve">without objection.  Additionally, Complainant’s Exhibits 1, 2, and 3 were </w:t>
      </w:r>
      <w:r w:rsidR="00BC4493">
        <w:rPr>
          <w:sz w:val="26"/>
          <w:szCs w:val="26"/>
        </w:rPr>
        <w:t xml:space="preserve">also </w:t>
      </w:r>
      <w:r w:rsidRPr="00A531A7">
        <w:rPr>
          <w:sz w:val="26"/>
          <w:szCs w:val="26"/>
        </w:rPr>
        <w:t xml:space="preserve">admitted without objection.  </w:t>
      </w:r>
      <w:r w:rsidR="00BC4493">
        <w:rPr>
          <w:sz w:val="26"/>
          <w:szCs w:val="26"/>
        </w:rPr>
        <w:t>T</w:t>
      </w:r>
      <w:r w:rsidRPr="00A531A7">
        <w:rPr>
          <w:sz w:val="26"/>
          <w:szCs w:val="26"/>
        </w:rPr>
        <w:t>he reco</w:t>
      </w:r>
      <w:r w:rsidR="00BC4493">
        <w:rPr>
          <w:sz w:val="26"/>
          <w:szCs w:val="26"/>
        </w:rPr>
        <w:t xml:space="preserve">rd was also closed by the June </w:t>
      </w:r>
      <w:r w:rsidR="00727E9E">
        <w:rPr>
          <w:sz w:val="26"/>
          <w:szCs w:val="26"/>
        </w:rPr>
        <w:t>2</w:t>
      </w:r>
      <w:r w:rsidRPr="00A531A7">
        <w:rPr>
          <w:sz w:val="26"/>
          <w:szCs w:val="26"/>
        </w:rPr>
        <w:t>, 2015 Interim Order.</w:t>
      </w:r>
    </w:p>
    <w:p w:rsidR="00966D12" w:rsidRDefault="00966D12" w:rsidP="00A531A7">
      <w:pPr>
        <w:spacing w:line="360" w:lineRule="auto"/>
        <w:rPr>
          <w:sz w:val="26"/>
          <w:szCs w:val="26"/>
        </w:rPr>
      </w:pPr>
    </w:p>
    <w:p w:rsidR="00966D12" w:rsidRPr="00A531A7" w:rsidRDefault="00966D12" w:rsidP="00A531A7">
      <w:pPr>
        <w:spacing w:line="360" w:lineRule="auto"/>
        <w:rPr>
          <w:sz w:val="26"/>
          <w:szCs w:val="26"/>
        </w:rPr>
      </w:pPr>
      <w:r>
        <w:rPr>
          <w:sz w:val="26"/>
          <w:szCs w:val="26"/>
        </w:rPr>
        <w:tab/>
      </w:r>
      <w:r>
        <w:rPr>
          <w:sz w:val="26"/>
          <w:szCs w:val="26"/>
        </w:rPr>
        <w:tab/>
        <w:t xml:space="preserve">In her Initial Decision, issued on August 24, 2015, ALJ Long sustained the Complaint to the extent that PGW rendered unreasonable service and directed the payment of a $500 civil penalty.  The ALJ dismissed the Complaint in all other respects.  As previously indicated, PGW and the Complainant filed Exceptions on September 14, 2015, and </w:t>
      </w:r>
      <w:r w:rsidR="009E5CA2">
        <w:rPr>
          <w:sz w:val="26"/>
          <w:szCs w:val="26"/>
        </w:rPr>
        <w:t>September 18, 2015, respectively.  PGW filed Replies to Exceptions on September 29, 2015.</w:t>
      </w:r>
    </w:p>
    <w:p w:rsidR="00D45D36" w:rsidRPr="00A531A7" w:rsidRDefault="00D45D36" w:rsidP="00D45D36">
      <w:pPr>
        <w:widowControl/>
        <w:spacing w:line="360" w:lineRule="auto"/>
        <w:jc w:val="center"/>
        <w:rPr>
          <w:b/>
          <w:sz w:val="26"/>
          <w:szCs w:val="26"/>
        </w:rPr>
      </w:pPr>
      <w:r w:rsidRPr="00A531A7">
        <w:rPr>
          <w:b/>
          <w:sz w:val="26"/>
          <w:szCs w:val="26"/>
        </w:rPr>
        <w:lastRenderedPageBreak/>
        <w:t>Discussion</w:t>
      </w:r>
    </w:p>
    <w:p w:rsidR="00D45D36" w:rsidRPr="00D64605" w:rsidRDefault="00D45D36" w:rsidP="00D45D36">
      <w:pPr>
        <w:widowControl/>
        <w:spacing w:line="360" w:lineRule="auto"/>
        <w:jc w:val="center"/>
        <w:rPr>
          <w:b/>
          <w:sz w:val="26"/>
          <w:szCs w:val="26"/>
        </w:rPr>
      </w:pPr>
    </w:p>
    <w:p w:rsidR="00D45D36" w:rsidRPr="00D64605" w:rsidRDefault="00D45D36" w:rsidP="00D45D36">
      <w:pPr>
        <w:widowControl/>
        <w:spacing w:line="360" w:lineRule="auto"/>
        <w:rPr>
          <w:sz w:val="26"/>
          <w:szCs w:val="26"/>
        </w:rPr>
      </w:pPr>
      <w:r w:rsidRPr="00D64605">
        <w:rPr>
          <w:b/>
          <w:sz w:val="26"/>
          <w:szCs w:val="26"/>
        </w:rPr>
        <w:t>Legal Standards</w:t>
      </w:r>
    </w:p>
    <w:p w:rsidR="00D45D36" w:rsidRPr="00D64605" w:rsidRDefault="00D45D36" w:rsidP="00D45D36">
      <w:pPr>
        <w:widowControl/>
        <w:spacing w:line="360" w:lineRule="auto"/>
        <w:rPr>
          <w:sz w:val="26"/>
          <w:szCs w:val="26"/>
        </w:rPr>
      </w:pPr>
    </w:p>
    <w:p w:rsidR="00D45D36" w:rsidRPr="00D64605" w:rsidRDefault="00D45D36" w:rsidP="00D45D36">
      <w:pPr>
        <w:widowControl/>
        <w:spacing w:line="360" w:lineRule="auto"/>
        <w:ind w:firstLine="1440"/>
        <w:rPr>
          <w:sz w:val="26"/>
          <w:szCs w:val="26"/>
        </w:rPr>
      </w:pPr>
      <w:r w:rsidRPr="009B34F3">
        <w:rPr>
          <w:sz w:val="26"/>
          <w:szCs w:val="26"/>
        </w:rPr>
        <w:t xml:space="preserve">  </w:t>
      </w:r>
      <w:r w:rsidRPr="00D64605">
        <w:rPr>
          <w:sz w:val="26"/>
          <w:szCs w:val="26"/>
        </w:rPr>
        <w:t>As the proponent of a rule or order, the Complainant in this proceeding bear</w:t>
      </w:r>
      <w:r>
        <w:rPr>
          <w:sz w:val="26"/>
          <w:szCs w:val="26"/>
        </w:rPr>
        <w:t>s</w:t>
      </w:r>
      <w:r w:rsidRPr="00D64605">
        <w:rPr>
          <w:sz w:val="26"/>
          <w:szCs w:val="26"/>
        </w:rPr>
        <w:t xml:space="preserve">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D64605">
        <w:rPr>
          <w:i/>
          <w:sz w:val="26"/>
          <w:szCs w:val="26"/>
        </w:rPr>
        <w:t>Patterson v. The Bell Telephone Company of Pennsylvania</w:t>
      </w:r>
      <w:r w:rsidRPr="00D64605">
        <w:rPr>
          <w:sz w:val="26"/>
          <w:szCs w:val="26"/>
        </w:rPr>
        <w:t xml:space="preserve">, 72 Pa. P.U.C. 196 (1990).  Such a showing must be by a preponderance of the evidence.  </w:t>
      </w:r>
      <w:r w:rsidRPr="00D64605">
        <w:rPr>
          <w:i/>
          <w:iCs/>
          <w:sz w:val="26"/>
          <w:szCs w:val="26"/>
        </w:rPr>
        <w:t>Samuel J. Lansberry, Inc. v. Pa. PUC</w:t>
      </w:r>
      <w:r w:rsidRPr="00D64605">
        <w:rPr>
          <w:sz w:val="26"/>
          <w:szCs w:val="26"/>
        </w:rPr>
        <w:t xml:space="preserve">, 578 A.2d 600 (Pa. Cmwlth. 1990), </w:t>
      </w:r>
      <w:r w:rsidRPr="00D64605">
        <w:rPr>
          <w:i/>
          <w:sz w:val="26"/>
          <w:szCs w:val="26"/>
        </w:rPr>
        <w:t>alloc. denied,</w:t>
      </w:r>
      <w:r w:rsidRPr="00D64605">
        <w:rPr>
          <w:sz w:val="26"/>
          <w:szCs w:val="26"/>
        </w:rPr>
        <w:t xml:space="preserve"> 529 Pa. 654, 602 A.2d 863 (1992).  That is, the Complainant</w:t>
      </w:r>
      <w:r>
        <w:rPr>
          <w:sz w:val="26"/>
          <w:szCs w:val="26"/>
        </w:rPr>
        <w:t>’s</w:t>
      </w:r>
      <w:r w:rsidRPr="00D64605">
        <w:rPr>
          <w:sz w:val="26"/>
          <w:szCs w:val="26"/>
        </w:rPr>
        <w:t xml:space="preserve"> evidence must be more convincing, by even the smallest amount, than that presented by the Respondent.  </w:t>
      </w:r>
      <w:r w:rsidRPr="00D64605">
        <w:rPr>
          <w:i/>
          <w:sz w:val="26"/>
          <w:szCs w:val="26"/>
        </w:rPr>
        <w:t>Se-Ling Hosiery, Inc. v. Margulies</w:t>
      </w:r>
      <w:r w:rsidRPr="00D6460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rsidR="00D45D36" w:rsidRPr="00D64605" w:rsidRDefault="00D45D36" w:rsidP="00D45D36">
      <w:pPr>
        <w:widowControl/>
        <w:spacing w:line="360" w:lineRule="auto"/>
        <w:rPr>
          <w:sz w:val="26"/>
          <w:szCs w:val="26"/>
        </w:rPr>
      </w:pPr>
    </w:p>
    <w:p w:rsidR="00D45D36" w:rsidRDefault="00D45D36" w:rsidP="00D45D36">
      <w:pPr>
        <w:widowControl/>
        <w:spacing w:line="360" w:lineRule="auto"/>
        <w:ind w:firstLine="1440"/>
        <w:rPr>
          <w:sz w:val="26"/>
        </w:rPr>
      </w:pPr>
      <w:r w:rsidRPr="00D64605">
        <w:rPr>
          <w:sz w:val="26"/>
        </w:rPr>
        <w:t xml:space="preserve">Upon the presentation by a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D64605">
        <w:rPr>
          <w:iCs/>
          <w:sz w:val="26"/>
        </w:rPr>
        <w:t xml:space="preserve"> </w:t>
      </w:r>
      <w:hyperlink r:id="rId8" w:history="1">
        <w:r w:rsidRPr="005E12B6">
          <w:rPr>
            <w:rStyle w:val="Hyperlink"/>
            <w:rFonts w:ascii="Times New (W1)" w:hAnsi="Times New (W1)"/>
            <w:i/>
            <w:iCs/>
            <w:color w:val="auto"/>
            <w:sz w:val="26"/>
            <w:u w:val="none"/>
          </w:rPr>
          <w:t>Burleson v. Pa. PUC,</w:t>
        </w:r>
        <w:r w:rsidRPr="005E12B6">
          <w:rPr>
            <w:rStyle w:val="Hyperlink"/>
            <w:rFonts w:ascii="Times New (W1)" w:hAnsi="Times New (W1)"/>
            <w:iCs/>
            <w:color w:val="auto"/>
            <w:sz w:val="26"/>
            <w:u w:val="none"/>
          </w:rPr>
          <w:t xml:space="preserve"> 443 A.2d 1373 (Pa. Cmwlth. 1982), </w:t>
        </w:r>
        <w:r w:rsidRPr="005E12B6">
          <w:rPr>
            <w:rStyle w:val="Hyperlink"/>
            <w:rFonts w:ascii="Times New (W1)" w:hAnsi="Times New (W1)"/>
            <w:i/>
            <w:iCs/>
            <w:color w:val="auto"/>
            <w:sz w:val="26"/>
            <w:u w:val="none"/>
          </w:rPr>
          <w:t>aff’d,</w:t>
        </w:r>
        <w:r w:rsidRPr="005E12B6">
          <w:rPr>
            <w:rStyle w:val="Hyperlink"/>
            <w:rFonts w:ascii="Times New (W1)" w:hAnsi="Times New (W1)"/>
            <w:iCs/>
            <w:color w:val="auto"/>
            <w:sz w:val="26"/>
            <w:u w:val="none"/>
          </w:rPr>
          <w:t xml:space="preserve"> 501 Pa. 433, 461 A.2d 1234 (1983).</w:t>
        </w:r>
      </w:hyperlink>
      <w:r w:rsidRPr="005E12B6">
        <w:rPr>
          <w:rStyle w:val="Hyperlink"/>
          <w:rFonts w:ascii="Times New (W1)" w:hAnsi="Times New (W1)"/>
          <w:iCs/>
          <w:color w:val="auto"/>
          <w:sz w:val="26"/>
          <w:u w:val="none"/>
        </w:rPr>
        <w:t xml:space="preserve">  </w:t>
      </w:r>
      <w:r w:rsidRPr="00D64605">
        <w:rPr>
          <w:sz w:val="26"/>
        </w:rPr>
        <w:t xml:space="preserve">While the burden of persuasion may </w:t>
      </w:r>
      <w:r w:rsidRPr="005E12B6">
        <w:rPr>
          <w:rStyle w:val="term1"/>
          <w:b w:val="0"/>
          <w:sz w:val="26"/>
        </w:rPr>
        <w:t>shift</w:t>
      </w:r>
      <w:r w:rsidRPr="00D64605">
        <w:rPr>
          <w:sz w:val="26"/>
        </w:rPr>
        <w:t xml:space="preserve"> back and forth during a proceeding, the </w:t>
      </w:r>
      <w:r w:rsidRPr="005E12B6">
        <w:rPr>
          <w:rStyle w:val="term1"/>
          <w:b w:val="0"/>
          <w:sz w:val="26"/>
        </w:rPr>
        <w:t>burden of proof</w:t>
      </w:r>
      <w:r w:rsidRPr="00D64605">
        <w:rPr>
          <w:sz w:val="26"/>
        </w:rPr>
        <w:t xml:space="preserve"> never </w:t>
      </w:r>
      <w:r w:rsidRPr="005E12B6">
        <w:rPr>
          <w:rStyle w:val="term1"/>
          <w:b w:val="0"/>
          <w:sz w:val="26"/>
        </w:rPr>
        <w:t>shifts. The burden of proof</w:t>
      </w:r>
      <w:r w:rsidRPr="00D64605">
        <w:rPr>
          <w:sz w:val="26"/>
        </w:rPr>
        <w:t xml:space="preserve"> always remains on the party seeking affirmative relief from the Commission.  </w:t>
      </w:r>
      <w:r w:rsidRPr="00D64605">
        <w:rPr>
          <w:i/>
          <w:sz w:val="26"/>
        </w:rPr>
        <w:t xml:space="preserve">Milkie v. Pa. PUC, </w:t>
      </w:r>
      <w:r w:rsidRPr="00D64605">
        <w:rPr>
          <w:sz w:val="26"/>
        </w:rPr>
        <w:t>768 A.2d 1217 (Pa. Cmwlth. 2001).</w:t>
      </w:r>
    </w:p>
    <w:p w:rsidR="00D45D36" w:rsidRDefault="00D45D36" w:rsidP="00D45D36">
      <w:pPr>
        <w:widowControl/>
        <w:spacing w:line="360" w:lineRule="auto"/>
        <w:ind w:firstLine="1440"/>
        <w:rPr>
          <w:rStyle w:val="Hyperlink"/>
          <w:color w:val="000000"/>
          <w:sz w:val="26"/>
          <w:szCs w:val="26"/>
          <w:u w:val="none"/>
        </w:rPr>
      </w:pPr>
      <w:r w:rsidRPr="00D64605">
        <w:rPr>
          <w:sz w:val="26"/>
          <w:szCs w:val="26"/>
        </w:rPr>
        <w:lastRenderedPageBreak/>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D64605">
          <w:rPr>
            <w:rStyle w:val="Emphasis"/>
            <w:color w:val="000000"/>
            <w:sz w:val="26"/>
            <w:szCs w:val="26"/>
          </w:rPr>
          <w:t xml:space="preserve">Consolidated Rail Corp. v. Pa. PUC, </w:t>
        </w:r>
        <w:r w:rsidRPr="0085210D">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10" w:history="1">
        <w:r w:rsidRPr="00D64605">
          <w:rPr>
            <w:rStyle w:val="Emphasis"/>
            <w:color w:val="000000"/>
            <w:sz w:val="26"/>
            <w:szCs w:val="26"/>
          </w:rPr>
          <w:t>University of Pennsylvania v. Pa. PUC</w:t>
        </w:r>
        <w:r w:rsidRPr="0085210D">
          <w:rPr>
            <w:rStyle w:val="Hyperlink"/>
            <w:color w:val="000000"/>
            <w:sz w:val="26"/>
            <w:szCs w:val="26"/>
            <w:u w:val="none"/>
          </w:rPr>
          <w:t>, 485 A.2d 1217 (Pa. Cmwlth. 1984).</w:t>
        </w:r>
      </w:hyperlink>
    </w:p>
    <w:p w:rsidR="00D45D36" w:rsidRDefault="00D45D36" w:rsidP="00D45D36">
      <w:pPr>
        <w:widowControl/>
        <w:spacing w:line="360" w:lineRule="auto"/>
        <w:ind w:firstLine="1440"/>
        <w:rPr>
          <w:rStyle w:val="Hyperlink"/>
          <w:color w:val="000000"/>
          <w:sz w:val="26"/>
          <w:szCs w:val="26"/>
        </w:rPr>
      </w:pPr>
    </w:p>
    <w:p w:rsidR="00D45D36" w:rsidRPr="00D64605" w:rsidRDefault="00D45D36" w:rsidP="00D45D36">
      <w:pPr>
        <w:widowControl/>
        <w:spacing w:line="360" w:lineRule="auto"/>
        <w:rPr>
          <w:b/>
          <w:color w:val="000000"/>
          <w:sz w:val="26"/>
          <w:szCs w:val="26"/>
        </w:rPr>
      </w:pPr>
      <w:r>
        <w:rPr>
          <w:b/>
          <w:color w:val="000000"/>
          <w:sz w:val="26"/>
          <w:szCs w:val="26"/>
        </w:rPr>
        <w:t>ALJ</w:t>
      </w:r>
      <w:r w:rsidRPr="00D64605">
        <w:rPr>
          <w:b/>
          <w:color w:val="000000"/>
          <w:sz w:val="26"/>
          <w:szCs w:val="26"/>
        </w:rPr>
        <w:t>’s Initial Decision</w:t>
      </w:r>
    </w:p>
    <w:p w:rsidR="00D45D36" w:rsidRPr="00D64605" w:rsidRDefault="00D45D36" w:rsidP="00D45D36">
      <w:pPr>
        <w:widowControl/>
        <w:spacing w:line="360" w:lineRule="auto"/>
        <w:ind w:firstLine="1440"/>
        <w:rPr>
          <w:rStyle w:val="Hyperlink"/>
          <w:color w:val="000000"/>
          <w:sz w:val="26"/>
          <w:szCs w:val="26"/>
        </w:rPr>
      </w:pPr>
    </w:p>
    <w:p w:rsidR="00D45D36" w:rsidRDefault="00D45D36" w:rsidP="00D45D36">
      <w:pPr>
        <w:widowControl/>
        <w:spacing w:line="360" w:lineRule="auto"/>
        <w:ind w:firstLine="1440"/>
        <w:rPr>
          <w:sz w:val="26"/>
          <w:szCs w:val="26"/>
        </w:rPr>
      </w:pPr>
      <w:r>
        <w:rPr>
          <w:sz w:val="26"/>
          <w:szCs w:val="26"/>
        </w:rPr>
        <w:t>In</w:t>
      </w:r>
      <w:r w:rsidR="00B324A2">
        <w:rPr>
          <w:sz w:val="26"/>
          <w:szCs w:val="26"/>
        </w:rPr>
        <w:t xml:space="preserve"> her Initial Decision, ALJ Long</w:t>
      </w:r>
      <w:r w:rsidR="009E5CA2">
        <w:rPr>
          <w:sz w:val="26"/>
          <w:szCs w:val="26"/>
        </w:rPr>
        <w:t xml:space="preserve"> made forty-three</w:t>
      </w:r>
      <w:r w:rsidRPr="00D64605">
        <w:rPr>
          <w:sz w:val="26"/>
          <w:szCs w:val="26"/>
        </w:rPr>
        <w:t xml:space="preserve"> </w:t>
      </w:r>
      <w:r>
        <w:rPr>
          <w:sz w:val="26"/>
          <w:szCs w:val="26"/>
        </w:rPr>
        <w:t>F</w:t>
      </w:r>
      <w:r w:rsidR="009E5CA2">
        <w:rPr>
          <w:sz w:val="26"/>
          <w:szCs w:val="26"/>
        </w:rPr>
        <w:t>indings of Fact and reached five</w:t>
      </w:r>
      <w:r w:rsidRPr="00D64605">
        <w:rPr>
          <w:sz w:val="26"/>
          <w:szCs w:val="26"/>
        </w:rPr>
        <w:t xml:space="preserve"> Conclus</w:t>
      </w:r>
      <w:r w:rsidR="009E5CA2">
        <w:rPr>
          <w:sz w:val="26"/>
          <w:szCs w:val="26"/>
        </w:rPr>
        <w:t>ions of Law.  I.D. at 2-7, 14-15</w:t>
      </w:r>
      <w:r w:rsidRPr="00D64605">
        <w:rPr>
          <w:sz w:val="26"/>
          <w:szCs w:val="26"/>
        </w:rPr>
        <w:t>.  The Findings of Fact and Conclusions of Law are incorporated herein by reference and are adopted without comment unless they are either expressly or by necessary implication rejected or modified by this Opinion and Order.</w:t>
      </w:r>
    </w:p>
    <w:p w:rsidR="00A339DF" w:rsidRDefault="00A339DF" w:rsidP="00D45D36">
      <w:pPr>
        <w:widowControl/>
        <w:spacing w:line="360" w:lineRule="auto"/>
        <w:ind w:firstLine="1440"/>
        <w:rPr>
          <w:sz w:val="26"/>
          <w:szCs w:val="26"/>
        </w:rPr>
      </w:pPr>
    </w:p>
    <w:p w:rsidR="00A339DF" w:rsidRDefault="00A339DF" w:rsidP="00D45D36">
      <w:pPr>
        <w:widowControl/>
        <w:spacing w:line="360" w:lineRule="auto"/>
        <w:ind w:firstLine="1440"/>
        <w:rPr>
          <w:sz w:val="26"/>
          <w:szCs w:val="26"/>
        </w:rPr>
      </w:pPr>
      <w:r>
        <w:rPr>
          <w:sz w:val="26"/>
          <w:szCs w:val="26"/>
        </w:rPr>
        <w:t>The ALJ found that PGW failed to render reasonable service because it did not effectively explain the consumer’s complicated account history to her.  However, the ALJ further found that the Complainant failed to make regular payments on her account and as such, it was not appropriate to award her a payment arrangement or to require her service to be reinstated.  The ALJ explained that Section 1501 of the Public Utility Code (Code)</w:t>
      </w:r>
      <w:r w:rsidR="0091438C">
        <w:rPr>
          <w:sz w:val="26"/>
          <w:szCs w:val="26"/>
        </w:rPr>
        <w:t>, 66 Pa. C.S. § 1501,</w:t>
      </w:r>
      <w:r>
        <w:rPr>
          <w:sz w:val="26"/>
          <w:szCs w:val="26"/>
        </w:rPr>
        <w:t xml:space="preserve"> requires a public utility to render reasonable service and that the handling of customer inquiries is an important aspect of reasonable service.  The ALJ stated that while PGW attempted to respond to the Complainant’s questions about her balance by sending her account statements, those statements included </w:t>
      </w:r>
      <w:r w:rsidR="0091438C">
        <w:rPr>
          <w:sz w:val="26"/>
          <w:szCs w:val="26"/>
        </w:rPr>
        <w:t xml:space="preserve">balances </w:t>
      </w:r>
      <w:r>
        <w:rPr>
          <w:sz w:val="26"/>
          <w:szCs w:val="26"/>
        </w:rPr>
        <w:t>identified by different account numbers and multiple service agreement numbers.  According to the ALJ, there is no evidence in the record that PGW ever explained to the Complainant</w:t>
      </w:r>
      <w:r w:rsidR="00846C99">
        <w:rPr>
          <w:sz w:val="26"/>
          <w:szCs w:val="26"/>
        </w:rPr>
        <w:t xml:space="preserve"> how to read those statements and why different balances are associated by different account and service agreement numbers.  I.D. at 1, 9-10.</w:t>
      </w:r>
    </w:p>
    <w:p w:rsidR="00972AC2" w:rsidRDefault="00972AC2" w:rsidP="00D45D36">
      <w:pPr>
        <w:widowControl/>
        <w:spacing w:line="360" w:lineRule="auto"/>
        <w:ind w:firstLine="1440"/>
        <w:rPr>
          <w:sz w:val="26"/>
          <w:szCs w:val="26"/>
        </w:rPr>
      </w:pPr>
    </w:p>
    <w:p w:rsidR="00972AC2" w:rsidRDefault="00972AC2" w:rsidP="00D45D36">
      <w:pPr>
        <w:widowControl/>
        <w:spacing w:line="360" w:lineRule="auto"/>
        <w:ind w:firstLine="1440"/>
        <w:rPr>
          <w:sz w:val="26"/>
          <w:szCs w:val="26"/>
        </w:rPr>
      </w:pPr>
      <w:r>
        <w:rPr>
          <w:sz w:val="26"/>
          <w:szCs w:val="26"/>
        </w:rPr>
        <w:lastRenderedPageBreak/>
        <w:t xml:space="preserve">Next, the ALJ directed PGW to </w:t>
      </w:r>
      <w:r w:rsidR="00AF45C7">
        <w:rPr>
          <w:sz w:val="26"/>
          <w:szCs w:val="26"/>
        </w:rPr>
        <w:t>re</w:t>
      </w:r>
      <w:r>
        <w:rPr>
          <w:sz w:val="26"/>
          <w:szCs w:val="26"/>
        </w:rPr>
        <w:t xml:space="preserve">calculate the Complainant’s balance, including the payments recently made by the Complainant, and provide her with a consolidated statement of activity for the last three years </w:t>
      </w:r>
      <w:r w:rsidR="009F75F2">
        <w:rPr>
          <w:sz w:val="26"/>
          <w:szCs w:val="26"/>
        </w:rPr>
        <w:t xml:space="preserve">that </w:t>
      </w:r>
      <w:r>
        <w:rPr>
          <w:sz w:val="26"/>
          <w:szCs w:val="26"/>
        </w:rPr>
        <w:t>clearly shows the Complainant’s account activity and includes a clear statement of her current balance.  The ALJ was particularly concerned that there was no record evidence that PGW ever explained to the Complainant that it was reactivating a 2007 balance from a prior account that had been inactive for nearly three years.  Furthermore, the ALJ stated it was not obvious from the account statements that PGW was splitting the Complainant’s payments between two past due account balances identified by different service agreements.  I.D. at</w:t>
      </w:r>
      <w:r w:rsidR="007D5FC7">
        <w:rPr>
          <w:sz w:val="26"/>
          <w:szCs w:val="26"/>
        </w:rPr>
        <w:t> </w:t>
      </w:r>
      <w:r>
        <w:rPr>
          <w:sz w:val="26"/>
          <w:szCs w:val="26"/>
        </w:rPr>
        <w:t xml:space="preserve">10-11. </w:t>
      </w:r>
    </w:p>
    <w:p w:rsidR="009E5CA2" w:rsidRDefault="009E5CA2" w:rsidP="00D45D36">
      <w:pPr>
        <w:widowControl/>
        <w:spacing w:line="360" w:lineRule="auto"/>
        <w:ind w:firstLine="1440"/>
        <w:rPr>
          <w:sz w:val="26"/>
          <w:szCs w:val="26"/>
        </w:rPr>
      </w:pPr>
    </w:p>
    <w:p w:rsidR="009E5CA2" w:rsidRDefault="00AF45C7" w:rsidP="003358BF">
      <w:pPr>
        <w:spacing w:line="360" w:lineRule="auto"/>
        <w:ind w:firstLine="1440"/>
        <w:rPr>
          <w:sz w:val="26"/>
          <w:szCs w:val="26"/>
        </w:rPr>
      </w:pPr>
      <w:r>
        <w:rPr>
          <w:sz w:val="26"/>
          <w:szCs w:val="26"/>
        </w:rPr>
        <w:t xml:space="preserve">Lastly, the ALJ stated that having concluded that PGW rendered unreasonable service the assessment of a civil penalty was appropriate.  Upon her analysis of the factors  to be considered </w:t>
      </w:r>
      <w:r w:rsidR="00127C2E" w:rsidRPr="00127C2E">
        <w:rPr>
          <w:sz w:val="26"/>
          <w:szCs w:val="26"/>
        </w:rPr>
        <w:t>in evaluating whether a civil penalty for violating a Commission order, regulation or statute is appropriate</w:t>
      </w:r>
      <w:r>
        <w:rPr>
          <w:sz w:val="26"/>
          <w:szCs w:val="26"/>
        </w:rPr>
        <w:t>, as</w:t>
      </w:r>
      <w:r w:rsidR="003358BF">
        <w:rPr>
          <w:sz w:val="26"/>
          <w:szCs w:val="26"/>
        </w:rPr>
        <w:t xml:space="preserve"> </w:t>
      </w:r>
      <w:r>
        <w:rPr>
          <w:sz w:val="26"/>
          <w:szCs w:val="26"/>
        </w:rPr>
        <w:t xml:space="preserve">set </w:t>
      </w:r>
      <w:r w:rsidR="00127C2E">
        <w:rPr>
          <w:sz w:val="26"/>
          <w:szCs w:val="26"/>
        </w:rPr>
        <w:t>forth in the Commission’s Policy Statement at 52 Pa. Code §</w:t>
      </w:r>
      <w:r>
        <w:rPr>
          <w:sz w:val="26"/>
          <w:szCs w:val="26"/>
        </w:rPr>
        <w:t xml:space="preserve"> 69.1201, </w:t>
      </w:r>
      <w:r w:rsidR="008432C8">
        <w:rPr>
          <w:sz w:val="26"/>
          <w:szCs w:val="26"/>
        </w:rPr>
        <w:t>the ALJ found that a civil penalty in the amount of $500 was appropriate for this violation.  I.D. at 11-13.</w:t>
      </w:r>
    </w:p>
    <w:p w:rsidR="004D6FFB" w:rsidRDefault="004D6FFB" w:rsidP="00D45D36">
      <w:pPr>
        <w:widowControl/>
        <w:spacing w:line="360" w:lineRule="auto"/>
        <w:ind w:firstLine="1440"/>
        <w:rPr>
          <w:sz w:val="26"/>
          <w:szCs w:val="26"/>
        </w:rPr>
      </w:pPr>
    </w:p>
    <w:p w:rsidR="008432C8" w:rsidRDefault="008432C8" w:rsidP="008432C8">
      <w:pPr>
        <w:widowControl/>
        <w:spacing w:line="360" w:lineRule="auto"/>
        <w:rPr>
          <w:b/>
          <w:sz w:val="26"/>
          <w:szCs w:val="26"/>
        </w:rPr>
      </w:pPr>
      <w:r>
        <w:rPr>
          <w:b/>
          <w:sz w:val="26"/>
          <w:szCs w:val="26"/>
        </w:rPr>
        <w:t>Exceptions and Replies</w:t>
      </w:r>
    </w:p>
    <w:p w:rsidR="008432C8" w:rsidRDefault="008432C8" w:rsidP="008432C8">
      <w:pPr>
        <w:widowControl/>
        <w:spacing w:line="360" w:lineRule="auto"/>
        <w:rPr>
          <w:sz w:val="26"/>
          <w:szCs w:val="26"/>
        </w:rPr>
      </w:pPr>
    </w:p>
    <w:p w:rsidR="0037134D" w:rsidRDefault="008432C8" w:rsidP="008432C8">
      <w:pPr>
        <w:widowControl/>
        <w:spacing w:line="360" w:lineRule="auto"/>
        <w:rPr>
          <w:sz w:val="26"/>
          <w:szCs w:val="26"/>
        </w:rPr>
      </w:pPr>
      <w:r>
        <w:rPr>
          <w:sz w:val="26"/>
          <w:szCs w:val="26"/>
        </w:rPr>
        <w:tab/>
      </w:r>
      <w:r>
        <w:rPr>
          <w:sz w:val="26"/>
          <w:szCs w:val="26"/>
        </w:rPr>
        <w:tab/>
        <w:t xml:space="preserve">In her Exceptions, </w:t>
      </w:r>
      <w:r w:rsidR="004333C6">
        <w:rPr>
          <w:sz w:val="26"/>
          <w:szCs w:val="26"/>
        </w:rPr>
        <w:t xml:space="preserve">the Complainant states </w:t>
      </w:r>
      <w:r w:rsidR="008B3F81">
        <w:rPr>
          <w:sz w:val="26"/>
          <w:szCs w:val="26"/>
        </w:rPr>
        <w:t xml:space="preserve">that based on </w:t>
      </w:r>
      <w:r w:rsidR="004333C6">
        <w:rPr>
          <w:sz w:val="26"/>
          <w:szCs w:val="26"/>
        </w:rPr>
        <w:t>her understanding</w:t>
      </w:r>
      <w:r w:rsidR="008B3F81">
        <w:rPr>
          <w:sz w:val="26"/>
          <w:szCs w:val="26"/>
        </w:rPr>
        <w:t>,</w:t>
      </w:r>
      <w:r w:rsidR="004333C6">
        <w:rPr>
          <w:sz w:val="26"/>
          <w:szCs w:val="26"/>
        </w:rPr>
        <w:t xml:space="preserve"> her account in 2007 was terminated for non-payment and the balance of $16,979.76 on that account ending in 3689 was written off by PGW.</w:t>
      </w:r>
      <w:r w:rsidR="00AE77CF">
        <w:rPr>
          <w:sz w:val="26"/>
          <w:szCs w:val="26"/>
        </w:rPr>
        <w:t xml:space="preserve">  The Complainant </w:t>
      </w:r>
      <w:r w:rsidR="008B3F81">
        <w:rPr>
          <w:sz w:val="26"/>
          <w:szCs w:val="26"/>
        </w:rPr>
        <w:t>a</w:t>
      </w:r>
      <w:r w:rsidR="00AE77CF">
        <w:rPr>
          <w:sz w:val="26"/>
          <w:szCs w:val="26"/>
        </w:rPr>
        <w:t>s</w:t>
      </w:r>
      <w:r w:rsidR="008B3F81">
        <w:rPr>
          <w:sz w:val="26"/>
          <w:szCs w:val="26"/>
        </w:rPr>
        <w:t>ks</w:t>
      </w:r>
      <w:r w:rsidR="00AE77CF">
        <w:rPr>
          <w:sz w:val="26"/>
          <w:szCs w:val="26"/>
        </w:rPr>
        <w:t xml:space="preserve"> why this balance was reactivated in 2010, nearly three years after PGW sent it to write-off. </w:t>
      </w:r>
      <w:r w:rsidR="0037134D">
        <w:rPr>
          <w:sz w:val="26"/>
          <w:szCs w:val="26"/>
        </w:rPr>
        <w:t xml:space="preserve">  The Complainant also </w:t>
      </w:r>
      <w:r w:rsidR="008B3F81">
        <w:rPr>
          <w:sz w:val="26"/>
          <w:szCs w:val="26"/>
        </w:rPr>
        <w:t>asks</w:t>
      </w:r>
      <w:r w:rsidR="0037134D">
        <w:rPr>
          <w:sz w:val="26"/>
          <w:szCs w:val="26"/>
        </w:rPr>
        <w:t xml:space="preserve"> why she was not informed that the 3689 account was added to </w:t>
      </w:r>
      <w:r w:rsidR="008B3F81">
        <w:rPr>
          <w:sz w:val="26"/>
          <w:szCs w:val="26"/>
        </w:rPr>
        <w:t xml:space="preserve">a </w:t>
      </w:r>
      <w:r w:rsidR="0037134D">
        <w:rPr>
          <w:sz w:val="26"/>
          <w:szCs w:val="26"/>
        </w:rPr>
        <w:t>new account ending in 1860 and questions why her payments on her latter account were being applied to the balance on her closed account.  According to the Complainant, from January 2009 until service was terminated</w:t>
      </w:r>
      <w:r w:rsidR="008B3F81">
        <w:rPr>
          <w:sz w:val="26"/>
          <w:szCs w:val="26"/>
        </w:rPr>
        <w:t>,</w:t>
      </w:r>
      <w:r w:rsidR="0037134D">
        <w:rPr>
          <w:sz w:val="26"/>
          <w:szCs w:val="26"/>
        </w:rPr>
        <w:t xml:space="preserve"> she made sixteen payments totaling $5,334.86 and received $800 in grants</w:t>
      </w:r>
      <w:r w:rsidR="007D5FC7">
        <w:rPr>
          <w:sz w:val="26"/>
          <w:szCs w:val="26"/>
        </w:rPr>
        <w:t xml:space="preserve">.  She </w:t>
      </w:r>
      <w:r w:rsidR="0037134D">
        <w:rPr>
          <w:sz w:val="26"/>
          <w:szCs w:val="26"/>
        </w:rPr>
        <w:t>questions where that money went.  Exc</w:t>
      </w:r>
      <w:r w:rsidR="008B3F81">
        <w:rPr>
          <w:sz w:val="26"/>
          <w:szCs w:val="26"/>
        </w:rPr>
        <w:t>.</w:t>
      </w:r>
      <w:r w:rsidR="0037134D">
        <w:rPr>
          <w:sz w:val="26"/>
          <w:szCs w:val="26"/>
        </w:rPr>
        <w:t xml:space="preserve"> at 1.</w:t>
      </w:r>
    </w:p>
    <w:p w:rsidR="008432C8" w:rsidRDefault="0037134D" w:rsidP="00727F12">
      <w:pPr>
        <w:widowControl/>
        <w:spacing w:line="360" w:lineRule="auto"/>
        <w:ind w:firstLine="1440"/>
        <w:rPr>
          <w:i/>
          <w:sz w:val="26"/>
          <w:szCs w:val="26"/>
        </w:rPr>
      </w:pPr>
      <w:r>
        <w:rPr>
          <w:sz w:val="26"/>
          <w:szCs w:val="26"/>
        </w:rPr>
        <w:lastRenderedPageBreak/>
        <w:t xml:space="preserve">The Complainant maintains that her balance on her new account ending in 1860 is $4,982.05, but she made sixteen payments totaling $5,334.86.  </w:t>
      </w:r>
      <w:r w:rsidR="00727F12">
        <w:rPr>
          <w:sz w:val="26"/>
          <w:szCs w:val="26"/>
        </w:rPr>
        <w:t xml:space="preserve">She </w:t>
      </w:r>
      <w:r w:rsidR="002A5BDF">
        <w:rPr>
          <w:sz w:val="26"/>
          <w:szCs w:val="26"/>
        </w:rPr>
        <w:t xml:space="preserve">questions </w:t>
      </w:r>
      <w:r w:rsidR="00727F12">
        <w:rPr>
          <w:sz w:val="26"/>
          <w:szCs w:val="26"/>
        </w:rPr>
        <w:t xml:space="preserve">her new account </w:t>
      </w:r>
      <w:r w:rsidR="002A5BDF">
        <w:rPr>
          <w:sz w:val="26"/>
          <w:szCs w:val="26"/>
        </w:rPr>
        <w:t xml:space="preserve">balance because she claims she </w:t>
      </w:r>
      <w:r w:rsidR="00727F12">
        <w:rPr>
          <w:sz w:val="26"/>
          <w:szCs w:val="26"/>
        </w:rPr>
        <w:t xml:space="preserve">paid more than the balance of this account.  The Complainant states that she has a sick brother living with her and needs to know what she needs to do to </w:t>
      </w:r>
      <w:r w:rsidR="00F42183">
        <w:rPr>
          <w:sz w:val="26"/>
          <w:szCs w:val="26"/>
        </w:rPr>
        <w:t xml:space="preserve">obtain </w:t>
      </w:r>
      <w:r w:rsidR="00727F12">
        <w:rPr>
          <w:sz w:val="26"/>
          <w:szCs w:val="26"/>
        </w:rPr>
        <w:t xml:space="preserve">gas </w:t>
      </w:r>
      <w:r w:rsidR="00F42183">
        <w:rPr>
          <w:sz w:val="26"/>
          <w:szCs w:val="26"/>
        </w:rPr>
        <w:t xml:space="preserve">service </w:t>
      </w:r>
      <w:r w:rsidR="00727F12">
        <w:rPr>
          <w:sz w:val="26"/>
          <w:szCs w:val="26"/>
        </w:rPr>
        <w:t>for th</w:t>
      </w:r>
      <w:r w:rsidR="00F42183">
        <w:rPr>
          <w:sz w:val="26"/>
          <w:szCs w:val="26"/>
        </w:rPr>
        <w:t>e</w:t>
      </w:r>
      <w:r w:rsidR="00727F12">
        <w:rPr>
          <w:sz w:val="26"/>
          <w:szCs w:val="26"/>
        </w:rPr>
        <w:t xml:space="preserve"> winter.  </w:t>
      </w:r>
      <w:r w:rsidR="00727F12">
        <w:rPr>
          <w:i/>
          <w:sz w:val="26"/>
          <w:szCs w:val="26"/>
        </w:rPr>
        <w:t>Id.</w:t>
      </w:r>
    </w:p>
    <w:p w:rsidR="00FC787C" w:rsidRDefault="00FC787C" w:rsidP="00727F12">
      <w:pPr>
        <w:widowControl/>
        <w:spacing w:line="360" w:lineRule="auto"/>
        <w:ind w:firstLine="1440"/>
        <w:rPr>
          <w:i/>
          <w:sz w:val="26"/>
          <w:szCs w:val="26"/>
        </w:rPr>
      </w:pPr>
    </w:p>
    <w:p w:rsidR="00040B8A" w:rsidRDefault="00FC787C" w:rsidP="00727F12">
      <w:pPr>
        <w:widowControl/>
        <w:spacing w:line="360" w:lineRule="auto"/>
        <w:ind w:firstLine="1440"/>
        <w:rPr>
          <w:sz w:val="26"/>
          <w:szCs w:val="26"/>
        </w:rPr>
      </w:pPr>
      <w:r>
        <w:rPr>
          <w:sz w:val="26"/>
          <w:szCs w:val="26"/>
        </w:rPr>
        <w:t xml:space="preserve">In its </w:t>
      </w:r>
      <w:r w:rsidR="00C57CB4">
        <w:rPr>
          <w:sz w:val="26"/>
          <w:szCs w:val="26"/>
        </w:rPr>
        <w:t>first Exception</w:t>
      </w:r>
      <w:r>
        <w:rPr>
          <w:sz w:val="26"/>
          <w:szCs w:val="26"/>
        </w:rPr>
        <w:t xml:space="preserve">, PGW </w:t>
      </w:r>
      <w:r w:rsidR="00AB32DF">
        <w:rPr>
          <w:sz w:val="26"/>
          <w:szCs w:val="26"/>
        </w:rPr>
        <w:t>excepts to the finding that the Company failed to provide the Complainant with reasonable service pursuant to Section 1501</w:t>
      </w:r>
      <w:r w:rsidR="00627E49">
        <w:rPr>
          <w:sz w:val="26"/>
          <w:szCs w:val="26"/>
        </w:rPr>
        <w:t xml:space="preserve"> of the Code</w:t>
      </w:r>
      <w:r w:rsidR="00695209">
        <w:rPr>
          <w:sz w:val="26"/>
          <w:szCs w:val="26"/>
        </w:rPr>
        <w:t>.  PGW states that the eviden</w:t>
      </w:r>
      <w:r w:rsidR="00AB32DF">
        <w:rPr>
          <w:sz w:val="26"/>
          <w:szCs w:val="26"/>
        </w:rPr>
        <w:t>ce in this matter shows that the Complainant ha</w:t>
      </w:r>
      <w:r w:rsidR="00F42183">
        <w:rPr>
          <w:sz w:val="26"/>
          <w:szCs w:val="26"/>
        </w:rPr>
        <w:t>d</w:t>
      </w:r>
      <w:r w:rsidR="00AB32DF">
        <w:rPr>
          <w:sz w:val="26"/>
          <w:szCs w:val="26"/>
        </w:rPr>
        <w:t xml:space="preserve"> been furnished with more than reasonable service with regard to attempting to help her understand her account since at least 2010.  PGW notes that while the ALJ acknowledged the “troubled history” the Complainant ha</w:t>
      </w:r>
      <w:r w:rsidR="00F42183">
        <w:rPr>
          <w:sz w:val="26"/>
          <w:szCs w:val="26"/>
        </w:rPr>
        <w:t>d</w:t>
      </w:r>
      <w:r w:rsidR="00AB32DF">
        <w:rPr>
          <w:sz w:val="26"/>
          <w:szCs w:val="26"/>
        </w:rPr>
        <w:t xml:space="preserve"> with the Company</w:t>
      </w:r>
      <w:r w:rsidR="001F11EC">
        <w:rPr>
          <w:sz w:val="26"/>
          <w:szCs w:val="26"/>
        </w:rPr>
        <w:t>, s</w:t>
      </w:r>
      <w:r w:rsidR="00AB32DF">
        <w:rPr>
          <w:sz w:val="26"/>
          <w:szCs w:val="26"/>
        </w:rPr>
        <w:t xml:space="preserve">he failed to recognize the difficulties it poses and the efforts that PGW has made in answering the Complainant’s questions and responding to her requests for information.  According to PGW, </w:t>
      </w:r>
      <w:r w:rsidR="001F11EC">
        <w:rPr>
          <w:sz w:val="26"/>
          <w:szCs w:val="26"/>
        </w:rPr>
        <w:t>its E</w:t>
      </w:r>
      <w:r w:rsidR="00F01567">
        <w:rPr>
          <w:sz w:val="26"/>
          <w:szCs w:val="26"/>
        </w:rPr>
        <w:t>xhibit No. 2 shows that between 2010 and 2011, the Complainant discussed her account with PGW on at least seven occasions</w:t>
      </w:r>
      <w:r w:rsidR="008F4076">
        <w:rPr>
          <w:sz w:val="26"/>
          <w:szCs w:val="26"/>
        </w:rPr>
        <w:t xml:space="preserve">.  In addition, the Complainant </w:t>
      </w:r>
      <w:r w:rsidR="00F01567">
        <w:rPr>
          <w:sz w:val="26"/>
          <w:szCs w:val="26"/>
        </w:rPr>
        <w:t xml:space="preserve"> made three visits to district offices</w:t>
      </w:r>
      <w:r w:rsidR="001F11EC">
        <w:rPr>
          <w:sz w:val="26"/>
          <w:szCs w:val="26"/>
        </w:rPr>
        <w:t xml:space="preserve"> and</w:t>
      </w:r>
      <w:r w:rsidR="00F01567">
        <w:rPr>
          <w:sz w:val="26"/>
          <w:szCs w:val="26"/>
        </w:rPr>
        <w:t xml:space="preserve"> </w:t>
      </w:r>
      <w:r w:rsidR="001F11EC">
        <w:rPr>
          <w:sz w:val="26"/>
          <w:szCs w:val="26"/>
        </w:rPr>
        <w:t>made</w:t>
      </w:r>
      <w:r w:rsidR="00F01567">
        <w:rPr>
          <w:sz w:val="26"/>
          <w:szCs w:val="26"/>
        </w:rPr>
        <w:t xml:space="preserve"> four phone calls</w:t>
      </w:r>
      <w:r w:rsidR="008F4076">
        <w:rPr>
          <w:sz w:val="26"/>
          <w:szCs w:val="26"/>
        </w:rPr>
        <w:t xml:space="preserve"> to PGW</w:t>
      </w:r>
      <w:r w:rsidR="00F01567">
        <w:rPr>
          <w:sz w:val="26"/>
          <w:szCs w:val="26"/>
        </w:rPr>
        <w:t>.</w:t>
      </w:r>
      <w:r w:rsidR="00F33F70">
        <w:rPr>
          <w:sz w:val="26"/>
          <w:szCs w:val="26"/>
        </w:rPr>
        <w:t xml:space="preserve">  PGW explains that one of the phone calls </w:t>
      </w:r>
      <w:r w:rsidR="00627E49">
        <w:rPr>
          <w:sz w:val="26"/>
          <w:szCs w:val="26"/>
        </w:rPr>
        <w:t xml:space="preserve">was </w:t>
      </w:r>
      <w:r w:rsidR="00F33F70">
        <w:rPr>
          <w:sz w:val="26"/>
          <w:szCs w:val="26"/>
        </w:rPr>
        <w:t xml:space="preserve">a settlement conference where the particulars of Ms. Mintz’ account and balance were explained to her.  </w:t>
      </w:r>
      <w:r w:rsidR="00F33F70">
        <w:rPr>
          <w:i/>
          <w:sz w:val="26"/>
          <w:szCs w:val="26"/>
        </w:rPr>
        <w:t xml:space="preserve">See </w:t>
      </w:r>
      <w:r w:rsidR="00F33F70">
        <w:rPr>
          <w:sz w:val="26"/>
          <w:szCs w:val="26"/>
        </w:rPr>
        <w:t xml:space="preserve">Tr. at 34-36.  Also, PGW points out that in September  2010 and September 2014, the Complainant received copies of her account statements and did not contact the Company for any explanation of these documents.  In fact, PGW asserts that on October 7, 2014, the Complainant visited a district office with her </w:t>
      </w:r>
      <w:r w:rsidR="008F4076">
        <w:rPr>
          <w:sz w:val="26"/>
          <w:szCs w:val="26"/>
        </w:rPr>
        <w:t xml:space="preserve">billing </w:t>
      </w:r>
      <w:r w:rsidR="00F33F70">
        <w:rPr>
          <w:sz w:val="26"/>
          <w:szCs w:val="26"/>
        </w:rPr>
        <w:t xml:space="preserve">statement and had it explained to her in person.  </w:t>
      </w:r>
      <w:r w:rsidR="00E80A6D">
        <w:rPr>
          <w:sz w:val="26"/>
          <w:szCs w:val="26"/>
        </w:rPr>
        <w:t xml:space="preserve">PGW </w:t>
      </w:r>
      <w:r w:rsidR="00F33F70">
        <w:rPr>
          <w:sz w:val="26"/>
          <w:szCs w:val="26"/>
        </w:rPr>
        <w:t>Exc. at 4-5.</w:t>
      </w:r>
    </w:p>
    <w:p w:rsidR="00B91293" w:rsidRDefault="00B91293" w:rsidP="00727F12">
      <w:pPr>
        <w:widowControl/>
        <w:spacing w:line="360" w:lineRule="auto"/>
        <w:ind w:firstLine="1440"/>
        <w:rPr>
          <w:sz w:val="26"/>
          <w:szCs w:val="26"/>
        </w:rPr>
      </w:pPr>
    </w:p>
    <w:p w:rsidR="001F11EC" w:rsidRDefault="001F11EC" w:rsidP="00727F12">
      <w:pPr>
        <w:widowControl/>
        <w:spacing w:line="360" w:lineRule="auto"/>
        <w:ind w:firstLine="1440"/>
        <w:rPr>
          <w:sz w:val="26"/>
          <w:szCs w:val="26"/>
        </w:rPr>
      </w:pPr>
      <w:r>
        <w:rPr>
          <w:sz w:val="26"/>
          <w:szCs w:val="26"/>
        </w:rPr>
        <w:t xml:space="preserve">PGW </w:t>
      </w:r>
      <w:r w:rsidR="008F4076">
        <w:rPr>
          <w:sz w:val="26"/>
          <w:szCs w:val="26"/>
        </w:rPr>
        <w:t>avers</w:t>
      </w:r>
      <w:r>
        <w:rPr>
          <w:sz w:val="26"/>
          <w:szCs w:val="26"/>
        </w:rPr>
        <w:t xml:space="preserve"> that after numerous contacts with the Complainant, two formal complaints and a hearing where the Complainant was </w:t>
      </w:r>
      <w:r w:rsidR="006E1FCC">
        <w:rPr>
          <w:sz w:val="26"/>
          <w:szCs w:val="26"/>
        </w:rPr>
        <w:t>questioned</w:t>
      </w:r>
      <w:r w:rsidR="008F4076">
        <w:rPr>
          <w:sz w:val="26"/>
          <w:szCs w:val="26"/>
        </w:rPr>
        <w:t xml:space="preserve">, </w:t>
      </w:r>
      <w:r>
        <w:rPr>
          <w:sz w:val="26"/>
          <w:szCs w:val="26"/>
        </w:rPr>
        <w:t xml:space="preserve">there </w:t>
      </w:r>
      <w:r w:rsidR="00140AA9">
        <w:rPr>
          <w:sz w:val="26"/>
          <w:szCs w:val="26"/>
        </w:rPr>
        <w:t xml:space="preserve">still </w:t>
      </w:r>
      <w:r>
        <w:rPr>
          <w:sz w:val="26"/>
          <w:szCs w:val="26"/>
        </w:rPr>
        <w:t xml:space="preserve">is no indication as to what the Complainant does not understand about her bill.  </w:t>
      </w:r>
      <w:r w:rsidR="00140AA9">
        <w:rPr>
          <w:sz w:val="26"/>
          <w:szCs w:val="26"/>
        </w:rPr>
        <w:t xml:space="preserve">In response to the </w:t>
      </w:r>
      <w:r>
        <w:rPr>
          <w:sz w:val="26"/>
          <w:szCs w:val="26"/>
        </w:rPr>
        <w:t>ALJ</w:t>
      </w:r>
      <w:r w:rsidR="00140AA9">
        <w:rPr>
          <w:sz w:val="26"/>
          <w:szCs w:val="26"/>
        </w:rPr>
        <w:t>’s</w:t>
      </w:r>
      <w:r>
        <w:rPr>
          <w:sz w:val="26"/>
          <w:szCs w:val="26"/>
        </w:rPr>
        <w:t xml:space="preserve"> refer</w:t>
      </w:r>
      <w:r w:rsidR="00140AA9">
        <w:rPr>
          <w:sz w:val="26"/>
          <w:szCs w:val="26"/>
        </w:rPr>
        <w:t>ence t</w:t>
      </w:r>
      <w:r>
        <w:rPr>
          <w:sz w:val="26"/>
          <w:szCs w:val="26"/>
        </w:rPr>
        <w:t xml:space="preserve">o the Complainant’s account as a “scramble of records” </w:t>
      </w:r>
      <w:r w:rsidR="00140AA9">
        <w:rPr>
          <w:sz w:val="26"/>
          <w:szCs w:val="26"/>
        </w:rPr>
        <w:t xml:space="preserve">that </w:t>
      </w:r>
      <w:r>
        <w:rPr>
          <w:sz w:val="26"/>
          <w:szCs w:val="26"/>
        </w:rPr>
        <w:t xml:space="preserve">are inscrutable to the average customer, </w:t>
      </w:r>
      <w:r w:rsidR="00140AA9">
        <w:rPr>
          <w:sz w:val="26"/>
          <w:szCs w:val="26"/>
        </w:rPr>
        <w:t xml:space="preserve">PGW submits that </w:t>
      </w:r>
      <w:r>
        <w:rPr>
          <w:sz w:val="26"/>
          <w:szCs w:val="26"/>
        </w:rPr>
        <w:t xml:space="preserve">the average customer does not </w:t>
      </w:r>
      <w:r>
        <w:rPr>
          <w:sz w:val="26"/>
          <w:szCs w:val="26"/>
        </w:rPr>
        <w:lastRenderedPageBreak/>
        <w:t>have a scramble of records for their account</w:t>
      </w:r>
      <w:r w:rsidR="00140AA9">
        <w:rPr>
          <w:sz w:val="26"/>
          <w:szCs w:val="26"/>
        </w:rPr>
        <w:t xml:space="preserve"> and </w:t>
      </w:r>
      <w:r>
        <w:rPr>
          <w:sz w:val="26"/>
          <w:szCs w:val="26"/>
        </w:rPr>
        <w:t xml:space="preserve">nor do they have the “troubled history” that the Complainant has.  </w:t>
      </w:r>
      <w:r w:rsidR="00E80A6D">
        <w:rPr>
          <w:sz w:val="26"/>
          <w:szCs w:val="26"/>
        </w:rPr>
        <w:t>According to PGW, the evidence shows that given the Complainant’s account history as well as the lack of information from the Complainant regarding what she was having trouble with, the Company has provided reasonable service with respect to responding to the Complainant’s inquiries.  PGW Exc. at 6.</w:t>
      </w:r>
    </w:p>
    <w:p w:rsidR="00C57CB4" w:rsidRDefault="00C57CB4" w:rsidP="00727F12">
      <w:pPr>
        <w:widowControl/>
        <w:spacing w:line="360" w:lineRule="auto"/>
        <w:ind w:firstLine="1440"/>
        <w:rPr>
          <w:sz w:val="26"/>
          <w:szCs w:val="26"/>
        </w:rPr>
      </w:pPr>
    </w:p>
    <w:p w:rsidR="00C57CB4" w:rsidRDefault="00C57CB4" w:rsidP="00727F12">
      <w:pPr>
        <w:widowControl/>
        <w:spacing w:line="360" w:lineRule="auto"/>
        <w:ind w:firstLine="1440"/>
        <w:rPr>
          <w:sz w:val="26"/>
          <w:szCs w:val="26"/>
        </w:rPr>
      </w:pPr>
      <w:r>
        <w:rPr>
          <w:sz w:val="26"/>
          <w:szCs w:val="26"/>
        </w:rPr>
        <w:t xml:space="preserve">In its second Exception, PGW disagrees with the finding that a civil penalty in the amount of $500 is appropriate.  </w:t>
      </w:r>
      <w:r w:rsidR="00330625">
        <w:rPr>
          <w:sz w:val="26"/>
          <w:szCs w:val="26"/>
        </w:rPr>
        <w:t xml:space="preserve">PGW asserts that </w:t>
      </w:r>
      <w:r w:rsidR="00373206">
        <w:rPr>
          <w:sz w:val="26"/>
          <w:szCs w:val="26"/>
        </w:rPr>
        <w:t xml:space="preserve">the penalty would not be appropriate </w:t>
      </w:r>
      <w:r w:rsidR="00330625">
        <w:rPr>
          <w:sz w:val="26"/>
          <w:szCs w:val="26"/>
        </w:rPr>
        <w:t>even if the Commission were to deny its Exception with regard to whether there was a violation of Section 1501.  PGW states that it is aware of the need for communication with its customers and avers that the Company is available to them around the clock.  According to PGW, the evidence in this case</w:t>
      </w:r>
      <w:r w:rsidR="00917848">
        <w:rPr>
          <w:sz w:val="26"/>
          <w:szCs w:val="26"/>
        </w:rPr>
        <w:t xml:space="preserve"> speaks to PGW’s commitment to open lines of communication and its desire to ensure that all customers understand their obligations and are satisfied with their service.  As such, PGW requests that the Commission dismiss the Complaint and find that </w:t>
      </w:r>
      <w:r w:rsidR="007E75AE">
        <w:rPr>
          <w:sz w:val="26"/>
          <w:szCs w:val="26"/>
        </w:rPr>
        <w:t>it</w:t>
      </w:r>
      <w:r w:rsidR="00917848">
        <w:rPr>
          <w:sz w:val="26"/>
          <w:szCs w:val="26"/>
        </w:rPr>
        <w:t xml:space="preserve"> is not in violation of any section of the Code in this matter.  PGW Exc. at 6-8.</w:t>
      </w:r>
    </w:p>
    <w:p w:rsidR="00B25E68" w:rsidRDefault="00B25E68" w:rsidP="00727F12">
      <w:pPr>
        <w:widowControl/>
        <w:spacing w:line="360" w:lineRule="auto"/>
        <w:ind w:firstLine="1440"/>
        <w:rPr>
          <w:sz w:val="26"/>
          <w:szCs w:val="26"/>
        </w:rPr>
      </w:pPr>
    </w:p>
    <w:p w:rsidR="00494E10" w:rsidRDefault="007679C3" w:rsidP="00727F12">
      <w:pPr>
        <w:widowControl/>
        <w:spacing w:line="360" w:lineRule="auto"/>
        <w:ind w:firstLine="1440"/>
        <w:rPr>
          <w:sz w:val="26"/>
          <w:szCs w:val="26"/>
        </w:rPr>
      </w:pPr>
      <w:r>
        <w:rPr>
          <w:sz w:val="26"/>
          <w:szCs w:val="26"/>
        </w:rPr>
        <w:t xml:space="preserve">In its Replies to the Exceptions submitted by the Complainant, PGW states that her Exceptions fail to address any error in fact or law contained in the Initial Decision </w:t>
      </w:r>
      <w:r w:rsidR="006E1FCC">
        <w:rPr>
          <w:sz w:val="26"/>
          <w:szCs w:val="26"/>
        </w:rPr>
        <w:t>refuting</w:t>
      </w:r>
      <w:r>
        <w:rPr>
          <w:sz w:val="26"/>
          <w:szCs w:val="26"/>
        </w:rPr>
        <w:t xml:space="preserve"> the conclusion that PGW is entitled to a judgment as a matter of law.</w:t>
      </w:r>
      <w:r w:rsidR="00AC3655">
        <w:rPr>
          <w:sz w:val="26"/>
          <w:szCs w:val="26"/>
        </w:rPr>
        <w:t xml:space="preserve">  PGW notes that the Complainant</w:t>
      </w:r>
      <w:r w:rsidR="007E75AE">
        <w:rPr>
          <w:sz w:val="26"/>
          <w:szCs w:val="26"/>
        </w:rPr>
        <w:t xml:space="preserve"> states in her</w:t>
      </w:r>
      <w:r w:rsidR="00AC3655">
        <w:rPr>
          <w:sz w:val="26"/>
          <w:szCs w:val="26"/>
        </w:rPr>
        <w:t xml:space="preserve"> Exceptions that she does not understand her balance, raises matters not raised in her Complaint</w:t>
      </w:r>
      <w:r w:rsidR="007E75AE">
        <w:rPr>
          <w:sz w:val="26"/>
          <w:szCs w:val="26"/>
        </w:rPr>
        <w:t xml:space="preserve">, </w:t>
      </w:r>
      <w:r w:rsidR="00AC3655">
        <w:rPr>
          <w:sz w:val="26"/>
          <w:szCs w:val="26"/>
        </w:rPr>
        <w:t xml:space="preserve"> and asks how to get her gas turned on.  PGW opines that these Exceptions fail to demonstrate that the Initial Decision is </w:t>
      </w:r>
      <w:r w:rsidR="007E75AE">
        <w:rPr>
          <w:sz w:val="26"/>
          <w:szCs w:val="26"/>
        </w:rPr>
        <w:t>not s</w:t>
      </w:r>
      <w:r w:rsidR="00AC3655">
        <w:rPr>
          <w:sz w:val="26"/>
          <w:szCs w:val="26"/>
        </w:rPr>
        <w:t xml:space="preserve">upported by substantial evidence.  PGW further </w:t>
      </w:r>
      <w:r w:rsidR="00706762">
        <w:rPr>
          <w:sz w:val="26"/>
          <w:szCs w:val="26"/>
        </w:rPr>
        <w:t>contends</w:t>
      </w:r>
      <w:r w:rsidR="00AC3655">
        <w:rPr>
          <w:sz w:val="26"/>
          <w:szCs w:val="26"/>
        </w:rPr>
        <w:t xml:space="preserve"> that the record shows that the Complainant failed to meet </w:t>
      </w:r>
      <w:r w:rsidR="00706762">
        <w:rPr>
          <w:sz w:val="26"/>
          <w:szCs w:val="26"/>
        </w:rPr>
        <w:t xml:space="preserve">her </w:t>
      </w:r>
      <w:r w:rsidR="00AC3655">
        <w:rPr>
          <w:sz w:val="26"/>
          <w:szCs w:val="26"/>
        </w:rPr>
        <w:t xml:space="preserve">burden of proof necessary to support her allegations in the Complaint.  PGW notes that the </w:t>
      </w:r>
      <w:r w:rsidR="00706762">
        <w:rPr>
          <w:sz w:val="26"/>
          <w:szCs w:val="26"/>
        </w:rPr>
        <w:t xml:space="preserve">ALJ even held the </w:t>
      </w:r>
      <w:r w:rsidR="00AC3655">
        <w:rPr>
          <w:sz w:val="26"/>
          <w:szCs w:val="26"/>
        </w:rPr>
        <w:t>record open to permit the Complainant to file a late-filed exhibit to help support her claims.  Despite this fact, PGW asserts that the Complainant failed to sustain her burden of proof regarding her request for a payment arrangement.  PGW R. Exc. at 2.</w:t>
      </w:r>
    </w:p>
    <w:p w:rsidR="00494E10" w:rsidRDefault="00494E10" w:rsidP="00727F12">
      <w:pPr>
        <w:widowControl/>
        <w:spacing w:line="360" w:lineRule="auto"/>
        <w:ind w:firstLine="1440"/>
        <w:rPr>
          <w:sz w:val="26"/>
          <w:szCs w:val="26"/>
        </w:rPr>
      </w:pPr>
    </w:p>
    <w:p w:rsidR="00494E10" w:rsidRDefault="00494E10" w:rsidP="00706762">
      <w:pPr>
        <w:keepNext/>
        <w:keepLines/>
        <w:widowControl/>
        <w:spacing w:line="360" w:lineRule="auto"/>
        <w:rPr>
          <w:b/>
          <w:sz w:val="26"/>
          <w:szCs w:val="26"/>
        </w:rPr>
      </w:pPr>
      <w:r>
        <w:rPr>
          <w:b/>
          <w:sz w:val="26"/>
          <w:szCs w:val="26"/>
        </w:rPr>
        <w:t>Disposition</w:t>
      </w:r>
    </w:p>
    <w:p w:rsidR="00494E10" w:rsidRDefault="00494E10" w:rsidP="00706762">
      <w:pPr>
        <w:keepNext/>
        <w:keepLines/>
        <w:widowControl/>
        <w:spacing w:line="360" w:lineRule="auto"/>
        <w:rPr>
          <w:b/>
          <w:sz w:val="26"/>
          <w:szCs w:val="26"/>
        </w:rPr>
      </w:pPr>
    </w:p>
    <w:p w:rsidR="0003667A" w:rsidRDefault="00494E10" w:rsidP="00494E10">
      <w:pPr>
        <w:widowControl/>
        <w:spacing w:line="360" w:lineRule="auto"/>
        <w:rPr>
          <w:sz w:val="26"/>
          <w:szCs w:val="26"/>
        </w:rPr>
      </w:pPr>
      <w:r>
        <w:rPr>
          <w:sz w:val="26"/>
          <w:szCs w:val="26"/>
        </w:rPr>
        <w:tab/>
      </w:r>
      <w:r>
        <w:rPr>
          <w:sz w:val="26"/>
          <w:szCs w:val="26"/>
        </w:rPr>
        <w:tab/>
        <w:t xml:space="preserve">Based upon our review of the evidence of record, the Initial Decision and the Exceptions and Replies thereto, </w:t>
      </w:r>
      <w:r w:rsidR="007A5F8C">
        <w:rPr>
          <w:sz w:val="26"/>
          <w:szCs w:val="26"/>
        </w:rPr>
        <w:t xml:space="preserve">we conclude that the Complainant’s Exceptions lack merit.  Furthermore, </w:t>
      </w:r>
      <w:r w:rsidR="00706762">
        <w:rPr>
          <w:sz w:val="26"/>
          <w:szCs w:val="26"/>
        </w:rPr>
        <w:t xml:space="preserve">contrary to the ALJ’s finding, </w:t>
      </w:r>
      <w:r>
        <w:rPr>
          <w:sz w:val="26"/>
          <w:szCs w:val="26"/>
        </w:rPr>
        <w:t xml:space="preserve">we are </w:t>
      </w:r>
      <w:r w:rsidR="00706762">
        <w:rPr>
          <w:sz w:val="26"/>
          <w:szCs w:val="26"/>
        </w:rPr>
        <w:t xml:space="preserve">persuaded </w:t>
      </w:r>
      <w:r>
        <w:rPr>
          <w:sz w:val="26"/>
          <w:szCs w:val="26"/>
        </w:rPr>
        <w:t xml:space="preserve">by </w:t>
      </w:r>
      <w:r w:rsidR="00F3439F">
        <w:rPr>
          <w:sz w:val="26"/>
          <w:szCs w:val="26"/>
        </w:rPr>
        <w:t>PGW</w:t>
      </w:r>
      <w:r w:rsidR="00706762">
        <w:rPr>
          <w:sz w:val="26"/>
          <w:szCs w:val="26"/>
        </w:rPr>
        <w:t xml:space="preserve">’s position </w:t>
      </w:r>
      <w:r>
        <w:rPr>
          <w:sz w:val="26"/>
          <w:szCs w:val="26"/>
        </w:rPr>
        <w:t xml:space="preserve"> that the </w:t>
      </w:r>
      <w:r w:rsidR="009D5968">
        <w:rPr>
          <w:sz w:val="26"/>
          <w:szCs w:val="26"/>
        </w:rPr>
        <w:t xml:space="preserve">Company’s </w:t>
      </w:r>
      <w:r>
        <w:rPr>
          <w:sz w:val="26"/>
          <w:szCs w:val="26"/>
        </w:rPr>
        <w:t xml:space="preserve">actions </w:t>
      </w:r>
      <w:r w:rsidR="00AF1831">
        <w:rPr>
          <w:sz w:val="26"/>
          <w:szCs w:val="26"/>
        </w:rPr>
        <w:t>in this matter do</w:t>
      </w:r>
      <w:r>
        <w:rPr>
          <w:sz w:val="26"/>
          <w:szCs w:val="26"/>
        </w:rPr>
        <w:t xml:space="preserve"> not rise to the </w:t>
      </w:r>
      <w:r w:rsidR="00196582">
        <w:rPr>
          <w:sz w:val="26"/>
          <w:szCs w:val="26"/>
        </w:rPr>
        <w:t>level of a finding</w:t>
      </w:r>
      <w:r w:rsidR="00F3439F">
        <w:rPr>
          <w:sz w:val="26"/>
          <w:szCs w:val="26"/>
        </w:rPr>
        <w:t xml:space="preserve"> </w:t>
      </w:r>
      <w:r w:rsidR="009D5968">
        <w:rPr>
          <w:sz w:val="26"/>
          <w:szCs w:val="26"/>
        </w:rPr>
        <w:t xml:space="preserve"> in </w:t>
      </w:r>
      <w:r w:rsidR="00F3439F">
        <w:rPr>
          <w:sz w:val="26"/>
          <w:szCs w:val="26"/>
        </w:rPr>
        <w:t>violation of Section 1501</w:t>
      </w:r>
      <w:r w:rsidR="00A07CAD">
        <w:rPr>
          <w:sz w:val="26"/>
          <w:szCs w:val="26"/>
        </w:rPr>
        <w:t xml:space="preserve">.  </w:t>
      </w:r>
      <w:r w:rsidR="00AF1831">
        <w:rPr>
          <w:sz w:val="26"/>
          <w:szCs w:val="26"/>
        </w:rPr>
        <w:t>As such, w</w:t>
      </w:r>
      <w:r w:rsidR="00A07CAD">
        <w:rPr>
          <w:sz w:val="26"/>
          <w:szCs w:val="26"/>
        </w:rPr>
        <w:t xml:space="preserve">e disagree with the </w:t>
      </w:r>
      <w:r w:rsidR="009D5968">
        <w:rPr>
          <w:sz w:val="26"/>
          <w:szCs w:val="26"/>
        </w:rPr>
        <w:t xml:space="preserve">ALJ’s </w:t>
      </w:r>
      <w:r w:rsidR="00A07CAD">
        <w:rPr>
          <w:sz w:val="26"/>
          <w:szCs w:val="26"/>
        </w:rPr>
        <w:t xml:space="preserve">finding that PGW </w:t>
      </w:r>
      <w:r w:rsidR="009573FF">
        <w:rPr>
          <w:sz w:val="26"/>
          <w:szCs w:val="26"/>
        </w:rPr>
        <w:t xml:space="preserve">provided unreasonable service because it failed to </w:t>
      </w:r>
      <w:r w:rsidR="00A07CAD">
        <w:rPr>
          <w:sz w:val="26"/>
          <w:szCs w:val="26"/>
        </w:rPr>
        <w:t>effectively explain the consumer’s account history</w:t>
      </w:r>
      <w:r w:rsidR="009573FF">
        <w:rPr>
          <w:sz w:val="26"/>
          <w:szCs w:val="26"/>
        </w:rPr>
        <w:t xml:space="preserve">. </w:t>
      </w:r>
      <w:r w:rsidR="00A07CAD">
        <w:rPr>
          <w:sz w:val="26"/>
          <w:szCs w:val="26"/>
        </w:rPr>
        <w:t xml:space="preserve"> </w:t>
      </w:r>
      <w:r w:rsidR="00F604DF">
        <w:rPr>
          <w:sz w:val="26"/>
          <w:szCs w:val="26"/>
        </w:rPr>
        <w:t>Instead, w</w:t>
      </w:r>
      <w:r w:rsidR="00A07CAD">
        <w:rPr>
          <w:sz w:val="26"/>
          <w:szCs w:val="26"/>
        </w:rPr>
        <w:t xml:space="preserve">e find that the Company provided sufficient evidence illustrating that it discussed the Complainant’s account </w:t>
      </w:r>
      <w:r w:rsidR="00F604DF">
        <w:rPr>
          <w:sz w:val="26"/>
          <w:szCs w:val="26"/>
        </w:rPr>
        <w:t xml:space="preserve">with her </w:t>
      </w:r>
      <w:r w:rsidR="00A07CAD">
        <w:rPr>
          <w:sz w:val="26"/>
          <w:szCs w:val="26"/>
        </w:rPr>
        <w:t>on several occasions, that account statements were provided to her on at least two occasions</w:t>
      </w:r>
      <w:r w:rsidR="009573FF">
        <w:rPr>
          <w:sz w:val="26"/>
          <w:szCs w:val="26"/>
        </w:rPr>
        <w:t>,</w:t>
      </w:r>
      <w:r w:rsidR="00A07CAD">
        <w:rPr>
          <w:sz w:val="26"/>
          <w:szCs w:val="26"/>
        </w:rPr>
        <w:t xml:space="preserve"> and that the Complainant agreed to a payment a</w:t>
      </w:r>
      <w:r w:rsidR="00C23B31">
        <w:rPr>
          <w:sz w:val="26"/>
          <w:szCs w:val="26"/>
        </w:rPr>
        <w:t xml:space="preserve">rrangement </w:t>
      </w:r>
      <w:r w:rsidR="00A07CAD">
        <w:rPr>
          <w:sz w:val="26"/>
          <w:szCs w:val="26"/>
        </w:rPr>
        <w:t xml:space="preserve">on her account balance </w:t>
      </w:r>
      <w:r w:rsidR="00C23B31">
        <w:rPr>
          <w:sz w:val="26"/>
          <w:szCs w:val="26"/>
        </w:rPr>
        <w:t>that</w:t>
      </w:r>
      <w:r w:rsidR="00A07CAD">
        <w:rPr>
          <w:sz w:val="26"/>
          <w:szCs w:val="26"/>
        </w:rPr>
        <w:t xml:space="preserve"> included the amount transferred from her previous account</w:t>
      </w:r>
      <w:r w:rsidR="00C23B31">
        <w:rPr>
          <w:sz w:val="26"/>
          <w:szCs w:val="26"/>
        </w:rPr>
        <w:t xml:space="preserve"> and that </w:t>
      </w:r>
      <w:r w:rsidR="00AF1831">
        <w:rPr>
          <w:sz w:val="26"/>
          <w:szCs w:val="26"/>
        </w:rPr>
        <w:t>appears to be the basis of the Complainant’s confusion</w:t>
      </w:r>
      <w:r w:rsidR="00EA5E04">
        <w:rPr>
          <w:sz w:val="26"/>
          <w:szCs w:val="26"/>
        </w:rPr>
        <w:t xml:space="preserve"> in this proceeding</w:t>
      </w:r>
      <w:r w:rsidR="00AF1831">
        <w:rPr>
          <w:sz w:val="26"/>
          <w:szCs w:val="26"/>
        </w:rPr>
        <w:t>.</w:t>
      </w:r>
      <w:r w:rsidR="00C4290A">
        <w:rPr>
          <w:sz w:val="26"/>
          <w:szCs w:val="26"/>
        </w:rPr>
        <w:t xml:space="preserve">  </w:t>
      </w:r>
      <w:r w:rsidR="00C4290A">
        <w:rPr>
          <w:i/>
          <w:sz w:val="26"/>
          <w:szCs w:val="26"/>
        </w:rPr>
        <w:t xml:space="preserve">See </w:t>
      </w:r>
      <w:r w:rsidR="00C4290A">
        <w:rPr>
          <w:sz w:val="26"/>
          <w:szCs w:val="26"/>
        </w:rPr>
        <w:t>Tr. at 33-35 and 38.</w:t>
      </w:r>
      <w:r w:rsidR="00FC4617">
        <w:rPr>
          <w:sz w:val="26"/>
          <w:szCs w:val="26"/>
        </w:rPr>
        <w:t xml:space="preserve">  </w:t>
      </w:r>
      <w:r w:rsidR="0003667A">
        <w:rPr>
          <w:sz w:val="26"/>
          <w:szCs w:val="26"/>
        </w:rPr>
        <w:t xml:space="preserve">Therefore, we shall grant the </w:t>
      </w:r>
      <w:r w:rsidR="00C23B31">
        <w:rPr>
          <w:sz w:val="26"/>
          <w:szCs w:val="26"/>
        </w:rPr>
        <w:t xml:space="preserve">PGW’s </w:t>
      </w:r>
      <w:r w:rsidR="0003667A">
        <w:rPr>
          <w:sz w:val="26"/>
          <w:szCs w:val="26"/>
        </w:rPr>
        <w:t>Exception on this issue.  Since we conclude that PGW did not violate Section 1501, we furth</w:t>
      </w:r>
      <w:r w:rsidR="00871CFB">
        <w:rPr>
          <w:sz w:val="26"/>
          <w:szCs w:val="26"/>
        </w:rPr>
        <w:t xml:space="preserve">er find that the </w:t>
      </w:r>
      <w:r w:rsidR="0003667A">
        <w:rPr>
          <w:sz w:val="26"/>
          <w:szCs w:val="26"/>
        </w:rPr>
        <w:t>imposition of a civil penalty by the ALJ has been rendered moot.</w:t>
      </w:r>
    </w:p>
    <w:p w:rsidR="0003667A" w:rsidRDefault="0003667A" w:rsidP="00494E10">
      <w:pPr>
        <w:widowControl/>
        <w:spacing w:line="360" w:lineRule="auto"/>
        <w:rPr>
          <w:sz w:val="26"/>
          <w:szCs w:val="26"/>
        </w:rPr>
      </w:pPr>
    </w:p>
    <w:p w:rsidR="00B25E68" w:rsidRDefault="00F604DF" w:rsidP="0003667A">
      <w:pPr>
        <w:widowControl/>
        <w:spacing w:line="360" w:lineRule="auto"/>
        <w:ind w:firstLine="1440"/>
        <w:rPr>
          <w:sz w:val="26"/>
          <w:szCs w:val="26"/>
        </w:rPr>
      </w:pPr>
      <w:r>
        <w:rPr>
          <w:sz w:val="26"/>
          <w:szCs w:val="26"/>
        </w:rPr>
        <w:t>As noted by the Company, the Complainant has a troubled history with PGW</w:t>
      </w:r>
      <w:r w:rsidR="00186BD9">
        <w:rPr>
          <w:sz w:val="26"/>
          <w:szCs w:val="26"/>
        </w:rPr>
        <w:t>,</w:t>
      </w:r>
      <w:r>
        <w:rPr>
          <w:sz w:val="26"/>
          <w:szCs w:val="26"/>
        </w:rPr>
        <w:t xml:space="preserve"> including four informal complaints, two formal settlements, two Company</w:t>
      </w:r>
      <w:r w:rsidR="0011024A">
        <w:rPr>
          <w:sz w:val="26"/>
          <w:szCs w:val="26"/>
        </w:rPr>
        <w:t>-</w:t>
      </w:r>
      <w:r>
        <w:rPr>
          <w:sz w:val="26"/>
          <w:szCs w:val="26"/>
        </w:rPr>
        <w:t xml:space="preserve">issued payment agreements and multiple terminations </w:t>
      </w:r>
      <w:r w:rsidR="00A937F5">
        <w:rPr>
          <w:sz w:val="26"/>
          <w:szCs w:val="26"/>
        </w:rPr>
        <w:t xml:space="preserve">and reconnections </w:t>
      </w:r>
      <w:r>
        <w:rPr>
          <w:sz w:val="26"/>
          <w:szCs w:val="26"/>
        </w:rPr>
        <w:t>of service for non-payment.</w:t>
      </w:r>
      <w:r w:rsidR="00186BD9">
        <w:rPr>
          <w:sz w:val="26"/>
          <w:szCs w:val="26"/>
        </w:rPr>
        <w:t xml:space="preserve">  </w:t>
      </w:r>
      <w:r w:rsidR="00EA5E04">
        <w:rPr>
          <w:sz w:val="26"/>
          <w:szCs w:val="26"/>
        </w:rPr>
        <w:t xml:space="preserve">PGW </w:t>
      </w:r>
      <w:r w:rsidR="006E7A63">
        <w:rPr>
          <w:sz w:val="26"/>
          <w:szCs w:val="26"/>
        </w:rPr>
        <w:t>st</w:t>
      </w:r>
      <w:r w:rsidR="00EA5E04">
        <w:rPr>
          <w:sz w:val="26"/>
          <w:szCs w:val="26"/>
        </w:rPr>
        <w:t xml:space="preserve">ated that the Complainant’s gas service </w:t>
      </w:r>
      <w:r w:rsidR="0011024A">
        <w:rPr>
          <w:sz w:val="26"/>
          <w:szCs w:val="26"/>
        </w:rPr>
        <w:t>was</w:t>
      </w:r>
      <w:r w:rsidR="00EA5E04">
        <w:rPr>
          <w:sz w:val="26"/>
          <w:szCs w:val="26"/>
        </w:rPr>
        <w:t xml:space="preserve"> terminated on April 3, 2007, in June 2010, and on November 21, 2011, for non-payment.  </w:t>
      </w:r>
      <w:r w:rsidR="006E7A63">
        <w:rPr>
          <w:sz w:val="26"/>
          <w:szCs w:val="26"/>
        </w:rPr>
        <w:t>In addition, t</w:t>
      </w:r>
      <w:r w:rsidR="00EA5E04">
        <w:rPr>
          <w:sz w:val="26"/>
          <w:szCs w:val="26"/>
        </w:rPr>
        <w:t>he Complainant has a</w:t>
      </w:r>
      <w:r w:rsidR="00A937F5">
        <w:rPr>
          <w:sz w:val="26"/>
          <w:szCs w:val="26"/>
        </w:rPr>
        <w:t xml:space="preserve"> total unpaid</w:t>
      </w:r>
      <w:r w:rsidR="00EA5E04">
        <w:rPr>
          <w:sz w:val="26"/>
          <w:szCs w:val="26"/>
        </w:rPr>
        <w:t xml:space="preserve"> balanc</w:t>
      </w:r>
      <w:r w:rsidR="006510A1">
        <w:rPr>
          <w:sz w:val="26"/>
          <w:szCs w:val="26"/>
        </w:rPr>
        <w:t xml:space="preserve">e on her gas account of </w:t>
      </w:r>
      <w:r w:rsidR="001B1B16">
        <w:rPr>
          <w:sz w:val="26"/>
          <w:szCs w:val="26"/>
        </w:rPr>
        <w:t>$19,645.67</w:t>
      </w:r>
      <w:r w:rsidR="006510A1">
        <w:rPr>
          <w:sz w:val="26"/>
          <w:szCs w:val="26"/>
        </w:rPr>
        <w:t>.</w:t>
      </w:r>
      <w:r w:rsidR="001B1B16">
        <w:rPr>
          <w:sz w:val="26"/>
          <w:szCs w:val="26"/>
        </w:rPr>
        <w:t xml:space="preserve">  </w:t>
      </w:r>
      <w:r w:rsidR="001B1B16">
        <w:rPr>
          <w:i/>
          <w:sz w:val="26"/>
          <w:szCs w:val="26"/>
        </w:rPr>
        <w:t>See</w:t>
      </w:r>
      <w:r w:rsidR="001B1B16">
        <w:rPr>
          <w:sz w:val="26"/>
          <w:szCs w:val="26"/>
        </w:rPr>
        <w:t xml:space="preserve"> Finding of Fact No. 29.</w:t>
      </w:r>
      <w:r w:rsidR="002764AC">
        <w:rPr>
          <w:sz w:val="26"/>
          <w:szCs w:val="26"/>
        </w:rPr>
        <w:t xml:space="preserve">  Considering these facts, </w:t>
      </w:r>
      <w:r w:rsidR="00A937F5">
        <w:rPr>
          <w:sz w:val="26"/>
          <w:szCs w:val="26"/>
        </w:rPr>
        <w:t xml:space="preserve">and consistent with </w:t>
      </w:r>
      <w:r w:rsidR="006E7A63">
        <w:rPr>
          <w:sz w:val="26"/>
          <w:szCs w:val="26"/>
        </w:rPr>
        <w:t xml:space="preserve">Section 1405(d) of the Code, </w:t>
      </w:r>
      <w:r w:rsidR="00A937F5">
        <w:rPr>
          <w:sz w:val="26"/>
          <w:szCs w:val="26"/>
        </w:rPr>
        <w:t>66</w:t>
      </w:r>
      <w:r w:rsidR="006E7A63">
        <w:rPr>
          <w:sz w:val="26"/>
          <w:szCs w:val="26"/>
        </w:rPr>
        <w:t> </w:t>
      </w:r>
      <w:r w:rsidR="00A937F5">
        <w:rPr>
          <w:sz w:val="26"/>
          <w:szCs w:val="26"/>
        </w:rPr>
        <w:t>Pa. C.S. § 1405(d)</w:t>
      </w:r>
      <w:r w:rsidR="007A5F8C">
        <w:rPr>
          <w:sz w:val="26"/>
          <w:szCs w:val="26"/>
        </w:rPr>
        <w:t xml:space="preserve"> and Commission precedent</w:t>
      </w:r>
      <w:r w:rsidR="00A937F5">
        <w:rPr>
          <w:sz w:val="26"/>
          <w:szCs w:val="26"/>
        </w:rPr>
        <w:t>,</w:t>
      </w:r>
      <w:r w:rsidR="007A5F8C">
        <w:rPr>
          <w:rStyle w:val="FootnoteReference"/>
          <w:sz w:val="26"/>
          <w:szCs w:val="26"/>
        </w:rPr>
        <w:footnoteReference w:id="2"/>
      </w:r>
      <w:r w:rsidR="00A937F5">
        <w:rPr>
          <w:sz w:val="26"/>
          <w:szCs w:val="26"/>
        </w:rPr>
        <w:t xml:space="preserve"> </w:t>
      </w:r>
      <w:r w:rsidR="002764AC">
        <w:rPr>
          <w:sz w:val="26"/>
          <w:szCs w:val="26"/>
        </w:rPr>
        <w:t xml:space="preserve">we </w:t>
      </w:r>
      <w:r w:rsidR="006E7A63">
        <w:rPr>
          <w:sz w:val="26"/>
          <w:szCs w:val="26"/>
        </w:rPr>
        <w:t>agree</w:t>
      </w:r>
      <w:r w:rsidR="002764AC">
        <w:rPr>
          <w:sz w:val="26"/>
          <w:szCs w:val="26"/>
        </w:rPr>
        <w:t xml:space="preserve"> with the </w:t>
      </w:r>
      <w:r w:rsidR="006E7A63">
        <w:rPr>
          <w:sz w:val="26"/>
          <w:szCs w:val="26"/>
        </w:rPr>
        <w:t xml:space="preserve">ALJ’s </w:t>
      </w:r>
      <w:r w:rsidR="002764AC">
        <w:rPr>
          <w:sz w:val="26"/>
          <w:szCs w:val="26"/>
        </w:rPr>
        <w:t xml:space="preserve">conclusion </w:t>
      </w:r>
      <w:r w:rsidR="002764AC">
        <w:rPr>
          <w:sz w:val="26"/>
          <w:szCs w:val="26"/>
        </w:rPr>
        <w:lastRenderedPageBreak/>
        <w:t>that it is not appropriat</w:t>
      </w:r>
      <w:r w:rsidR="001B1B16">
        <w:rPr>
          <w:sz w:val="26"/>
          <w:szCs w:val="26"/>
        </w:rPr>
        <w:t>e or reasonable to provide the C</w:t>
      </w:r>
      <w:r w:rsidR="002764AC">
        <w:rPr>
          <w:sz w:val="26"/>
          <w:szCs w:val="26"/>
        </w:rPr>
        <w:t xml:space="preserve">omplainant with a payment arrangement or to require PGW to restore her natural gas service.  </w:t>
      </w:r>
      <w:r w:rsidR="00871CFB">
        <w:rPr>
          <w:sz w:val="26"/>
          <w:szCs w:val="26"/>
        </w:rPr>
        <w:t xml:space="preserve">Accordingly, we shall deny the </w:t>
      </w:r>
      <w:r w:rsidR="006E7A63">
        <w:rPr>
          <w:sz w:val="26"/>
          <w:szCs w:val="26"/>
        </w:rPr>
        <w:t xml:space="preserve">Complainant’s </w:t>
      </w:r>
      <w:r w:rsidR="00871CFB">
        <w:rPr>
          <w:sz w:val="26"/>
          <w:szCs w:val="26"/>
        </w:rPr>
        <w:t xml:space="preserve">Exceptions </w:t>
      </w:r>
      <w:r w:rsidR="007A5F8C">
        <w:rPr>
          <w:sz w:val="26"/>
          <w:szCs w:val="26"/>
        </w:rPr>
        <w:t>and conclude that the Complainant failed to meet her burden of proof that there are incorrect charges on her bill or that she should be provided a payment arrangement</w:t>
      </w:r>
      <w:r w:rsidR="00871CFB">
        <w:rPr>
          <w:sz w:val="26"/>
          <w:szCs w:val="26"/>
        </w:rPr>
        <w:t>.</w:t>
      </w:r>
      <w:r w:rsidR="002764AC">
        <w:rPr>
          <w:sz w:val="26"/>
          <w:szCs w:val="26"/>
        </w:rPr>
        <w:t xml:space="preserve"> </w:t>
      </w:r>
    </w:p>
    <w:p w:rsidR="00040B8A" w:rsidRDefault="00040B8A" w:rsidP="00727F12">
      <w:pPr>
        <w:widowControl/>
        <w:spacing w:line="360" w:lineRule="auto"/>
        <w:ind w:firstLine="1440"/>
        <w:rPr>
          <w:sz w:val="26"/>
          <w:szCs w:val="26"/>
        </w:rPr>
      </w:pPr>
    </w:p>
    <w:p w:rsidR="004D6FFB" w:rsidRPr="00836D64" w:rsidRDefault="004D6FFB" w:rsidP="00A937F5">
      <w:pPr>
        <w:widowControl/>
        <w:spacing w:line="360" w:lineRule="auto"/>
        <w:jc w:val="center"/>
        <w:rPr>
          <w:sz w:val="26"/>
          <w:szCs w:val="26"/>
        </w:rPr>
      </w:pPr>
      <w:r w:rsidRPr="00836D64">
        <w:rPr>
          <w:b/>
          <w:sz w:val="26"/>
          <w:szCs w:val="26"/>
        </w:rPr>
        <w:t>Conclusion</w:t>
      </w:r>
    </w:p>
    <w:p w:rsidR="004D6FFB" w:rsidRPr="00836D64" w:rsidRDefault="004D6FFB" w:rsidP="004D6FFB">
      <w:pPr>
        <w:spacing w:line="360" w:lineRule="auto"/>
        <w:ind w:firstLine="1440"/>
        <w:rPr>
          <w:spacing w:val="-3"/>
          <w:sz w:val="26"/>
          <w:szCs w:val="26"/>
        </w:rPr>
      </w:pPr>
    </w:p>
    <w:p w:rsidR="004D6FFB" w:rsidRPr="001F35D1" w:rsidRDefault="004D6FFB" w:rsidP="004D6FFB">
      <w:pPr>
        <w:spacing w:line="360" w:lineRule="auto"/>
        <w:ind w:firstLine="1440"/>
        <w:rPr>
          <w:spacing w:val="-3"/>
          <w:sz w:val="26"/>
          <w:szCs w:val="26"/>
        </w:rPr>
      </w:pPr>
      <w:r w:rsidRPr="00836D64">
        <w:rPr>
          <w:spacing w:val="-3"/>
          <w:sz w:val="26"/>
          <w:szCs w:val="26"/>
        </w:rPr>
        <w:t>Based on the</w:t>
      </w:r>
      <w:r>
        <w:rPr>
          <w:spacing w:val="-3"/>
          <w:sz w:val="26"/>
          <w:szCs w:val="26"/>
        </w:rPr>
        <w:t xml:space="preserve"> above discussion, we shall deny the Complainant’s Exceptions</w:t>
      </w:r>
      <w:r w:rsidR="001927AD">
        <w:rPr>
          <w:spacing w:val="-3"/>
          <w:sz w:val="26"/>
          <w:szCs w:val="26"/>
        </w:rPr>
        <w:t xml:space="preserve">, grant the Exceptions of PGW and </w:t>
      </w:r>
      <w:r w:rsidR="00553560">
        <w:rPr>
          <w:spacing w:val="-3"/>
          <w:sz w:val="26"/>
          <w:szCs w:val="26"/>
        </w:rPr>
        <w:t>modify</w:t>
      </w:r>
      <w:r>
        <w:rPr>
          <w:spacing w:val="-3"/>
          <w:sz w:val="26"/>
          <w:szCs w:val="26"/>
        </w:rPr>
        <w:t xml:space="preserve"> the ALJ’</w:t>
      </w:r>
      <w:r w:rsidR="00B00E17">
        <w:rPr>
          <w:spacing w:val="-3"/>
          <w:sz w:val="26"/>
          <w:szCs w:val="26"/>
        </w:rPr>
        <w:t>s Initial Decision, which sustained</w:t>
      </w:r>
      <w:r>
        <w:rPr>
          <w:spacing w:val="-3"/>
          <w:sz w:val="26"/>
          <w:szCs w:val="26"/>
        </w:rPr>
        <w:t xml:space="preserve"> the Complaint</w:t>
      </w:r>
      <w:r w:rsidR="00B00E17">
        <w:rPr>
          <w:spacing w:val="-3"/>
          <w:sz w:val="26"/>
          <w:szCs w:val="26"/>
        </w:rPr>
        <w:t xml:space="preserve"> to the extent that PGW rendered unreasonable service</w:t>
      </w:r>
      <w:r w:rsidR="0078307B">
        <w:rPr>
          <w:spacing w:val="-3"/>
          <w:sz w:val="26"/>
          <w:szCs w:val="26"/>
        </w:rPr>
        <w:t>, consistent with this Opinion and Order</w:t>
      </w:r>
      <w:r>
        <w:rPr>
          <w:spacing w:val="-3"/>
          <w:sz w:val="26"/>
          <w:szCs w:val="26"/>
        </w:rPr>
        <w:t xml:space="preserve">; </w:t>
      </w:r>
      <w:r w:rsidRPr="001C7049">
        <w:rPr>
          <w:b/>
          <w:sz w:val="26"/>
          <w:szCs w:val="26"/>
        </w:rPr>
        <w:t>THEREFORE</w:t>
      </w:r>
      <w:r w:rsidRPr="001C7049">
        <w:rPr>
          <w:sz w:val="26"/>
          <w:szCs w:val="26"/>
        </w:rPr>
        <w:t>,</w:t>
      </w:r>
    </w:p>
    <w:p w:rsidR="004D6FFB" w:rsidRDefault="004D6FFB" w:rsidP="004D6FFB">
      <w:pPr>
        <w:spacing w:line="360" w:lineRule="auto"/>
        <w:rPr>
          <w:sz w:val="26"/>
          <w:szCs w:val="26"/>
        </w:rPr>
      </w:pPr>
    </w:p>
    <w:p w:rsidR="004D6FFB" w:rsidRDefault="004D6FFB" w:rsidP="004D6FFB">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4D6FFB" w:rsidRDefault="004D6FFB" w:rsidP="004D6FFB">
      <w:pPr>
        <w:spacing w:line="360" w:lineRule="auto"/>
        <w:rPr>
          <w:b/>
          <w:sz w:val="26"/>
          <w:szCs w:val="26"/>
        </w:rPr>
      </w:pPr>
    </w:p>
    <w:p w:rsidR="004D6FFB" w:rsidRDefault="004D6FFB" w:rsidP="004D6FFB">
      <w:pPr>
        <w:spacing w:line="360" w:lineRule="auto"/>
        <w:rPr>
          <w:sz w:val="26"/>
          <w:szCs w:val="26"/>
        </w:rPr>
      </w:pPr>
      <w:r>
        <w:rPr>
          <w:b/>
          <w:sz w:val="26"/>
          <w:szCs w:val="26"/>
        </w:rPr>
        <w:tab/>
      </w:r>
      <w:r>
        <w:rPr>
          <w:b/>
          <w:sz w:val="26"/>
          <w:szCs w:val="26"/>
        </w:rPr>
        <w:tab/>
      </w:r>
      <w:r>
        <w:rPr>
          <w:sz w:val="26"/>
          <w:szCs w:val="26"/>
        </w:rPr>
        <w:t>1.</w:t>
      </w:r>
      <w:r>
        <w:rPr>
          <w:sz w:val="26"/>
          <w:szCs w:val="26"/>
        </w:rPr>
        <w:tab/>
        <w:t>That the Exceptions of Lavoris Mintz</w:t>
      </w:r>
      <w:r w:rsidR="003B34F4">
        <w:rPr>
          <w:sz w:val="26"/>
          <w:szCs w:val="26"/>
        </w:rPr>
        <w:t xml:space="preserve"> filed on September 18</w:t>
      </w:r>
      <w:r>
        <w:rPr>
          <w:sz w:val="26"/>
          <w:szCs w:val="26"/>
        </w:rPr>
        <w:t xml:space="preserve">, 2015, to the Initial Decision of Administrative Law Judge Mary </w:t>
      </w:r>
      <w:r w:rsidR="003B34F4">
        <w:rPr>
          <w:sz w:val="26"/>
          <w:szCs w:val="26"/>
        </w:rPr>
        <w:t xml:space="preserve">D. </w:t>
      </w:r>
      <w:r>
        <w:rPr>
          <w:sz w:val="26"/>
          <w:szCs w:val="26"/>
        </w:rPr>
        <w:t>Lon</w:t>
      </w:r>
      <w:r w:rsidR="003B34F4">
        <w:rPr>
          <w:sz w:val="26"/>
          <w:szCs w:val="26"/>
        </w:rPr>
        <w:t>g, which was issued on August 24</w:t>
      </w:r>
      <w:r>
        <w:rPr>
          <w:sz w:val="26"/>
          <w:szCs w:val="26"/>
        </w:rPr>
        <w:t>, 2015, are denied, consistent with this Opinion and Order.</w:t>
      </w:r>
    </w:p>
    <w:p w:rsidR="00FD7B5A" w:rsidRDefault="00FD7B5A" w:rsidP="004D6FFB">
      <w:pPr>
        <w:spacing w:line="360" w:lineRule="auto"/>
        <w:rPr>
          <w:sz w:val="26"/>
          <w:szCs w:val="26"/>
        </w:rPr>
      </w:pPr>
    </w:p>
    <w:p w:rsidR="004D6FFB" w:rsidRDefault="00FD7B5A" w:rsidP="00FD7B5A">
      <w:pPr>
        <w:spacing w:line="360" w:lineRule="auto"/>
        <w:ind w:firstLine="1440"/>
        <w:rPr>
          <w:b/>
          <w:sz w:val="26"/>
          <w:szCs w:val="26"/>
        </w:rPr>
      </w:pPr>
      <w:r>
        <w:rPr>
          <w:sz w:val="26"/>
          <w:szCs w:val="26"/>
        </w:rPr>
        <w:t>2.</w:t>
      </w:r>
      <w:r>
        <w:rPr>
          <w:sz w:val="26"/>
          <w:szCs w:val="26"/>
        </w:rPr>
        <w:tab/>
        <w:t>That the Exceptions of the Philadelphia Gas Works filed on September 1</w:t>
      </w:r>
      <w:r w:rsidR="003B34F4">
        <w:rPr>
          <w:sz w:val="26"/>
          <w:szCs w:val="26"/>
        </w:rPr>
        <w:t>4</w:t>
      </w:r>
      <w:r>
        <w:rPr>
          <w:sz w:val="26"/>
          <w:szCs w:val="26"/>
        </w:rPr>
        <w:t xml:space="preserve">, 2015, to the Initial Decision of Administrative Law Judge Mary </w:t>
      </w:r>
      <w:r w:rsidR="003B34F4">
        <w:rPr>
          <w:sz w:val="26"/>
          <w:szCs w:val="26"/>
        </w:rPr>
        <w:t xml:space="preserve">D. </w:t>
      </w:r>
      <w:r>
        <w:rPr>
          <w:sz w:val="26"/>
          <w:szCs w:val="26"/>
        </w:rPr>
        <w:t>Lon</w:t>
      </w:r>
      <w:r w:rsidR="003B34F4">
        <w:rPr>
          <w:sz w:val="26"/>
          <w:szCs w:val="26"/>
        </w:rPr>
        <w:t>g, which was issued on August 24</w:t>
      </w:r>
      <w:r>
        <w:rPr>
          <w:sz w:val="26"/>
          <w:szCs w:val="26"/>
        </w:rPr>
        <w:t>, 2015, are granted, consistent with this Opinion and Order.</w:t>
      </w:r>
    </w:p>
    <w:p w:rsidR="00FD7B5A" w:rsidRPr="00FD7B5A" w:rsidRDefault="00FD7B5A" w:rsidP="00FD7B5A">
      <w:pPr>
        <w:spacing w:line="360" w:lineRule="auto"/>
        <w:ind w:firstLine="1440"/>
        <w:rPr>
          <w:sz w:val="26"/>
          <w:szCs w:val="26"/>
        </w:rPr>
      </w:pPr>
    </w:p>
    <w:p w:rsidR="004D6FFB" w:rsidRDefault="00FD7B5A" w:rsidP="00FD7B5A">
      <w:pPr>
        <w:spacing w:line="360" w:lineRule="auto"/>
        <w:ind w:firstLine="1440"/>
        <w:rPr>
          <w:sz w:val="26"/>
          <w:szCs w:val="26"/>
        </w:rPr>
      </w:pPr>
      <w:r>
        <w:rPr>
          <w:sz w:val="26"/>
          <w:szCs w:val="26"/>
        </w:rPr>
        <w:t>3</w:t>
      </w:r>
      <w:r w:rsidR="004D6FFB">
        <w:rPr>
          <w:sz w:val="26"/>
          <w:szCs w:val="26"/>
        </w:rPr>
        <w:t>.</w:t>
      </w:r>
      <w:r w:rsidR="004D6FFB">
        <w:rPr>
          <w:sz w:val="26"/>
          <w:szCs w:val="26"/>
        </w:rPr>
        <w:tab/>
        <w:t>That the Initial Decision of Administ</w:t>
      </w:r>
      <w:r>
        <w:rPr>
          <w:sz w:val="26"/>
          <w:szCs w:val="26"/>
        </w:rPr>
        <w:t xml:space="preserve">rative Law Judge Mary </w:t>
      </w:r>
      <w:r w:rsidR="003B34F4">
        <w:rPr>
          <w:sz w:val="26"/>
          <w:szCs w:val="26"/>
        </w:rPr>
        <w:t xml:space="preserve">D. </w:t>
      </w:r>
      <w:r>
        <w:rPr>
          <w:sz w:val="26"/>
          <w:szCs w:val="26"/>
        </w:rPr>
        <w:t xml:space="preserve">Long </w:t>
      </w:r>
      <w:r w:rsidR="003B34F4">
        <w:rPr>
          <w:sz w:val="26"/>
          <w:szCs w:val="26"/>
        </w:rPr>
        <w:t xml:space="preserve">issued on August 24, 2015, </w:t>
      </w:r>
      <w:r>
        <w:rPr>
          <w:sz w:val="26"/>
          <w:szCs w:val="26"/>
        </w:rPr>
        <w:t xml:space="preserve">is </w:t>
      </w:r>
      <w:r w:rsidR="002621A7">
        <w:rPr>
          <w:sz w:val="26"/>
          <w:szCs w:val="26"/>
        </w:rPr>
        <w:t>modified</w:t>
      </w:r>
      <w:r w:rsidR="004D6FFB">
        <w:rPr>
          <w:sz w:val="26"/>
          <w:szCs w:val="26"/>
        </w:rPr>
        <w:t>, consistent with this Opinion and Order.</w:t>
      </w:r>
    </w:p>
    <w:p w:rsidR="004D6FFB" w:rsidRDefault="004D6FFB" w:rsidP="004D6FFB">
      <w:pPr>
        <w:spacing w:line="360" w:lineRule="auto"/>
        <w:rPr>
          <w:sz w:val="26"/>
          <w:szCs w:val="26"/>
        </w:rPr>
      </w:pPr>
    </w:p>
    <w:p w:rsidR="004D6FFB" w:rsidRDefault="004D6FFB" w:rsidP="004D6FFB">
      <w:pPr>
        <w:spacing w:line="360" w:lineRule="auto"/>
        <w:rPr>
          <w:sz w:val="26"/>
          <w:szCs w:val="26"/>
        </w:rPr>
      </w:pPr>
      <w:r>
        <w:rPr>
          <w:sz w:val="26"/>
          <w:szCs w:val="26"/>
        </w:rPr>
        <w:tab/>
      </w:r>
      <w:r>
        <w:rPr>
          <w:sz w:val="26"/>
          <w:szCs w:val="26"/>
        </w:rPr>
        <w:tab/>
      </w:r>
      <w:r w:rsidR="00FD7B5A">
        <w:rPr>
          <w:sz w:val="26"/>
          <w:szCs w:val="26"/>
        </w:rPr>
        <w:t>4</w:t>
      </w:r>
      <w:r>
        <w:rPr>
          <w:sz w:val="26"/>
          <w:szCs w:val="26"/>
        </w:rPr>
        <w:t>.</w:t>
      </w:r>
      <w:r>
        <w:rPr>
          <w:sz w:val="26"/>
          <w:szCs w:val="26"/>
        </w:rPr>
        <w:tab/>
        <w:t>That the Formal Complaint filed by Lavoris Mintz</w:t>
      </w:r>
      <w:r w:rsidR="003B34F4">
        <w:rPr>
          <w:sz w:val="26"/>
          <w:szCs w:val="26"/>
        </w:rPr>
        <w:t xml:space="preserve"> at Docket Number F</w:t>
      </w:r>
      <w:r w:rsidR="003B34F4">
        <w:rPr>
          <w:sz w:val="26"/>
          <w:szCs w:val="26"/>
        </w:rPr>
        <w:noBreakHyphen/>
        <w:t>2014</w:t>
      </w:r>
      <w:r w:rsidR="003B34F4">
        <w:rPr>
          <w:sz w:val="26"/>
          <w:szCs w:val="26"/>
        </w:rPr>
        <w:noBreakHyphen/>
        <w:t>2460301</w:t>
      </w:r>
      <w:r>
        <w:rPr>
          <w:sz w:val="26"/>
          <w:szCs w:val="26"/>
        </w:rPr>
        <w:t xml:space="preserve"> against the Philadelphia Gas Works is dismissed.</w:t>
      </w:r>
    </w:p>
    <w:p w:rsidR="008105DD" w:rsidRDefault="008105DD" w:rsidP="008105DD">
      <w:pPr>
        <w:spacing w:line="360" w:lineRule="auto"/>
        <w:rPr>
          <w:sz w:val="26"/>
          <w:szCs w:val="26"/>
        </w:rPr>
      </w:pPr>
    </w:p>
    <w:p w:rsidR="004D6FFB" w:rsidRPr="00F466B0" w:rsidRDefault="00FD7B5A" w:rsidP="0078307B">
      <w:pPr>
        <w:keepNext/>
        <w:keepLines/>
        <w:spacing w:line="360" w:lineRule="auto"/>
        <w:ind w:firstLine="1440"/>
        <w:rPr>
          <w:sz w:val="26"/>
          <w:szCs w:val="26"/>
        </w:rPr>
      </w:pPr>
      <w:r>
        <w:rPr>
          <w:sz w:val="26"/>
          <w:szCs w:val="26"/>
        </w:rPr>
        <w:t>5</w:t>
      </w:r>
      <w:r w:rsidR="004D6FFB">
        <w:rPr>
          <w:sz w:val="26"/>
          <w:szCs w:val="26"/>
        </w:rPr>
        <w:t>.</w:t>
      </w:r>
      <w:r w:rsidR="004D6FFB">
        <w:rPr>
          <w:sz w:val="26"/>
          <w:szCs w:val="26"/>
        </w:rPr>
        <w:tab/>
        <w:t xml:space="preserve">That this proceeding </w:t>
      </w:r>
      <w:r w:rsidR="009F3B7A">
        <w:rPr>
          <w:sz w:val="26"/>
          <w:szCs w:val="26"/>
        </w:rPr>
        <w:t xml:space="preserve">shall </w:t>
      </w:r>
      <w:r w:rsidR="004D6FFB">
        <w:rPr>
          <w:sz w:val="26"/>
          <w:szCs w:val="26"/>
        </w:rPr>
        <w:t>be marked closed.</w:t>
      </w:r>
    </w:p>
    <w:p w:rsidR="004D6FFB" w:rsidRDefault="004D6FFB" w:rsidP="0078307B">
      <w:pPr>
        <w:keepNext/>
        <w:keepLines/>
        <w:spacing w:line="360" w:lineRule="auto"/>
        <w:rPr>
          <w:sz w:val="26"/>
          <w:szCs w:val="26"/>
        </w:rPr>
      </w:pPr>
    </w:p>
    <w:p w:rsidR="004D6FFB" w:rsidRPr="000D6043" w:rsidRDefault="00EB08A9" w:rsidP="0078307B">
      <w:pPr>
        <w:keepNext/>
        <w:keepLines/>
        <w:spacing w:line="360" w:lineRule="auto"/>
        <w:rPr>
          <w:b/>
          <w:sz w:val="26"/>
          <w:szCs w:val="26"/>
        </w:rPr>
      </w:pPr>
      <w:bookmarkStart w:id="0" w:name="_GoBack"/>
      <w:r w:rsidRPr="00F45E06">
        <w:rPr>
          <w:b/>
          <w:noProof/>
        </w:rPr>
        <w:drawing>
          <wp:anchor distT="0" distB="0" distL="114300" distR="114300" simplePos="0" relativeHeight="251659264" behindDoc="1" locked="0" layoutInCell="1" allowOverlap="1" wp14:anchorId="6687EE61" wp14:editId="07D0FD92">
            <wp:simplePos x="0" y="0"/>
            <wp:positionH relativeFrom="column">
              <wp:posOffset>3074035</wp:posOffset>
            </wp:positionH>
            <wp:positionV relativeFrom="paragraph">
              <wp:posOffset>80010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4D6FFB" w:rsidRPr="000D6043">
        <w:rPr>
          <w:sz w:val="26"/>
          <w:szCs w:val="26"/>
        </w:rPr>
        <w:tab/>
      </w:r>
      <w:r w:rsidR="004D6FFB" w:rsidRPr="000D6043">
        <w:rPr>
          <w:sz w:val="26"/>
          <w:szCs w:val="26"/>
        </w:rPr>
        <w:tab/>
      </w:r>
      <w:r w:rsidR="004D6FFB" w:rsidRPr="000D6043">
        <w:rPr>
          <w:sz w:val="26"/>
          <w:szCs w:val="26"/>
        </w:rPr>
        <w:tab/>
      </w:r>
      <w:r w:rsidR="004D6FFB" w:rsidRPr="000D6043">
        <w:rPr>
          <w:sz w:val="26"/>
          <w:szCs w:val="26"/>
        </w:rPr>
        <w:tab/>
      </w:r>
      <w:r w:rsidR="004D6FFB" w:rsidRPr="000D6043">
        <w:rPr>
          <w:sz w:val="26"/>
          <w:szCs w:val="26"/>
        </w:rPr>
        <w:tab/>
      </w:r>
      <w:r w:rsidR="004D6FFB" w:rsidRPr="000D6043">
        <w:rPr>
          <w:sz w:val="26"/>
          <w:szCs w:val="26"/>
        </w:rPr>
        <w:tab/>
      </w:r>
      <w:r w:rsidR="004D6FFB" w:rsidRPr="000D6043">
        <w:rPr>
          <w:sz w:val="26"/>
          <w:szCs w:val="26"/>
        </w:rPr>
        <w:tab/>
      </w:r>
      <w:r w:rsidR="004D6FFB" w:rsidRPr="000D6043">
        <w:rPr>
          <w:b/>
          <w:sz w:val="26"/>
          <w:szCs w:val="26"/>
        </w:rPr>
        <w:t>BY THE COMMISSION,</w:t>
      </w:r>
    </w:p>
    <w:p w:rsidR="004D6FFB" w:rsidRDefault="004D6FFB" w:rsidP="0078307B">
      <w:pPr>
        <w:keepNext/>
        <w:keepLines/>
        <w:rPr>
          <w:sz w:val="26"/>
          <w:szCs w:val="26"/>
        </w:rPr>
      </w:pPr>
    </w:p>
    <w:p w:rsidR="009F3B7A" w:rsidRDefault="009F3B7A" w:rsidP="0078307B">
      <w:pPr>
        <w:keepNext/>
        <w:keepLines/>
        <w:rPr>
          <w:sz w:val="26"/>
          <w:szCs w:val="26"/>
        </w:rPr>
      </w:pPr>
    </w:p>
    <w:p w:rsidR="004D6FFB" w:rsidRPr="000D6043" w:rsidRDefault="004D6FFB" w:rsidP="0078307B">
      <w:pPr>
        <w:keepNext/>
        <w:keepLines/>
        <w:rPr>
          <w:sz w:val="26"/>
          <w:szCs w:val="26"/>
        </w:rPr>
      </w:pPr>
    </w:p>
    <w:p w:rsidR="004D6FFB" w:rsidRPr="000D6043" w:rsidRDefault="004D6FFB" w:rsidP="0078307B">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rsidR="004D6FFB" w:rsidRPr="001B2BFB" w:rsidRDefault="004D6FFB" w:rsidP="0078307B">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4D6FFB" w:rsidRDefault="004D6FFB" w:rsidP="0078307B">
      <w:pPr>
        <w:keepNext/>
        <w:keepLines/>
        <w:tabs>
          <w:tab w:val="left" w:pos="-720"/>
        </w:tabs>
        <w:suppressAutoHyphens/>
        <w:rPr>
          <w:sz w:val="26"/>
          <w:szCs w:val="26"/>
        </w:rPr>
      </w:pPr>
    </w:p>
    <w:p w:rsidR="004D6FFB" w:rsidRDefault="004D6FFB" w:rsidP="0078307B">
      <w:pPr>
        <w:keepNext/>
        <w:keepLines/>
        <w:tabs>
          <w:tab w:val="left" w:pos="-720"/>
        </w:tabs>
        <w:suppressAutoHyphens/>
        <w:rPr>
          <w:sz w:val="26"/>
          <w:szCs w:val="26"/>
        </w:rPr>
      </w:pPr>
    </w:p>
    <w:p w:rsidR="004D6FFB" w:rsidRPr="00AD292A" w:rsidRDefault="004D6FFB" w:rsidP="0078307B">
      <w:pPr>
        <w:keepNext/>
        <w:keepLines/>
        <w:tabs>
          <w:tab w:val="left" w:pos="-720"/>
        </w:tabs>
        <w:suppressAutoHyphens/>
        <w:rPr>
          <w:sz w:val="26"/>
          <w:szCs w:val="26"/>
        </w:rPr>
      </w:pPr>
      <w:r w:rsidRPr="00AD292A">
        <w:rPr>
          <w:sz w:val="26"/>
          <w:szCs w:val="26"/>
        </w:rPr>
        <w:t>(SEAL)</w:t>
      </w:r>
    </w:p>
    <w:p w:rsidR="004D6FFB" w:rsidRPr="001B2BFB" w:rsidRDefault="004D6FFB" w:rsidP="0078307B">
      <w:pPr>
        <w:keepNext/>
        <w:keepLines/>
        <w:tabs>
          <w:tab w:val="left" w:pos="-720"/>
        </w:tabs>
        <w:suppressAutoHyphens/>
        <w:rPr>
          <w:sz w:val="26"/>
          <w:szCs w:val="26"/>
        </w:rPr>
      </w:pPr>
    </w:p>
    <w:p w:rsidR="004D6FFB" w:rsidRDefault="004D6FFB" w:rsidP="0078307B">
      <w:pPr>
        <w:keepNext/>
        <w:keepLines/>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September 1</w:t>
      </w:r>
      <w:r w:rsidR="00FD7B5A">
        <w:rPr>
          <w:sz w:val="26"/>
          <w:szCs w:val="26"/>
        </w:rPr>
        <w:t>5</w:t>
      </w:r>
      <w:r>
        <w:rPr>
          <w:sz w:val="26"/>
          <w:szCs w:val="26"/>
        </w:rPr>
        <w:t>, 2016</w:t>
      </w:r>
    </w:p>
    <w:p w:rsidR="004D6FFB" w:rsidRPr="001B2BFB" w:rsidRDefault="004D6FFB" w:rsidP="0078307B">
      <w:pPr>
        <w:keepNext/>
        <w:keepLines/>
        <w:tabs>
          <w:tab w:val="left" w:pos="-720"/>
        </w:tabs>
        <w:suppressAutoHyphens/>
        <w:rPr>
          <w:sz w:val="26"/>
          <w:szCs w:val="26"/>
        </w:rPr>
      </w:pPr>
    </w:p>
    <w:p w:rsidR="004D6FFB" w:rsidRDefault="004D6FFB" w:rsidP="0078307B">
      <w:pPr>
        <w:pStyle w:val="BodyText"/>
        <w:keepNext/>
        <w:keepLines/>
        <w:spacing w:line="240" w:lineRule="auto"/>
      </w:pPr>
      <w:r w:rsidRPr="00AD292A">
        <w:t>ORDER ENTERED</w:t>
      </w:r>
      <w:r>
        <w:t xml:space="preserve">: </w:t>
      </w:r>
      <w:r w:rsidR="00EB08A9">
        <w:t xml:space="preserve"> September 15, 2016</w:t>
      </w:r>
    </w:p>
    <w:sectPr w:rsidR="004D6FFB" w:rsidSect="00BE65C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031" w:rsidRDefault="00FC0031" w:rsidP="00314E5E">
      <w:r>
        <w:separator/>
      </w:r>
    </w:p>
  </w:endnote>
  <w:endnote w:type="continuationSeparator" w:id="0">
    <w:p w:rsidR="00FC0031" w:rsidRDefault="00FC0031" w:rsidP="0031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92809"/>
      <w:docPartObj>
        <w:docPartGallery w:val="Page Numbers (Bottom of Page)"/>
        <w:docPartUnique/>
      </w:docPartObj>
    </w:sdtPr>
    <w:sdtEndPr>
      <w:rPr>
        <w:noProof/>
      </w:rPr>
    </w:sdtEndPr>
    <w:sdtContent>
      <w:p w:rsidR="00BE65C5" w:rsidRDefault="00BE65C5">
        <w:pPr>
          <w:pStyle w:val="Footer"/>
          <w:jc w:val="center"/>
        </w:pPr>
        <w:r>
          <w:fldChar w:fldCharType="begin"/>
        </w:r>
        <w:r>
          <w:instrText xml:space="preserve"> PAGE   \* MERGEFORMAT </w:instrText>
        </w:r>
        <w:r>
          <w:fldChar w:fldCharType="separate"/>
        </w:r>
        <w:r w:rsidR="00EB08A9">
          <w:rPr>
            <w:noProof/>
          </w:rPr>
          <w:t>12</w:t>
        </w:r>
        <w:r>
          <w:rPr>
            <w:noProof/>
          </w:rPr>
          <w:fldChar w:fldCharType="end"/>
        </w:r>
      </w:p>
    </w:sdtContent>
  </w:sdt>
  <w:p w:rsidR="00BE65C5" w:rsidRDefault="00BE6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031" w:rsidRDefault="00FC0031" w:rsidP="00314E5E">
      <w:r>
        <w:separator/>
      </w:r>
    </w:p>
  </w:footnote>
  <w:footnote w:type="continuationSeparator" w:id="0">
    <w:p w:rsidR="00FC0031" w:rsidRDefault="00FC0031" w:rsidP="00314E5E">
      <w:r>
        <w:continuationSeparator/>
      </w:r>
    </w:p>
  </w:footnote>
  <w:footnote w:id="1">
    <w:p w:rsidR="009B2A7C" w:rsidRPr="000B2B02" w:rsidRDefault="009B2A7C" w:rsidP="009B2A7C">
      <w:pPr>
        <w:pStyle w:val="FootnoteText"/>
        <w:keepLines/>
        <w:ind w:firstLine="720"/>
        <w:rPr>
          <w:sz w:val="26"/>
          <w:szCs w:val="26"/>
        </w:rPr>
      </w:pPr>
      <w:r w:rsidRPr="000B2B02">
        <w:rPr>
          <w:rStyle w:val="FootnoteReference"/>
          <w:sz w:val="26"/>
          <w:szCs w:val="26"/>
        </w:rPr>
        <w:footnoteRef/>
      </w:r>
      <w:r>
        <w:rPr>
          <w:sz w:val="26"/>
          <w:szCs w:val="26"/>
        </w:rPr>
        <w:tab/>
        <w:t>The Exceptions that were filed with the Secretary’s Bureau on September</w:t>
      </w:r>
      <w:r w:rsidR="001475FB">
        <w:rPr>
          <w:sz w:val="26"/>
          <w:szCs w:val="26"/>
        </w:rPr>
        <w:t> </w:t>
      </w:r>
      <w:r>
        <w:rPr>
          <w:sz w:val="26"/>
          <w:szCs w:val="26"/>
        </w:rPr>
        <w:t>10, 2015, did not include an original signature and a Certificate of Service.  As such, by letter dated September 11, 2015, the Secretary’s Bureau returned the Exceptions to the Complainant with directions to sign and provide a Certificate of Service showing service of the Exceptions to all parties of record within ten days.</w:t>
      </w:r>
    </w:p>
  </w:footnote>
  <w:footnote w:id="2">
    <w:p w:rsidR="007A5F8C" w:rsidRPr="005F30D5" w:rsidRDefault="007A5F8C" w:rsidP="005F30D5">
      <w:pPr>
        <w:pStyle w:val="FootnoteText"/>
        <w:ind w:firstLine="720"/>
        <w:rPr>
          <w:sz w:val="26"/>
          <w:szCs w:val="26"/>
        </w:rPr>
      </w:pPr>
      <w:r w:rsidRPr="005F30D5">
        <w:rPr>
          <w:rStyle w:val="FootnoteReference"/>
          <w:sz w:val="26"/>
          <w:szCs w:val="26"/>
        </w:rPr>
        <w:footnoteRef/>
      </w:r>
      <w:r>
        <w:rPr>
          <w:sz w:val="26"/>
          <w:szCs w:val="26"/>
        </w:rPr>
        <w:t xml:space="preserve"> </w:t>
      </w:r>
      <w:r>
        <w:rPr>
          <w:sz w:val="26"/>
          <w:szCs w:val="26"/>
        </w:rPr>
        <w:tab/>
      </w:r>
      <w:r w:rsidR="005F30D5">
        <w:rPr>
          <w:i/>
          <w:sz w:val="26"/>
          <w:szCs w:val="26"/>
        </w:rPr>
        <w:t>Crawford v. National Fuel Gas Distribution Corp.</w:t>
      </w:r>
      <w:r w:rsidR="005F30D5">
        <w:rPr>
          <w:sz w:val="26"/>
          <w:szCs w:val="26"/>
        </w:rPr>
        <w:t>, Docket No. C</w:t>
      </w:r>
      <w:r w:rsidR="006E7A63">
        <w:rPr>
          <w:sz w:val="26"/>
          <w:szCs w:val="26"/>
        </w:rPr>
        <w:noBreakHyphen/>
      </w:r>
      <w:r w:rsidR="005F30D5">
        <w:rPr>
          <w:sz w:val="26"/>
          <w:szCs w:val="26"/>
        </w:rPr>
        <w:t>20066348 (Order entered December 6, 2007).</w:t>
      </w:r>
      <w:r w:rsidRPr="005F30D5">
        <w:rPr>
          <w:sz w:val="26"/>
          <w:szCs w:val="2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5E"/>
    <w:rsid w:val="00017251"/>
    <w:rsid w:val="0003667A"/>
    <w:rsid w:val="00040B8A"/>
    <w:rsid w:val="00082D11"/>
    <w:rsid w:val="000A04D9"/>
    <w:rsid w:val="000B2D6F"/>
    <w:rsid w:val="000C72BD"/>
    <w:rsid w:val="0011024A"/>
    <w:rsid w:val="001125BF"/>
    <w:rsid w:val="001138BE"/>
    <w:rsid w:val="001167A6"/>
    <w:rsid w:val="00127C2E"/>
    <w:rsid w:val="00140AA9"/>
    <w:rsid w:val="001475FB"/>
    <w:rsid w:val="00186BD9"/>
    <w:rsid w:val="001927AD"/>
    <w:rsid w:val="00196582"/>
    <w:rsid w:val="001A4A31"/>
    <w:rsid w:val="001B1B16"/>
    <w:rsid w:val="001D22BF"/>
    <w:rsid w:val="001F09AF"/>
    <w:rsid w:val="001F11EC"/>
    <w:rsid w:val="00223557"/>
    <w:rsid w:val="002621A7"/>
    <w:rsid w:val="00267988"/>
    <w:rsid w:val="002764AC"/>
    <w:rsid w:val="00276AE6"/>
    <w:rsid w:val="002A0A07"/>
    <w:rsid w:val="002A3938"/>
    <w:rsid w:val="002A5BDF"/>
    <w:rsid w:val="002B5FDA"/>
    <w:rsid w:val="002B6B36"/>
    <w:rsid w:val="002D76C2"/>
    <w:rsid w:val="0031126B"/>
    <w:rsid w:val="00314E5E"/>
    <w:rsid w:val="00316D04"/>
    <w:rsid w:val="00330625"/>
    <w:rsid w:val="003358BF"/>
    <w:rsid w:val="0037134D"/>
    <w:rsid w:val="00373206"/>
    <w:rsid w:val="003B34F4"/>
    <w:rsid w:val="003C6924"/>
    <w:rsid w:val="003F4616"/>
    <w:rsid w:val="00413650"/>
    <w:rsid w:val="004170C6"/>
    <w:rsid w:val="004333C6"/>
    <w:rsid w:val="00470542"/>
    <w:rsid w:val="004723F0"/>
    <w:rsid w:val="004815EC"/>
    <w:rsid w:val="00494E10"/>
    <w:rsid w:val="004D30E6"/>
    <w:rsid w:val="004D6FFB"/>
    <w:rsid w:val="004D767C"/>
    <w:rsid w:val="004E67A0"/>
    <w:rsid w:val="00553560"/>
    <w:rsid w:val="00573E06"/>
    <w:rsid w:val="005A65F1"/>
    <w:rsid w:val="005F30D5"/>
    <w:rsid w:val="00601F3F"/>
    <w:rsid w:val="00627E49"/>
    <w:rsid w:val="006510A1"/>
    <w:rsid w:val="00665441"/>
    <w:rsid w:val="00695209"/>
    <w:rsid w:val="006B0414"/>
    <w:rsid w:val="006E1FCC"/>
    <w:rsid w:val="006E7A63"/>
    <w:rsid w:val="006F0DFA"/>
    <w:rsid w:val="00706762"/>
    <w:rsid w:val="00727E9E"/>
    <w:rsid w:val="00727F12"/>
    <w:rsid w:val="00732C4F"/>
    <w:rsid w:val="00752156"/>
    <w:rsid w:val="00753DFF"/>
    <w:rsid w:val="007679C3"/>
    <w:rsid w:val="0078307B"/>
    <w:rsid w:val="007A462B"/>
    <w:rsid w:val="007A5A8D"/>
    <w:rsid w:val="007A5F8C"/>
    <w:rsid w:val="007B4529"/>
    <w:rsid w:val="007C5106"/>
    <w:rsid w:val="007D5FC7"/>
    <w:rsid w:val="007E75AE"/>
    <w:rsid w:val="008105DD"/>
    <w:rsid w:val="00823321"/>
    <w:rsid w:val="008277C2"/>
    <w:rsid w:val="008432C8"/>
    <w:rsid w:val="00846C99"/>
    <w:rsid w:val="00871CFB"/>
    <w:rsid w:val="00894AC9"/>
    <w:rsid w:val="008B3F81"/>
    <w:rsid w:val="008D5BC1"/>
    <w:rsid w:val="008F4076"/>
    <w:rsid w:val="0091438C"/>
    <w:rsid w:val="00917848"/>
    <w:rsid w:val="009573FF"/>
    <w:rsid w:val="00966D12"/>
    <w:rsid w:val="00972AC2"/>
    <w:rsid w:val="009B2A7C"/>
    <w:rsid w:val="009D5968"/>
    <w:rsid w:val="009E5CA2"/>
    <w:rsid w:val="009F3B7A"/>
    <w:rsid w:val="009F4668"/>
    <w:rsid w:val="009F4DD4"/>
    <w:rsid w:val="009F75F2"/>
    <w:rsid w:val="00A07CAD"/>
    <w:rsid w:val="00A1441E"/>
    <w:rsid w:val="00A339DF"/>
    <w:rsid w:val="00A531A7"/>
    <w:rsid w:val="00A721C4"/>
    <w:rsid w:val="00A909DD"/>
    <w:rsid w:val="00A937F5"/>
    <w:rsid w:val="00AA6AFD"/>
    <w:rsid w:val="00AB32DF"/>
    <w:rsid w:val="00AC3655"/>
    <w:rsid w:val="00AE77CF"/>
    <w:rsid w:val="00AF1831"/>
    <w:rsid w:val="00AF45C7"/>
    <w:rsid w:val="00B00E17"/>
    <w:rsid w:val="00B07270"/>
    <w:rsid w:val="00B17A1A"/>
    <w:rsid w:val="00B25E68"/>
    <w:rsid w:val="00B324A2"/>
    <w:rsid w:val="00B70EAE"/>
    <w:rsid w:val="00B73BE5"/>
    <w:rsid w:val="00B91293"/>
    <w:rsid w:val="00BC4493"/>
    <w:rsid w:val="00BE65C5"/>
    <w:rsid w:val="00C110F6"/>
    <w:rsid w:val="00C23B31"/>
    <w:rsid w:val="00C36D13"/>
    <w:rsid w:val="00C41AB9"/>
    <w:rsid w:val="00C4290A"/>
    <w:rsid w:val="00C47B5E"/>
    <w:rsid w:val="00C57CB4"/>
    <w:rsid w:val="00C9421A"/>
    <w:rsid w:val="00CB3B83"/>
    <w:rsid w:val="00D45D36"/>
    <w:rsid w:val="00DA64A6"/>
    <w:rsid w:val="00E376C9"/>
    <w:rsid w:val="00E538AE"/>
    <w:rsid w:val="00E80A6D"/>
    <w:rsid w:val="00E97FB4"/>
    <w:rsid w:val="00EA5E04"/>
    <w:rsid w:val="00EB08A9"/>
    <w:rsid w:val="00F01567"/>
    <w:rsid w:val="00F06306"/>
    <w:rsid w:val="00F27511"/>
    <w:rsid w:val="00F33F70"/>
    <w:rsid w:val="00F3439F"/>
    <w:rsid w:val="00F42183"/>
    <w:rsid w:val="00F604DF"/>
    <w:rsid w:val="00F624ED"/>
    <w:rsid w:val="00F8582A"/>
    <w:rsid w:val="00F95754"/>
    <w:rsid w:val="00FA00EE"/>
    <w:rsid w:val="00FC0031"/>
    <w:rsid w:val="00FC4617"/>
    <w:rsid w:val="00FC787C"/>
    <w:rsid w:val="00FD7B5A"/>
    <w:rsid w:val="00FF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5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E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semiHidden/>
    <w:rsid w:val="00314E5E"/>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314E5E"/>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314E5E"/>
    <w:rPr>
      <w:rFonts w:ascii="Times New Roman" w:eastAsia="Times New Roman" w:hAnsi="Times New Roman" w:cs="Times New Roman"/>
      <w:sz w:val="20"/>
      <w:szCs w:val="20"/>
    </w:rPr>
  </w:style>
  <w:style w:type="character" w:styleId="Hyperlink">
    <w:name w:val="Hyperlink"/>
    <w:basedOn w:val="DefaultParagraphFont"/>
    <w:rsid w:val="00D45D36"/>
    <w:rPr>
      <w:color w:val="0000FF"/>
      <w:u w:val="single"/>
    </w:rPr>
  </w:style>
  <w:style w:type="character" w:customStyle="1" w:styleId="term1">
    <w:name w:val="term1"/>
    <w:basedOn w:val="DefaultParagraphFont"/>
    <w:rsid w:val="00D45D36"/>
    <w:rPr>
      <w:b/>
      <w:bCs/>
    </w:rPr>
  </w:style>
  <w:style w:type="character" w:styleId="Emphasis">
    <w:name w:val="Emphasis"/>
    <w:basedOn w:val="DefaultParagraphFont"/>
    <w:qFormat/>
    <w:rsid w:val="00D45D36"/>
    <w:rPr>
      <w:i/>
      <w:iCs/>
    </w:rPr>
  </w:style>
  <w:style w:type="paragraph" w:styleId="BodyText">
    <w:name w:val="Body Text"/>
    <w:basedOn w:val="Normal"/>
    <w:link w:val="BodyTextChar"/>
    <w:rsid w:val="004D6FFB"/>
    <w:pPr>
      <w:widowControl/>
      <w:spacing w:line="360" w:lineRule="auto"/>
    </w:pPr>
    <w:rPr>
      <w:sz w:val="26"/>
    </w:rPr>
  </w:style>
  <w:style w:type="character" w:customStyle="1" w:styleId="BodyTextChar">
    <w:name w:val="Body Text Char"/>
    <w:basedOn w:val="DefaultParagraphFont"/>
    <w:link w:val="BodyText"/>
    <w:rsid w:val="004D6FFB"/>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BE65C5"/>
    <w:pPr>
      <w:tabs>
        <w:tab w:val="center" w:pos="4680"/>
        <w:tab w:val="right" w:pos="9360"/>
      </w:tabs>
    </w:pPr>
  </w:style>
  <w:style w:type="character" w:customStyle="1" w:styleId="HeaderChar">
    <w:name w:val="Header Char"/>
    <w:basedOn w:val="DefaultParagraphFont"/>
    <w:link w:val="Header"/>
    <w:uiPriority w:val="99"/>
    <w:rsid w:val="00BE65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E65C5"/>
    <w:pPr>
      <w:tabs>
        <w:tab w:val="center" w:pos="4680"/>
        <w:tab w:val="right" w:pos="9360"/>
      </w:tabs>
    </w:pPr>
  </w:style>
  <w:style w:type="character" w:customStyle="1" w:styleId="FooterChar">
    <w:name w:val="Footer Char"/>
    <w:basedOn w:val="DefaultParagraphFont"/>
    <w:link w:val="Footer"/>
    <w:uiPriority w:val="99"/>
    <w:rsid w:val="00BE65C5"/>
    <w:rPr>
      <w:rFonts w:ascii="Times New Roman" w:eastAsia="Times New Roman" w:hAnsi="Times New Roman" w:cs="Times New Roman"/>
      <w:sz w:val="20"/>
      <w:szCs w:val="20"/>
    </w:rPr>
  </w:style>
  <w:style w:type="paragraph" w:styleId="ListParagraph">
    <w:name w:val="List Paragraph"/>
    <w:basedOn w:val="Normal"/>
    <w:uiPriority w:val="34"/>
    <w:qFormat/>
    <w:rsid w:val="00FD7B5A"/>
    <w:pPr>
      <w:ind w:left="720"/>
      <w:contextualSpacing/>
    </w:pPr>
  </w:style>
  <w:style w:type="character" w:styleId="CommentReference">
    <w:name w:val="annotation reference"/>
    <w:basedOn w:val="DefaultParagraphFont"/>
    <w:uiPriority w:val="99"/>
    <w:semiHidden/>
    <w:unhideWhenUsed/>
    <w:rsid w:val="001125BF"/>
    <w:rPr>
      <w:sz w:val="16"/>
      <w:szCs w:val="16"/>
    </w:rPr>
  </w:style>
  <w:style w:type="paragraph" w:styleId="CommentText">
    <w:name w:val="annotation text"/>
    <w:basedOn w:val="Normal"/>
    <w:link w:val="CommentTextChar"/>
    <w:uiPriority w:val="99"/>
    <w:semiHidden/>
    <w:unhideWhenUsed/>
    <w:rsid w:val="001125BF"/>
  </w:style>
  <w:style w:type="character" w:customStyle="1" w:styleId="CommentTextChar">
    <w:name w:val="Comment Text Char"/>
    <w:basedOn w:val="DefaultParagraphFont"/>
    <w:link w:val="CommentText"/>
    <w:uiPriority w:val="99"/>
    <w:semiHidden/>
    <w:rsid w:val="001125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25BF"/>
    <w:rPr>
      <w:b/>
      <w:bCs/>
    </w:rPr>
  </w:style>
  <w:style w:type="character" w:customStyle="1" w:styleId="CommentSubjectChar">
    <w:name w:val="Comment Subject Char"/>
    <w:basedOn w:val="CommentTextChar"/>
    <w:link w:val="CommentSubject"/>
    <w:uiPriority w:val="99"/>
    <w:semiHidden/>
    <w:rsid w:val="001125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25BF"/>
    <w:rPr>
      <w:rFonts w:ascii="Tahoma" w:hAnsi="Tahoma" w:cs="Tahoma"/>
      <w:sz w:val="16"/>
      <w:szCs w:val="16"/>
    </w:rPr>
  </w:style>
  <w:style w:type="character" w:customStyle="1" w:styleId="BalloonTextChar">
    <w:name w:val="Balloon Text Char"/>
    <w:basedOn w:val="DefaultParagraphFont"/>
    <w:link w:val="BalloonText"/>
    <w:uiPriority w:val="99"/>
    <w:semiHidden/>
    <w:rsid w:val="001125B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5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E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semiHidden/>
    <w:rsid w:val="00314E5E"/>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314E5E"/>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314E5E"/>
    <w:rPr>
      <w:rFonts w:ascii="Times New Roman" w:eastAsia="Times New Roman" w:hAnsi="Times New Roman" w:cs="Times New Roman"/>
      <w:sz w:val="20"/>
      <w:szCs w:val="20"/>
    </w:rPr>
  </w:style>
  <w:style w:type="character" w:styleId="Hyperlink">
    <w:name w:val="Hyperlink"/>
    <w:basedOn w:val="DefaultParagraphFont"/>
    <w:rsid w:val="00D45D36"/>
    <w:rPr>
      <w:color w:val="0000FF"/>
      <w:u w:val="single"/>
    </w:rPr>
  </w:style>
  <w:style w:type="character" w:customStyle="1" w:styleId="term1">
    <w:name w:val="term1"/>
    <w:basedOn w:val="DefaultParagraphFont"/>
    <w:rsid w:val="00D45D36"/>
    <w:rPr>
      <w:b/>
      <w:bCs/>
    </w:rPr>
  </w:style>
  <w:style w:type="character" w:styleId="Emphasis">
    <w:name w:val="Emphasis"/>
    <w:basedOn w:val="DefaultParagraphFont"/>
    <w:qFormat/>
    <w:rsid w:val="00D45D36"/>
    <w:rPr>
      <w:i/>
      <w:iCs/>
    </w:rPr>
  </w:style>
  <w:style w:type="paragraph" w:styleId="BodyText">
    <w:name w:val="Body Text"/>
    <w:basedOn w:val="Normal"/>
    <w:link w:val="BodyTextChar"/>
    <w:rsid w:val="004D6FFB"/>
    <w:pPr>
      <w:widowControl/>
      <w:spacing w:line="360" w:lineRule="auto"/>
    </w:pPr>
    <w:rPr>
      <w:sz w:val="26"/>
    </w:rPr>
  </w:style>
  <w:style w:type="character" w:customStyle="1" w:styleId="BodyTextChar">
    <w:name w:val="Body Text Char"/>
    <w:basedOn w:val="DefaultParagraphFont"/>
    <w:link w:val="BodyText"/>
    <w:rsid w:val="004D6FFB"/>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BE65C5"/>
    <w:pPr>
      <w:tabs>
        <w:tab w:val="center" w:pos="4680"/>
        <w:tab w:val="right" w:pos="9360"/>
      </w:tabs>
    </w:pPr>
  </w:style>
  <w:style w:type="character" w:customStyle="1" w:styleId="HeaderChar">
    <w:name w:val="Header Char"/>
    <w:basedOn w:val="DefaultParagraphFont"/>
    <w:link w:val="Header"/>
    <w:uiPriority w:val="99"/>
    <w:rsid w:val="00BE65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E65C5"/>
    <w:pPr>
      <w:tabs>
        <w:tab w:val="center" w:pos="4680"/>
        <w:tab w:val="right" w:pos="9360"/>
      </w:tabs>
    </w:pPr>
  </w:style>
  <w:style w:type="character" w:customStyle="1" w:styleId="FooterChar">
    <w:name w:val="Footer Char"/>
    <w:basedOn w:val="DefaultParagraphFont"/>
    <w:link w:val="Footer"/>
    <w:uiPriority w:val="99"/>
    <w:rsid w:val="00BE65C5"/>
    <w:rPr>
      <w:rFonts w:ascii="Times New Roman" w:eastAsia="Times New Roman" w:hAnsi="Times New Roman" w:cs="Times New Roman"/>
      <w:sz w:val="20"/>
      <w:szCs w:val="20"/>
    </w:rPr>
  </w:style>
  <w:style w:type="paragraph" w:styleId="ListParagraph">
    <w:name w:val="List Paragraph"/>
    <w:basedOn w:val="Normal"/>
    <w:uiPriority w:val="34"/>
    <w:qFormat/>
    <w:rsid w:val="00FD7B5A"/>
    <w:pPr>
      <w:ind w:left="720"/>
      <w:contextualSpacing/>
    </w:pPr>
  </w:style>
  <w:style w:type="character" w:styleId="CommentReference">
    <w:name w:val="annotation reference"/>
    <w:basedOn w:val="DefaultParagraphFont"/>
    <w:uiPriority w:val="99"/>
    <w:semiHidden/>
    <w:unhideWhenUsed/>
    <w:rsid w:val="001125BF"/>
    <w:rPr>
      <w:sz w:val="16"/>
      <w:szCs w:val="16"/>
    </w:rPr>
  </w:style>
  <w:style w:type="paragraph" w:styleId="CommentText">
    <w:name w:val="annotation text"/>
    <w:basedOn w:val="Normal"/>
    <w:link w:val="CommentTextChar"/>
    <w:uiPriority w:val="99"/>
    <w:semiHidden/>
    <w:unhideWhenUsed/>
    <w:rsid w:val="001125BF"/>
  </w:style>
  <w:style w:type="character" w:customStyle="1" w:styleId="CommentTextChar">
    <w:name w:val="Comment Text Char"/>
    <w:basedOn w:val="DefaultParagraphFont"/>
    <w:link w:val="CommentText"/>
    <w:uiPriority w:val="99"/>
    <w:semiHidden/>
    <w:rsid w:val="001125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25BF"/>
    <w:rPr>
      <w:b/>
      <w:bCs/>
    </w:rPr>
  </w:style>
  <w:style w:type="character" w:customStyle="1" w:styleId="CommentSubjectChar">
    <w:name w:val="Comment Subject Char"/>
    <w:basedOn w:val="CommentTextChar"/>
    <w:link w:val="CommentSubject"/>
    <w:uiPriority w:val="99"/>
    <w:semiHidden/>
    <w:rsid w:val="001125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25BF"/>
    <w:rPr>
      <w:rFonts w:ascii="Tahoma" w:hAnsi="Tahoma" w:cs="Tahoma"/>
      <w:sz w:val="16"/>
      <w:szCs w:val="16"/>
    </w:rPr>
  </w:style>
  <w:style w:type="character" w:customStyle="1" w:styleId="BalloonTextChar">
    <w:name w:val="Balloon Text Char"/>
    <w:basedOn w:val="DefaultParagraphFont"/>
    <w:link w:val="BalloonText"/>
    <w:uiPriority w:val="99"/>
    <w:semiHidden/>
    <w:rsid w:val="001125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5FF59-B313-432C-84C5-7274FA865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Farner, Joyce</cp:lastModifiedBy>
  <cp:revision>4</cp:revision>
  <cp:lastPrinted>2016-09-15T11:12:00Z</cp:lastPrinted>
  <dcterms:created xsi:type="dcterms:W3CDTF">2016-09-02T16:15:00Z</dcterms:created>
  <dcterms:modified xsi:type="dcterms:W3CDTF">2016-09-15T11:12:00Z</dcterms:modified>
</cp:coreProperties>
</file>