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AD" w:rsidRPr="00AC6BAD" w:rsidRDefault="00AC6BAD" w:rsidP="00AC6BAD">
      <w:pPr>
        <w:tabs>
          <w:tab w:val="clear" w:pos="1440"/>
          <w:tab w:val="left" w:pos="360"/>
        </w:tabs>
        <w:spacing w:after="0" w:line="233" w:lineRule="auto"/>
        <w:jc w:val="center"/>
        <w:rPr>
          <w:rFonts w:eastAsia="SimSun"/>
          <w:b/>
        </w:rPr>
      </w:pPr>
      <w:r w:rsidRPr="00AC6BAD">
        <w:rPr>
          <w:rFonts w:eastAsia="SimSun"/>
          <w:b/>
        </w:rPr>
        <w:t>BEFORE THE</w:t>
      </w:r>
    </w:p>
    <w:p w:rsidR="00AC6BAD" w:rsidRPr="00AC6BAD" w:rsidRDefault="00AC6BAD" w:rsidP="00AC6BAD">
      <w:pPr>
        <w:tabs>
          <w:tab w:val="clear" w:pos="1440"/>
          <w:tab w:val="left" w:pos="360"/>
        </w:tabs>
        <w:spacing w:after="0" w:line="233" w:lineRule="auto"/>
        <w:jc w:val="center"/>
        <w:rPr>
          <w:rFonts w:eastAsia="SimSun"/>
          <w:b/>
        </w:rPr>
      </w:pPr>
      <w:r w:rsidRPr="00AC6BAD">
        <w:rPr>
          <w:rFonts w:eastAsia="SimSun"/>
          <w:b/>
        </w:rPr>
        <w:t>PENNSYLVANIA PUBLIC UTILITY COMMISSION</w:t>
      </w:r>
    </w:p>
    <w:p w:rsidR="00AC6BAD" w:rsidRPr="00AC6BAD" w:rsidRDefault="00AC6BAD" w:rsidP="00AC6BAD">
      <w:pPr>
        <w:tabs>
          <w:tab w:val="clear" w:pos="1440"/>
          <w:tab w:val="left" w:pos="360"/>
        </w:tabs>
        <w:spacing w:after="0" w:line="233" w:lineRule="auto"/>
        <w:jc w:val="both"/>
        <w:rPr>
          <w:rFonts w:eastAsia="SimSun"/>
          <w:b/>
        </w:rPr>
      </w:pPr>
    </w:p>
    <w:p w:rsidR="00AC6BAD" w:rsidRPr="00AC6BAD" w:rsidRDefault="00AC6BAD" w:rsidP="00AC6BAD">
      <w:pPr>
        <w:tabs>
          <w:tab w:val="clear" w:pos="1440"/>
          <w:tab w:val="left" w:pos="360"/>
        </w:tabs>
        <w:spacing w:after="0" w:line="233" w:lineRule="auto"/>
        <w:jc w:val="both"/>
        <w:rPr>
          <w:rFonts w:eastAsia="SimSun"/>
          <w:b/>
        </w:rPr>
      </w:pPr>
    </w:p>
    <w:p w:rsidR="00AC6BAD" w:rsidRPr="00AC6BAD" w:rsidRDefault="00AC6BAD" w:rsidP="00AC6BAD">
      <w:pPr>
        <w:tabs>
          <w:tab w:val="clear" w:pos="1440"/>
          <w:tab w:val="left" w:pos="360"/>
        </w:tabs>
        <w:spacing w:after="0" w:line="233" w:lineRule="auto"/>
        <w:jc w:val="both"/>
        <w:rPr>
          <w:rFonts w:eastAsia="SimSun"/>
          <w:b/>
        </w:rPr>
      </w:pPr>
    </w:p>
    <w:p w:rsidR="00AC6BAD" w:rsidRPr="00AC6BAD" w:rsidRDefault="00AC6BAD" w:rsidP="00AC6BAD">
      <w:pPr>
        <w:tabs>
          <w:tab w:val="clear" w:pos="1440"/>
          <w:tab w:val="left" w:pos="360"/>
        </w:tabs>
        <w:spacing w:after="0" w:line="233" w:lineRule="auto"/>
        <w:jc w:val="both"/>
        <w:rPr>
          <w:rFonts w:eastAsia="SimSun"/>
          <w:b/>
        </w:rPr>
      </w:pPr>
      <w:r w:rsidRPr="00AC6BAD">
        <w:rPr>
          <w:rFonts w:eastAsia="SimSun"/>
        </w:rPr>
        <w:t>Donald W. Martin, Sr.</w:t>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b/>
        </w:rPr>
        <w:t>:</w:t>
      </w:r>
    </w:p>
    <w:p w:rsidR="00AC6BAD" w:rsidRPr="00AC6BAD" w:rsidRDefault="00AC6BAD" w:rsidP="00AC6BAD">
      <w:pPr>
        <w:tabs>
          <w:tab w:val="clear" w:pos="1440"/>
          <w:tab w:val="left" w:pos="360"/>
        </w:tabs>
        <w:spacing w:after="0" w:line="233" w:lineRule="auto"/>
        <w:jc w:val="both"/>
        <w:rPr>
          <w:rFonts w:eastAsia="SimSun"/>
        </w:rPr>
      </w:pPr>
      <w:r w:rsidRPr="00AC6BAD">
        <w:rPr>
          <w:rFonts w:eastAsia="SimSun"/>
          <w:b/>
        </w:rPr>
        <w:tab/>
      </w:r>
      <w:r w:rsidRPr="00AC6BAD">
        <w:rPr>
          <w:rFonts w:eastAsia="SimSun"/>
          <w:b/>
        </w:rPr>
        <w:tab/>
      </w:r>
      <w:r w:rsidRPr="00AC6BAD">
        <w:rPr>
          <w:rFonts w:eastAsia="SimSun"/>
          <w:b/>
        </w:rPr>
        <w:tab/>
      </w:r>
      <w:r w:rsidRPr="00AC6BAD">
        <w:rPr>
          <w:rFonts w:eastAsia="SimSun"/>
          <w:b/>
        </w:rPr>
        <w:tab/>
      </w:r>
      <w:r w:rsidRPr="00AC6BAD">
        <w:rPr>
          <w:rFonts w:eastAsia="SimSun"/>
          <w:b/>
        </w:rPr>
        <w:tab/>
      </w:r>
      <w:r w:rsidRPr="00AC6BAD">
        <w:rPr>
          <w:rFonts w:eastAsia="SimSun"/>
          <w:b/>
        </w:rPr>
        <w:tab/>
      </w:r>
      <w:r w:rsidRPr="00AC6BAD">
        <w:rPr>
          <w:rFonts w:eastAsia="SimSun"/>
          <w:b/>
        </w:rPr>
        <w:tab/>
      </w:r>
      <w:r w:rsidRPr="00AC6BAD">
        <w:rPr>
          <w:rFonts w:eastAsia="SimSun"/>
          <w:b/>
        </w:rPr>
        <w:tab/>
        <w:t>:</w:t>
      </w:r>
    </w:p>
    <w:p w:rsidR="00AC6BAD" w:rsidRPr="00AC6BAD" w:rsidRDefault="00AC6BAD" w:rsidP="00AC6BAD">
      <w:pPr>
        <w:tabs>
          <w:tab w:val="clear" w:pos="1440"/>
          <w:tab w:val="left" w:pos="360"/>
          <w:tab w:val="left" w:pos="720"/>
        </w:tabs>
        <w:spacing w:after="0" w:line="233" w:lineRule="auto"/>
        <w:jc w:val="both"/>
        <w:rPr>
          <w:rFonts w:eastAsia="SimSun"/>
        </w:rPr>
      </w:pPr>
      <w:r w:rsidRPr="00AC6BAD">
        <w:rPr>
          <w:rFonts w:eastAsia="SimSun"/>
        </w:rPr>
        <w:tab/>
      </w:r>
      <w:r w:rsidRPr="00AC6BAD">
        <w:rPr>
          <w:rFonts w:eastAsia="SimSun"/>
        </w:rPr>
        <w:tab/>
        <w:t>v.</w:t>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b/>
        </w:rPr>
        <w:t>:</w:t>
      </w:r>
      <w:r w:rsidRPr="00AC6BAD">
        <w:rPr>
          <w:rFonts w:eastAsia="SimSun"/>
        </w:rPr>
        <w:tab/>
      </w:r>
      <w:r w:rsidRPr="00AC6BAD">
        <w:rPr>
          <w:rFonts w:eastAsia="SimSun"/>
        </w:rPr>
        <w:tab/>
        <w:t>C-2013-2390764</w:t>
      </w:r>
    </w:p>
    <w:p w:rsidR="00AC6BAD" w:rsidRPr="00AC6BAD" w:rsidRDefault="00AC6BAD" w:rsidP="00AC6BAD">
      <w:pPr>
        <w:tabs>
          <w:tab w:val="clear" w:pos="1440"/>
          <w:tab w:val="left" w:pos="360"/>
        </w:tabs>
        <w:spacing w:after="0" w:line="233" w:lineRule="auto"/>
        <w:jc w:val="both"/>
        <w:rPr>
          <w:rFonts w:eastAsia="SimSun"/>
        </w:rPr>
      </w:pP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b/>
        </w:rPr>
        <w:t>:</w:t>
      </w:r>
    </w:p>
    <w:p w:rsidR="00AC6BAD" w:rsidRPr="00AC6BAD" w:rsidRDefault="00AC6BAD" w:rsidP="00AC6BAD">
      <w:pPr>
        <w:tabs>
          <w:tab w:val="clear" w:pos="1440"/>
          <w:tab w:val="left" w:pos="360"/>
        </w:tabs>
        <w:spacing w:after="0" w:line="233" w:lineRule="auto"/>
        <w:jc w:val="both"/>
        <w:rPr>
          <w:rFonts w:eastAsia="SimSun"/>
        </w:rPr>
      </w:pPr>
      <w:r w:rsidRPr="00AC6BAD">
        <w:rPr>
          <w:rFonts w:eastAsia="SimSun"/>
        </w:rPr>
        <w:t>Duquesne Light Company</w:t>
      </w:r>
      <w:r w:rsidRPr="00AC6BAD">
        <w:rPr>
          <w:rFonts w:eastAsia="SimSun"/>
        </w:rPr>
        <w:tab/>
      </w:r>
      <w:r w:rsidRPr="00AC6BAD">
        <w:rPr>
          <w:rFonts w:eastAsia="SimSun"/>
        </w:rPr>
        <w:tab/>
      </w:r>
      <w:r w:rsidRPr="00AC6BAD">
        <w:rPr>
          <w:rFonts w:eastAsia="SimSun"/>
        </w:rPr>
        <w:tab/>
      </w:r>
      <w:r w:rsidRPr="00AC6BAD">
        <w:rPr>
          <w:rFonts w:eastAsia="SimSun"/>
        </w:rPr>
        <w:tab/>
      </w:r>
      <w:r w:rsidRPr="00AC6BAD">
        <w:rPr>
          <w:rFonts w:eastAsia="SimSun"/>
          <w:b/>
        </w:rPr>
        <w:t>:</w:t>
      </w:r>
    </w:p>
    <w:p w:rsidR="00792796" w:rsidRDefault="00792796"/>
    <w:p w:rsidR="00AC6BAD" w:rsidRDefault="00AC6BAD" w:rsidP="00B346BF">
      <w:pPr>
        <w:spacing w:after="0"/>
      </w:pPr>
    </w:p>
    <w:p w:rsidR="00AC6BAD" w:rsidRDefault="00AC6BAD" w:rsidP="00AC6BAD">
      <w:pPr>
        <w:spacing w:after="0" w:line="240" w:lineRule="auto"/>
        <w:jc w:val="center"/>
        <w:rPr>
          <w:b/>
          <w:u w:val="single"/>
        </w:rPr>
      </w:pPr>
      <w:r w:rsidRPr="00AC6BAD">
        <w:rPr>
          <w:b/>
          <w:u w:val="single"/>
        </w:rPr>
        <w:t>INITIAL DECISION</w:t>
      </w:r>
    </w:p>
    <w:p w:rsidR="00B346BF" w:rsidRPr="00AC6BAD" w:rsidRDefault="00B346BF" w:rsidP="00AC6BAD">
      <w:pPr>
        <w:spacing w:after="0" w:line="240" w:lineRule="auto"/>
        <w:jc w:val="center"/>
        <w:rPr>
          <w:b/>
          <w:u w:val="single"/>
        </w:rPr>
      </w:pPr>
    </w:p>
    <w:p w:rsidR="00AC6BAD" w:rsidRDefault="00AC6BAD" w:rsidP="00AC6BAD">
      <w:pPr>
        <w:spacing w:after="0" w:line="240" w:lineRule="auto"/>
        <w:jc w:val="center"/>
      </w:pPr>
    </w:p>
    <w:p w:rsidR="00AC6BAD" w:rsidRDefault="00AC6BAD" w:rsidP="00AC6BAD">
      <w:pPr>
        <w:spacing w:after="0" w:line="240" w:lineRule="auto"/>
        <w:jc w:val="center"/>
      </w:pPr>
      <w:r>
        <w:t>Before</w:t>
      </w:r>
    </w:p>
    <w:p w:rsidR="00AC6BAD" w:rsidRDefault="00AC6BAD" w:rsidP="00AC6BAD">
      <w:pPr>
        <w:spacing w:after="0" w:line="240" w:lineRule="auto"/>
        <w:jc w:val="center"/>
      </w:pPr>
      <w:r>
        <w:t>Mary D. Long</w:t>
      </w:r>
    </w:p>
    <w:p w:rsidR="00AC6BAD" w:rsidRDefault="00AC6BAD" w:rsidP="00AC6BAD">
      <w:pPr>
        <w:spacing w:after="0" w:line="240" w:lineRule="auto"/>
        <w:jc w:val="center"/>
      </w:pPr>
      <w:r>
        <w:t>Administrative Law Judge</w:t>
      </w:r>
    </w:p>
    <w:p w:rsidR="00AC6BAD" w:rsidRDefault="00AC6BAD"/>
    <w:p w:rsidR="000110E9" w:rsidRDefault="000110E9" w:rsidP="00DB5DB5">
      <w:pPr>
        <w:spacing w:after="0"/>
      </w:pPr>
      <w:r>
        <w:tab/>
        <w:t>A customer filed a formal complaint which challenged the customer’s removal from a discounted rate structure, the refusal of the electric distribution company to provide him with a fixed due date for his bill and the calculation of the customer’s budget bill amounts.  The challenges related to the discounted rate structure and the due dates of the bill are dismissed because the Commission approved the discontinuance of the discounted rate and the company’s policy for determining the due date of a customer’s bill is reasonable.  However, the company’s calculation of the customer’s budget bill amount was arbitrary and unreasonable.  Moreover, the company’s customer service representatives were unable to accurately explain the method by which his budget amount was calculated.  Therefore, this claim is sustained and a civil penalty will be assessed.</w:t>
      </w:r>
    </w:p>
    <w:p w:rsidR="00AC6BAD" w:rsidRDefault="00AC6BAD" w:rsidP="00DB5DB5">
      <w:pPr>
        <w:spacing w:after="0"/>
      </w:pPr>
    </w:p>
    <w:p w:rsidR="00AC6BAD" w:rsidRDefault="00AC6BAD" w:rsidP="00DB5DB5">
      <w:pPr>
        <w:spacing w:after="0"/>
        <w:jc w:val="center"/>
        <w:rPr>
          <w:u w:val="single"/>
        </w:rPr>
      </w:pPr>
      <w:r w:rsidRPr="00AC6BAD">
        <w:rPr>
          <w:u w:val="single"/>
        </w:rPr>
        <w:t>PROCEDURAL HISTORY</w:t>
      </w:r>
    </w:p>
    <w:p w:rsidR="002F78A3" w:rsidRDefault="002F78A3" w:rsidP="00DB5DB5">
      <w:pPr>
        <w:spacing w:after="0"/>
        <w:jc w:val="center"/>
        <w:rPr>
          <w:u w:val="single"/>
        </w:rPr>
      </w:pPr>
    </w:p>
    <w:p w:rsidR="00610DD8" w:rsidRDefault="00AC6BAD" w:rsidP="00AE5AA6">
      <w:pPr>
        <w:spacing w:after="0"/>
      </w:pPr>
      <w:r>
        <w:tab/>
        <w:t>Donald W. Martin</w:t>
      </w:r>
      <w:r w:rsidR="00DB5DB5">
        <w:t>, Sr.</w:t>
      </w:r>
      <w:r>
        <w:t xml:space="preserve"> (Complainant) filed a complaint on October 13, 2013</w:t>
      </w:r>
      <w:r w:rsidR="00E2622B">
        <w:t>,</w:t>
      </w:r>
      <w:r>
        <w:t xml:space="preserve"> against Duquesne Light Company</w:t>
      </w:r>
      <w:r w:rsidR="00DB5DB5">
        <w:t xml:space="preserve"> (Duquesne Light)</w:t>
      </w:r>
      <w:r>
        <w:t>.  The Complainant alleged that when he built his home in 1995, he installed an electric hot water heater and other electric appliances in reliance upon a discounted rate that was offered</w:t>
      </w:r>
      <w:r w:rsidR="00836827">
        <w:t xml:space="preserve"> by Duquesne Light at that time.  </w:t>
      </w:r>
      <w:r>
        <w:t xml:space="preserve">Duquesne Light </w:t>
      </w:r>
      <w:r w:rsidR="00DB5DB5">
        <w:lastRenderedPageBreak/>
        <w:t>terminated the rate in June</w:t>
      </w:r>
      <w:r>
        <w:t xml:space="preserve"> 2013, but the Complainant believes that he should</w:t>
      </w:r>
      <w:r w:rsidR="00AD0241">
        <w:t xml:space="preserve"> be allowed to continue the discounted rate until he dies or sells his property.</w:t>
      </w:r>
    </w:p>
    <w:p w:rsidR="00AE5AA6" w:rsidRDefault="00AE5AA6" w:rsidP="00FC0E0C">
      <w:pPr>
        <w:spacing w:after="0"/>
      </w:pPr>
    </w:p>
    <w:p w:rsidR="00610DD8" w:rsidRDefault="00AD0241" w:rsidP="009004E0">
      <w:pPr>
        <w:spacing w:after="0"/>
      </w:pPr>
      <w:r>
        <w:tab/>
        <w:t>Duquesne Light filed a timely answer, which admitted that the Complain</w:t>
      </w:r>
      <w:r w:rsidR="009004E0">
        <w:t>ant</w:t>
      </w:r>
      <w:r>
        <w:t xml:space="preserve"> was charged at a discounted rate which was effective in 1995, but Duquesne Light discontinued that rate effective May 31, 2013</w:t>
      </w:r>
      <w:r w:rsidR="00E2622B">
        <w:t>,</w:t>
      </w:r>
      <w:r>
        <w:t xml:space="preserve"> with the Commission’s approval.</w:t>
      </w:r>
    </w:p>
    <w:p w:rsidR="00AE5AA6" w:rsidRDefault="00AE5AA6" w:rsidP="009004E0">
      <w:pPr>
        <w:spacing w:after="0"/>
      </w:pPr>
    </w:p>
    <w:p w:rsidR="00AC6BAD" w:rsidRDefault="00AD0241" w:rsidP="00EA3FCE">
      <w:pPr>
        <w:spacing w:after="0"/>
      </w:pPr>
      <w:r>
        <w:tab/>
        <w:t>By hearin</w:t>
      </w:r>
      <w:r w:rsidR="009004E0">
        <w:t>g notice dated December 23, 2013</w:t>
      </w:r>
      <w:r>
        <w:t>, this matter was assigned to me and scheduled for hearing on January 7, 2014.  However, b</w:t>
      </w:r>
      <w:r w:rsidR="00AC6BAD">
        <w:t xml:space="preserve">y letter dated January 13, 2014, </w:t>
      </w:r>
      <w:r>
        <w:t>the Complainant</w:t>
      </w:r>
      <w:r w:rsidR="00AC6BAD">
        <w:t xml:space="preserve"> amended his compla</w:t>
      </w:r>
      <w:r>
        <w:t xml:space="preserve">int to make additional claims, which included a challenge to Duquesne Light’s calculation of his budget payment amount and a complaint that the due date for his payment changed from month to month.  The changing amounts due and changing due date for payment resulted in bounced checks when the amount due </w:t>
      </w:r>
      <w:r w:rsidR="00E2622B">
        <w:t>was deducted</w:t>
      </w:r>
      <w:r>
        <w:t xml:space="preserve"> before his Social Security was deposited into his bank account.  The hearing was cancelled and Duquesne Light was permitted to file an answer to the additional claims.</w:t>
      </w:r>
    </w:p>
    <w:p w:rsidR="009004E0" w:rsidRDefault="009004E0" w:rsidP="00EA3FCE">
      <w:pPr>
        <w:spacing w:after="0"/>
      </w:pPr>
    </w:p>
    <w:p w:rsidR="00AC6BAD" w:rsidRDefault="00AC6BAD" w:rsidP="00EA3FCE">
      <w:pPr>
        <w:spacing w:after="0"/>
      </w:pPr>
      <w:r>
        <w:tab/>
        <w:t xml:space="preserve">A hearing was </w:t>
      </w:r>
      <w:r w:rsidR="00AD0241">
        <w:t xml:space="preserve">rescheduled and </w:t>
      </w:r>
      <w:r w:rsidR="0088665C">
        <w:t xml:space="preserve">was </w:t>
      </w:r>
      <w:r>
        <w:t xml:space="preserve">held on Friday, April 11, 2014.  </w:t>
      </w:r>
      <w:r w:rsidR="0088665C">
        <w:t>The Complainant represented himself and testified on his own behalf.</w:t>
      </w:r>
      <w:r w:rsidR="007849B3">
        <w:t xml:space="preserve">  He sponsored one exhibit which was admitted into the record.</w:t>
      </w:r>
      <w:r w:rsidR="0088665C">
        <w:t xml:space="preserve">  Duquesne Light was represented by </w:t>
      </w:r>
      <w:r w:rsidR="007849B3">
        <w:t xml:space="preserve">Danielle </w:t>
      </w:r>
      <w:r w:rsidR="00483734">
        <w:t xml:space="preserve">L. </w:t>
      </w:r>
      <w:r w:rsidR="007849B3">
        <w:t xml:space="preserve">Dietrich, Esquire who presented the testimony of two witnesses.  Those witnesses sponsored eight exhibits which were admitted into the record.  </w:t>
      </w:r>
      <w:r>
        <w:t>Following a review of the exhibits and testimony</w:t>
      </w:r>
      <w:r w:rsidR="000F0804">
        <w:t>,</w:t>
      </w:r>
      <w:r>
        <w:t xml:space="preserve"> I scheduled a further hearing in order to further develop the record on the subject of the calculation of the budget bill amount.</w:t>
      </w:r>
      <w:r w:rsidR="00483734">
        <w:t xml:space="preserve"> </w:t>
      </w:r>
      <w:r>
        <w:t xml:space="preserve"> By order dated April 17, 2014, Duquesne Light was directed to present specific evidence on the subject of budget billing.</w:t>
      </w:r>
      <w:r w:rsidR="007849B3">
        <w:t xml:space="preserve">  </w:t>
      </w:r>
    </w:p>
    <w:p w:rsidR="00EA3FCE" w:rsidRDefault="00EA3FCE" w:rsidP="00EA3FCE">
      <w:pPr>
        <w:spacing w:after="0"/>
      </w:pPr>
    </w:p>
    <w:p w:rsidR="007849B3" w:rsidRDefault="00AC6BAD" w:rsidP="008068CA">
      <w:r>
        <w:tab/>
      </w:r>
      <w:r w:rsidR="007849B3">
        <w:t>By hearing notice dated April 23, 2014, a further hearing was scheduled for</w:t>
      </w:r>
      <w:r w:rsidR="008068CA">
        <w:t xml:space="preserve"> </w:t>
      </w:r>
      <w:r w:rsidR="007849B3">
        <w:t>June</w:t>
      </w:r>
      <w:r w:rsidR="008068CA">
        <w:t> </w:t>
      </w:r>
      <w:r w:rsidR="007849B3">
        <w:t xml:space="preserve">18, 2014.  </w:t>
      </w:r>
      <w:r>
        <w:t>On the morning of the scheduled hearing, counsel for Duquesne Light notified my office that she had reached an accord with the Complainant and she filed a certificate of satisfaction on June 18, 2014.  By letter dated June 26, 2014, the Complainant objected to the certificate of satisfaction and requested a further heari</w:t>
      </w:r>
      <w:r w:rsidR="007849B3">
        <w:t>ng.  Accordingly, a hearing was again</w:t>
      </w:r>
      <w:r>
        <w:t xml:space="preserve"> scheduled for Thursday, August 21, 2014 at 10</w:t>
      </w:r>
      <w:r w:rsidR="004D40B7">
        <w:t>:00</w:t>
      </w:r>
      <w:r>
        <w:t xml:space="preserve"> a.m.</w:t>
      </w:r>
      <w:r w:rsidR="007849B3">
        <w:t xml:space="preserve">  The additional day of hearing was held </w:t>
      </w:r>
      <w:r w:rsidR="007849B3">
        <w:lastRenderedPageBreak/>
        <w:t>on that day.  The Complainant again appeared and represented himself.  Ms. Dietrich, representing Duquesne Light, presented the testimony of an additional witness who sponsored five additional exhibits which were admitted into the record.</w:t>
      </w:r>
      <w:r w:rsidR="00BD45B2">
        <w:t xml:space="preserve">  The two days of hearing resulted in a transcript of 128 pages.  By order dated </w:t>
      </w:r>
      <w:r w:rsidR="00705939">
        <w:t>September 3, 2014</w:t>
      </w:r>
      <w:r w:rsidR="00BD45B2">
        <w:t>, the record was closed.</w:t>
      </w:r>
    </w:p>
    <w:p w:rsidR="00EA3FCE" w:rsidRDefault="00EA3FCE" w:rsidP="00EA3FCE">
      <w:pPr>
        <w:spacing w:after="0"/>
      </w:pPr>
    </w:p>
    <w:p w:rsidR="00B1632E" w:rsidRDefault="00B1632E" w:rsidP="008C5A11">
      <w:pPr>
        <w:spacing w:after="0"/>
        <w:jc w:val="center"/>
        <w:rPr>
          <w:u w:val="single"/>
        </w:rPr>
      </w:pPr>
      <w:r w:rsidRPr="00B1632E">
        <w:rPr>
          <w:u w:val="single"/>
        </w:rPr>
        <w:t>FINDINGS OF FACT</w:t>
      </w:r>
    </w:p>
    <w:p w:rsidR="008C5A11" w:rsidRDefault="008C5A11" w:rsidP="007225B8">
      <w:pPr>
        <w:spacing w:after="0"/>
        <w:jc w:val="center"/>
        <w:rPr>
          <w:u w:val="single"/>
        </w:rPr>
      </w:pPr>
    </w:p>
    <w:p w:rsidR="00803277" w:rsidRPr="00AE5AA6" w:rsidRDefault="003B37CA" w:rsidP="008C5A11">
      <w:pPr>
        <w:pStyle w:val="ListParagraph"/>
        <w:rPr>
          <w:i/>
          <w:u w:val="single"/>
        </w:rPr>
      </w:pPr>
      <w:r>
        <w:t>At the time of the first hearing Donald W. Martin</w:t>
      </w:r>
      <w:r w:rsidR="00E862EC">
        <w:t>, Sr.</w:t>
      </w:r>
      <w:r>
        <w:t xml:space="preserve"> (Complainant) resided at 100 Margaret Lane, Rochester, Pennsylvania.  He received electric distribution service from Duquesne Light Company (Duquesne Light) at that address.  (N.T. 7)</w:t>
      </w:r>
    </w:p>
    <w:p w:rsidR="00AE5AA6" w:rsidRPr="00AE5AA6" w:rsidRDefault="00AE5AA6" w:rsidP="00E862EC">
      <w:pPr>
        <w:spacing w:after="0"/>
        <w:ind w:left="1440"/>
      </w:pPr>
    </w:p>
    <w:p w:rsidR="00214B42" w:rsidRDefault="00214B42" w:rsidP="00AE5AA6">
      <w:pPr>
        <w:spacing w:after="0"/>
        <w:rPr>
          <w:i/>
          <w:u w:val="single"/>
        </w:rPr>
      </w:pPr>
      <w:r w:rsidRPr="00E862EC">
        <w:rPr>
          <w:i/>
          <w:u w:val="single"/>
        </w:rPr>
        <w:t>Rider 19</w:t>
      </w:r>
    </w:p>
    <w:p w:rsidR="00E862EC" w:rsidRPr="00E862EC" w:rsidRDefault="00E862EC" w:rsidP="00E862EC">
      <w:pPr>
        <w:spacing w:after="0"/>
      </w:pPr>
    </w:p>
    <w:p w:rsidR="00592CB6" w:rsidRDefault="00592CB6" w:rsidP="008C5A11">
      <w:pPr>
        <w:pStyle w:val="ListParagraph"/>
      </w:pPr>
      <w:r>
        <w:t xml:space="preserve">The Complainant purchased the </w:t>
      </w:r>
      <w:r w:rsidR="00FD2DB5">
        <w:t>Margaret Lane</w:t>
      </w:r>
      <w:r>
        <w:t xml:space="preserve"> property in 1995.  At that time, he believed that he had an agreement with Duquesne Light</w:t>
      </w:r>
      <w:r w:rsidR="00FD2DB5">
        <w:t xml:space="preserve"> for a reduced rate for electricity</w:t>
      </w:r>
      <w:r w:rsidR="00CC68CE">
        <w:t>, called a “hot water” rate</w:t>
      </w:r>
      <w:r w:rsidR="00FD2DB5">
        <w:t>.  He installed electric appliances in reliance upon that rate.</w:t>
      </w:r>
      <w:r w:rsidR="00E862EC">
        <w:t xml:space="preserve"> </w:t>
      </w:r>
      <w:r w:rsidR="00CC68CE">
        <w:t xml:space="preserve"> (N.T. 8-9)</w:t>
      </w:r>
    </w:p>
    <w:p w:rsidR="00AE5AA6" w:rsidRDefault="00AE5AA6" w:rsidP="00E862EC">
      <w:pPr>
        <w:spacing w:after="0"/>
        <w:ind w:left="1440"/>
      </w:pPr>
    </w:p>
    <w:p w:rsidR="00803277" w:rsidRDefault="00CC68CE" w:rsidP="008C5A11">
      <w:pPr>
        <w:pStyle w:val="ListParagraph"/>
      </w:pPr>
      <w:r>
        <w:t>The Complainant has been a customer of Duquesne Light for over 55 years.  Additionally, he had a professional relationship with Duquesne Light when he worked as the director of engineering for the Community College of Beaver Count</w:t>
      </w:r>
      <w:r w:rsidR="00E862EC">
        <w:t>y</w:t>
      </w:r>
      <w:r>
        <w:t xml:space="preserve"> and as the superintendent of maintenance at the Greater Pittsburgh Airport and Sewickley Valley Hospital.  (N.T. 8-10)</w:t>
      </w:r>
      <w:r w:rsidR="00803277" w:rsidRPr="00803277">
        <w:t xml:space="preserve"> </w:t>
      </w:r>
    </w:p>
    <w:p w:rsidR="00AE5AA6" w:rsidRDefault="00AE5AA6" w:rsidP="00E862EC">
      <w:pPr>
        <w:spacing w:after="0"/>
        <w:ind w:left="1440"/>
      </w:pPr>
    </w:p>
    <w:p w:rsidR="00803277" w:rsidRDefault="00803277" w:rsidP="008C5A11">
      <w:pPr>
        <w:pStyle w:val="ListParagraph"/>
      </w:pPr>
      <w:r>
        <w:t xml:space="preserve">In the Complainant’s view, he had an agreement with Duquesne Light that in exchange for installing all electric appliances and installing a controller on his hot water heater that would regulate the electricity </w:t>
      </w:r>
      <w:r w:rsidR="00B85516">
        <w:t>going to the water hea</w:t>
      </w:r>
      <w:r>
        <w:t>ter at off-peak hours, he would be charged a reduced rate for electricity consumption for as long as he lived at Margaret Lane.  (N.T. 10)</w:t>
      </w:r>
    </w:p>
    <w:p w:rsidR="00AE5AA6" w:rsidRDefault="00AE5AA6" w:rsidP="00E862EC">
      <w:pPr>
        <w:spacing w:after="0"/>
        <w:ind w:left="1440"/>
      </w:pPr>
    </w:p>
    <w:p w:rsidR="00B85516" w:rsidRDefault="00B85516" w:rsidP="008C5A11">
      <w:pPr>
        <w:pStyle w:val="ListParagraph"/>
      </w:pPr>
      <w:r>
        <w:t xml:space="preserve">This off-peak water program is also referred to as “Rider 19.”  </w:t>
      </w:r>
      <w:r w:rsidR="00147D02">
        <w:t>(N.T. 35; Duquesne Light Ex. 1)</w:t>
      </w:r>
    </w:p>
    <w:p w:rsidR="00147D02" w:rsidRDefault="00147D02" w:rsidP="008C5A11">
      <w:pPr>
        <w:pStyle w:val="ListParagraph"/>
      </w:pPr>
      <w:r>
        <w:lastRenderedPageBreak/>
        <w:t xml:space="preserve">The Rider 19 rate was terminated with Commission approval, effective June 1, 2013, as part of </w:t>
      </w:r>
      <w:r w:rsidR="003B01E0">
        <w:t>Duquesne</w:t>
      </w:r>
      <w:r>
        <w:t xml:space="preserve"> Light’s Default Service Program for June 1, 2013 through May 31, 2015.</w:t>
      </w:r>
      <w:r w:rsidR="00D92088">
        <w:rPr>
          <w:rStyle w:val="FootnoteReference"/>
        </w:rPr>
        <w:footnoteReference w:id="1"/>
      </w:r>
      <w:r>
        <w:t xml:space="preserve">  (N.T. 37-38)</w:t>
      </w:r>
    </w:p>
    <w:p w:rsidR="00E862EC" w:rsidRDefault="00E862EC" w:rsidP="008B0F7E">
      <w:pPr>
        <w:spacing w:after="0"/>
        <w:ind w:left="1440"/>
      </w:pPr>
    </w:p>
    <w:p w:rsidR="00CC68CE" w:rsidRDefault="00803277" w:rsidP="008C5A11">
      <w:pPr>
        <w:pStyle w:val="ListParagraph"/>
      </w:pPr>
      <w:r>
        <w:t xml:space="preserve">In July or August 2014, </w:t>
      </w:r>
      <w:r w:rsidR="005552A2">
        <w:t>the Complainant</w:t>
      </w:r>
      <w:r>
        <w:t xml:space="preserve"> moved to 524 Forest Drive, Clarington, Pennsylvania.  (N.T. 74, 115)</w:t>
      </w:r>
    </w:p>
    <w:p w:rsidR="00FA2E12" w:rsidRDefault="00FA2E12" w:rsidP="008B0F7E">
      <w:pPr>
        <w:spacing w:after="0"/>
        <w:ind w:left="1440"/>
      </w:pPr>
    </w:p>
    <w:p w:rsidR="00714DEF" w:rsidRDefault="009B139F" w:rsidP="008C5A11">
      <w:pPr>
        <w:pStyle w:val="ListParagraph"/>
      </w:pPr>
      <w:r>
        <w:t>T</w:t>
      </w:r>
      <w:r w:rsidR="00FD2DB5">
        <w:t xml:space="preserve">he </w:t>
      </w:r>
      <w:r>
        <w:t xml:space="preserve">Complainant </w:t>
      </w:r>
      <w:r w:rsidR="00FD2DB5">
        <w:t>conceded that when he moved from the Mar</w:t>
      </w:r>
      <w:r w:rsidR="00550189">
        <w:t>garet Lane address in 2014</w:t>
      </w:r>
      <w:r w:rsidR="00FD2DB5">
        <w:t>, any agreement he may have had with Duquesne L</w:t>
      </w:r>
      <w:r w:rsidR="00714DEF">
        <w:t>ight was terminated</w:t>
      </w:r>
      <w:r w:rsidR="00FD2DB5">
        <w:t>.</w:t>
      </w:r>
      <w:r w:rsidR="00714DEF">
        <w:t xml:space="preserve">  </w:t>
      </w:r>
    </w:p>
    <w:p w:rsidR="00FD2DB5" w:rsidRDefault="00FD2DB5" w:rsidP="00714DEF">
      <w:pPr>
        <w:spacing w:after="0"/>
      </w:pPr>
      <w:r>
        <w:t>(N.T. 115)</w:t>
      </w:r>
    </w:p>
    <w:p w:rsidR="00FC0E0C" w:rsidRDefault="00FC0E0C" w:rsidP="007D6134">
      <w:pPr>
        <w:spacing w:after="0"/>
        <w:ind w:left="1440"/>
      </w:pPr>
    </w:p>
    <w:p w:rsidR="001B4E0A" w:rsidRPr="00463737" w:rsidRDefault="001B4E0A" w:rsidP="007D6134">
      <w:pPr>
        <w:spacing w:after="0"/>
        <w:rPr>
          <w:i/>
          <w:u w:val="single"/>
        </w:rPr>
      </w:pPr>
      <w:r w:rsidRPr="00463737">
        <w:rPr>
          <w:i/>
          <w:u w:val="single"/>
        </w:rPr>
        <w:t>Due Dates of the Bills</w:t>
      </w:r>
    </w:p>
    <w:p w:rsidR="00FC0E0C" w:rsidRPr="001B4E0A" w:rsidRDefault="00FC0E0C" w:rsidP="007D6134">
      <w:pPr>
        <w:spacing w:after="0"/>
      </w:pPr>
    </w:p>
    <w:p w:rsidR="001B4E0A" w:rsidRDefault="001B4E0A" w:rsidP="008C5A11">
      <w:pPr>
        <w:pStyle w:val="ListParagraph"/>
      </w:pPr>
      <w:r>
        <w:t>The due dates for the Complainant’s bills vary from the first of the mon</w:t>
      </w:r>
      <w:r w:rsidR="008E34A8">
        <w:t xml:space="preserve">th to the seventh of the month.  </w:t>
      </w:r>
      <w:r>
        <w:t>(N.T. 48)</w:t>
      </w:r>
    </w:p>
    <w:p w:rsidR="00FC0E0C" w:rsidRDefault="00FC0E0C" w:rsidP="00AF7842">
      <w:pPr>
        <w:spacing w:after="0"/>
        <w:ind w:left="1440"/>
      </w:pPr>
    </w:p>
    <w:p w:rsidR="001B4E0A" w:rsidRDefault="001B4E0A" w:rsidP="008C5A11">
      <w:pPr>
        <w:pStyle w:val="ListParagraph"/>
      </w:pPr>
      <w:r>
        <w:t xml:space="preserve">The day that a bill is due is based upon when the customer’s meter is read.  </w:t>
      </w:r>
      <w:r w:rsidR="00A41DC2">
        <w:t xml:space="preserve">A customer’s payment is due 20 days after the bill is prepared.  </w:t>
      </w:r>
      <w:r>
        <w:t>(N.T. 49</w:t>
      </w:r>
      <w:r w:rsidR="00A41DC2">
        <w:t>, 55</w:t>
      </w:r>
      <w:r>
        <w:t>)</w:t>
      </w:r>
    </w:p>
    <w:p w:rsidR="00FC0E0C" w:rsidRDefault="00FC0E0C" w:rsidP="00AF7842">
      <w:pPr>
        <w:spacing w:after="0"/>
        <w:ind w:left="1440"/>
      </w:pPr>
    </w:p>
    <w:p w:rsidR="00AF7842" w:rsidRDefault="001B4E0A" w:rsidP="008C5A11">
      <w:pPr>
        <w:pStyle w:val="ListParagraph"/>
      </w:pPr>
      <w:r>
        <w:t xml:space="preserve">Duquesne Light </w:t>
      </w:r>
      <w:r w:rsidR="00F10833">
        <w:t xml:space="preserve">does not permit a </w:t>
      </w:r>
      <w:r>
        <w:t xml:space="preserve">customer </w:t>
      </w:r>
      <w:r w:rsidR="00F10833">
        <w:t>to</w:t>
      </w:r>
      <w:r>
        <w:t xml:space="preserve"> choose a due date. </w:t>
      </w:r>
      <w:r w:rsidR="00AF7842">
        <w:t xml:space="preserve"> </w:t>
      </w:r>
    </w:p>
    <w:p w:rsidR="001B4E0A" w:rsidRDefault="001B4E0A" w:rsidP="00AF7842">
      <w:pPr>
        <w:spacing w:after="0"/>
      </w:pPr>
      <w:r>
        <w:t>(N.T. 49)</w:t>
      </w:r>
    </w:p>
    <w:p w:rsidR="00FC0E0C" w:rsidRDefault="00FC0E0C" w:rsidP="00AF7842">
      <w:pPr>
        <w:spacing w:after="0"/>
        <w:ind w:left="1440"/>
      </w:pPr>
    </w:p>
    <w:p w:rsidR="00214B42" w:rsidRPr="00463737" w:rsidRDefault="00214B42" w:rsidP="00AF7842">
      <w:pPr>
        <w:spacing w:after="0"/>
        <w:rPr>
          <w:i/>
          <w:u w:val="single"/>
        </w:rPr>
      </w:pPr>
      <w:r w:rsidRPr="00463737">
        <w:rPr>
          <w:i/>
          <w:u w:val="single"/>
        </w:rPr>
        <w:t>Calculation of the Budget Amount</w:t>
      </w:r>
    </w:p>
    <w:p w:rsidR="00FC0E0C" w:rsidRPr="00214B42" w:rsidRDefault="00FC0E0C" w:rsidP="00AF7842">
      <w:pPr>
        <w:spacing w:after="0"/>
      </w:pPr>
    </w:p>
    <w:p w:rsidR="00CC35B4" w:rsidRDefault="00CC35B4" w:rsidP="008C5A11">
      <w:pPr>
        <w:pStyle w:val="ListParagraph"/>
      </w:pPr>
      <w:r>
        <w:t>Duquesne Light offers customers an opportunity to pay a “budget amount” each month, rather than the actual amount due.  The purpose of the program is so that customers can pay a similar amount each month, regardless of the usage for a particular month.  (N.T. 51; Duquesne Light Exs. 16, 17, 18)</w:t>
      </w:r>
    </w:p>
    <w:p w:rsidR="001C0153" w:rsidRDefault="00A41DC2" w:rsidP="008C5A11">
      <w:pPr>
        <w:pStyle w:val="ListParagraph"/>
      </w:pPr>
      <w:r>
        <w:lastRenderedPageBreak/>
        <w:t>If a customer elects a budget plan, a payment is due every month, even if the account carries a credit balance.  (N.T. 52)</w:t>
      </w:r>
      <w:r w:rsidR="001C0153" w:rsidRPr="001C0153">
        <w:t xml:space="preserve"> </w:t>
      </w:r>
    </w:p>
    <w:p w:rsidR="00FC0E0C" w:rsidRDefault="00FC0E0C" w:rsidP="00F1625F">
      <w:pPr>
        <w:spacing w:after="0"/>
        <w:ind w:left="1440"/>
      </w:pPr>
    </w:p>
    <w:p w:rsidR="001C0153" w:rsidRDefault="001C0153" w:rsidP="008C5A11">
      <w:pPr>
        <w:pStyle w:val="ListParagraph"/>
      </w:pPr>
      <w:r>
        <w:t>Each year the account is reviewed in a procedure called a “true up.”  At this point the amount over-collected o</w:t>
      </w:r>
      <w:r w:rsidR="00F1625F">
        <w:t>r under-collected is calculated</w:t>
      </w:r>
      <w:r>
        <w:t xml:space="preserve"> based on the customer’s actual usage and the amounts paid during the budget program.</w:t>
      </w:r>
      <w:r w:rsidR="00F1625F">
        <w:t xml:space="preserve"> </w:t>
      </w:r>
      <w:r>
        <w:t xml:space="preserve"> (N.T. 52, 87)</w:t>
      </w:r>
    </w:p>
    <w:p w:rsidR="00FC0E0C" w:rsidRDefault="00FC0E0C" w:rsidP="00F1625F">
      <w:pPr>
        <w:spacing w:after="0"/>
        <w:ind w:left="1440"/>
      </w:pPr>
    </w:p>
    <w:p w:rsidR="00A41DC2" w:rsidRDefault="001C0153" w:rsidP="008C5A11">
      <w:pPr>
        <w:pStyle w:val="ListParagraph"/>
      </w:pPr>
      <w:r>
        <w:t>At the “true up” if the customer has paid less in budget payments than is owed, that amount can be paid or amortized into the budget bill amount dur</w:t>
      </w:r>
      <w:r w:rsidR="00FA2917">
        <w:t>ing the next twelve months. (</w:t>
      </w:r>
      <w:r w:rsidR="00FA2917" w:rsidRPr="00FA2917">
        <w:rPr>
          <w:i/>
        </w:rPr>
        <w:t>E.g</w:t>
      </w:r>
      <w:r>
        <w:t>. Ex. 21 at p. 14; N.T. 93)</w:t>
      </w:r>
    </w:p>
    <w:p w:rsidR="00F1625F" w:rsidRDefault="00F1625F" w:rsidP="00402EB3">
      <w:pPr>
        <w:spacing w:after="0"/>
        <w:ind w:left="1440"/>
      </w:pPr>
    </w:p>
    <w:p w:rsidR="00AE5AA6" w:rsidRDefault="008046CE" w:rsidP="008C5A11">
      <w:pPr>
        <w:pStyle w:val="ListParagraph"/>
      </w:pPr>
      <w:r>
        <w:t xml:space="preserve">From November 2011 to </w:t>
      </w:r>
      <w:r w:rsidR="00FA2917">
        <w:t>June 2013</w:t>
      </w:r>
      <w:r>
        <w:t>, the Complainant’s b</w:t>
      </w:r>
      <w:r w:rsidR="00FA2917">
        <w:t>udget amounts ranged from $58</w:t>
      </w:r>
      <w:r>
        <w:t>.00 to $67.00.  These budget amounts did not result in any substantial over-collection or under-collection to the Complainant</w:t>
      </w:r>
      <w:r w:rsidR="00FA2917">
        <w:t>’s account.  (Duquesne Light Ex. 21 at pp.</w:t>
      </w:r>
      <w:r w:rsidR="00B77663">
        <w:t> </w:t>
      </w:r>
      <w:r w:rsidR="00FA2917">
        <w:t>1</w:t>
      </w:r>
      <w:r w:rsidR="00B77663">
        <w:noBreakHyphen/>
      </w:r>
      <w:r w:rsidR="00FA2917">
        <w:t>21</w:t>
      </w:r>
      <w:r>
        <w:t>)</w:t>
      </w:r>
    </w:p>
    <w:p w:rsidR="00CF756F" w:rsidRDefault="00CF756F" w:rsidP="00FC0E0C">
      <w:pPr>
        <w:spacing w:after="0"/>
        <w:ind w:left="1440"/>
      </w:pPr>
      <w:r w:rsidRPr="00CF756F">
        <w:t xml:space="preserve"> </w:t>
      </w:r>
    </w:p>
    <w:p w:rsidR="001C0153" w:rsidRDefault="00FA2917" w:rsidP="008C5A11">
      <w:pPr>
        <w:pStyle w:val="ListParagraph"/>
      </w:pPr>
      <w:r>
        <w:t>From July 2013 to December 2013, the Complainant’s budget amounts ranged from $100.00 to $119.00.  However, customer service manually changed the Complainant’s December 2013 budget amount to $70.00.  (Duquesne Light Ex. 21 pp. 22-27)</w:t>
      </w:r>
      <w:r>
        <w:rPr>
          <w:rStyle w:val="FootnoteReference"/>
        </w:rPr>
        <w:footnoteReference w:id="2"/>
      </w:r>
    </w:p>
    <w:p w:rsidR="00AE5AA6" w:rsidRDefault="00AE5AA6" w:rsidP="00FC0E0C">
      <w:pPr>
        <w:spacing w:after="0"/>
        <w:ind w:left="1440"/>
      </w:pPr>
    </w:p>
    <w:p w:rsidR="00F1625F" w:rsidRDefault="00F1625F" w:rsidP="008C5A11">
      <w:pPr>
        <w:pStyle w:val="ListParagraph"/>
      </w:pPr>
      <w:r>
        <w:t xml:space="preserve">In June 2013, the Complainant’s rate plan, Rider 19, was eliminated.  As a consequence, the actual usage records for Rider 19 customers were removed from Duquesne </w:t>
      </w:r>
      <w:proofErr w:type="gramStart"/>
      <w:r>
        <w:t>Light’s</w:t>
      </w:r>
      <w:proofErr w:type="gramEnd"/>
      <w:r>
        <w:t xml:space="preserve"> billing </w:t>
      </w:r>
      <w:r w:rsidR="009B139F">
        <w:t>system</w:t>
      </w:r>
      <w:r>
        <w:t>.  (N.T. 94)</w:t>
      </w:r>
    </w:p>
    <w:p w:rsidR="001C0153" w:rsidRDefault="001C0153" w:rsidP="00FC0E0C">
      <w:pPr>
        <w:spacing w:after="0"/>
      </w:pPr>
    </w:p>
    <w:p w:rsidR="001C0153" w:rsidRDefault="001C0153" w:rsidP="008C5A11">
      <w:pPr>
        <w:pStyle w:val="ListParagraph"/>
      </w:pPr>
      <w:r>
        <w:t xml:space="preserve">Accordingly, each Rider 19 customer was assigned an annual </w:t>
      </w:r>
      <w:r w:rsidR="007269A7">
        <w:t xml:space="preserve">estimated </w:t>
      </w:r>
      <w:r>
        <w:t>usage of 10,000 kWh, regardless of the customer’s</w:t>
      </w:r>
      <w:r w:rsidR="007269A7">
        <w:t xml:space="preserve"> actual</w:t>
      </w:r>
      <w:r>
        <w:t xml:space="preserve"> historical usage.  (N.T. 95, 110)</w:t>
      </w:r>
    </w:p>
    <w:p w:rsidR="00AE5AA6" w:rsidRDefault="00AE5AA6" w:rsidP="00FC0E0C">
      <w:pPr>
        <w:spacing w:after="0"/>
        <w:ind w:left="1440"/>
      </w:pPr>
    </w:p>
    <w:p w:rsidR="00412640" w:rsidRDefault="00412640" w:rsidP="008C5A11">
      <w:pPr>
        <w:pStyle w:val="ListParagraph"/>
      </w:pPr>
      <w:r>
        <w:t>After July 2013, the calculation of the budget amount is not a simple average of the customer’s last 12 bills</w:t>
      </w:r>
      <w:r w:rsidR="00600EE6">
        <w:t xml:space="preserve"> based on the customer’s actual usage</w:t>
      </w:r>
      <w:r>
        <w:t>.</w:t>
      </w:r>
      <w:r w:rsidR="007269A7">
        <w:t xml:space="preserve">  The new </w:t>
      </w:r>
      <w:r w:rsidR="007269A7">
        <w:lastRenderedPageBreak/>
        <w:t>methodology not only used an estimated usage, but also added a component called a “Rate Plan Profile” which was also used for the purpose of calculating the budget amount.</w:t>
      </w:r>
      <w:r w:rsidR="005923AA">
        <w:t xml:space="preserve"> </w:t>
      </w:r>
      <w:r>
        <w:t xml:space="preserve"> (See Duquesne Light Ex. 21)</w:t>
      </w:r>
    </w:p>
    <w:p w:rsidR="00AE5AA6" w:rsidRDefault="00AE5AA6" w:rsidP="00402EB3">
      <w:pPr>
        <w:spacing w:after="0"/>
        <w:ind w:left="1440"/>
      </w:pPr>
    </w:p>
    <w:p w:rsidR="007D3598" w:rsidRDefault="00600EE6" w:rsidP="008C5A11">
      <w:pPr>
        <w:pStyle w:val="ListParagraph"/>
      </w:pPr>
      <w:r>
        <w:t xml:space="preserve"> </w:t>
      </w:r>
      <w:r w:rsidR="001C0153">
        <w:t>From the Complainant’s bill prepared November 11, 2011</w:t>
      </w:r>
      <w:r w:rsidR="00A22E54">
        <w:t>,</w:t>
      </w:r>
      <w:r w:rsidR="001C0153">
        <w:t xml:space="preserve"> through the bill prepared on June 13, 2013, the Complainant’s budget amount was based on an annual usage ranging from 7,824 kWh to 8,968 kWh.  (Duquesne Light Ex. 21 pp. 4-21; N.T. 109)</w:t>
      </w:r>
    </w:p>
    <w:p w:rsidR="00AE5AA6" w:rsidRDefault="00AE5AA6" w:rsidP="00402EB3">
      <w:pPr>
        <w:spacing w:after="0"/>
        <w:ind w:left="1440"/>
      </w:pPr>
    </w:p>
    <w:p w:rsidR="00790B92" w:rsidRDefault="007D3598" w:rsidP="008C5A11">
      <w:pPr>
        <w:pStyle w:val="ListParagraph"/>
      </w:pPr>
      <w:r>
        <w:t>The change in estimated usage was a significant factor causing an increase in the Complainant’s budget amount.  (N.T. 109)</w:t>
      </w:r>
    </w:p>
    <w:p w:rsidR="00FC0E0C" w:rsidRDefault="00FC0E0C" w:rsidP="00402EB3">
      <w:pPr>
        <w:spacing w:after="0"/>
        <w:ind w:left="1440"/>
      </w:pPr>
    </w:p>
    <w:p w:rsidR="00600EE6" w:rsidRDefault="00600EE6" w:rsidP="008C5A11">
      <w:pPr>
        <w:pStyle w:val="ListParagraph"/>
      </w:pPr>
      <w:r>
        <w:t>This change only affected Rider 19 customers who were using budget billing.</w:t>
      </w:r>
      <w:r w:rsidR="005923AA">
        <w:t xml:space="preserve"> </w:t>
      </w:r>
      <w:r>
        <w:t xml:space="preserve"> </w:t>
      </w:r>
      <w:r w:rsidR="007269A7">
        <w:t xml:space="preserve">Of the 130 customers who were removed from Rider 19, only the Complainant was affected by the change.  </w:t>
      </w:r>
      <w:r>
        <w:t xml:space="preserve"> (N.T. 97</w:t>
      </w:r>
      <w:r w:rsidR="00FA2004">
        <w:t>, 110</w:t>
      </w:r>
      <w:r>
        <w:t>)</w:t>
      </w:r>
    </w:p>
    <w:p w:rsidR="00FC0E0C" w:rsidRDefault="00FC0E0C" w:rsidP="00402EB3">
      <w:pPr>
        <w:spacing w:after="0"/>
        <w:ind w:left="1440"/>
      </w:pPr>
    </w:p>
    <w:p w:rsidR="00790B92" w:rsidRDefault="00790B92" w:rsidP="00402EB3">
      <w:pPr>
        <w:pStyle w:val="ListParagraph"/>
      </w:pPr>
      <w:r>
        <w:t>The bill prepared on October 14, 2013, was the Complainant’s “true up” bill.  At that time, the Complainant carried a credit of $132.41.  Accordingly, the budget amount was set to zero.  (N.T. 101; Duquesne Light Ex. 21 at p. 25)</w:t>
      </w:r>
    </w:p>
    <w:p w:rsidR="00FC0E0C" w:rsidRDefault="00FC0E0C" w:rsidP="00402EB3">
      <w:pPr>
        <w:spacing w:after="0"/>
        <w:ind w:left="1440"/>
      </w:pPr>
    </w:p>
    <w:p w:rsidR="009B6CC0" w:rsidRDefault="007269A7" w:rsidP="00402EB3">
      <w:pPr>
        <w:pStyle w:val="ListParagraph"/>
      </w:pPr>
      <w:r>
        <w:t>As a courtesy</w:t>
      </w:r>
      <w:r w:rsidR="009B6CC0">
        <w:t xml:space="preserve">, Duquesne Light </w:t>
      </w:r>
      <w:r>
        <w:t xml:space="preserve">manually </w:t>
      </w:r>
      <w:r w:rsidR="009B6CC0">
        <w:t>set a budget amount of $70 for the bill prepared on December 12, 2013.  This change in budget amount caused the system to “re-estimate” the Complainant’s annual usage for the purpose of calculating the subsequent budget amounts.  (N.T. 103)</w:t>
      </w:r>
    </w:p>
    <w:p w:rsidR="00FC0E0C" w:rsidRDefault="00FC0E0C" w:rsidP="00402EB3">
      <w:pPr>
        <w:spacing w:after="0"/>
        <w:ind w:left="1440"/>
      </w:pPr>
    </w:p>
    <w:p w:rsidR="00214B42" w:rsidRDefault="005C6D4E" w:rsidP="00402EB3">
      <w:pPr>
        <w:pStyle w:val="ListParagraph"/>
      </w:pPr>
      <w:r>
        <w:t>Duquesne Light did not review the budget billing program for former Rider 19 customers until the first hearing on the Complainant’s formal complaint.</w:t>
      </w:r>
      <w:r w:rsidR="00AA03B3">
        <w:t xml:space="preserve"> </w:t>
      </w:r>
      <w:r>
        <w:t xml:space="preserve"> Duquesne Light has subsequently changed its policy for establishing a customer’s historical usage for the purposes of calculating budget bill amounts that are more closely related to the kWhs that a customer actually has used.</w:t>
      </w:r>
      <w:r w:rsidR="00AA03B3">
        <w:t xml:space="preserve"> </w:t>
      </w:r>
      <w:r>
        <w:t xml:space="preserve"> (N.T. 97)</w:t>
      </w:r>
      <w:r w:rsidR="00214B42" w:rsidRPr="00214B42">
        <w:t xml:space="preserve"> </w:t>
      </w:r>
    </w:p>
    <w:p w:rsidR="00FA59C8" w:rsidRDefault="00FA59C8" w:rsidP="00153322">
      <w:pPr>
        <w:spacing w:after="0"/>
        <w:rPr>
          <w:i/>
          <w:u w:val="single"/>
        </w:rPr>
      </w:pPr>
    </w:p>
    <w:p w:rsidR="00FA59C8" w:rsidRDefault="00FA59C8" w:rsidP="00153322">
      <w:pPr>
        <w:spacing w:after="0"/>
        <w:rPr>
          <w:i/>
          <w:u w:val="single"/>
        </w:rPr>
      </w:pPr>
    </w:p>
    <w:p w:rsidR="00CC35B4" w:rsidRPr="00FE10CB" w:rsidRDefault="00CC35B4" w:rsidP="00153322">
      <w:pPr>
        <w:spacing w:after="0"/>
        <w:rPr>
          <w:i/>
          <w:u w:val="single"/>
        </w:rPr>
      </w:pPr>
      <w:r w:rsidRPr="00FE10CB">
        <w:rPr>
          <w:i/>
          <w:u w:val="single"/>
        </w:rPr>
        <w:lastRenderedPageBreak/>
        <w:t>Contacts with Customer Service</w:t>
      </w:r>
    </w:p>
    <w:p w:rsidR="00153322" w:rsidRDefault="00153322" w:rsidP="00153322">
      <w:pPr>
        <w:spacing w:after="0"/>
      </w:pPr>
    </w:p>
    <w:p w:rsidR="00CC35B4" w:rsidRDefault="00CC35B4" w:rsidP="00FA59C8">
      <w:pPr>
        <w:pStyle w:val="ListParagraph"/>
      </w:pPr>
      <w:r>
        <w:t>The Complainant’s budget bill amounts for 2013 and 2014 were not consistent with what he experienced from 1996 to 2013.  (N.T. 115)</w:t>
      </w:r>
    </w:p>
    <w:p w:rsidR="00E560A5" w:rsidRDefault="00E560A5" w:rsidP="00FA59C8">
      <w:pPr>
        <w:spacing w:after="0"/>
        <w:ind w:left="1440"/>
      </w:pPr>
    </w:p>
    <w:p w:rsidR="007269A7" w:rsidRDefault="00CC35B4" w:rsidP="00FA59C8">
      <w:pPr>
        <w:pStyle w:val="ListParagraph"/>
      </w:pPr>
      <w:r>
        <w:t xml:space="preserve">The Complainant contacted Duquesne Light’s customer service to complain that his budget amount was varying substantially from month to month.  </w:t>
      </w:r>
      <w:r w:rsidR="00803277">
        <w:t>From June 2013 to January 2014, he contacted customer service between four and six times.</w:t>
      </w:r>
      <w:r>
        <w:t xml:space="preserve">  (N.T. 12</w:t>
      </w:r>
      <w:r w:rsidR="00803277">
        <w:t>, 14</w:t>
      </w:r>
      <w:r>
        <w:t>)</w:t>
      </w:r>
      <w:r w:rsidR="007269A7" w:rsidRPr="007269A7">
        <w:t xml:space="preserve"> </w:t>
      </w:r>
    </w:p>
    <w:p w:rsidR="00E560A5" w:rsidRDefault="00E560A5" w:rsidP="00FA59C8">
      <w:pPr>
        <w:spacing w:after="0"/>
        <w:ind w:left="1440"/>
      </w:pPr>
    </w:p>
    <w:p w:rsidR="007269A7" w:rsidRDefault="004B15C6" w:rsidP="00FA59C8">
      <w:pPr>
        <w:pStyle w:val="ListParagraph"/>
      </w:pPr>
      <w:r>
        <w:t>T</w:t>
      </w:r>
      <w:r w:rsidR="007269A7">
        <w:t>he Complainant was subscribed to automatic payments from his checking account.  The payment for the December 2013 bill was rejected for insufficient funds.  This caused an adjustment in the budget amount for the January 2014 bill which included the past due amount and also a $20 fee for non-sufficient funds.  (N.T. 103-104; Duquesne Light Ex.</w:t>
      </w:r>
      <w:r>
        <w:t> </w:t>
      </w:r>
      <w:r w:rsidR="007269A7">
        <w:t>21 at p. 28)</w:t>
      </w:r>
    </w:p>
    <w:p w:rsidR="00E560A5" w:rsidRDefault="00E560A5" w:rsidP="00FA59C8">
      <w:pPr>
        <w:spacing w:after="0"/>
        <w:ind w:left="1440"/>
      </w:pPr>
    </w:p>
    <w:p w:rsidR="007269A7" w:rsidRDefault="007269A7" w:rsidP="00FA59C8">
      <w:pPr>
        <w:pStyle w:val="ListParagraph"/>
      </w:pPr>
      <w:r>
        <w:t>As of January 2, 2014, the payment due date for the December 2013 bill, the Complainant carried a credit to his account in the amount of $151.73.  (Duquesne Light Ex.</w:t>
      </w:r>
      <w:r w:rsidR="008C5A11">
        <w:t> </w:t>
      </w:r>
      <w:r>
        <w:t>8)</w:t>
      </w:r>
      <w:r w:rsidRPr="005C6D4E">
        <w:t xml:space="preserve"> </w:t>
      </w:r>
    </w:p>
    <w:p w:rsidR="00E560A5" w:rsidRDefault="00E560A5" w:rsidP="00FA59C8">
      <w:pPr>
        <w:spacing w:after="0"/>
        <w:ind w:left="1440"/>
      </w:pPr>
    </w:p>
    <w:p w:rsidR="00CC35B4" w:rsidRDefault="00EA36AC" w:rsidP="00FA59C8">
      <w:pPr>
        <w:pStyle w:val="ListParagraph"/>
      </w:pPr>
      <w:r>
        <w:t xml:space="preserve">Roxanne Morris, a regulatory consumer relations specialist with </w:t>
      </w:r>
      <w:r w:rsidR="003B01E0">
        <w:t>Duquesne</w:t>
      </w:r>
      <w:r>
        <w:t xml:space="preserve"> Light </w:t>
      </w:r>
      <w:r w:rsidR="00CC35B4">
        <w:t>testified that a budget bill amount is calculated by adding the previous 12 months of usage and dividing by 12.  (N.T. 58</w:t>
      </w:r>
      <w:r>
        <w:t>-59</w:t>
      </w:r>
      <w:r w:rsidR="00CC35B4">
        <w:t>)</w:t>
      </w:r>
      <w:r w:rsidR="00CC35B4" w:rsidRPr="00CF756F">
        <w:t xml:space="preserve"> </w:t>
      </w:r>
    </w:p>
    <w:p w:rsidR="00E560A5" w:rsidRDefault="00E560A5" w:rsidP="00FA59C8">
      <w:pPr>
        <w:spacing w:after="0"/>
        <w:ind w:left="1440"/>
      </w:pPr>
    </w:p>
    <w:p w:rsidR="00CC35B4" w:rsidRDefault="00CC35B4" w:rsidP="00FA59C8">
      <w:pPr>
        <w:pStyle w:val="ListParagraph"/>
      </w:pPr>
      <w:r>
        <w:t>Duquesne Light</w:t>
      </w:r>
      <w:r w:rsidR="00281B0A">
        <w:t>’s</w:t>
      </w:r>
      <w:r>
        <w:t xml:space="preserve"> customer service representatives could not adequately explain the calculation of the budget bill to the Complainant.  (N.T. </w:t>
      </w:r>
      <w:r w:rsidR="00803277">
        <w:t xml:space="preserve">13, </w:t>
      </w:r>
      <w:r>
        <w:t>108, 117)</w:t>
      </w:r>
    </w:p>
    <w:p w:rsidR="00281B0A" w:rsidRDefault="00281B0A" w:rsidP="00FA59C8">
      <w:pPr>
        <w:spacing w:after="0"/>
        <w:ind w:left="1440"/>
      </w:pPr>
    </w:p>
    <w:p w:rsidR="00CC35B4" w:rsidRDefault="00CC35B4" w:rsidP="00FA59C8">
      <w:pPr>
        <w:pStyle w:val="ListParagraph"/>
      </w:pPr>
      <w:r>
        <w:t xml:space="preserve">No customer service representative explained to the Complainant that his budget amounts were changing because of the </w:t>
      </w:r>
      <w:r w:rsidR="007269A7">
        <w:t>elimination of Rider 19, the change in methodology for calculating a budget amount and the use of 10,000 kWh to estimate his consumption</w:t>
      </w:r>
      <w:r>
        <w:t xml:space="preserve">. </w:t>
      </w:r>
      <w:r w:rsidR="00281B0A">
        <w:t xml:space="preserve"> </w:t>
      </w:r>
      <w:r>
        <w:t>(N.T. 118)</w:t>
      </w:r>
    </w:p>
    <w:p w:rsidR="008C5A11" w:rsidRDefault="008C5A11" w:rsidP="008C5A11">
      <w:pPr>
        <w:pStyle w:val="ListParagraph"/>
        <w:numPr>
          <w:ilvl w:val="0"/>
          <w:numId w:val="0"/>
        </w:numPr>
        <w:ind w:left="1440"/>
      </w:pPr>
    </w:p>
    <w:p w:rsidR="00CC35B4" w:rsidRDefault="00CC35B4" w:rsidP="00FA59C8">
      <w:pPr>
        <w:pStyle w:val="ListParagraph"/>
      </w:pPr>
      <w:r>
        <w:lastRenderedPageBreak/>
        <w:t xml:space="preserve">Duquesne Light’s system which automatically withdraws the budget amount from a customer’s checking </w:t>
      </w:r>
      <w:proofErr w:type="gramStart"/>
      <w:r>
        <w:t>account,</w:t>
      </w:r>
      <w:proofErr w:type="gramEnd"/>
      <w:r>
        <w:t xml:space="preserve"> does not recognize when a customer is carrying a credit.  If a customer wishes to revert to paying the actual amount due, the customer must turn off the automatic withdrawal feature.  (N.T. 112)</w:t>
      </w:r>
    </w:p>
    <w:p w:rsidR="00523847" w:rsidRDefault="00523847" w:rsidP="00FA59C8">
      <w:pPr>
        <w:spacing w:after="0"/>
      </w:pPr>
    </w:p>
    <w:p w:rsidR="00523847" w:rsidRDefault="00CC35B4" w:rsidP="00FA59C8">
      <w:pPr>
        <w:pStyle w:val="ListParagraph"/>
      </w:pPr>
      <w:r>
        <w:t>In January</w:t>
      </w:r>
      <w:r w:rsidR="00565E57">
        <w:t xml:space="preserve"> 2014</w:t>
      </w:r>
      <w:r>
        <w:t>, Duquesne Light reversed the non-sufficient fund fee and credited the Complain</w:t>
      </w:r>
      <w:r w:rsidR="00C82F38">
        <w:t>ant</w:t>
      </w:r>
      <w:r>
        <w:t>’s account $20.00</w:t>
      </w:r>
      <w:r w:rsidR="00C82F38">
        <w:t xml:space="preserve">.  </w:t>
      </w:r>
      <w:r>
        <w:t xml:space="preserve">(N.T. 104) </w:t>
      </w:r>
    </w:p>
    <w:p w:rsidR="00CC35B4" w:rsidRDefault="00CC35B4" w:rsidP="00FA59C8">
      <w:pPr>
        <w:spacing w:after="0"/>
        <w:ind w:left="1440"/>
      </w:pPr>
      <w:r>
        <w:t xml:space="preserve"> </w:t>
      </w:r>
    </w:p>
    <w:p w:rsidR="005C6D4E" w:rsidRDefault="00803277" w:rsidP="00FA59C8">
      <w:pPr>
        <w:pStyle w:val="ListParagraph"/>
      </w:pPr>
      <w:r>
        <w:t>The Complainant also contacted Duquesne Light to complain that the due date for his payment was changing from month to month.  (N.T. 16-17)</w:t>
      </w:r>
    </w:p>
    <w:p w:rsidR="00523847" w:rsidRDefault="00523847" w:rsidP="00FA59C8">
      <w:pPr>
        <w:spacing w:after="0"/>
        <w:ind w:left="1440"/>
      </w:pPr>
    </w:p>
    <w:p w:rsidR="00803277" w:rsidRDefault="00803277" w:rsidP="00FA59C8">
      <w:pPr>
        <w:pStyle w:val="ListParagraph"/>
      </w:pPr>
      <w:r>
        <w:t>He testified that the customer service representative was “irate” and that Duquesne Light would not agree to a specific due date for a customer</w:t>
      </w:r>
      <w:r w:rsidR="00523847">
        <w:t xml:space="preserve">’s </w:t>
      </w:r>
      <w:r>
        <w:t>bill.</w:t>
      </w:r>
      <w:r w:rsidR="00523847">
        <w:t xml:space="preserve"> </w:t>
      </w:r>
      <w:r>
        <w:t xml:space="preserve"> (N.T. 17)</w:t>
      </w:r>
    </w:p>
    <w:p w:rsidR="00523847" w:rsidRDefault="00523847" w:rsidP="00FA59C8">
      <w:pPr>
        <w:spacing w:after="0"/>
        <w:ind w:left="1440"/>
      </w:pPr>
    </w:p>
    <w:p w:rsidR="00803277" w:rsidRDefault="00803277" w:rsidP="00FA59C8">
      <w:pPr>
        <w:pStyle w:val="ListParagraph"/>
      </w:pPr>
      <w:r>
        <w:t>The Complainant was told that the only way to control the date that his payment was made was to discontinue the automatic withdrawal service.  (N.T. 18)</w:t>
      </w:r>
    </w:p>
    <w:p w:rsidR="00523847" w:rsidRDefault="00523847" w:rsidP="00FA59C8">
      <w:pPr>
        <w:spacing w:after="0"/>
        <w:ind w:left="1440"/>
      </w:pPr>
    </w:p>
    <w:p w:rsidR="00803277" w:rsidRDefault="00803277" w:rsidP="00FA59C8">
      <w:pPr>
        <w:pStyle w:val="ListParagraph"/>
      </w:pPr>
      <w:r>
        <w:t xml:space="preserve">Duquesne Light would not discontinue the automatic withdrawal over the telephone but required the Complainant to write a letter requesting removal from the service.  </w:t>
      </w:r>
      <w:r w:rsidR="00B85516">
        <w:t xml:space="preserve">He had to write two letters before the service was discontinued.  </w:t>
      </w:r>
      <w:r>
        <w:t xml:space="preserve">(N.T. </w:t>
      </w:r>
      <w:r w:rsidR="00B85516">
        <w:t>14, 18)</w:t>
      </w:r>
    </w:p>
    <w:p w:rsidR="00523847" w:rsidRDefault="00523847" w:rsidP="008C5A11">
      <w:pPr>
        <w:ind w:left="1440"/>
      </w:pPr>
    </w:p>
    <w:p w:rsidR="00E74986" w:rsidRDefault="00E74986" w:rsidP="00FA59C8">
      <w:pPr>
        <w:spacing w:after="0"/>
        <w:jc w:val="center"/>
        <w:rPr>
          <w:u w:val="single"/>
        </w:rPr>
      </w:pPr>
      <w:r w:rsidRPr="00E74986">
        <w:rPr>
          <w:u w:val="single"/>
        </w:rPr>
        <w:t>DISCUSSION</w:t>
      </w:r>
    </w:p>
    <w:p w:rsidR="00FA59C8" w:rsidRPr="00E74986" w:rsidRDefault="00FA59C8" w:rsidP="00FA59C8">
      <w:pPr>
        <w:spacing w:after="0"/>
        <w:jc w:val="center"/>
        <w:rPr>
          <w:u w:val="single"/>
        </w:rPr>
      </w:pPr>
    </w:p>
    <w:p w:rsidR="00E74986" w:rsidRDefault="00E74986" w:rsidP="00BF3F42">
      <w:pPr>
        <w:spacing w:after="0"/>
        <w:ind w:firstLine="1440"/>
        <w:rPr>
          <w:szCs w:val="24"/>
        </w:rPr>
      </w:pPr>
      <w:r w:rsidRPr="0098528A">
        <w:rPr>
          <w:szCs w:val="24"/>
        </w:rPr>
        <w:t>In this matter, the Complainant is the party seeking affirmative relief f</w:t>
      </w:r>
      <w:r>
        <w:rPr>
          <w:szCs w:val="24"/>
        </w:rPr>
        <w:t xml:space="preserve">rom the Commission; therefore, </w:t>
      </w:r>
      <w:r w:rsidRPr="0098528A">
        <w:rPr>
          <w:szCs w:val="24"/>
        </w:rPr>
        <w:t>he has the burden of proof.</w:t>
      </w:r>
      <w:r w:rsidRPr="0098528A">
        <w:rPr>
          <w:rStyle w:val="FootnoteReference"/>
          <w:szCs w:val="24"/>
        </w:rPr>
        <w:footnoteReference w:id="3"/>
      </w:r>
      <w:r>
        <w:rPr>
          <w:szCs w:val="24"/>
        </w:rPr>
        <w:t xml:space="preserve">  This means that </w:t>
      </w:r>
      <w:r w:rsidRPr="0098528A">
        <w:rPr>
          <w:szCs w:val="24"/>
        </w:rPr>
        <w:t xml:space="preserve">he </w:t>
      </w:r>
      <w:r>
        <w:rPr>
          <w:szCs w:val="24"/>
        </w:rPr>
        <w:t>must</w:t>
      </w:r>
      <w:r w:rsidRPr="0098528A">
        <w:rPr>
          <w:szCs w:val="24"/>
        </w:rPr>
        <w:t xml:space="preserve"> establish </w:t>
      </w:r>
      <w:r>
        <w:rPr>
          <w:szCs w:val="24"/>
        </w:rPr>
        <w:t>each</w:t>
      </w:r>
      <w:r w:rsidRPr="0098528A">
        <w:rPr>
          <w:szCs w:val="24"/>
        </w:rPr>
        <w:t xml:space="preserve"> fact</w:t>
      </w:r>
      <w:r>
        <w:rPr>
          <w:szCs w:val="24"/>
        </w:rPr>
        <w:t xml:space="preserve"> which supports his claims</w:t>
      </w:r>
      <w:r w:rsidRPr="0098528A">
        <w:rPr>
          <w:szCs w:val="24"/>
        </w:rPr>
        <w:t xml:space="preserve"> by a preponderance of the evidence, and must show that Duquesne Light has violated the Public Utility Code or Commission regulations.</w:t>
      </w:r>
      <w:r w:rsidRPr="0098528A">
        <w:rPr>
          <w:rStyle w:val="FootnoteReference"/>
          <w:szCs w:val="24"/>
        </w:rPr>
        <w:footnoteReference w:id="4"/>
      </w:r>
      <w:r>
        <w:rPr>
          <w:szCs w:val="24"/>
        </w:rPr>
        <w:t xml:space="preserve"> </w:t>
      </w:r>
    </w:p>
    <w:p w:rsidR="0041636C" w:rsidRDefault="00E74986" w:rsidP="00BF3F42">
      <w:pPr>
        <w:spacing w:after="0"/>
        <w:ind w:firstLine="1440"/>
        <w:rPr>
          <w:szCs w:val="24"/>
        </w:rPr>
      </w:pPr>
      <w:r w:rsidRPr="0098528A">
        <w:rPr>
          <w:szCs w:val="24"/>
        </w:rPr>
        <w:lastRenderedPageBreak/>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98528A">
        <w:rPr>
          <w:rStyle w:val="FootnoteReference"/>
          <w:szCs w:val="24"/>
        </w:rPr>
        <w:footnoteReference w:id="5"/>
      </w:r>
    </w:p>
    <w:p w:rsidR="00EE49A8" w:rsidRDefault="00EE49A8" w:rsidP="00BF3F42">
      <w:pPr>
        <w:spacing w:after="0"/>
        <w:ind w:firstLine="1440"/>
        <w:rPr>
          <w:szCs w:val="24"/>
        </w:rPr>
      </w:pPr>
    </w:p>
    <w:p w:rsidR="008B4BE3" w:rsidRDefault="008B4BE3" w:rsidP="00DA616D">
      <w:pPr>
        <w:spacing w:after="0" w:line="240" w:lineRule="auto"/>
        <w:rPr>
          <w:i/>
          <w:szCs w:val="24"/>
          <w:u w:val="single"/>
        </w:rPr>
      </w:pPr>
      <w:r w:rsidRPr="008B4BE3">
        <w:rPr>
          <w:i/>
          <w:szCs w:val="24"/>
          <w:u w:val="single"/>
        </w:rPr>
        <w:t>Rider 19</w:t>
      </w:r>
    </w:p>
    <w:p w:rsidR="007C0DBC" w:rsidRPr="008B4BE3" w:rsidRDefault="007C0DBC" w:rsidP="008B4BE3">
      <w:pPr>
        <w:spacing w:after="0"/>
        <w:rPr>
          <w:i/>
          <w:szCs w:val="24"/>
          <w:u w:val="single"/>
        </w:rPr>
      </w:pPr>
    </w:p>
    <w:p w:rsidR="00E9071C" w:rsidRDefault="00E9071C" w:rsidP="00A8325C">
      <w:pPr>
        <w:spacing w:after="0"/>
        <w:ind w:firstLine="1440"/>
        <w:rPr>
          <w:szCs w:val="24"/>
        </w:rPr>
      </w:pPr>
      <w:r>
        <w:rPr>
          <w:szCs w:val="24"/>
        </w:rPr>
        <w:t>The Complainant contends that he had an agreement with Duquesne Light, where Duquesne Light agreed that he would continue to be billed at the reduced “hot water” rate, also referred to as Rider 19, for as long as he lived at the Margaret Lane property.</w:t>
      </w:r>
      <w:r w:rsidR="00870AD1">
        <w:rPr>
          <w:szCs w:val="24"/>
        </w:rPr>
        <w:t xml:space="preserve">  </w:t>
      </w:r>
    </w:p>
    <w:p w:rsidR="00A8325C" w:rsidRDefault="00A8325C" w:rsidP="00A8325C">
      <w:pPr>
        <w:spacing w:after="0"/>
        <w:ind w:firstLine="1440"/>
        <w:rPr>
          <w:szCs w:val="24"/>
        </w:rPr>
      </w:pPr>
    </w:p>
    <w:p w:rsidR="00524183" w:rsidRDefault="00524183" w:rsidP="00BF3F42">
      <w:pPr>
        <w:spacing w:after="0"/>
      </w:pPr>
      <w:r>
        <w:tab/>
        <w:t xml:space="preserve">Commission-approved tariffs have the force of law.  A complainant may evade the effect of </w:t>
      </w:r>
      <w:r w:rsidR="000631A1">
        <w:t xml:space="preserve">an </w:t>
      </w:r>
      <w:r>
        <w:t>existing tariff by proving that the “facts and circumstances have changed so drastically as to render the application of the tariff provision unreasonable.”</w:t>
      </w:r>
      <w:r>
        <w:rPr>
          <w:rStyle w:val="FootnoteReference"/>
        </w:rPr>
        <w:footnoteReference w:id="6"/>
      </w:r>
      <w:r>
        <w:t xml:space="preserve">  This burden of proving these facts rests upon the Complainant and it is a heavy burden.</w:t>
      </w:r>
      <w:r>
        <w:rPr>
          <w:rStyle w:val="FootnoteReference"/>
        </w:rPr>
        <w:footnoteReference w:id="7"/>
      </w:r>
      <w:r>
        <w:t xml:space="preserve">  Tariff provisions previously approved by the Commission are </w:t>
      </w:r>
      <w:r w:rsidRPr="0039295D">
        <w:rPr>
          <w:i/>
        </w:rPr>
        <w:t>prima facie</w:t>
      </w:r>
      <w:r>
        <w:t xml:space="preserve"> reasonable.</w:t>
      </w:r>
      <w:r>
        <w:rPr>
          <w:rStyle w:val="FootnoteReference"/>
        </w:rPr>
        <w:footnoteReference w:id="8"/>
      </w:r>
      <w:r>
        <w:t xml:space="preserve">  </w:t>
      </w:r>
    </w:p>
    <w:p w:rsidR="008C5A11" w:rsidRDefault="008C5A11" w:rsidP="00BF3F42">
      <w:pPr>
        <w:spacing w:after="0"/>
      </w:pPr>
    </w:p>
    <w:p w:rsidR="000F0804" w:rsidRDefault="009036AB" w:rsidP="00BF3F42">
      <w:pPr>
        <w:spacing w:after="0"/>
      </w:pPr>
      <w:r>
        <w:tab/>
      </w:r>
      <w:r w:rsidR="00524183">
        <w:t>Here, there do</w:t>
      </w:r>
      <w:r w:rsidR="00A8325C">
        <w:t>es</w:t>
      </w:r>
      <w:r w:rsidR="00524183">
        <w:t xml:space="preserve"> not appear to be any circumstances presented by the facts in this case which would render the application of Duquesne</w:t>
      </w:r>
      <w:r w:rsidR="00A8325C">
        <w:t xml:space="preserve"> Light</w:t>
      </w:r>
      <w:r w:rsidR="00524183">
        <w:t>’s Commission-approved tariff to the Complainant unreasonable.  Moreover, public utilities are permitted by law to adjust their rates when the increase in supply or distribution rates can be properly justified in a rate proceeding before the Commission.  Indeed, the present tariff was approved in the context of a proceeding</w:t>
      </w:r>
    </w:p>
    <w:p w:rsidR="000F0804" w:rsidRDefault="000F0804" w:rsidP="00BF3F42">
      <w:pPr>
        <w:spacing w:after="0"/>
      </w:pPr>
    </w:p>
    <w:p w:rsidR="00524183" w:rsidRDefault="00524183" w:rsidP="00BF3F42">
      <w:pPr>
        <w:spacing w:after="0"/>
      </w:pPr>
      <w:proofErr w:type="gramStart"/>
      <w:r>
        <w:lastRenderedPageBreak/>
        <w:t>before</w:t>
      </w:r>
      <w:proofErr w:type="gramEnd"/>
      <w:r>
        <w:t xml:space="preserve"> the Commission in which the interests of residential consumers and many others were represented and considered by the Commission.</w:t>
      </w:r>
      <w:r>
        <w:rPr>
          <w:rStyle w:val="FootnoteReference"/>
        </w:rPr>
        <w:footnoteReference w:id="9"/>
      </w:r>
      <w:r>
        <w:t xml:space="preserve"> </w:t>
      </w:r>
    </w:p>
    <w:p w:rsidR="0060704D" w:rsidRDefault="0060704D" w:rsidP="00BF3F42">
      <w:pPr>
        <w:spacing w:after="0"/>
      </w:pPr>
    </w:p>
    <w:p w:rsidR="00115582" w:rsidRDefault="00115582" w:rsidP="00BF3F42">
      <w:pPr>
        <w:spacing w:after="0"/>
      </w:pPr>
      <w:r>
        <w:tab/>
        <w:t>Further, the Complainant concedes, that even if he did have an agreement with Duquesne Light that might supersede Duquesne Light’s Commission-approved tariff, the agreement terminated when he moved from the Margaret Lane address earlier this year.  Therefore, at best, the Complainant’s argument is moot.</w:t>
      </w:r>
    </w:p>
    <w:p w:rsidR="00A8325C" w:rsidRDefault="00A8325C" w:rsidP="00BF3F42">
      <w:pPr>
        <w:spacing w:after="0"/>
      </w:pPr>
    </w:p>
    <w:p w:rsidR="00E3553C" w:rsidRPr="00E3553C" w:rsidRDefault="00E3553C" w:rsidP="00BF3F42">
      <w:pPr>
        <w:spacing w:after="0"/>
        <w:rPr>
          <w:i/>
          <w:u w:val="single"/>
        </w:rPr>
      </w:pPr>
      <w:r w:rsidRPr="00E3553C">
        <w:rPr>
          <w:i/>
          <w:u w:val="single"/>
        </w:rPr>
        <w:t>Due Dates of the Bills</w:t>
      </w:r>
    </w:p>
    <w:p w:rsidR="00E3553C" w:rsidRPr="00E3553C" w:rsidRDefault="00E3553C" w:rsidP="00BF3F42">
      <w:pPr>
        <w:spacing w:after="0"/>
        <w:rPr>
          <w:i/>
        </w:rPr>
      </w:pPr>
    </w:p>
    <w:p w:rsidR="00A8325C" w:rsidRDefault="00115582" w:rsidP="00BF3F42">
      <w:pPr>
        <w:spacing w:after="0"/>
      </w:pPr>
      <w:r>
        <w:tab/>
        <w:t>The Complainant also challenges Duquesne Light’s refusal to permit him to choose a fixed due date for his payment.  Duquesne Light’s witness testified that the due date for a customer’s bill is established by the date that the meter is read.  She stated that a utility payment is due twenty days after the bill is generated.  That date can fluctuate based upon the meter reading schedule.</w:t>
      </w:r>
      <w:r w:rsidR="008C5BE5">
        <w:t xml:space="preserve"> </w:t>
      </w:r>
    </w:p>
    <w:p w:rsidR="00115582" w:rsidRDefault="008C5BE5" w:rsidP="00BF3F42">
      <w:pPr>
        <w:spacing w:after="0"/>
      </w:pPr>
      <w:r>
        <w:t xml:space="preserve"> </w:t>
      </w:r>
    </w:p>
    <w:p w:rsidR="008C5BE5" w:rsidRDefault="008C5BE5" w:rsidP="008C5A11">
      <w:pPr>
        <w:spacing w:after="0" w:line="240" w:lineRule="auto"/>
      </w:pPr>
      <w:r>
        <w:tab/>
        <w:t>Commission regulations do not require a public utility to establish a fixed due date for the payment of a bill:</w:t>
      </w:r>
    </w:p>
    <w:p w:rsidR="008C5A11" w:rsidRDefault="008C5A11" w:rsidP="000F4ED2">
      <w:pPr>
        <w:spacing w:after="0" w:line="240" w:lineRule="auto"/>
      </w:pPr>
    </w:p>
    <w:p w:rsidR="008C5BE5" w:rsidRDefault="008C5BE5" w:rsidP="008C5BE5">
      <w:pPr>
        <w:spacing w:line="240" w:lineRule="auto"/>
        <w:ind w:left="1440" w:right="1440"/>
      </w:pPr>
      <w:r>
        <w:t>The due date for payment of a bill may not be no less than 20 days from the date of transmittal; that is, the date of mailing, electronic transmission or physical delivery of the bill by the public utility to the customer.</w:t>
      </w:r>
      <w:r>
        <w:rPr>
          <w:rStyle w:val="FootnoteReference"/>
        </w:rPr>
        <w:footnoteReference w:id="10"/>
      </w:r>
    </w:p>
    <w:p w:rsidR="00242D27" w:rsidRDefault="00242D27" w:rsidP="000F4ED2">
      <w:pPr>
        <w:spacing w:after="0"/>
        <w:ind w:left="1440" w:right="1440"/>
      </w:pPr>
    </w:p>
    <w:p w:rsidR="0041636C" w:rsidRDefault="00BE1FAF" w:rsidP="00FA59C8">
      <w:pPr>
        <w:ind w:firstLine="1440"/>
        <w:rPr>
          <w:szCs w:val="24"/>
        </w:rPr>
      </w:pPr>
      <w:r>
        <w:t xml:space="preserve">The Complainant’s frustration with the fluctuating due date is understandable, because he needed to plan his bill paying to coincide with the deposit of his Social Security </w:t>
      </w:r>
      <w:r>
        <w:lastRenderedPageBreak/>
        <w:t>payment.</w:t>
      </w:r>
      <w:r w:rsidRPr="00BE1FAF">
        <w:rPr>
          <w:rStyle w:val="FootnoteReference"/>
        </w:rPr>
        <w:t xml:space="preserve"> </w:t>
      </w:r>
      <w:r>
        <w:rPr>
          <w:rStyle w:val="FootnoteReference"/>
        </w:rPr>
        <w:footnoteReference w:id="11"/>
      </w:r>
      <w:r>
        <w:t xml:space="preserve"> </w:t>
      </w:r>
      <w:r w:rsidR="00FA59C8">
        <w:t xml:space="preserve"> </w:t>
      </w:r>
      <w:r>
        <w:t>However, Duquesne Light’s policy is not contrary to Commission regulations and is not patently unreasonable.</w:t>
      </w:r>
      <w:r>
        <w:rPr>
          <w:rStyle w:val="FootnoteReference"/>
        </w:rPr>
        <w:footnoteReference w:id="12"/>
      </w:r>
      <w:r w:rsidR="0041636C" w:rsidRPr="0041636C">
        <w:rPr>
          <w:szCs w:val="24"/>
        </w:rPr>
        <w:t xml:space="preserve"> </w:t>
      </w:r>
    </w:p>
    <w:p w:rsidR="00242D27" w:rsidRDefault="00242D27" w:rsidP="00242D27">
      <w:pPr>
        <w:spacing w:after="0"/>
        <w:rPr>
          <w:szCs w:val="24"/>
        </w:rPr>
      </w:pPr>
    </w:p>
    <w:p w:rsidR="001773C6" w:rsidRDefault="001773C6" w:rsidP="001773C6">
      <w:pPr>
        <w:spacing w:after="0"/>
        <w:rPr>
          <w:i/>
          <w:szCs w:val="24"/>
          <w:u w:val="single"/>
        </w:rPr>
      </w:pPr>
      <w:r>
        <w:rPr>
          <w:i/>
          <w:szCs w:val="24"/>
          <w:u w:val="single"/>
        </w:rPr>
        <w:t>Calculation of the Budget Amount and Contacts with Customer Service</w:t>
      </w:r>
    </w:p>
    <w:p w:rsidR="001773C6" w:rsidRPr="001773C6" w:rsidRDefault="001773C6" w:rsidP="001773C6">
      <w:pPr>
        <w:spacing w:after="0"/>
        <w:rPr>
          <w:i/>
          <w:szCs w:val="24"/>
          <w:u w:val="single"/>
        </w:rPr>
      </w:pPr>
    </w:p>
    <w:p w:rsidR="00197CB4" w:rsidRDefault="0041636C" w:rsidP="00BF3F42">
      <w:pPr>
        <w:spacing w:after="0"/>
        <w:ind w:firstLine="1440"/>
        <w:rPr>
          <w:szCs w:val="24"/>
        </w:rPr>
      </w:pPr>
      <w:r>
        <w:rPr>
          <w:szCs w:val="24"/>
        </w:rPr>
        <w:t>The most significant claim made by the Complainant is that Duquesne Light changed his budget amount payment significantly and that its customer service representatives could not explain</w:t>
      </w:r>
      <w:r w:rsidR="00770F8E">
        <w:rPr>
          <w:szCs w:val="24"/>
        </w:rPr>
        <w:t xml:space="preserve"> how the amount was calculated.</w:t>
      </w:r>
    </w:p>
    <w:p w:rsidR="00242D27" w:rsidRDefault="00242D27" w:rsidP="00BF3F42">
      <w:pPr>
        <w:spacing w:after="0"/>
        <w:ind w:firstLine="1440"/>
        <w:rPr>
          <w:szCs w:val="24"/>
        </w:rPr>
      </w:pPr>
    </w:p>
    <w:p w:rsidR="00770F8E" w:rsidRDefault="00770F8E" w:rsidP="00BF3F42">
      <w:pPr>
        <w:spacing w:after="0"/>
        <w:ind w:firstLine="1440"/>
        <w:rPr>
          <w:szCs w:val="24"/>
        </w:rPr>
      </w:pPr>
      <w:r>
        <w:rPr>
          <w:szCs w:val="24"/>
        </w:rPr>
        <w:t>As explained above, until 2013, the Complainant received electricity service subject to a discounted rate, referred to as Rider 19.  Rider 19 was discontinued as part of Duquesne Light’s Commission-approved default service plan, effective June 1, 2013.  Before that time, the Complainant’s budget bill amount was calculated based upon, among other factors, his actual consumption, which was approximately 8,500 kWh per year.  Accordingly, his budget amounts were typically in the range of $58.00 to $67.00.</w:t>
      </w:r>
    </w:p>
    <w:p w:rsidR="00242D27" w:rsidRDefault="00242D27" w:rsidP="00BF3F42">
      <w:pPr>
        <w:spacing w:after="0"/>
        <w:ind w:firstLine="1440"/>
        <w:rPr>
          <w:szCs w:val="24"/>
        </w:rPr>
      </w:pPr>
    </w:p>
    <w:p w:rsidR="00BC02A6" w:rsidRDefault="00770F8E" w:rsidP="00BF3F42">
      <w:pPr>
        <w:spacing w:after="0"/>
        <w:ind w:firstLine="1440"/>
        <w:rPr>
          <w:szCs w:val="24"/>
        </w:rPr>
      </w:pPr>
      <w:r>
        <w:rPr>
          <w:szCs w:val="24"/>
        </w:rPr>
        <w:t>When Rider 19 was discontinued, all of the Complain</w:t>
      </w:r>
      <w:r w:rsidR="00242D27">
        <w:rPr>
          <w:szCs w:val="24"/>
        </w:rPr>
        <w:t>an</w:t>
      </w:r>
      <w:r>
        <w:rPr>
          <w:szCs w:val="24"/>
        </w:rPr>
        <w:t>t’s consumption data was removed from the system which cal</w:t>
      </w:r>
      <w:r w:rsidR="000B2BC4">
        <w:rPr>
          <w:szCs w:val="24"/>
        </w:rPr>
        <w:t xml:space="preserve">culated his budget bill amount.  </w:t>
      </w:r>
      <w:r>
        <w:rPr>
          <w:szCs w:val="24"/>
        </w:rPr>
        <w:t>Duquesne Light arbitrar</w:t>
      </w:r>
      <w:r w:rsidR="00565E57">
        <w:rPr>
          <w:szCs w:val="24"/>
        </w:rPr>
        <w:t xml:space="preserve">ily </w:t>
      </w:r>
      <w:r>
        <w:rPr>
          <w:szCs w:val="24"/>
        </w:rPr>
        <w:t>chose 10,000 kWh to estimate the annual consumption rate which was used t</w:t>
      </w:r>
      <w:r w:rsidR="000B2BC4">
        <w:rPr>
          <w:szCs w:val="24"/>
        </w:rPr>
        <w:t xml:space="preserve">o calculate his budget amount.  </w:t>
      </w:r>
      <w:r w:rsidR="00DA6D59">
        <w:rPr>
          <w:szCs w:val="24"/>
        </w:rPr>
        <w:t>The Complainant noted that his budget amounts were not consistent with what they had been historically.</w:t>
      </w:r>
      <w:r w:rsidR="00576BB0">
        <w:rPr>
          <w:szCs w:val="24"/>
        </w:rPr>
        <w:t xml:space="preserve">  He h</w:t>
      </w:r>
      <w:r w:rsidR="00E64572">
        <w:rPr>
          <w:szCs w:val="24"/>
        </w:rPr>
        <w:t xml:space="preserve">ad </w:t>
      </w:r>
      <w:r w:rsidR="00576BB0">
        <w:rPr>
          <w:szCs w:val="24"/>
        </w:rPr>
        <w:t xml:space="preserve">several contacts with customer service regarding his budget amount.  No customer service representative explained to him that the termination of the Rider 19 rate and the change from his actual historical usage to an estimated usage in the calculation of his budget amount was a significant factor in the change in the budget bill amounts.  In fact, the Complainant stated that the August 21 hearing was the first time that he was offered that </w:t>
      </w:r>
      <w:r w:rsidR="00576BB0">
        <w:rPr>
          <w:szCs w:val="24"/>
        </w:rPr>
        <w:lastRenderedPageBreak/>
        <w:t>explanation.  Previousl</w:t>
      </w:r>
      <w:r w:rsidR="00BC02A6">
        <w:rPr>
          <w:szCs w:val="24"/>
        </w:rPr>
        <w:t>y, customer service representa</w:t>
      </w:r>
      <w:r w:rsidR="00576BB0">
        <w:rPr>
          <w:szCs w:val="24"/>
        </w:rPr>
        <w:t>tives could only tell him that the budget amount was calculated based upon a “rolling twelve month average</w:t>
      </w:r>
      <w:r w:rsidR="001B2C24">
        <w:rPr>
          <w:szCs w:val="24"/>
        </w:rPr>
        <w:t>,</w:t>
      </w:r>
      <w:r w:rsidR="00576BB0">
        <w:rPr>
          <w:szCs w:val="24"/>
        </w:rPr>
        <w:t>” but could not explain the details of the calculation of the amount.  The representative</w:t>
      </w:r>
      <w:r w:rsidR="00BC02A6">
        <w:rPr>
          <w:szCs w:val="24"/>
        </w:rPr>
        <w:t xml:space="preserve"> of Duquesne Light</w:t>
      </w:r>
      <w:r w:rsidR="00576BB0">
        <w:rPr>
          <w:szCs w:val="24"/>
        </w:rPr>
        <w:t xml:space="preserve"> who testified at the first day of hearing</w:t>
      </w:r>
      <w:r w:rsidR="00BC02A6">
        <w:rPr>
          <w:szCs w:val="24"/>
        </w:rPr>
        <w:t xml:space="preserve"> also described the calculation as a “rolling twelve month average.” </w:t>
      </w:r>
    </w:p>
    <w:p w:rsidR="001B4D93" w:rsidRDefault="001B4D93" w:rsidP="00BF3F42">
      <w:pPr>
        <w:spacing w:after="0"/>
        <w:ind w:firstLine="1440"/>
        <w:rPr>
          <w:szCs w:val="24"/>
        </w:rPr>
      </w:pPr>
    </w:p>
    <w:p w:rsidR="00BC02A6" w:rsidRDefault="009D6D67" w:rsidP="009D6D67">
      <w:pPr>
        <w:spacing w:after="0" w:line="240" w:lineRule="auto"/>
        <w:ind w:left="3600" w:right="2074" w:hanging="3600"/>
        <w:rPr>
          <w:szCs w:val="24"/>
        </w:rPr>
      </w:pPr>
      <w:r>
        <w:rPr>
          <w:szCs w:val="24"/>
        </w:rPr>
        <w:tab/>
      </w:r>
      <w:r w:rsidR="00BC02A6">
        <w:rPr>
          <w:szCs w:val="24"/>
        </w:rPr>
        <w:t>JUDGE LONG:</w:t>
      </w:r>
      <w:r w:rsidR="00BC02A6">
        <w:rPr>
          <w:szCs w:val="24"/>
        </w:rPr>
        <w:tab/>
        <w:t>I want to make sure I understand this budget bill also.  Every month . . . Let’s say this is April of 2013.  You get a customer’s bills for the twelve months between April 2012 and April 2013.  You add them up, divide them by twelve and that becomes the budget amount?</w:t>
      </w:r>
    </w:p>
    <w:p w:rsidR="009D6D67" w:rsidRDefault="009D6D67" w:rsidP="009D6D67">
      <w:pPr>
        <w:spacing w:after="0" w:line="240" w:lineRule="auto"/>
        <w:ind w:left="3600" w:right="2074" w:hanging="3600"/>
        <w:rPr>
          <w:szCs w:val="24"/>
        </w:rPr>
      </w:pPr>
    </w:p>
    <w:p w:rsidR="00BC02A6" w:rsidRDefault="009D6D67" w:rsidP="009D6D67">
      <w:pPr>
        <w:spacing w:after="0" w:line="240" w:lineRule="auto"/>
        <w:ind w:right="2074"/>
        <w:rPr>
          <w:szCs w:val="24"/>
        </w:rPr>
      </w:pPr>
      <w:r>
        <w:rPr>
          <w:szCs w:val="24"/>
        </w:rPr>
        <w:tab/>
      </w:r>
      <w:r w:rsidR="00BC02A6">
        <w:rPr>
          <w:szCs w:val="24"/>
        </w:rPr>
        <w:t>THE WITNESS:</w:t>
      </w:r>
      <w:r w:rsidR="00BC02A6">
        <w:rPr>
          <w:szCs w:val="24"/>
        </w:rPr>
        <w:tab/>
        <w:t xml:space="preserve"> Yes.</w:t>
      </w:r>
    </w:p>
    <w:p w:rsidR="009D6D67" w:rsidRDefault="009D6D67" w:rsidP="009D6D67">
      <w:pPr>
        <w:spacing w:after="0" w:line="240" w:lineRule="auto"/>
        <w:ind w:right="2074"/>
        <w:rPr>
          <w:szCs w:val="24"/>
        </w:rPr>
      </w:pPr>
    </w:p>
    <w:p w:rsidR="00C25E16" w:rsidRDefault="00C25E16" w:rsidP="009D6D67">
      <w:pPr>
        <w:spacing w:line="240" w:lineRule="auto"/>
        <w:ind w:left="1440" w:right="2070"/>
        <w:rPr>
          <w:szCs w:val="24"/>
        </w:rPr>
      </w:pPr>
      <w:r>
        <w:rPr>
          <w:szCs w:val="24"/>
        </w:rPr>
        <w:t>JUDGE LONG:</w:t>
      </w:r>
      <w:r>
        <w:rPr>
          <w:szCs w:val="24"/>
        </w:rPr>
        <w:tab/>
        <w:t>And you do that every . . . .</w:t>
      </w:r>
    </w:p>
    <w:p w:rsidR="009D6D67" w:rsidRDefault="009D6D67" w:rsidP="009D6D67">
      <w:pPr>
        <w:spacing w:after="0" w:line="240" w:lineRule="auto"/>
        <w:ind w:left="1440" w:right="2074"/>
        <w:rPr>
          <w:szCs w:val="24"/>
        </w:rPr>
      </w:pPr>
    </w:p>
    <w:p w:rsidR="00C25E16" w:rsidRDefault="009D6D67" w:rsidP="009D6D67">
      <w:pPr>
        <w:spacing w:after="0" w:line="240" w:lineRule="auto"/>
        <w:rPr>
          <w:szCs w:val="24"/>
        </w:rPr>
      </w:pPr>
      <w:r>
        <w:rPr>
          <w:szCs w:val="24"/>
        </w:rPr>
        <w:tab/>
      </w:r>
      <w:r w:rsidR="00C25E16">
        <w:rPr>
          <w:szCs w:val="24"/>
        </w:rPr>
        <w:t>THE WITNESS:</w:t>
      </w:r>
      <w:r w:rsidR="00C25E16">
        <w:rPr>
          <w:szCs w:val="24"/>
        </w:rPr>
        <w:tab/>
        <w:t>Month.</w:t>
      </w:r>
    </w:p>
    <w:p w:rsidR="009D6D67" w:rsidRDefault="009D6D67" w:rsidP="009D6D67">
      <w:pPr>
        <w:spacing w:after="0" w:line="240" w:lineRule="auto"/>
        <w:ind w:right="2074"/>
        <w:rPr>
          <w:szCs w:val="24"/>
        </w:rPr>
      </w:pPr>
    </w:p>
    <w:p w:rsidR="00C25E16" w:rsidRDefault="00C25E16" w:rsidP="009D6D67">
      <w:pPr>
        <w:spacing w:after="0" w:line="240" w:lineRule="auto"/>
        <w:ind w:left="3600" w:right="2074" w:hanging="2160"/>
        <w:rPr>
          <w:szCs w:val="24"/>
        </w:rPr>
      </w:pPr>
      <w:r>
        <w:rPr>
          <w:szCs w:val="24"/>
        </w:rPr>
        <w:t>JUDGE LONG</w:t>
      </w:r>
      <w:proofErr w:type="gramStart"/>
      <w:r>
        <w:rPr>
          <w:szCs w:val="24"/>
        </w:rPr>
        <w:t>:</w:t>
      </w:r>
      <w:r>
        <w:rPr>
          <w:szCs w:val="24"/>
        </w:rPr>
        <w:tab/>
        <w:t>…</w:t>
      </w:r>
      <w:proofErr w:type="gramEnd"/>
      <w:r>
        <w:rPr>
          <w:szCs w:val="24"/>
        </w:rPr>
        <w:t xml:space="preserve"> month, so you are constantly adding 12 bills and dividing by 12?</w:t>
      </w:r>
    </w:p>
    <w:p w:rsidR="009D6D67" w:rsidRDefault="009D6D67" w:rsidP="009D6D67">
      <w:pPr>
        <w:spacing w:after="0" w:line="240" w:lineRule="auto"/>
        <w:ind w:left="3600" w:right="2074" w:hanging="2160"/>
        <w:rPr>
          <w:szCs w:val="24"/>
        </w:rPr>
      </w:pPr>
    </w:p>
    <w:p w:rsidR="00C25E16" w:rsidRDefault="009D6D67" w:rsidP="00F0511A">
      <w:pPr>
        <w:spacing w:after="0"/>
        <w:ind w:right="2074"/>
        <w:rPr>
          <w:szCs w:val="24"/>
        </w:rPr>
      </w:pPr>
      <w:r>
        <w:rPr>
          <w:szCs w:val="24"/>
        </w:rPr>
        <w:tab/>
      </w:r>
      <w:r w:rsidR="00C25E16">
        <w:rPr>
          <w:szCs w:val="24"/>
        </w:rPr>
        <w:t>THE WITNESS:</w:t>
      </w:r>
      <w:r w:rsidR="00C25E16">
        <w:rPr>
          <w:szCs w:val="24"/>
        </w:rPr>
        <w:tab/>
        <w:t>Yes.</w:t>
      </w:r>
      <w:r w:rsidR="00C25E16">
        <w:rPr>
          <w:rStyle w:val="FootnoteReference"/>
          <w:szCs w:val="24"/>
        </w:rPr>
        <w:footnoteReference w:id="13"/>
      </w:r>
    </w:p>
    <w:p w:rsidR="00BC02A6" w:rsidRDefault="00BC02A6" w:rsidP="00D507D3">
      <w:pPr>
        <w:spacing w:after="0"/>
        <w:ind w:firstLine="1440"/>
        <w:rPr>
          <w:szCs w:val="24"/>
        </w:rPr>
      </w:pPr>
    </w:p>
    <w:p w:rsidR="002E1812" w:rsidRDefault="00BC02A6" w:rsidP="00BF3F42">
      <w:pPr>
        <w:spacing w:after="0"/>
        <w:ind w:firstLine="1440"/>
        <w:rPr>
          <w:szCs w:val="24"/>
        </w:rPr>
      </w:pPr>
      <w:r>
        <w:rPr>
          <w:szCs w:val="24"/>
        </w:rPr>
        <w:t xml:space="preserve">This suggests that a customer should be able to add up the bills for the previous </w:t>
      </w:r>
      <w:r w:rsidR="00BC1369">
        <w:rPr>
          <w:szCs w:val="24"/>
        </w:rPr>
        <w:t>12</w:t>
      </w:r>
      <w:r>
        <w:rPr>
          <w:szCs w:val="24"/>
        </w:rPr>
        <w:t xml:space="preserve"> months, divide the total by </w:t>
      </w:r>
      <w:r w:rsidR="00672F98">
        <w:rPr>
          <w:szCs w:val="24"/>
        </w:rPr>
        <w:t>12</w:t>
      </w:r>
      <w:r>
        <w:rPr>
          <w:szCs w:val="24"/>
        </w:rPr>
        <w:t xml:space="preserve"> and arrive at a number which should approximate</w:t>
      </w:r>
      <w:r w:rsidR="00C25E16">
        <w:rPr>
          <w:szCs w:val="24"/>
        </w:rPr>
        <w:t xml:space="preserve"> the budget amount. </w:t>
      </w:r>
      <w:r w:rsidR="002E1812">
        <w:rPr>
          <w:szCs w:val="24"/>
        </w:rPr>
        <w:t xml:space="preserve"> Indeed the essence of the Complainant’s challenge is that adding his bills and dividing to get an average was not resulting in a number even close to what his budget amount was on his bills.</w:t>
      </w:r>
    </w:p>
    <w:p w:rsidR="002F137B" w:rsidRDefault="002F137B" w:rsidP="00BF3F42">
      <w:pPr>
        <w:spacing w:after="0"/>
        <w:ind w:firstLine="1440"/>
        <w:rPr>
          <w:szCs w:val="24"/>
        </w:rPr>
      </w:pPr>
    </w:p>
    <w:p w:rsidR="00770F8E" w:rsidRDefault="00C25E16" w:rsidP="002F137B">
      <w:pPr>
        <w:spacing w:after="0"/>
        <w:ind w:firstLine="1440"/>
        <w:rPr>
          <w:szCs w:val="24"/>
        </w:rPr>
      </w:pPr>
      <w:r>
        <w:rPr>
          <w:szCs w:val="24"/>
        </w:rPr>
        <w:t>However, after hearing the testimony of Duquesne Light’s manager of billing, meter reading and payment processing, Wayne Withrow</w:t>
      </w:r>
      <w:r w:rsidR="00D00079">
        <w:rPr>
          <w:szCs w:val="24"/>
        </w:rPr>
        <w:t>,</w:t>
      </w:r>
      <w:r>
        <w:rPr>
          <w:szCs w:val="24"/>
        </w:rPr>
        <w:t xml:space="preserve"> and reviewing Duquesne Light’s Exhibit 21, it is clear that the calculati</w:t>
      </w:r>
      <w:r w:rsidR="00D00079">
        <w:rPr>
          <w:szCs w:val="24"/>
        </w:rPr>
        <w:t>on is more complicated than simply adding 12 bills and dividing by 12</w:t>
      </w:r>
      <w:r>
        <w:rPr>
          <w:szCs w:val="24"/>
        </w:rPr>
        <w:t xml:space="preserve">.  No customer service representative explained to the Complainant that 1) the </w:t>
      </w:r>
      <w:r>
        <w:rPr>
          <w:szCs w:val="24"/>
        </w:rPr>
        <w:lastRenderedPageBreak/>
        <w:t>budget amount was not a simple “rolling twelve month average”; and 2) that the inputs to the budget calculation were significantly changed when Rider 19 was discontinued.  When the Complainant complained that the explanation did not adequately explain the result, no customer service representative referred him to a person who could explain it.  In fact, Mr. Withrow explained that the Complainant’s situation was relatively unique among Duquesne Light’s customers, because a limited number of them were subject to Rider 19, and the Complainant was the only one who was using budget billing.</w:t>
      </w:r>
      <w:r w:rsidR="00475AE0">
        <w:rPr>
          <w:szCs w:val="24"/>
        </w:rPr>
        <w:t xml:space="preserve"> </w:t>
      </w:r>
      <w:r w:rsidR="004D5E1C">
        <w:rPr>
          <w:szCs w:val="24"/>
        </w:rPr>
        <w:t xml:space="preserve"> Although the Complainant had contacted Duquesne Light several times about the budget amount, Duquesne Light did not review</w:t>
      </w:r>
      <w:r w:rsidR="00A51A06">
        <w:rPr>
          <w:szCs w:val="24"/>
        </w:rPr>
        <w:t xml:space="preserve"> the budget billing for former Rider 19 customers until the April 17 Interim Order directed it to do so.</w:t>
      </w:r>
      <w:r w:rsidR="00A37AF8">
        <w:rPr>
          <w:rStyle w:val="FootnoteReference"/>
          <w:szCs w:val="24"/>
        </w:rPr>
        <w:footnoteReference w:id="14"/>
      </w:r>
    </w:p>
    <w:p w:rsidR="004358BB" w:rsidRDefault="004358BB" w:rsidP="002F137B">
      <w:pPr>
        <w:spacing w:after="0"/>
        <w:ind w:firstLine="1440"/>
        <w:rPr>
          <w:szCs w:val="24"/>
        </w:rPr>
      </w:pPr>
    </w:p>
    <w:p w:rsidR="00F06126" w:rsidRDefault="00F06126" w:rsidP="00BF3F42">
      <w:pPr>
        <w:spacing w:after="0"/>
        <w:ind w:firstLine="1440"/>
        <w:rPr>
          <w:szCs w:val="24"/>
        </w:rPr>
      </w:pPr>
      <w:r>
        <w:rPr>
          <w:szCs w:val="24"/>
        </w:rPr>
        <w:t>The arbitrary selection of 10,000 kWh as an input for the Complainant’s consumption which caused a significant increase the amount of his budget payment constitutes unreasonable service in violation of Section 15</w:t>
      </w:r>
      <w:r w:rsidR="00A464C9">
        <w:rPr>
          <w:szCs w:val="24"/>
        </w:rPr>
        <w:t>01 of the Public Utility Code.</w:t>
      </w:r>
      <w:r w:rsidR="00A464C9">
        <w:rPr>
          <w:rStyle w:val="FootnoteReference"/>
          <w:szCs w:val="24"/>
        </w:rPr>
        <w:footnoteReference w:id="15"/>
      </w:r>
      <w:r w:rsidR="00A464C9">
        <w:rPr>
          <w:szCs w:val="24"/>
        </w:rPr>
        <w:t xml:space="preserve">  Duquesne Light offered no evidence or testimony which provided a reason why this number was chosen.  Clearly the Complainant had an adequate usage history with Duquesne Light that a number which more closely mirrored his consumption could have been chosen.  This is particularly true, where a limited number of customers were affected.</w:t>
      </w:r>
    </w:p>
    <w:p w:rsidR="002F137B" w:rsidRDefault="002F137B" w:rsidP="00BF3F42">
      <w:pPr>
        <w:spacing w:after="0"/>
        <w:ind w:firstLine="1440"/>
        <w:rPr>
          <w:szCs w:val="24"/>
        </w:rPr>
      </w:pPr>
    </w:p>
    <w:p w:rsidR="00CB0E9C" w:rsidRDefault="007B026B" w:rsidP="00BF3F42">
      <w:pPr>
        <w:spacing w:after="0"/>
        <w:ind w:firstLine="1440"/>
        <w:rPr>
          <w:szCs w:val="24"/>
        </w:rPr>
      </w:pPr>
      <w:r>
        <w:rPr>
          <w:szCs w:val="24"/>
        </w:rPr>
        <w:t>Duquesne Light further rendered unreasonable service by failing to provide an adequate explanation of the reason for the change to the Complainant.</w:t>
      </w:r>
      <w:r w:rsidR="00BC1369">
        <w:rPr>
          <w:szCs w:val="24"/>
        </w:rPr>
        <w:t xml:space="preserve"> </w:t>
      </w:r>
      <w:r>
        <w:rPr>
          <w:szCs w:val="24"/>
        </w:rPr>
        <w:t xml:space="preserve"> </w:t>
      </w:r>
      <w:r w:rsidR="00117FE8">
        <w:rPr>
          <w:szCs w:val="24"/>
        </w:rPr>
        <w:t>Utility customers are entitled to a full a</w:t>
      </w:r>
      <w:r w:rsidR="00BC1369">
        <w:rPr>
          <w:szCs w:val="24"/>
        </w:rPr>
        <w:t>nd</w:t>
      </w:r>
      <w:r w:rsidR="00117FE8">
        <w:rPr>
          <w:szCs w:val="24"/>
        </w:rPr>
        <w:t xml:space="preserve"> complete explanation of their bills.</w:t>
      </w:r>
      <w:r w:rsidR="00117FE8">
        <w:rPr>
          <w:rStyle w:val="FootnoteReference"/>
          <w:szCs w:val="24"/>
        </w:rPr>
        <w:footnoteReference w:id="16"/>
      </w:r>
      <w:r>
        <w:rPr>
          <w:szCs w:val="24"/>
        </w:rPr>
        <w:t xml:space="preserve"> </w:t>
      </w:r>
      <w:r w:rsidR="000F2504">
        <w:rPr>
          <w:szCs w:val="24"/>
        </w:rPr>
        <w:t xml:space="preserve">Although Duquesne Light apparently sent a notice to customers that the Rider 19 rate was ending, the letter did not mention that if a </w:t>
      </w:r>
      <w:r w:rsidR="000F2504">
        <w:rPr>
          <w:szCs w:val="24"/>
        </w:rPr>
        <w:lastRenderedPageBreak/>
        <w:t>customer was enrolled in budget billing, the method of calculating the budget bill would change.</w:t>
      </w:r>
      <w:r w:rsidR="000F2504">
        <w:rPr>
          <w:rStyle w:val="FootnoteReference"/>
          <w:szCs w:val="24"/>
        </w:rPr>
        <w:footnoteReference w:id="17"/>
      </w:r>
      <w:r w:rsidR="000F2504">
        <w:rPr>
          <w:szCs w:val="24"/>
        </w:rPr>
        <w:t xml:space="preserve">  T</w:t>
      </w:r>
      <w:r w:rsidR="00117FE8">
        <w:rPr>
          <w:szCs w:val="24"/>
        </w:rPr>
        <w:t xml:space="preserve">he Complainant was entitled to an adequate explanation of the calculation of his budget bill amount in order to make a knowledgeable decision about whether to continue in the program or revert to paying the actual amounts due.  </w:t>
      </w:r>
      <w:r>
        <w:rPr>
          <w:szCs w:val="24"/>
        </w:rPr>
        <w:t xml:space="preserve">Not only did the customer service representative not </w:t>
      </w:r>
      <w:r w:rsidR="00117FE8">
        <w:rPr>
          <w:szCs w:val="24"/>
        </w:rPr>
        <w:t xml:space="preserve">appear to </w:t>
      </w:r>
      <w:r>
        <w:rPr>
          <w:szCs w:val="24"/>
        </w:rPr>
        <w:t>understand the method of calculation beyond the very superficial label of “rolling twelve month average,” but when asked for a better explanation, the Complainant was not referred to a person with sufficient knowledge and understanding to explain how t</w:t>
      </w:r>
      <w:r w:rsidR="00F75226">
        <w:rPr>
          <w:szCs w:val="24"/>
        </w:rPr>
        <w:t>he bill amount was calculated.</w:t>
      </w:r>
      <w:r w:rsidR="00C01DCB">
        <w:rPr>
          <w:szCs w:val="24"/>
        </w:rPr>
        <w:t xml:space="preserve">  </w:t>
      </w:r>
    </w:p>
    <w:p w:rsidR="002F137B" w:rsidRDefault="002F137B" w:rsidP="00BF3F42">
      <w:pPr>
        <w:spacing w:after="0"/>
        <w:ind w:firstLine="1440"/>
        <w:rPr>
          <w:szCs w:val="24"/>
        </w:rPr>
      </w:pPr>
    </w:p>
    <w:p w:rsidR="007B026B" w:rsidRDefault="00C01DCB" w:rsidP="002F137B">
      <w:pPr>
        <w:spacing w:after="0"/>
        <w:ind w:firstLine="1440"/>
        <w:rPr>
          <w:szCs w:val="24"/>
        </w:rPr>
      </w:pPr>
      <w:r>
        <w:rPr>
          <w:szCs w:val="24"/>
        </w:rPr>
        <w:t>The Complainant also testified that none of the representatives that he spoke with were willing to work with him to explain his bill and resolve his other problems resulting from the timing of the withdrawal of his payments and the deposit of his Social Security check.</w:t>
      </w:r>
      <w:r w:rsidR="00117FE8">
        <w:rPr>
          <w:rStyle w:val="FootnoteReference"/>
          <w:szCs w:val="24"/>
        </w:rPr>
        <w:footnoteReference w:id="18"/>
      </w:r>
      <w:r w:rsidR="006B2800">
        <w:rPr>
          <w:szCs w:val="24"/>
        </w:rPr>
        <w:t xml:space="preserve">  He also had to write two letters requesting that his account be removed from automatic withdrawals before the service was discontinued.  Duquesne Light did not dispute this testimony or offer an</w:t>
      </w:r>
      <w:r w:rsidR="005523EB">
        <w:rPr>
          <w:szCs w:val="24"/>
        </w:rPr>
        <w:t>y</w:t>
      </w:r>
      <w:r w:rsidR="006B2800">
        <w:rPr>
          <w:szCs w:val="24"/>
        </w:rPr>
        <w:t xml:space="preserve"> reason for its failure to discontinue the automatic withdrawals after the first request.  These factors also constitute a lack of responsiveness to a customer’s reasonable request and also violate Section 1501 of the Public Utility Code.</w:t>
      </w:r>
    </w:p>
    <w:p w:rsidR="002F137B" w:rsidRDefault="002F137B" w:rsidP="002F137B">
      <w:pPr>
        <w:spacing w:after="0"/>
        <w:ind w:firstLine="1440"/>
        <w:rPr>
          <w:szCs w:val="24"/>
        </w:rPr>
      </w:pPr>
    </w:p>
    <w:p w:rsidR="00CB0E9C" w:rsidRDefault="00CB0E9C" w:rsidP="00BF3F42">
      <w:pPr>
        <w:spacing w:after="0"/>
        <w:ind w:firstLine="1440"/>
        <w:rPr>
          <w:szCs w:val="24"/>
        </w:rPr>
      </w:pPr>
      <w:r>
        <w:rPr>
          <w:szCs w:val="24"/>
        </w:rPr>
        <w:t>A utility customer should not have to wait for an evidentiary hearing before an administrative law judge to receive an accurate and complete explanation of the calculation of his bill.  As observed by Administrative Law Judge Susan</w:t>
      </w:r>
      <w:r w:rsidR="005523EB">
        <w:rPr>
          <w:szCs w:val="24"/>
        </w:rPr>
        <w:t xml:space="preserve"> D.</w:t>
      </w:r>
      <w:r>
        <w:rPr>
          <w:szCs w:val="24"/>
        </w:rPr>
        <w:t xml:space="preserve"> Colwell:</w:t>
      </w:r>
    </w:p>
    <w:p w:rsidR="002F137B" w:rsidRDefault="002F137B" w:rsidP="009D3681">
      <w:pPr>
        <w:spacing w:after="0" w:line="240" w:lineRule="auto"/>
        <w:ind w:firstLine="1440"/>
        <w:rPr>
          <w:szCs w:val="24"/>
        </w:rPr>
      </w:pPr>
    </w:p>
    <w:p w:rsidR="00CB0E9C" w:rsidRDefault="00CB0E9C" w:rsidP="009D3681">
      <w:pPr>
        <w:spacing w:after="0" w:line="240" w:lineRule="auto"/>
        <w:ind w:left="1440" w:right="1354" w:firstLine="720"/>
        <w:rPr>
          <w:szCs w:val="24"/>
        </w:rPr>
      </w:pPr>
      <w:r>
        <w:rPr>
          <w:szCs w:val="24"/>
        </w:rPr>
        <w:t xml:space="preserve">There are a number of consumer complaints which occur not because the company does something </w:t>
      </w:r>
      <w:r w:rsidR="003B01E0">
        <w:rPr>
          <w:szCs w:val="24"/>
        </w:rPr>
        <w:t>wrong</w:t>
      </w:r>
      <w:r>
        <w:rPr>
          <w:szCs w:val="24"/>
        </w:rPr>
        <w:t xml:space="preserve">, but because the ratepayers are unhappy with the company actions even though those actions are consistent with Commission regulations, statutes, policy or orders.  </w:t>
      </w:r>
      <w:r w:rsidR="003B01E0">
        <w:rPr>
          <w:szCs w:val="24"/>
        </w:rPr>
        <w:t xml:space="preserve">The utility is expected to view these cases as an opportunity to open a dialogue and explain the actions to the </w:t>
      </w:r>
      <w:r w:rsidR="003B01E0">
        <w:rPr>
          <w:szCs w:val="24"/>
        </w:rPr>
        <w:lastRenderedPageBreak/>
        <w:t>ratepayers for no reason other than this:  “Adequate service” requires that the concerns of unhappy ratepayers be addressed.</w:t>
      </w:r>
      <w:r w:rsidR="003B01E0">
        <w:rPr>
          <w:rStyle w:val="FootnoteReference"/>
          <w:szCs w:val="24"/>
        </w:rPr>
        <w:footnoteReference w:id="19"/>
      </w:r>
    </w:p>
    <w:p w:rsidR="009D3681" w:rsidRDefault="009D3681" w:rsidP="009D3681">
      <w:pPr>
        <w:spacing w:after="0" w:line="240" w:lineRule="auto"/>
        <w:ind w:left="1440" w:right="1354" w:firstLine="720"/>
        <w:rPr>
          <w:szCs w:val="24"/>
        </w:rPr>
      </w:pPr>
    </w:p>
    <w:p w:rsidR="003D7B7B" w:rsidRDefault="003D7B7B" w:rsidP="009D3681">
      <w:pPr>
        <w:spacing w:after="0" w:line="240" w:lineRule="auto"/>
        <w:ind w:firstLine="1440"/>
        <w:rPr>
          <w:szCs w:val="24"/>
        </w:rPr>
      </w:pPr>
    </w:p>
    <w:p w:rsidR="00CA605E" w:rsidRDefault="00CA605E" w:rsidP="00BF3F42">
      <w:pPr>
        <w:spacing w:after="0"/>
        <w:ind w:firstLine="1440"/>
        <w:rPr>
          <w:szCs w:val="24"/>
        </w:rPr>
      </w:pPr>
      <w:r>
        <w:rPr>
          <w:szCs w:val="24"/>
        </w:rPr>
        <w:t>Indeed the point of view of just such a ratepayer was articulated by the Complainant here:</w:t>
      </w:r>
    </w:p>
    <w:p w:rsidR="003D7B7B" w:rsidRDefault="003D7B7B" w:rsidP="002F137B">
      <w:pPr>
        <w:spacing w:after="0" w:line="240" w:lineRule="auto"/>
        <w:ind w:left="1440" w:right="1440"/>
        <w:rPr>
          <w:szCs w:val="24"/>
        </w:rPr>
      </w:pPr>
    </w:p>
    <w:p w:rsidR="00CA605E" w:rsidRDefault="00423445" w:rsidP="002F137B">
      <w:pPr>
        <w:spacing w:after="0" w:line="240" w:lineRule="auto"/>
        <w:ind w:left="1440" w:right="1440"/>
        <w:rPr>
          <w:szCs w:val="24"/>
        </w:rPr>
      </w:pPr>
      <w:r>
        <w:rPr>
          <w:szCs w:val="24"/>
        </w:rPr>
        <w:tab/>
        <w:t>I’m really disturbed, and the main reason I came here was that the</w:t>
      </w:r>
      <w:r w:rsidR="004E61E5">
        <w:rPr>
          <w:szCs w:val="24"/>
        </w:rPr>
        <w:t>.</w:t>
      </w:r>
      <w:r>
        <w:rPr>
          <w:szCs w:val="24"/>
        </w:rPr>
        <w:t xml:space="preserve">.. the </w:t>
      </w:r>
      <w:r w:rsidR="003B01E0">
        <w:rPr>
          <w:szCs w:val="24"/>
        </w:rPr>
        <w:t>amount</w:t>
      </w:r>
      <w:r>
        <w:rPr>
          <w:szCs w:val="24"/>
        </w:rPr>
        <w:t xml:space="preserve"> of money that we are talking about is less than, probably, what I paid for parking today.  It’s the – attitude they took that I would question what they were doing, changing these rates, changing the due dates.</w:t>
      </w:r>
    </w:p>
    <w:p w:rsidR="002F137B" w:rsidRDefault="002F137B" w:rsidP="002F137B">
      <w:pPr>
        <w:spacing w:after="0" w:line="240" w:lineRule="auto"/>
        <w:ind w:left="1440" w:right="1440"/>
        <w:rPr>
          <w:szCs w:val="24"/>
        </w:rPr>
      </w:pPr>
    </w:p>
    <w:p w:rsidR="00423445" w:rsidRDefault="00423445" w:rsidP="002F137B">
      <w:pPr>
        <w:spacing w:after="0" w:line="240" w:lineRule="auto"/>
        <w:ind w:left="1440" w:right="1440"/>
        <w:rPr>
          <w:szCs w:val="24"/>
        </w:rPr>
      </w:pPr>
      <w:r>
        <w:rPr>
          <w:szCs w:val="24"/>
        </w:rPr>
        <w:tab/>
        <w:t>If it was ju</w:t>
      </w:r>
      <w:r w:rsidR="00DB4E50">
        <w:rPr>
          <w:szCs w:val="24"/>
        </w:rPr>
        <w:t>s</w:t>
      </w:r>
      <w:r>
        <w:rPr>
          <w:szCs w:val="24"/>
        </w:rPr>
        <w:t>t over whether I was on a water rate or the non-water rate, I wouldn’t be her</w:t>
      </w:r>
      <w:r w:rsidR="003D7B7B">
        <w:rPr>
          <w:szCs w:val="24"/>
        </w:rPr>
        <w:t>e</w:t>
      </w:r>
      <w:r>
        <w:rPr>
          <w:szCs w:val="24"/>
        </w:rPr>
        <w:t xml:space="preserve">, but to tell me time after </w:t>
      </w:r>
      <w:r w:rsidR="003B01E0">
        <w:rPr>
          <w:szCs w:val="24"/>
        </w:rPr>
        <w:t>time</w:t>
      </w:r>
      <w:r>
        <w:rPr>
          <w:szCs w:val="24"/>
        </w:rPr>
        <w:t>, if you have a complaint, call the PUC, we will give you their number, we’ll give you their address, there’s no customer service.</w:t>
      </w:r>
    </w:p>
    <w:p w:rsidR="005D5FC5" w:rsidRDefault="005D5FC5" w:rsidP="002F137B">
      <w:pPr>
        <w:spacing w:after="0" w:line="240" w:lineRule="auto"/>
        <w:ind w:left="1440" w:right="1440"/>
        <w:rPr>
          <w:szCs w:val="24"/>
        </w:rPr>
      </w:pPr>
    </w:p>
    <w:p w:rsidR="00423445" w:rsidRDefault="00423445" w:rsidP="002F137B">
      <w:pPr>
        <w:spacing w:after="0" w:line="240" w:lineRule="auto"/>
        <w:ind w:left="1440" w:right="1440"/>
        <w:rPr>
          <w:szCs w:val="24"/>
        </w:rPr>
      </w:pPr>
      <w:r>
        <w:rPr>
          <w:szCs w:val="24"/>
        </w:rPr>
        <w:tab/>
        <w:t>Anybody you can talk with at Duquesne Light and says</w:t>
      </w:r>
      <w:proofErr w:type="gramStart"/>
      <w:r>
        <w:rPr>
          <w:szCs w:val="24"/>
        </w:rPr>
        <w:t>,</w:t>
      </w:r>
      <w:proofErr w:type="gramEnd"/>
      <w:r>
        <w:rPr>
          <w:szCs w:val="24"/>
        </w:rPr>
        <w:t xml:space="preserve"> I agree with you, Mr. Martin, we have a problem, let’s see if we can work it out; that never happened.</w:t>
      </w:r>
      <w:r>
        <w:rPr>
          <w:rStyle w:val="FootnoteReference"/>
          <w:szCs w:val="24"/>
        </w:rPr>
        <w:footnoteReference w:id="20"/>
      </w:r>
    </w:p>
    <w:p w:rsidR="002F137B" w:rsidRDefault="002F137B" w:rsidP="00C013FE">
      <w:pPr>
        <w:spacing w:after="0" w:line="240" w:lineRule="auto"/>
        <w:ind w:left="1440" w:right="1440"/>
        <w:rPr>
          <w:szCs w:val="24"/>
        </w:rPr>
      </w:pPr>
    </w:p>
    <w:p w:rsidR="00C013FE" w:rsidRDefault="00C013FE" w:rsidP="00C013FE">
      <w:pPr>
        <w:spacing w:after="0" w:line="240" w:lineRule="auto"/>
        <w:ind w:left="1440" w:right="1440"/>
        <w:rPr>
          <w:szCs w:val="24"/>
        </w:rPr>
      </w:pPr>
    </w:p>
    <w:p w:rsidR="00BB45DF" w:rsidRDefault="00F75226" w:rsidP="00BF3F42">
      <w:pPr>
        <w:spacing w:after="0"/>
        <w:ind w:firstLine="1440"/>
        <w:rPr>
          <w:szCs w:val="24"/>
        </w:rPr>
      </w:pPr>
      <w:r>
        <w:rPr>
          <w:szCs w:val="24"/>
        </w:rPr>
        <w:t>Having concluded that Duque</w:t>
      </w:r>
      <w:r w:rsidR="007B026B">
        <w:rPr>
          <w:szCs w:val="24"/>
        </w:rPr>
        <w:t>s</w:t>
      </w:r>
      <w:r>
        <w:rPr>
          <w:szCs w:val="24"/>
        </w:rPr>
        <w:t>n</w:t>
      </w:r>
      <w:r w:rsidR="007B026B">
        <w:rPr>
          <w:szCs w:val="24"/>
        </w:rPr>
        <w:t>e Light violated the Public Utility Code by failing to provide reasonable service, it is appropriate to consider the assessment of a civil penalty.</w:t>
      </w:r>
      <w:r w:rsidR="00BB45DF">
        <w:rPr>
          <w:szCs w:val="24"/>
        </w:rPr>
        <w:t xml:space="preserve"> </w:t>
      </w:r>
      <w:r w:rsidR="00BB45DF" w:rsidRPr="0098528A">
        <w:rPr>
          <w:snapToGrid w:val="0"/>
          <w:szCs w:val="24"/>
        </w:rPr>
        <w:t>Section 3301 of the Public Utility Code provides that if any public utility fails to comply with any Commission regulation it shall forfeit and pay to the Commonwealth a sum not exceeding $1,000.00 per day of violation.</w:t>
      </w:r>
      <w:r w:rsidR="00BB45DF" w:rsidRPr="0098528A">
        <w:rPr>
          <w:rStyle w:val="FootnoteReference"/>
          <w:snapToGrid w:val="0"/>
          <w:szCs w:val="24"/>
        </w:rPr>
        <w:footnoteReference w:id="21"/>
      </w:r>
      <w:r w:rsidR="00BB45DF" w:rsidRPr="0098528A">
        <w:rPr>
          <w:snapToGrid w:val="0"/>
          <w:szCs w:val="24"/>
        </w:rPr>
        <w:t xml:space="preserve">  To implement this section, the Commission has adopted certain standards that must be applied when imposing a civil penalty for violations of Commission directives and regulations.</w:t>
      </w:r>
      <w:r w:rsidR="00BB45DF" w:rsidRPr="0098528A">
        <w:rPr>
          <w:rStyle w:val="FootnoteReference"/>
          <w:snapToGrid w:val="0"/>
          <w:szCs w:val="24"/>
        </w:rPr>
        <w:footnoteReference w:id="22"/>
      </w:r>
      <w:r w:rsidR="00BB45DF" w:rsidRPr="0098528A">
        <w:rPr>
          <w:snapToGrid w:val="0"/>
          <w:szCs w:val="24"/>
        </w:rPr>
        <w:t xml:space="preserve">  </w:t>
      </w:r>
      <w:r w:rsidR="00BB45DF" w:rsidRPr="0098528A">
        <w:rPr>
          <w:szCs w:val="24"/>
        </w:rPr>
        <w:t>Section 69.1201(a) of the Commission’s regulations states:</w:t>
      </w:r>
    </w:p>
    <w:p w:rsidR="002F137B" w:rsidRPr="0098528A" w:rsidRDefault="002F137B" w:rsidP="003D500F">
      <w:pPr>
        <w:spacing w:after="0" w:line="240" w:lineRule="auto"/>
        <w:ind w:firstLine="1440"/>
        <w:rPr>
          <w:szCs w:val="24"/>
        </w:rPr>
      </w:pPr>
    </w:p>
    <w:p w:rsidR="00BB45DF" w:rsidRPr="0098528A" w:rsidRDefault="00BB45DF" w:rsidP="00BF3F42">
      <w:pPr>
        <w:spacing w:after="0" w:line="240" w:lineRule="auto"/>
        <w:ind w:left="1440" w:right="1440"/>
        <w:rPr>
          <w:szCs w:val="24"/>
        </w:rPr>
      </w:pPr>
      <w:r w:rsidRPr="0098528A">
        <w:rPr>
          <w:szCs w:val="24"/>
        </w:rPr>
        <w:t xml:space="preserve">The Commission will consider specific factors and standards in evaluating litigated … cases involving violations of 66 Pa.C.S. </w:t>
      </w:r>
      <w:r w:rsidRPr="0098528A">
        <w:rPr>
          <w:szCs w:val="24"/>
        </w:rPr>
        <w:lastRenderedPageBreak/>
        <w:t>(</w:t>
      </w:r>
      <w:proofErr w:type="gramStart"/>
      <w:r w:rsidRPr="0098528A">
        <w:rPr>
          <w:szCs w:val="24"/>
        </w:rPr>
        <w:t>relating</w:t>
      </w:r>
      <w:proofErr w:type="gramEnd"/>
      <w:r w:rsidRPr="0098528A">
        <w:rPr>
          <w:szCs w:val="24"/>
        </w:rPr>
        <w:t xml:space="preserve"> to the Public Utility Code) and this title.  These factors and standards will be utilized by the Commission in determining if a fine for violating a Commission order, regulation or statute is appropriate.</w:t>
      </w:r>
      <w:r w:rsidRPr="0098528A">
        <w:rPr>
          <w:rStyle w:val="FootnoteReference"/>
          <w:szCs w:val="24"/>
        </w:rPr>
        <w:footnoteReference w:id="23"/>
      </w:r>
      <w:r w:rsidRPr="0098528A">
        <w:rPr>
          <w:szCs w:val="24"/>
        </w:rPr>
        <w:t xml:space="preserve">  </w:t>
      </w:r>
    </w:p>
    <w:p w:rsidR="00BB45DF" w:rsidRPr="0098528A" w:rsidRDefault="00BB45DF" w:rsidP="003D500F">
      <w:pPr>
        <w:spacing w:after="0"/>
        <w:ind w:left="1440" w:right="1440"/>
        <w:rPr>
          <w:szCs w:val="24"/>
        </w:rPr>
      </w:pPr>
    </w:p>
    <w:p w:rsidR="00BB45DF" w:rsidRPr="0098528A" w:rsidRDefault="00BB45DF" w:rsidP="00BF3F42">
      <w:pPr>
        <w:spacing w:after="0" w:line="240" w:lineRule="auto"/>
        <w:outlineLvl w:val="0"/>
        <w:rPr>
          <w:szCs w:val="24"/>
        </w:rPr>
      </w:pPr>
      <w:r w:rsidRPr="0098528A">
        <w:rPr>
          <w:szCs w:val="24"/>
        </w:rPr>
        <w:t>These factors and standards to be considered are enumerated in subsection (c):</w:t>
      </w:r>
    </w:p>
    <w:p w:rsidR="00BB45DF" w:rsidRPr="0098528A" w:rsidRDefault="00BB45DF" w:rsidP="003D7B7B">
      <w:pPr>
        <w:spacing w:after="0" w:line="240" w:lineRule="auto"/>
        <w:ind w:left="1440" w:right="1440"/>
        <w:rPr>
          <w:szCs w:val="24"/>
        </w:rPr>
      </w:pPr>
    </w:p>
    <w:p w:rsidR="00BB45DF" w:rsidRDefault="00BB45DF" w:rsidP="00997DD0">
      <w:pPr>
        <w:spacing w:after="0" w:line="240" w:lineRule="auto"/>
        <w:ind w:left="1440" w:right="1440" w:firstLine="720"/>
        <w:rPr>
          <w:szCs w:val="24"/>
        </w:rPr>
      </w:pPr>
      <w:r w:rsidRPr="0098528A">
        <w:rPr>
          <w:szCs w:val="24"/>
        </w:rPr>
        <w:t>(1)</w:t>
      </w:r>
      <w:r w:rsidRPr="0098528A">
        <w:rPr>
          <w:szCs w:val="24"/>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8C7286" w:rsidRDefault="008C7286" w:rsidP="00997DD0">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(2)</w:t>
      </w:r>
      <w:r w:rsidRPr="0098528A">
        <w:rPr>
          <w:szCs w:val="24"/>
        </w:rPr>
        <w:tab/>
        <w:t>Whether the resulting consequences of the conduct at issue were of a serious nature.  When consequences of a serious nature are involved, such as personal injury or property damage, the consequences may warrant a higher penalty.</w:t>
      </w:r>
    </w:p>
    <w:p w:rsidR="002F137B" w:rsidRDefault="002F137B" w:rsidP="00997DD0">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(3)</w:t>
      </w:r>
      <w:r w:rsidRPr="0098528A">
        <w:rPr>
          <w:szCs w:val="24"/>
        </w:rPr>
        <w:tab/>
        <w:t>Whether the conduct at issue was deemed intentional or negligent.  This factor may only be considered in evaluating litigated cases.  When conduct has been deemed intentional, the conduct may result in a higher penalty.</w:t>
      </w:r>
    </w:p>
    <w:p w:rsidR="00997DD0" w:rsidRPr="0098528A" w:rsidRDefault="00997DD0" w:rsidP="00997DD0">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(4)</w:t>
      </w:r>
      <w:r w:rsidRPr="0098528A">
        <w:rPr>
          <w:szCs w:val="24"/>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997DD0" w:rsidRPr="0098528A" w:rsidRDefault="00997DD0" w:rsidP="00997DD0">
      <w:pPr>
        <w:spacing w:after="0" w:line="240" w:lineRule="auto"/>
        <w:ind w:left="1440" w:right="1440" w:firstLine="720"/>
        <w:rPr>
          <w:szCs w:val="24"/>
        </w:rPr>
      </w:pPr>
    </w:p>
    <w:p w:rsidR="00BB45DF" w:rsidRDefault="00BB45DF" w:rsidP="002F137B">
      <w:pPr>
        <w:spacing w:after="0" w:line="240" w:lineRule="auto"/>
        <w:ind w:left="1440" w:right="1440" w:firstLine="720"/>
        <w:rPr>
          <w:szCs w:val="24"/>
        </w:rPr>
      </w:pPr>
      <w:r w:rsidRPr="0098528A">
        <w:rPr>
          <w:szCs w:val="24"/>
        </w:rPr>
        <w:t>(5)</w:t>
      </w:r>
      <w:r w:rsidRPr="0098528A">
        <w:rPr>
          <w:szCs w:val="24"/>
        </w:rPr>
        <w:tab/>
        <w:t>The number of customers affected and the duration of the violation.</w:t>
      </w:r>
    </w:p>
    <w:p w:rsidR="002F137B" w:rsidRPr="0098528A" w:rsidRDefault="002F137B" w:rsidP="002F137B">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(6)</w:t>
      </w:r>
      <w:r w:rsidRPr="0098528A">
        <w:rPr>
          <w:szCs w:val="24"/>
        </w:rPr>
        <w:tab/>
        <w:t>The compliance history of the regulated entity which committed the violation.  An isolated incident from an otherwise compliant utility may result in a lower penalty, whereas frequent, recurrent violations by a utility may result in a higher penalty.</w:t>
      </w:r>
    </w:p>
    <w:p w:rsidR="00997DD0" w:rsidRPr="0098528A" w:rsidRDefault="00997DD0" w:rsidP="00997DD0">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(7)</w:t>
      </w:r>
      <w:r w:rsidRPr="0098528A">
        <w:rPr>
          <w:szCs w:val="24"/>
        </w:rPr>
        <w:tab/>
        <w:t xml:space="preserve">Whether the regulated entity cooperated with the Commission’s investigation.  Facts establishing bad faith, active </w:t>
      </w:r>
      <w:r w:rsidRPr="0098528A">
        <w:rPr>
          <w:szCs w:val="24"/>
        </w:rPr>
        <w:lastRenderedPageBreak/>
        <w:t>concealment of violations or attempts to interfere with Commission investigations may result in a higher penalty.</w:t>
      </w:r>
    </w:p>
    <w:p w:rsidR="00997DD0" w:rsidRPr="0098528A" w:rsidRDefault="00997DD0" w:rsidP="00997DD0">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(8)</w:t>
      </w:r>
      <w:r w:rsidRPr="0098528A">
        <w:rPr>
          <w:szCs w:val="24"/>
        </w:rPr>
        <w:tab/>
        <w:t>The amount of the civil penalty or fine necessary to deter future violations.  The size of the utility may be considered to determine an appropriate penalty amount.</w:t>
      </w:r>
    </w:p>
    <w:p w:rsidR="00997DD0" w:rsidRPr="0098528A" w:rsidRDefault="00997DD0" w:rsidP="00997DD0">
      <w:pPr>
        <w:spacing w:after="0" w:line="240" w:lineRule="auto"/>
        <w:ind w:left="1440" w:right="1440" w:firstLine="720"/>
        <w:rPr>
          <w:szCs w:val="24"/>
        </w:rPr>
      </w:pPr>
    </w:p>
    <w:p w:rsidR="00BB45DF" w:rsidRDefault="00BB45DF" w:rsidP="00997DD0">
      <w:pPr>
        <w:spacing w:after="0" w:line="240" w:lineRule="auto"/>
        <w:ind w:left="1440" w:right="1440" w:firstLine="720"/>
        <w:rPr>
          <w:szCs w:val="24"/>
        </w:rPr>
      </w:pPr>
      <w:r w:rsidRPr="0098528A">
        <w:rPr>
          <w:szCs w:val="24"/>
        </w:rPr>
        <w:t>(9)</w:t>
      </w:r>
      <w:r w:rsidRPr="0098528A">
        <w:rPr>
          <w:szCs w:val="24"/>
        </w:rPr>
        <w:tab/>
        <w:t>Past Commission decision</w:t>
      </w:r>
      <w:r>
        <w:rPr>
          <w:szCs w:val="24"/>
        </w:rPr>
        <w:t>s</w:t>
      </w:r>
      <w:r w:rsidRPr="0098528A">
        <w:rPr>
          <w:szCs w:val="24"/>
        </w:rPr>
        <w:t xml:space="preserve"> in similar situations.</w:t>
      </w:r>
    </w:p>
    <w:p w:rsidR="00997DD0" w:rsidRPr="0098528A" w:rsidRDefault="00997DD0" w:rsidP="00997DD0">
      <w:pPr>
        <w:spacing w:after="0" w:line="240" w:lineRule="auto"/>
        <w:ind w:left="1440" w:right="1440" w:firstLine="720"/>
        <w:rPr>
          <w:szCs w:val="24"/>
        </w:rPr>
      </w:pPr>
    </w:p>
    <w:p w:rsidR="00BB45DF" w:rsidRDefault="00BB45DF" w:rsidP="00997DD0">
      <w:pPr>
        <w:spacing w:after="0" w:line="240" w:lineRule="auto"/>
        <w:ind w:left="720" w:right="1440" w:firstLine="1440"/>
        <w:rPr>
          <w:szCs w:val="24"/>
        </w:rPr>
      </w:pPr>
      <w:r w:rsidRPr="0098528A">
        <w:rPr>
          <w:szCs w:val="24"/>
        </w:rPr>
        <w:t>(10)</w:t>
      </w:r>
      <w:r w:rsidRPr="0098528A">
        <w:rPr>
          <w:szCs w:val="24"/>
        </w:rPr>
        <w:tab/>
        <w:t>Other relevant factors.</w:t>
      </w:r>
      <w:r w:rsidRPr="0098528A">
        <w:rPr>
          <w:rStyle w:val="FootnoteReference"/>
          <w:szCs w:val="24"/>
        </w:rPr>
        <w:footnoteReference w:id="24"/>
      </w:r>
    </w:p>
    <w:p w:rsidR="0015786B" w:rsidRDefault="0015786B" w:rsidP="00997DD0">
      <w:pPr>
        <w:spacing w:after="0"/>
        <w:ind w:firstLine="1440"/>
        <w:rPr>
          <w:szCs w:val="24"/>
        </w:rPr>
      </w:pPr>
    </w:p>
    <w:p w:rsidR="006B40E5" w:rsidRDefault="00952D4B" w:rsidP="00997DD0">
      <w:pPr>
        <w:spacing w:after="0"/>
        <w:ind w:firstLine="1440"/>
        <w:rPr>
          <w:szCs w:val="24"/>
        </w:rPr>
      </w:pPr>
      <w:r>
        <w:rPr>
          <w:szCs w:val="24"/>
        </w:rPr>
        <w:t xml:space="preserve">Reviewing the facts of this case it is appropriate to assess a $500 civil penalty for Duquesne Light’s arbitrary assignment of 10,000 kWh of usage to the Complainant’s account which caused significant increases in the calculation of his budget amount.  While this decision </w:t>
      </w:r>
    </w:p>
    <w:p w:rsidR="003D71A2" w:rsidRDefault="00952D4B" w:rsidP="006B40E5">
      <w:pPr>
        <w:spacing w:after="0"/>
        <w:rPr>
          <w:szCs w:val="24"/>
        </w:rPr>
      </w:pPr>
      <w:proofErr w:type="gramStart"/>
      <w:r>
        <w:rPr>
          <w:szCs w:val="24"/>
        </w:rPr>
        <w:t>does</w:t>
      </w:r>
      <w:proofErr w:type="gramEnd"/>
      <w:r>
        <w:rPr>
          <w:szCs w:val="24"/>
        </w:rPr>
        <w:t xml:space="preserve"> not amount to fraud or misrepresentation,</w:t>
      </w:r>
      <w:r>
        <w:rPr>
          <w:rStyle w:val="FootnoteReference"/>
          <w:szCs w:val="24"/>
        </w:rPr>
        <w:footnoteReference w:id="25"/>
      </w:r>
      <w:r>
        <w:rPr>
          <w:szCs w:val="24"/>
        </w:rPr>
        <w:t xml:space="preserve"> it was certainly a deliberate choice made by Duquesne Light, and not mere negligence.</w:t>
      </w:r>
      <w:r>
        <w:rPr>
          <w:rStyle w:val="FootnoteReference"/>
          <w:szCs w:val="24"/>
        </w:rPr>
        <w:footnoteReference w:id="26"/>
      </w:r>
      <w:r>
        <w:rPr>
          <w:szCs w:val="24"/>
        </w:rPr>
        <w:t xml:space="preserve">  No explanation or support for the decision was offered, other than, perhaps, convenience to the company.  </w:t>
      </w:r>
      <w:r w:rsidR="00870630">
        <w:rPr>
          <w:szCs w:val="24"/>
        </w:rPr>
        <w:t xml:space="preserve">The Complainant </w:t>
      </w:r>
      <w:r w:rsidR="0084730B">
        <w:rPr>
          <w:szCs w:val="24"/>
        </w:rPr>
        <w:t xml:space="preserve">had </w:t>
      </w:r>
      <w:r w:rsidR="00741C71">
        <w:rPr>
          <w:szCs w:val="24"/>
        </w:rPr>
        <w:t>been a customer of Duqu</w:t>
      </w:r>
      <w:r w:rsidR="00A305DE">
        <w:rPr>
          <w:szCs w:val="24"/>
        </w:rPr>
        <w:t>e</w:t>
      </w:r>
      <w:r w:rsidR="00741C71">
        <w:rPr>
          <w:szCs w:val="24"/>
        </w:rPr>
        <w:t>sn</w:t>
      </w:r>
      <w:r w:rsidR="00870630">
        <w:rPr>
          <w:szCs w:val="24"/>
        </w:rPr>
        <w:t>e Light for a significant period of time.  Therefore, the company had access to sufficient data from which to have established a usage input that more closely tracked the Complainant’</w:t>
      </w:r>
      <w:r w:rsidR="00510F43">
        <w:rPr>
          <w:szCs w:val="24"/>
        </w:rPr>
        <w:t>s historical consumption.</w:t>
      </w:r>
      <w:r w:rsidR="00741C71">
        <w:rPr>
          <w:szCs w:val="24"/>
        </w:rPr>
        <w:t xml:space="preserve">  A more realistic usage input would have resulted in much less disruption to the Complainant’s account.</w:t>
      </w:r>
      <w:r w:rsidR="003145E4">
        <w:rPr>
          <w:szCs w:val="24"/>
        </w:rPr>
        <w:t xml:space="preserve"> </w:t>
      </w:r>
      <w:r w:rsidR="00741C71">
        <w:rPr>
          <w:szCs w:val="24"/>
        </w:rPr>
        <w:t xml:space="preserve"> Instead, the</w:t>
      </w:r>
      <w:r>
        <w:rPr>
          <w:szCs w:val="24"/>
        </w:rPr>
        <w:t xml:space="preserve"> change in methodology </w:t>
      </w:r>
      <w:r w:rsidR="00741C71">
        <w:rPr>
          <w:szCs w:val="24"/>
        </w:rPr>
        <w:t xml:space="preserve">and usage input used </w:t>
      </w:r>
      <w:r>
        <w:rPr>
          <w:szCs w:val="24"/>
        </w:rPr>
        <w:t>for calculating a budget amount substantially increased the Complainant’s budget payment, a serious consequence of the conduct at issue.</w:t>
      </w:r>
      <w:r>
        <w:rPr>
          <w:rStyle w:val="FootnoteReference"/>
          <w:szCs w:val="24"/>
        </w:rPr>
        <w:footnoteReference w:id="27"/>
      </w:r>
      <w:r>
        <w:rPr>
          <w:szCs w:val="24"/>
        </w:rPr>
        <w:t xml:space="preserve">  </w:t>
      </w:r>
    </w:p>
    <w:p w:rsidR="003D71A2" w:rsidRDefault="003D71A2" w:rsidP="006B40E5">
      <w:pPr>
        <w:spacing w:after="0"/>
        <w:rPr>
          <w:szCs w:val="24"/>
        </w:rPr>
      </w:pPr>
    </w:p>
    <w:p w:rsidR="00952D4B" w:rsidRDefault="003D71A2" w:rsidP="006B40E5">
      <w:pPr>
        <w:spacing w:after="0"/>
        <w:rPr>
          <w:szCs w:val="24"/>
        </w:rPr>
      </w:pPr>
      <w:r>
        <w:rPr>
          <w:szCs w:val="24"/>
        </w:rPr>
        <w:tab/>
      </w:r>
      <w:r w:rsidR="00952D4B">
        <w:rPr>
          <w:szCs w:val="24"/>
        </w:rPr>
        <w:t>However, Duquesne Light has subsequently modified it methodology and now uses an input which more closely mirrors a customer’s historical consumption when that data is available.</w:t>
      </w:r>
      <w:r w:rsidR="00E94979">
        <w:rPr>
          <w:rStyle w:val="FootnoteReference"/>
          <w:szCs w:val="24"/>
        </w:rPr>
        <w:footnoteReference w:id="28"/>
      </w:r>
      <w:r w:rsidR="00952D4B">
        <w:rPr>
          <w:szCs w:val="24"/>
        </w:rPr>
        <w:t xml:space="preserve">  </w:t>
      </w:r>
      <w:r>
        <w:rPr>
          <w:szCs w:val="24"/>
        </w:rPr>
        <w:t xml:space="preserve">Therefore the budget amount that the Complainant would pay in the future will be </w:t>
      </w:r>
      <w:r>
        <w:rPr>
          <w:szCs w:val="24"/>
        </w:rPr>
        <w:lastRenderedPageBreak/>
        <w:t>more accurate and he will not be required to pay a higher amount than is appropriate for the usage on his account.</w:t>
      </w:r>
    </w:p>
    <w:p w:rsidR="003D71A2" w:rsidRDefault="003D71A2" w:rsidP="006B40E5">
      <w:pPr>
        <w:spacing w:after="0"/>
        <w:rPr>
          <w:szCs w:val="24"/>
        </w:rPr>
      </w:pPr>
    </w:p>
    <w:p w:rsidR="007B026B" w:rsidRDefault="00952D4B" w:rsidP="00997DD0">
      <w:pPr>
        <w:spacing w:after="0"/>
        <w:ind w:firstLine="1440"/>
        <w:rPr>
          <w:szCs w:val="24"/>
        </w:rPr>
      </w:pPr>
      <w:r>
        <w:rPr>
          <w:szCs w:val="24"/>
        </w:rPr>
        <w:t xml:space="preserve">Moreover, it does not appear that any customers other than the Complainant were </w:t>
      </w:r>
      <w:proofErr w:type="gramStart"/>
      <w:r>
        <w:rPr>
          <w:szCs w:val="24"/>
        </w:rPr>
        <w:t>affected</w:t>
      </w:r>
      <w:proofErr w:type="gramEnd"/>
      <w:r>
        <w:rPr>
          <w:szCs w:val="24"/>
        </w:rPr>
        <w:t xml:space="preserve"> by this change, or that there have been a significant number of consumer complaints related to the change in budget amount calculation.</w:t>
      </w:r>
      <w:r w:rsidR="00E94979">
        <w:rPr>
          <w:rStyle w:val="FootnoteReference"/>
          <w:szCs w:val="24"/>
        </w:rPr>
        <w:footnoteReference w:id="29"/>
      </w:r>
      <w:r>
        <w:rPr>
          <w:szCs w:val="24"/>
        </w:rPr>
        <w:t xml:space="preserve">  There is no evidence of a Commission investigation on this point, nor am I aware of other Commission decisions on this conduct.</w:t>
      </w:r>
      <w:r w:rsidR="00E94979">
        <w:rPr>
          <w:rStyle w:val="FootnoteReference"/>
          <w:szCs w:val="24"/>
        </w:rPr>
        <w:footnoteReference w:id="30"/>
      </w:r>
      <w:r>
        <w:rPr>
          <w:szCs w:val="24"/>
        </w:rPr>
        <w:t xml:space="preserve"> </w:t>
      </w:r>
    </w:p>
    <w:p w:rsidR="00170BC2" w:rsidRDefault="00170BC2" w:rsidP="00997DD0">
      <w:pPr>
        <w:spacing w:after="0"/>
        <w:ind w:firstLine="1440"/>
        <w:rPr>
          <w:szCs w:val="24"/>
        </w:rPr>
      </w:pPr>
    </w:p>
    <w:p w:rsidR="00952D4B" w:rsidRDefault="00952D4B" w:rsidP="00997DD0">
      <w:pPr>
        <w:spacing w:after="0"/>
        <w:ind w:firstLine="1440"/>
        <w:rPr>
          <w:szCs w:val="24"/>
        </w:rPr>
      </w:pPr>
      <w:r>
        <w:rPr>
          <w:szCs w:val="24"/>
        </w:rPr>
        <w:t xml:space="preserve">Duquesne Light has remedied this error and therefore deterrence is not a significant factor to be considered in assessing a penalty for this violation.  </w:t>
      </w:r>
      <w:r w:rsidR="00E94979">
        <w:rPr>
          <w:szCs w:val="24"/>
        </w:rPr>
        <w:t>A $500 penalty should be</w:t>
      </w:r>
      <w:r w:rsidR="00705939">
        <w:rPr>
          <w:szCs w:val="24"/>
        </w:rPr>
        <w:t xml:space="preserve"> sufficient to encourage Duquesn</w:t>
      </w:r>
      <w:r w:rsidR="00E94979">
        <w:rPr>
          <w:szCs w:val="24"/>
        </w:rPr>
        <w:t>e Light to exercise more care in the future.</w:t>
      </w:r>
      <w:r w:rsidR="00E94979">
        <w:rPr>
          <w:rStyle w:val="FootnoteReference"/>
          <w:szCs w:val="24"/>
        </w:rPr>
        <w:footnoteReference w:id="31"/>
      </w:r>
    </w:p>
    <w:p w:rsidR="00405003" w:rsidRDefault="00405003" w:rsidP="00997DD0">
      <w:pPr>
        <w:spacing w:after="0"/>
        <w:ind w:firstLine="1440"/>
        <w:rPr>
          <w:szCs w:val="24"/>
        </w:rPr>
      </w:pPr>
    </w:p>
    <w:p w:rsidR="0008522B" w:rsidRDefault="00705939" w:rsidP="00997DD0">
      <w:pPr>
        <w:spacing w:after="0"/>
        <w:ind w:firstLine="1440"/>
        <w:rPr>
          <w:szCs w:val="24"/>
        </w:rPr>
      </w:pPr>
      <w:r>
        <w:rPr>
          <w:szCs w:val="24"/>
        </w:rPr>
        <w:t>Duquesn</w:t>
      </w:r>
      <w:r w:rsidR="00E94979">
        <w:rPr>
          <w:szCs w:val="24"/>
        </w:rPr>
        <w:t xml:space="preserve">e Light’s numerous customer service failures in its handling of this complaint, however, merit a more significant penalty.  </w:t>
      </w:r>
      <w:r>
        <w:rPr>
          <w:szCs w:val="24"/>
        </w:rPr>
        <w:t>As explained above, the ability to provide a complete and accurate explanation of a bill amount to a customer is an essential duty of a public utility.</w:t>
      </w:r>
      <w:r w:rsidR="0008522B">
        <w:rPr>
          <w:rStyle w:val="FootnoteReference"/>
          <w:szCs w:val="24"/>
        </w:rPr>
        <w:footnoteReference w:id="32"/>
      </w:r>
      <w:r>
        <w:rPr>
          <w:szCs w:val="24"/>
        </w:rPr>
        <w:t xml:space="preserve">  Duquesne Light’s failure to do so here, on multiple counts, is a serious violat</w:t>
      </w:r>
      <w:r w:rsidR="006134CA">
        <w:rPr>
          <w:szCs w:val="24"/>
        </w:rPr>
        <w:t xml:space="preserve">ion of the Public Utility Code.  </w:t>
      </w:r>
      <w:r>
        <w:rPr>
          <w:szCs w:val="24"/>
        </w:rPr>
        <w:t>Although the conduct did not result in damage to property or personal injury</w:t>
      </w:r>
      <w:r w:rsidR="0008522B">
        <w:rPr>
          <w:szCs w:val="24"/>
        </w:rPr>
        <w:t>, it resulted in numerous phone calls by the Complainant, required him to write several letters and resulted in an erosion of the confidence of the Complainant in the service rendered by the company.</w:t>
      </w:r>
      <w:r w:rsidR="0008522B">
        <w:rPr>
          <w:rStyle w:val="FootnoteReference"/>
          <w:szCs w:val="24"/>
        </w:rPr>
        <w:footnoteReference w:id="33"/>
      </w:r>
      <w:r w:rsidR="0008522B">
        <w:rPr>
          <w:szCs w:val="24"/>
        </w:rPr>
        <w:t xml:space="preserve">  There is no evidence that Duquesne Light has done anything to better train its customer service representatives.</w:t>
      </w:r>
      <w:r w:rsidR="0008522B">
        <w:rPr>
          <w:rStyle w:val="FootnoteReference"/>
          <w:szCs w:val="24"/>
        </w:rPr>
        <w:footnoteReference w:id="34"/>
      </w:r>
      <w:r w:rsidR="0008522B">
        <w:rPr>
          <w:szCs w:val="24"/>
        </w:rPr>
        <w:t xml:space="preserve"> </w:t>
      </w:r>
    </w:p>
    <w:p w:rsidR="002F137B" w:rsidRDefault="002F137B" w:rsidP="00997DD0">
      <w:pPr>
        <w:spacing w:after="0"/>
        <w:ind w:firstLine="1440"/>
        <w:rPr>
          <w:szCs w:val="24"/>
        </w:rPr>
      </w:pPr>
    </w:p>
    <w:p w:rsidR="00E94979" w:rsidRDefault="0008522B" w:rsidP="002F137B">
      <w:pPr>
        <w:spacing w:after="0"/>
        <w:ind w:firstLine="1440"/>
        <w:rPr>
          <w:szCs w:val="24"/>
        </w:rPr>
      </w:pPr>
      <w:r>
        <w:rPr>
          <w:szCs w:val="24"/>
        </w:rPr>
        <w:t xml:space="preserve">Several factors are not significant in the assessment of this penalty.  Although customer service complaints against Duquesne Light are not rare, I cannot say that it has a </w:t>
      </w:r>
      <w:r>
        <w:rPr>
          <w:szCs w:val="24"/>
        </w:rPr>
        <w:lastRenderedPageBreak/>
        <w:t>significant negative compliance history.  Nor am I aware of any Commission investigation or concealment of violations.</w:t>
      </w:r>
      <w:r>
        <w:rPr>
          <w:rStyle w:val="FootnoteReference"/>
          <w:szCs w:val="24"/>
        </w:rPr>
        <w:footnoteReference w:id="35"/>
      </w:r>
    </w:p>
    <w:p w:rsidR="002F137B" w:rsidRDefault="002F137B" w:rsidP="002F137B">
      <w:pPr>
        <w:spacing w:after="0"/>
        <w:ind w:firstLine="1440"/>
        <w:rPr>
          <w:szCs w:val="24"/>
        </w:rPr>
      </w:pPr>
    </w:p>
    <w:p w:rsidR="0008522B" w:rsidRDefault="0008522B" w:rsidP="00997DD0">
      <w:pPr>
        <w:spacing w:after="0"/>
        <w:ind w:firstLine="1440"/>
        <w:rPr>
          <w:szCs w:val="24"/>
        </w:rPr>
      </w:pPr>
      <w:r>
        <w:rPr>
          <w:szCs w:val="24"/>
        </w:rPr>
        <w:t>A civil penalty in an amount sufficient to deter future violations is the most important factor here.</w:t>
      </w:r>
      <w:r>
        <w:rPr>
          <w:rStyle w:val="FootnoteReference"/>
          <w:szCs w:val="24"/>
        </w:rPr>
        <w:footnoteReference w:id="36"/>
      </w:r>
      <w:r>
        <w:rPr>
          <w:szCs w:val="24"/>
        </w:rPr>
        <w:t xml:space="preserve">  This Commission has not hesitated to assess a substantial penalty where a public utility has rendered insufficient customer service by failing to provide full and accurate explanation of customer billing or failing to adequately notify customers that their billing may be affected by changes in tariffs and company policy.</w:t>
      </w:r>
      <w:r w:rsidR="00BE632D">
        <w:rPr>
          <w:rStyle w:val="FootnoteReference"/>
          <w:szCs w:val="24"/>
        </w:rPr>
        <w:footnoteReference w:id="37"/>
      </w:r>
      <w:r w:rsidR="0050436A">
        <w:rPr>
          <w:szCs w:val="24"/>
        </w:rPr>
        <w:t xml:space="preserve"> </w:t>
      </w:r>
      <w:r>
        <w:rPr>
          <w:szCs w:val="24"/>
        </w:rPr>
        <w:t xml:space="preserve"> Here, there were numerous failures to adequately communicate with this customer. </w:t>
      </w:r>
      <w:r w:rsidR="0050436A">
        <w:rPr>
          <w:szCs w:val="24"/>
        </w:rPr>
        <w:t xml:space="preserve"> </w:t>
      </w:r>
      <w:r>
        <w:rPr>
          <w:szCs w:val="24"/>
        </w:rPr>
        <w:t>Therefore, $1,000 is an appropriate civil penalty in this case.</w:t>
      </w:r>
    </w:p>
    <w:p w:rsidR="00997DD0" w:rsidRDefault="00997DD0" w:rsidP="00997DD0">
      <w:pPr>
        <w:spacing w:after="0"/>
        <w:ind w:firstLine="1440"/>
        <w:rPr>
          <w:szCs w:val="24"/>
        </w:rPr>
      </w:pPr>
    </w:p>
    <w:p w:rsidR="00ED7B10" w:rsidRDefault="00ED7B10" w:rsidP="00997DD0">
      <w:pPr>
        <w:spacing w:after="0"/>
        <w:jc w:val="center"/>
        <w:rPr>
          <w:szCs w:val="24"/>
          <w:u w:val="single"/>
        </w:rPr>
      </w:pPr>
      <w:r w:rsidRPr="006D672D">
        <w:rPr>
          <w:szCs w:val="24"/>
          <w:u w:val="single"/>
        </w:rPr>
        <w:t>CONCLUSIONS OF LAW</w:t>
      </w:r>
    </w:p>
    <w:p w:rsidR="00611965" w:rsidRDefault="00611965" w:rsidP="00997DD0">
      <w:pPr>
        <w:spacing w:after="0"/>
        <w:jc w:val="center"/>
        <w:rPr>
          <w:szCs w:val="24"/>
          <w:u w:val="single"/>
        </w:rPr>
      </w:pPr>
    </w:p>
    <w:p w:rsidR="00ED7B10" w:rsidRDefault="00ED7B10" w:rsidP="00997DD0">
      <w:pPr>
        <w:spacing w:after="0"/>
        <w:rPr>
          <w:szCs w:val="24"/>
        </w:rPr>
      </w:pPr>
      <w:r>
        <w:rPr>
          <w:szCs w:val="24"/>
        </w:rPr>
        <w:tab/>
        <w:t>1.</w:t>
      </w:r>
      <w:r>
        <w:rPr>
          <w:szCs w:val="24"/>
        </w:rPr>
        <w:tab/>
        <w:t xml:space="preserve">The Commission has jurisdiction over the parties and subject matter of this dispute.  </w:t>
      </w:r>
      <w:proofErr w:type="gramStart"/>
      <w:r>
        <w:rPr>
          <w:szCs w:val="24"/>
        </w:rPr>
        <w:t>66 Pa.C.S.</w:t>
      </w:r>
      <w:proofErr w:type="gramEnd"/>
      <w:r>
        <w:rPr>
          <w:szCs w:val="24"/>
        </w:rPr>
        <w:t xml:space="preserve"> § 701.</w:t>
      </w:r>
    </w:p>
    <w:p w:rsidR="00611965" w:rsidRDefault="00611965" w:rsidP="00997DD0">
      <w:pPr>
        <w:spacing w:after="0"/>
        <w:rPr>
          <w:szCs w:val="24"/>
        </w:rPr>
      </w:pPr>
    </w:p>
    <w:p w:rsidR="00ED7B10" w:rsidRDefault="00ED7B10" w:rsidP="00997DD0">
      <w:pPr>
        <w:spacing w:after="0"/>
        <w:rPr>
          <w:szCs w:val="24"/>
        </w:rPr>
      </w:pPr>
      <w:r>
        <w:rPr>
          <w:szCs w:val="24"/>
        </w:rPr>
        <w:tab/>
        <w:t>2.</w:t>
      </w:r>
      <w:r>
        <w:rPr>
          <w:szCs w:val="24"/>
        </w:rPr>
        <w:tab/>
        <w:t xml:space="preserve">The Complainant bears the burden of proof.  </w:t>
      </w:r>
      <w:proofErr w:type="gramStart"/>
      <w:r>
        <w:rPr>
          <w:szCs w:val="24"/>
        </w:rPr>
        <w:t>66 Pa.C.S.</w:t>
      </w:r>
      <w:proofErr w:type="gramEnd"/>
      <w:r>
        <w:rPr>
          <w:szCs w:val="24"/>
        </w:rPr>
        <w:t xml:space="preserve"> § 332.</w:t>
      </w:r>
    </w:p>
    <w:p w:rsidR="00611965" w:rsidRDefault="00611965" w:rsidP="00997DD0">
      <w:pPr>
        <w:spacing w:after="0"/>
        <w:rPr>
          <w:szCs w:val="24"/>
        </w:rPr>
      </w:pPr>
    </w:p>
    <w:p w:rsidR="00ED7B10" w:rsidRDefault="00ED7B10" w:rsidP="00997DD0">
      <w:pPr>
        <w:spacing w:after="0"/>
        <w:rPr>
          <w:szCs w:val="24"/>
        </w:rPr>
      </w:pPr>
      <w:r>
        <w:rPr>
          <w:szCs w:val="24"/>
        </w:rPr>
        <w:tab/>
        <w:t>3.</w:t>
      </w:r>
      <w:r>
        <w:rPr>
          <w:szCs w:val="24"/>
        </w:rPr>
        <w:tab/>
        <w:t xml:space="preserve">A public utility is required to provide adequate, efficient, safe and reasonable service.  This includes providing customers with complete and accurate explanation of the customer’s bill.  </w:t>
      </w:r>
      <w:proofErr w:type="gramStart"/>
      <w:r>
        <w:rPr>
          <w:szCs w:val="24"/>
        </w:rPr>
        <w:t xml:space="preserve">66 </w:t>
      </w:r>
      <w:proofErr w:type="spellStart"/>
      <w:r>
        <w:rPr>
          <w:szCs w:val="24"/>
        </w:rPr>
        <w:t>Pa.C.S</w:t>
      </w:r>
      <w:proofErr w:type="spellEnd"/>
      <w:r>
        <w:rPr>
          <w:szCs w:val="24"/>
        </w:rPr>
        <w:t>.</w:t>
      </w:r>
      <w:proofErr w:type="gramEnd"/>
      <w:r>
        <w:rPr>
          <w:szCs w:val="24"/>
        </w:rPr>
        <w:t xml:space="preserve"> </w:t>
      </w:r>
      <w:proofErr w:type="gramStart"/>
      <w:r>
        <w:rPr>
          <w:szCs w:val="24"/>
        </w:rPr>
        <w:t xml:space="preserve">§§ </w:t>
      </w:r>
      <w:r w:rsidR="0050436A">
        <w:rPr>
          <w:szCs w:val="24"/>
        </w:rPr>
        <w:t>102 and</w:t>
      </w:r>
      <w:r w:rsidR="00A1353D">
        <w:rPr>
          <w:szCs w:val="24"/>
        </w:rPr>
        <w:t xml:space="preserve"> </w:t>
      </w:r>
      <w:r>
        <w:rPr>
          <w:szCs w:val="24"/>
        </w:rPr>
        <w:t>1501.</w:t>
      </w:r>
      <w:proofErr w:type="gramEnd"/>
    </w:p>
    <w:p w:rsidR="00611965" w:rsidRDefault="00611965" w:rsidP="00997DD0">
      <w:pPr>
        <w:spacing w:after="0"/>
        <w:rPr>
          <w:szCs w:val="24"/>
        </w:rPr>
      </w:pPr>
    </w:p>
    <w:p w:rsidR="0050436A" w:rsidRDefault="00ED7B10" w:rsidP="00997DD0">
      <w:pPr>
        <w:spacing w:after="0"/>
        <w:rPr>
          <w:szCs w:val="24"/>
        </w:rPr>
      </w:pPr>
      <w:r>
        <w:rPr>
          <w:szCs w:val="24"/>
        </w:rPr>
        <w:tab/>
        <w:t>4.</w:t>
      </w:r>
      <w:r>
        <w:rPr>
          <w:szCs w:val="24"/>
        </w:rPr>
        <w:tab/>
        <w:t xml:space="preserve">It is not reasonable service to arbitrarily assign an estimated usage to a customer’s account for the purpose of calculating a budget amount which is significantly higher than a customer’s historical usage and results in a significantly higher budget amount.  </w:t>
      </w:r>
    </w:p>
    <w:p w:rsidR="00ED7B10" w:rsidRDefault="00ED7B10" w:rsidP="00997DD0">
      <w:pPr>
        <w:spacing w:after="0"/>
        <w:rPr>
          <w:szCs w:val="24"/>
        </w:rPr>
      </w:pPr>
      <w:proofErr w:type="gramStart"/>
      <w:r>
        <w:rPr>
          <w:szCs w:val="24"/>
        </w:rPr>
        <w:t xml:space="preserve">66 </w:t>
      </w:r>
      <w:proofErr w:type="spellStart"/>
      <w:r>
        <w:rPr>
          <w:szCs w:val="24"/>
        </w:rPr>
        <w:t>Pa.C.S</w:t>
      </w:r>
      <w:proofErr w:type="spellEnd"/>
      <w:r>
        <w:rPr>
          <w:szCs w:val="24"/>
        </w:rPr>
        <w:t>.</w:t>
      </w:r>
      <w:proofErr w:type="gramEnd"/>
      <w:r>
        <w:rPr>
          <w:szCs w:val="24"/>
        </w:rPr>
        <w:t xml:space="preserve"> § 1501.</w:t>
      </w:r>
    </w:p>
    <w:p w:rsidR="00611965" w:rsidRDefault="00611965" w:rsidP="00997DD0">
      <w:pPr>
        <w:spacing w:after="0"/>
        <w:rPr>
          <w:szCs w:val="24"/>
        </w:rPr>
      </w:pPr>
    </w:p>
    <w:p w:rsidR="00870630" w:rsidRDefault="00870630" w:rsidP="00BB04F9">
      <w:pPr>
        <w:spacing w:after="0"/>
        <w:rPr>
          <w:szCs w:val="24"/>
        </w:rPr>
      </w:pPr>
      <w:r>
        <w:rPr>
          <w:szCs w:val="24"/>
        </w:rPr>
        <w:lastRenderedPageBreak/>
        <w:tab/>
        <w:t>5.</w:t>
      </w:r>
      <w:r>
        <w:rPr>
          <w:szCs w:val="24"/>
        </w:rPr>
        <w:tab/>
        <w:t xml:space="preserve">The Complainant failed to sustain his burden of proving that </w:t>
      </w:r>
      <w:r w:rsidR="00AE5415">
        <w:rPr>
          <w:szCs w:val="24"/>
        </w:rPr>
        <w:t>Duquesne</w:t>
      </w:r>
      <w:r>
        <w:rPr>
          <w:szCs w:val="24"/>
        </w:rPr>
        <w:t xml:space="preserve"> Light’s method of calculating the date that the bill is due violates any Commission statute or regulation.</w:t>
      </w:r>
    </w:p>
    <w:p w:rsidR="00BB04F9" w:rsidRDefault="00BB04F9" w:rsidP="00BB04F9">
      <w:pPr>
        <w:spacing w:after="0"/>
        <w:rPr>
          <w:szCs w:val="24"/>
        </w:rPr>
      </w:pPr>
    </w:p>
    <w:p w:rsidR="006D672D" w:rsidRDefault="00870630" w:rsidP="00611965">
      <w:pPr>
        <w:spacing w:line="240" w:lineRule="auto"/>
        <w:jc w:val="center"/>
        <w:rPr>
          <w:szCs w:val="24"/>
          <w:u w:val="single"/>
        </w:rPr>
      </w:pPr>
      <w:r w:rsidRPr="00611965">
        <w:rPr>
          <w:szCs w:val="24"/>
          <w:u w:val="single"/>
        </w:rPr>
        <w:t>ORDER</w:t>
      </w:r>
    </w:p>
    <w:p w:rsidR="00611965" w:rsidRDefault="00611965" w:rsidP="00611965">
      <w:pPr>
        <w:spacing w:line="240" w:lineRule="auto"/>
        <w:jc w:val="center"/>
        <w:rPr>
          <w:szCs w:val="24"/>
          <w:u w:val="single"/>
        </w:rPr>
      </w:pPr>
    </w:p>
    <w:p w:rsidR="00611965" w:rsidRDefault="00611965" w:rsidP="00611965">
      <w:pPr>
        <w:spacing w:line="240" w:lineRule="auto"/>
        <w:jc w:val="center"/>
        <w:rPr>
          <w:szCs w:val="24"/>
          <w:u w:val="single"/>
        </w:rPr>
      </w:pPr>
    </w:p>
    <w:p w:rsidR="00870630" w:rsidRDefault="00611965" w:rsidP="00611965">
      <w:pPr>
        <w:spacing w:after="0"/>
        <w:rPr>
          <w:szCs w:val="24"/>
        </w:rPr>
      </w:pPr>
      <w:r>
        <w:rPr>
          <w:szCs w:val="24"/>
        </w:rPr>
        <w:tab/>
      </w:r>
      <w:r w:rsidR="00870630">
        <w:rPr>
          <w:szCs w:val="24"/>
        </w:rPr>
        <w:t>THEREFORE,</w:t>
      </w:r>
    </w:p>
    <w:p w:rsidR="00611965" w:rsidRDefault="00611965" w:rsidP="00611965">
      <w:pPr>
        <w:spacing w:after="0"/>
        <w:rPr>
          <w:szCs w:val="24"/>
        </w:rPr>
      </w:pPr>
    </w:p>
    <w:p w:rsidR="00870630" w:rsidRDefault="00611965" w:rsidP="00611965">
      <w:pPr>
        <w:spacing w:after="0"/>
        <w:rPr>
          <w:szCs w:val="24"/>
        </w:rPr>
      </w:pPr>
      <w:r>
        <w:rPr>
          <w:szCs w:val="24"/>
        </w:rPr>
        <w:tab/>
      </w:r>
      <w:r w:rsidR="00870630">
        <w:rPr>
          <w:szCs w:val="24"/>
        </w:rPr>
        <w:t>IT IS ORDERED:</w:t>
      </w:r>
    </w:p>
    <w:p w:rsidR="00611965" w:rsidRDefault="00611965" w:rsidP="00611965">
      <w:pPr>
        <w:spacing w:after="0"/>
        <w:rPr>
          <w:szCs w:val="24"/>
        </w:rPr>
      </w:pPr>
    </w:p>
    <w:p w:rsidR="00997DD0" w:rsidRDefault="00611965" w:rsidP="00611965">
      <w:pPr>
        <w:spacing w:after="0"/>
        <w:ind w:left="86" w:firstLine="1354"/>
      </w:pPr>
      <w:r>
        <w:t>1.</w:t>
      </w:r>
      <w:r>
        <w:tab/>
      </w:r>
      <w:r w:rsidR="00870630" w:rsidRPr="00E810D4">
        <w:t>That the Complaint of Donald W. Martin, Sr. at Docket No. C-2013-2390764</w:t>
      </w:r>
      <w:r w:rsidR="00565E57">
        <w:t xml:space="preserve"> is sustained</w:t>
      </w:r>
      <w:r w:rsidR="00870630" w:rsidRPr="00E810D4">
        <w:t xml:space="preserve"> as to his allegations that Duquesne Light failed to render reasonable service in regards to the calculation of his budget amount and failed to render reasonable service by failing to provide a complete and accurate explanation of his bill.</w:t>
      </w:r>
    </w:p>
    <w:p w:rsidR="006272C3" w:rsidRDefault="006272C3" w:rsidP="00611965">
      <w:pPr>
        <w:spacing w:after="0"/>
        <w:ind w:left="86" w:firstLine="1354"/>
      </w:pPr>
    </w:p>
    <w:p w:rsidR="00870630" w:rsidRDefault="00870630" w:rsidP="00997DD0">
      <w:pPr>
        <w:spacing w:after="0"/>
        <w:rPr>
          <w:szCs w:val="24"/>
        </w:rPr>
      </w:pPr>
      <w:r>
        <w:rPr>
          <w:szCs w:val="24"/>
        </w:rPr>
        <w:tab/>
        <w:t>2.</w:t>
      </w:r>
      <w:r>
        <w:rPr>
          <w:szCs w:val="24"/>
        </w:rPr>
        <w:tab/>
        <w:t>That the Complaint of Donald W. Martin, Sr. at Docket No. C-2013-23</w:t>
      </w:r>
      <w:r w:rsidR="0050436A">
        <w:rPr>
          <w:szCs w:val="24"/>
        </w:rPr>
        <w:t>9</w:t>
      </w:r>
      <w:r>
        <w:rPr>
          <w:szCs w:val="24"/>
        </w:rPr>
        <w:t xml:space="preserve">0764 is dismissed as to his claims related to the discontinuance of the Rider 19 rate and </w:t>
      </w:r>
      <w:r w:rsidR="00AE5415">
        <w:rPr>
          <w:szCs w:val="24"/>
        </w:rPr>
        <w:t>Duquesne</w:t>
      </w:r>
      <w:r>
        <w:rPr>
          <w:szCs w:val="24"/>
        </w:rPr>
        <w:t xml:space="preserve"> Light’s refusal to permit him to select a fixed due date for his bill.</w:t>
      </w:r>
    </w:p>
    <w:p w:rsidR="00611965" w:rsidRDefault="00611965" w:rsidP="00997DD0">
      <w:pPr>
        <w:spacing w:after="0"/>
        <w:rPr>
          <w:szCs w:val="24"/>
        </w:rPr>
      </w:pPr>
    </w:p>
    <w:p w:rsidR="00870630" w:rsidRDefault="00870630" w:rsidP="00E810D4">
      <w:pPr>
        <w:spacing w:after="0"/>
      </w:pPr>
      <w:r>
        <w:rPr>
          <w:szCs w:val="24"/>
        </w:rPr>
        <w:tab/>
        <w:t>3.</w:t>
      </w:r>
      <w:r>
        <w:rPr>
          <w:szCs w:val="24"/>
        </w:rPr>
        <w:tab/>
        <w:t xml:space="preserve">That Duquesne Light Company </w:t>
      </w:r>
      <w:r>
        <w:t xml:space="preserve">shall pay a civil penalty in the amount of $1,500 for the violations of the Public Utility Code by </w:t>
      </w:r>
      <w:r w:rsidR="00C92568">
        <w:t xml:space="preserve">sending a </w:t>
      </w:r>
      <w:r>
        <w:t>certified check or money order</w:t>
      </w:r>
      <w:r w:rsidR="00C92568">
        <w:t xml:space="preserve"> payable to the Commonwealth of Pennsylvania</w:t>
      </w:r>
      <w:r>
        <w:t>, within t</w:t>
      </w:r>
      <w:r w:rsidR="00C92568">
        <w:t>hirty</w:t>
      </w:r>
      <w:r>
        <w:t xml:space="preserve"> (</w:t>
      </w:r>
      <w:r w:rsidR="00C92568">
        <w:t>3</w:t>
      </w:r>
      <w:r>
        <w:t xml:space="preserve">0) days </w:t>
      </w:r>
      <w:r w:rsidR="00C92568">
        <w:t xml:space="preserve">from the entry </w:t>
      </w:r>
      <w:r>
        <w:t xml:space="preserve">of the </w:t>
      </w:r>
      <w:r w:rsidR="00C92568">
        <w:t xml:space="preserve">Final </w:t>
      </w:r>
      <w:r>
        <w:t>Commission Order</w:t>
      </w:r>
      <w:r w:rsidR="00C92568">
        <w:t xml:space="preserve"> </w:t>
      </w:r>
      <w:r>
        <w:t>to:</w:t>
      </w:r>
    </w:p>
    <w:p w:rsidR="00D808B8" w:rsidRDefault="00D808B8" w:rsidP="00D808B8">
      <w:pPr>
        <w:spacing w:after="0" w:line="240" w:lineRule="auto"/>
      </w:pPr>
    </w:p>
    <w:p w:rsidR="00870630" w:rsidRDefault="00870630" w:rsidP="00870630">
      <w:pPr>
        <w:spacing w:after="0" w:line="240" w:lineRule="auto"/>
        <w:ind w:left="2160" w:firstLine="720"/>
      </w:pPr>
      <w:r>
        <w:t>Secretary</w:t>
      </w:r>
    </w:p>
    <w:p w:rsidR="00870630" w:rsidRDefault="00870630" w:rsidP="00870630">
      <w:pPr>
        <w:spacing w:after="0" w:line="240" w:lineRule="auto"/>
        <w:ind w:left="2160" w:firstLine="720"/>
      </w:pPr>
      <w:r>
        <w:t>Pennsylvania Public Utility Commission</w:t>
      </w:r>
    </w:p>
    <w:p w:rsidR="00870630" w:rsidRDefault="00870630" w:rsidP="00870630">
      <w:pPr>
        <w:spacing w:after="0" w:line="240" w:lineRule="auto"/>
        <w:ind w:left="2160" w:firstLine="720"/>
      </w:pPr>
      <w:r>
        <w:t>P.O. Box 3265</w:t>
      </w:r>
    </w:p>
    <w:p w:rsidR="00870630" w:rsidRDefault="00870630" w:rsidP="00E810D4">
      <w:pPr>
        <w:spacing w:after="0" w:line="240" w:lineRule="auto"/>
        <w:ind w:left="2160" w:firstLine="720"/>
      </w:pPr>
      <w:r>
        <w:t>Harrisburg, PA  17105-3265</w:t>
      </w:r>
    </w:p>
    <w:p w:rsidR="00E810D4" w:rsidRDefault="00E810D4" w:rsidP="00E810D4">
      <w:pPr>
        <w:spacing w:after="0"/>
      </w:pPr>
    </w:p>
    <w:p w:rsidR="00870630" w:rsidRDefault="00870630" w:rsidP="00E810D4">
      <w:pPr>
        <w:spacing w:after="0"/>
      </w:pPr>
      <w:r>
        <w:tab/>
        <w:t>4.</w:t>
      </w:r>
      <w:r>
        <w:tab/>
        <w:t>That Duquesne Light Company shall cease and desist from further violations of Section 1501 of the Public Utility Code.</w:t>
      </w:r>
    </w:p>
    <w:p w:rsidR="00611965" w:rsidRDefault="00611965" w:rsidP="00E810D4">
      <w:pPr>
        <w:spacing w:after="0"/>
      </w:pPr>
    </w:p>
    <w:p w:rsidR="00A464C9" w:rsidRDefault="00870630" w:rsidP="00E11805">
      <w:bookmarkStart w:id="0" w:name="_GoBack"/>
      <w:bookmarkEnd w:id="0"/>
      <w:r>
        <w:lastRenderedPageBreak/>
        <w:tab/>
        <w:t>5.</w:t>
      </w:r>
      <w:r>
        <w:tab/>
        <w:t>That upon payment of the civil penalty, the Secretary shall mark this docket closed.</w:t>
      </w:r>
    </w:p>
    <w:p w:rsidR="00743837" w:rsidRDefault="00743837" w:rsidP="00E11805"/>
    <w:p w:rsidR="00743837" w:rsidRDefault="00743837" w:rsidP="00E11805"/>
    <w:p w:rsidR="00743837" w:rsidRPr="00743837" w:rsidRDefault="00743837" w:rsidP="000F4ED2">
      <w:pPr>
        <w:spacing w:line="240" w:lineRule="auto"/>
        <w:rPr>
          <w:rFonts w:eastAsia="SimSun"/>
        </w:rPr>
      </w:pPr>
      <w:r w:rsidRPr="00743837">
        <w:rPr>
          <w:rFonts w:eastAsia="SimSun"/>
        </w:rPr>
        <w:t xml:space="preserve">Date:  </w:t>
      </w:r>
      <w:r w:rsidRPr="00743837">
        <w:rPr>
          <w:rFonts w:eastAsia="SimSun"/>
          <w:u w:val="single"/>
        </w:rPr>
        <w:t xml:space="preserve">November </w:t>
      </w:r>
      <w:r>
        <w:rPr>
          <w:rFonts w:eastAsia="SimSun"/>
          <w:u w:val="single"/>
        </w:rPr>
        <w:t>2</w:t>
      </w:r>
      <w:r w:rsidR="000F4ED2">
        <w:rPr>
          <w:rFonts w:eastAsia="SimSun"/>
          <w:u w:val="single"/>
        </w:rPr>
        <w:t>1</w:t>
      </w:r>
      <w:r w:rsidRPr="00743837">
        <w:rPr>
          <w:rFonts w:eastAsia="SimSun"/>
          <w:u w:val="single"/>
        </w:rPr>
        <w:t>, 2014</w:t>
      </w:r>
      <w:r w:rsidRPr="00743837">
        <w:rPr>
          <w:rFonts w:eastAsia="SimSun"/>
        </w:rPr>
        <w:tab/>
      </w:r>
      <w:r w:rsidRPr="00743837">
        <w:rPr>
          <w:rFonts w:eastAsia="SimSun"/>
        </w:rPr>
        <w:tab/>
      </w:r>
      <w:r w:rsidRPr="00743837">
        <w:rPr>
          <w:rFonts w:eastAsia="SimSun"/>
        </w:rPr>
        <w:tab/>
      </w:r>
      <w:r w:rsidR="000F4ED2">
        <w:rPr>
          <w:rFonts w:eastAsia="SimSun"/>
        </w:rPr>
        <w:tab/>
      </w:r>
      <w:r w:rsidR="000F4ED2">
        <w:rPr>
          <w:rFonts w:eastAsia="SimSun"/>
        </w:rPr>
        <w:tab/>
      </w:r>
      <w:r w:rsidR="000F4ED2">
        <w:rPr>
          <w:u w:val="single"/>
        </w:rPr>
        <w:tab/>
      </w:r>
      <w:r w:rsidR="000F4ED2">
        <w:rPr>
          <w:u w:val="single"/>
        </w:rPr>
        <w:tab/>
        <w:t>/s/</w:t>
      </w:r>
      <w:r w:rsidR="000F4ED2">
        <w:rPr>
          <w:u w:val="single"/>
        </w:rPr>
        <w:tab/>
      </w:r>
      <w:r w:rsidR="000F4ED2">
        <w:rPr>
          <w:u w:val="single"/>
        </w:rPr>
        <w:tab/>
      </w:r>
      <w:r w:rsidR="000F4ED2">
        <w:rPr>
          <w:u w:val="single"/>
        </w:rPr>
        <w:tab/>
      </w:r>
      <w:r w:rsidR="000F4ED2">
        <w:rPr>
          <w:rFonts w:eastAsia="SimSun"/>
        </w:rPr>
        <w:tab/>
      </w:r>
      <w:r w:rsidR="000F4ED2">
        <w:rPr>
          <w:rFonts w:eastAsia="SimSun"/>
        </w:rPr>
        <w:tab/>
      </w:r>
      <w:r w:rsidR="000F4ED2">
        <w:rPr>
          <w:rFonts w:eastAsia="SimSun"/>
        </w:rPr>
        <w:tab/>
      </w:r>
      <w:r w:rsidR="000F4ED2">
        <w:rPr>
          <w:rFonts w:eastAsia="SimSun"/>
        </w:rPr>
        <w:tab/>
      </w:r>
      <w:r w:rsidR="000F4ED2">
        <w:rPr>
          <w:rFonts w:eastAsia="SimSun"/>
        </w:rPr>
        <w:tab/>
      </w:r>
      <w:r w:rsidR="000F4ED2">
        <w:rPr>
          <w:rFonts w:eastAsia="SimSun"/>
        </w:rPr>
        <w:tab/>
      </w:r>
      <w:r w:rsidR="000F4ED2">
        <w:rPr>
          <w:rFonts w:eastAsia="SimSun"/>
        </w:rPr>
        <w:tab/>
      </w:r>
      <w:r w:rsidRPr="00743837">
        <w:rPr>
          <w:rFonts w:eastAsia="SimSun"/>
        </w:rPr>
        <w:t>Mary D. Long</w:t>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r>
      <w:r w:rsidRPr="00743837">
        <w:rPr>
          <w:rFonts w:eastAsia="SimSun"/>
        </w:rPr>
        <w:tab/>
        <w:t>Administrative Law Judge</w:t>
      </w:r>
    </w:p>
    <w:p w:rsidR="00743837" w:rsidRPr="0041636C" w:rsidRDefault="00743837" w:rsidP="00E11805">
      <w:pPr>
        <w:rPr>
          <w:szCs w:val="24"/>
        </w:rPr>
      </w:pPr>
    </w:p>
    <w:sectPr w:rsidR="00743837" w:rsidRPr="0041636C" w:rsidSect="00BD45B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29" w:rsidRDefault="00D91029" w:rsidP="00BD45B2">
      <w:pPr>
        <w:spacing w:after="0" w:line="240" w:lineRule="auto"/>
      </w:pPr>
      <w:r>
        <w:separator/>
      </w:r>
    </w:p>
  </w:endnote>
  <w:endnote w:type="continuationSeparator" w:id="0">
    <w:p w:rsidR="00D91029" w:rsidRDefault="00D91029" w:rsidP="00BD4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43954"/>
      <w:docPartObj>
        <w:docPartGallery w:val="Page Numbers (Bottom of Page)"/>
        <w:docPartUnique/>
      </w:docPartObj>
    </w:sdtPr>
    <w:sdtEndPr>
      <w:rPr>
        <w:noProof/>
        <w:sz w:val="20"/>
      </w:rPr>
    </w:sdtEndPr>
    <w:sdtContent>
      <w:p w:rsidR="00BD45B2" w:rsidRPr="00137C5C" w:rsidRDefault="00BD45B2">
        <w:pPr>
          <w:pStyle w:val="Footer"/>
          <w:jc w:val="center"/>
          <w:rPr>
            <w:sz w:val="20"/>
          </w:rPr>
        </w:pPr>
        <w:r w:rsidRPr="00137C5C">
          <w:rPr>
            <w:sz w:val="20"/>
          </w:rPr>
          <w:fldChar w:fldCharType="begin"/>
        </w:r>
        <w:r w:rsidRPr="00137C5C">
          <w:rPr>
            <w:sz w:val="20"/>
          </w:rPr>
          <w:instrText xml:space="preserve"> PAGE   \* MERGEFORMAT </w:instrText>
        </w:r>
        <w:r w:rsidRPr="00137C5C">
          <w:rPr>
            <w:sz w:val="20"/>
          </w:rPr>
          <w:fldChar w:fldCharType="separate"/>
        </w:r>
        <w:r w:rsidR="005A1975">
          <w:rPr>
            <w:noProof/>
            <w:sz w:val="20"/>
          </w:rPr>
          <w:t>21</w:t>
        </w:r>
        <w:r w:rsidRPr="00137C5C">
          <w:rPr>
            <w:noProof/>
            <w:sz w:val="20"/>
          </w:rPr>
          <w:fldChar w:fldCharType="end"/>
        </w:r>
      </w:p>
    </w:sdtContent>
  </w:sdt>
  <w:p w:rsidR="00BD45B2" w:rsidRDefault="00BD4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29" w:rsidRDefault="00D91029" w:rsidP="00BD45B2">
      <w:pPr>
        <w:spacing w:after="0" w:line="240" w:lineRule="auto"/>
      </w:pPr>
      <w:r>
        <w:separator/>
      </w:r>
    </w:p>
  </w:footnote>
  <w:footnote w:type="continuationSeparator" w:id="0">
    <w:p w:rsidR="00D91029" w:rsidRDefault="00D91029" w:rsidP="00BD45B2">
      <w:pPr>
        <w:spacing w:after="0" w:line="240" w:lineRule="auto"/>
      </w:pPr>
      <w:r>
        <w:continuationSeparator/>
      </w:r>
    </w:p>
  </w:footnote>
  <w:footnote w:id="1">
    <w:p w:rsidR="00D92088" w:rsidRPr="00D92088" w:rsidRDefault="00D92088" w:rsidP="0026262A">
      <w:pPr>
        <w:pStyle w:val="FootnoteText"/>
        <w:ind w:firstLine="720"/>
      </w:pPr>
      <w:r>
        <w:rPr>
          <w:rStyle w:val="FootnoteReference"/>
        </w:rPr>
        <w:footnoteRef/>
      </w:r>
      <w:r>
        <w:t xml:space="preserve">  </w:t>
      </w:r>
      <w:r>
        <w:tab/>
      </w:r>
      <w:r>
        <w:rPr>
          <w:i/>
        </w:rPr>
        <w:t>Petition of Duquesne Light Company for Approval of a Default Service Program and Procurement Plan for the Period June 1, 2013 through May 31, 2015</w:t>
      </w:r>
      <w:r>
        <w:t xml:space="preserve">, PUC Docket No. P-2012-2301664 (Opinion and Order entered </w:t>
      </w:r>
      <w:r w:rsidR="0026262A">
        <w:t>January 25, 2013).</w:t>
      </w:r>
    </w:p>
  </w:footnote>
  <w:footnote w:id="2">
    <w:p w:rsidR="00FA2917" w:rsidRDefault="00FA2917" w:rsidP="00FA2917">
      <w:pPr>
        <w:pStyle w:val="FootnoteText"/>
        <w:ind w:firstLine="720"/>
      </w:pPr>
      <w:r>
        <w:rPr>
          <w:rStyle w:val="FootnoteReference"/>
        </w:rPr>
        <w:footnoteRef/>
      </w:r>
      <w:r>
        <w:t xml:space="preserve">  </w:t>
      </w:r>
      <w:r>
        <w:tab/>
        <w:t>The Complain</w:t>
      </w:r>
      <w:r w:rsidR="005923AA">
        <w:t>an</w:t>
      </w:r>
      <w:r>
        <w:t>t</w:t>
      </w:r>
      <w:r w:rsidR="006966E4">
        <w:t>’</w:t>
      </w:r>
      <w:r>
        <w:t xml:space="preserve">s budget amount for October </w:t>
      </w:r>
      <w:proofErr w:type="gramStart"/>
      <w:r>
        <w:t>2013,</w:t>
      </w:r>
      <w:proofErr w:type="gramEnd"/>
      <w:r>
        <w:t xml:space="preserve"> was zero.  This was the “true up” bill and at that time the Complainant had a credit on his account.</w:t>
      </w:r>
    </w:p>
  </w:footnote>
  <w:footnote w:id="3">
    <w:p w:rsidR="00E74986" w:rsidRDefault="00E74986" w:rsidP="00FA59C8">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332(a).</w:t>
      </w:r>
    </w:p>
    <w:p w:rsidR="00FA59C8" w:rsidRDefault="00FA59C8" w:rsidP="00FA59C8">
      <w:pPr>
        <w:pStyle w:val="FootnoteText"/>
        <w:spacing w:after="0"/>
        <w:ind w:firstLine="720"/>
      </w:pPr>
    </w:p>
  </w:footnote>
  <w:footnote w:id="4">
    <w:p w:rsidR="00E74986" w:rsidRDefault="00E74986" w:rsidP="00242D27">
      <w:pPr>
        <w:pStyle w:val="FootnoteText"/>
        <w:spacing w:after="0"/>
        <w:ind w:firstLine="720"/>
      </w:pPr>
      <w:r>
        <w:rPr>
          <w:rStyle w:val="FootnoteReference"/>
        </w:rPr>
        <w:footnoteRef/>
      </w:r>
      <w:r>
        <w:t xml:space="preserve"> </w:t>
      </w:r>
      <w:r>
        <w:tab/>
      </w:r>
      <w:proofErr w:type="gramStart"/>
      <w:r>
        <w:rPr>
          <w:i/>
        </w:rPr>
        <w:t>Se-Ling Hosiery, Inc. v. Margulies</w:t>
      </w:r>
      <w:r>
        <w:t xml:space="preserve">, 70 A.2d 854 (Pa. 1950); </w:t>
      </w:r>
      <w:r>
        <w:rPr>
          <w:i/>
        </w:rPr>
        <w:t>Feinstein v. Philadelphia Suburban Water Company</w:t>
      </w:r>
      <w:r>
        <w:t>, 50 Pa. PUC 300 (1976).</w:t>
      </w:r>
      <w:proofErr w:type="gramEnd"/>
    </w:p>
    <w:p w:rsidR="00242D27" w:rsidRDefault="00242D27" w:rsidP="00242D27">
      <w:pPr>
        <w:pStyle w:val="FootnoteText"/>
        <w:spacing w:after="0"/>
        <w:ind w:firstLine="720"/>
      </w:pPr>
    </w:p>
  </w:footnote>
  <w:footnote w:id="5">
    <w:p w:rsidR="00E74986" w:rsidRDefault="00E74986" w:rsidP="00242D27">
      <w:pPr>
        <w:pStyle w:val="FootnoteText"/>
        <w:spacing w:after="0"/>
        <w:ind w:firstLine="720"/>
      </w:pPr>
      <w:r>
        <w:rPr>
          <w:rStyle w:val="FootnoteReference"/>
        </w:rPr>
        <w:footnoteRef/>
      </w:r>
      <w:r>
        <w:t xml:space="preserve"> </w:t>
      </w:r>
      <w:r>
        <w:tab/>
      </w:r>
      <w:proofErr w:type="gramStart"/>
      <w:r>
        <w:t>66 Pa.C.S.</w:t>
      </w:r>
      <w:proofErr w:type="gramEnd"/>
      <w:r>
        <w:t xml:space="preserve"> § 701.</w:t>
      </w:r>
    </w:p>
    <w:p w:rsidR="00242D27" w:rsidRDefault="00242D27" w:rsidP="00242D27">
      <w:pPr>
        <w:pStyle w:val="FootnoteText"/>
        <w:spacing w:after="0"/>
        <w:ind w:firstLine="720"/>
      </w:pPr>
    </w:p>
  </w:footnote>
  <w:footnote w:id="6">
    <w:p w:rsidR="00524183" w:rsidRDefault="00524183" w:rsidP="00242D27">
      <w:pPr>
        <w:pStyle w:val="FootnoteText"/>
        <w:spacing w:after="0"/>
        <w:ind w:firstLine="720"/>
      </w:pPr>
      <w:r>
        <w:rPr>
          <w:rStyle w:val="FootnoteReference"/>
        </w:rPr>
        <w:footnoteRef/>
      </w:r>
      <w:r>
        <w:t xml:space="preserve"> </w:t>
      </w:r>
      <w:r>
        <w:tab/>
      </w:r>
      <w:proofErr w:type="gramStart"/>
      <w:r w:rsidRPr="000637F9">
        <w:rPr>
          <w:i/>
        </w:rPr>
        <w:t>Shenango Township Board of Supervisors v. Pa. Pub</w:t>
      </w:r>
      <w:r w:rsidR="00A8325C">
        <w:rPr>
          <w:i/>
        </w:rPr>
        <w:t>.</w:t>
      </w:r>
      <w:proofErr w:type="gramEnd"/>
      <w:r w:rsidRPr="000637F9">
        <w:rPr>
          <w:i/>
        </w:rPr>
        <w:t xml:space="preserve"> </w:t>
      </w:r>
      <w:proofErr w:type="gramStart"/>
      <w:r w:rsidRPr="000637F9">
        <w:rPr>
          <w:i/>
        </w:rPr>
        <w:t>Util. Comm’n</w:t>
      </w:r>
      <w:r>
        <w:t>, 606 A.2d 910, 913 (Pa. Cmwlth. 1996).</w:t>
      </w:r>
      <w:proofErr w:type="gramEnd"/>
    </w:p>
    <w:p w:rsidR="00524183" w:rsidRPr="00A95553" w:rsidRDefault="00524183" w:rsidP="00242D27">
      <w:pPr>
        <w:pStyle w:val="FootnoteText"/>
        <w:spacing w:after="0"/>
      </w:pPr>
    </w:p>
  </w:footnote>
  <w:footnote w:id="7">
    <w:p w:rsidR="00524183" w:rsidRDefault="00524183" w:rsidP="00242D27">
      <w:pPr>
        <w:pStyle w:val="FootnoteText"/>
        <w:spacing w:after="0"/>
        <w:ind w:firstLine="720"/>
      </w:pPr>
      <w:r>
        <w:rPr>
          <w:rStyle w:val="FootnoteReference"/>
        </w:rPr>
        <w:footnoteRef/>
      </w:r>
      <w:r>
        <w:t xml:space="preserve"> </w:t>
      </w:r>
      <w:r>
        <w:tab/>
      </w:r>
      <w:r w:rsidRPr="00681321">
        <w:rPr>
          <w:i/>
        </w:rPr>
        <w:t>Id</w:t>
      </w:r>
      <w:r>
        <w:t>.</w:t>
      </w:r>
    </w:p>
    <w:p w:rsidR="00524183" w:rsidRPr="00A95553" w:rsidRDefault="00524183" w:rsidP="00242D27">
      <w:pPr>
        <w:pStyle w:val="FootnoteText"/>
        <w:spacing w:after="0"/>
      </w:pPr>
    </w:p>
  </w:footnote>
  <w:footnote w:id="8">
    <w:p w:rsidR="00524183" w:rsidRDefault="00524183" w:rsidP="00242D27">
      <w:pPr>
        <w:pStyle w:val="FootnoteText"/>
        <w:spacing w:after="0"/>
        <w:ind w:firstLine="720"/>
      </w:pPr>
      <w:r>
        <w:rPr>
          <w:rStyle w:val="FootnoteReference"/>
        </w:rPr>
        <w:footnoteRef/>
      </w:r>
      <w:r>
        <w:tab/>
      </w:r>
      <w:r w:rsidRPr="00681321">
        <w:rPr>
          <w:i/>
        </w:rPr>
        <w:t>Id</w:t>
      </w:r>
      <w:r>
        <w:t>.</w:t>
      </w:r>
    </w:p>
    <w:p w:rsidR="00FA59C8" w:rsidRPr="0070171B" w:rsidRDefault="00FA59C8" w:rsidP="00242D27">
      <w:pPr>
        <w:pStyle w:val="FootnoteText"/>
        <w:spacing w:after="0"/>
        <w:ind w:firstLine="720"/>
      </w:pPr>
    </w:p>
  </w:footnote>
  <w:footnote w:id="9">
    <w:p w:rsidR="00524183" w:rsidRDefault="00524183" w:rsidP="00242D27">
      <w:pPr>
        <w:pStyle w:val="FootnoteText"/>
        <w:spacing w:after="0"/>
        <w:ind w:firstLine="720"/>
      </w:pPr>
      <w:r w:rsidRPr="000637F9">
        <w:rPr>
          <w:rStyle w:val="FootnoteReference"/>
        </w:rPr>
        <w:footnoteRef/>
      </w:r>
      <w:r w:rsidRPr="000637F9">
        <w:t xml:space="preserve"> </w:t>
      </w:r>
      <w:r w:rsidRPr="000637F9">
        <w:tab/>
      </w:r>
      <w:r w:rsidR="00115582">
        <w:rPr>
          <w:i/>
        </w:rPr>
        <w:t>Petition of Duquesne Light Company for Approval of a Default Service Program and Procurement Plan for the Period June 1, 2013 through May 31, 2015</w:t>
      </w:r>
      <w:r w:rsidR="00115582">
        <w:t>, PUC Docket No. P-2012-2301664 (Opinion and Order entered January 25, 2013).</w:t>
      </w:r>
    </w:p>
    <w:p w:rsidR="00242D27" w:rsidRPr="000637F9" w:rsidRDefault="00242D27" w:rsidP="00242D27">
      <w:pPr>
        <w:pStyle w:val="FootnoteText"/>
        <w:spacing w:after="0"/>
        <w:ind w:firstLine="720"/>
      </w:pPr>
    </w:p>
  </w:footnote>
  <w:footnote w:id="10">
    <w:p w:rsidR="008C5BE5" w:rsidRDefault="008C5BE5" w:rsidP="00242D27">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56.21.</w:t>
      </w:r>
      <w:proofErr w:type="gramEnd"/>
    </w:p>
    <w:p w:rsidR="00242D27" w:rsidRDefault="00242D27" w:rsidP="00242D27">
      <w:pPr>
        <w:pStyle w:val="FootnoteText"/>
        <w:spacing w:after="0"/>
        <w:ind w:firstLine="720"/>
      </w:pPr>
    </w:p>
  </w:footnote>
  <w:footnote w:id="11">
    <w:p w:rsidR="00BE1FAF" w:rsidRDefault="00BE1FAF" w:rsidP="00242D27">
      <w:pPr>
        <w:pStyle w:val="FootnoteText"/>
        <w:spacing w:after="0"/>
        <w:ind w:firstLine="720"/>
      </w:pPr>
      <w:r>
        <w:rPr>
          <w:rStyle w:val="FootnoteReference"/>
        </w:rPr>
        <w:footnoteRef/>
      </w:r>
      <w:r>
        <w:t xml:space="preserve">  </w:t>
      </w:r>
      <w:r>
        <w:tab/>
        <w:t xml:space="preserve">Duquesne Light’s current </w:t>
      </w:r>
      <w:proofErr w:type="gramStart"/>
      <w:r>
        <w:t>tariff  Rule</w:t>
      </w:r>
      <w:proofErr w:type="gramEnd"/>
      <w:r>
        <w:t xml:space="preserve"> 21.1 provides that “[t]he Company may accommodate changes to due dates for residential customers upon written</w:t>
      </w:r>
      <w:r w:rsidR="0041636C">
        <w:t xml:space="preserve"> customer request and when a de</w:t>
      </w:r>
      <w:r>
        <w:t xml:space="preserve">monstrated financial burden </w:t>
      </w:r>
      <w:r w:rsidR="0041636C">
        <w:t>for</w:t>
      </w:r>
      <w:r>
        <w:t xml:space="preserve"> the current due date exists for ratepayers receiving Social Security or equivalent monthly checks.”  The record is silent as to whether a similar rule was in place at the time the Complainant contacted customer service to complain about the due date of his bill or whether the Complainant qualifies for application of this rule to his account.  Duquesne Light Company, Electric Pa. P.U.C. No. 24 – Supplement No. 100 at Rule 21.1 (effective November 1, 2014).</w:t>
      </w:r>
    </w:p>
    <w:p w:rsidR="00FA59C8" w:rsidRDefault="00FA59C8" w:rsidP="00242D27">
      <w:pPr>
        <w:pStyle w:val="FootnoteText"/>
        <w:spacing w:after="0"/>
        <w:ind w:firstLine="720"/>
      </w:pPr>
    </w:p>
  </w:footnote>
  <w:footnote w:id="12">
    <w:p w:rsidR="00BE1FAF" w:rsidRPr="00BE1FAF" w:rsidRDefault="00BE1FAF" w:rsidP="001F3998">
      <w:pPr>
        <w:pStyle w:val="FootnoteText"/>
        <w:spacing w:after="0"/>
        <w:ind w:firstLine="720"/>
      </w:pPr>
      <w:r>
        <w:rPr>
          <w:rStyle w:val="FootnoteReference"/>
        </w:rPr>
        <w:footnoteRef/>
      </w:r>
      <w:r>
        <w:t xml:space="preserve">  </w:t>
      </w:r>
      <w:r>
        <w:tab/>
      </w:r>
      <w:proofErr w:type="gramStart"/>
      <w:r>
        <w:rPr>
          <w:i/>
        </w:rPr>
        <w:t>Bachmann v. Pennsylvania Electric Company</w:t>
      </w:r>
      <w:r>
        <w:t>, PUC Docket No.</w:t>
      </w:r>
      <w:proofErr w:type="gramEnd"/>
      <w:r>
        <w:t xml:space="preserve"> C-2012-2312422 (Opinion and Order entered November 14, 2013).</w:t>
      </w:r>
    </w:p>
  </w:footnote>
  <w:footnote w:id="13">
    <w:p w:rsidR="00C25E16" w:rsidRDefault="00C25E16" w:rsidP="002F137B">
      <w:pPr>
        <w:pStyle w:val="FootnoteText"/>
        <w:spacing w:after="0"/>
        <w:ind w:firstLine="720"/>
      </w:pPr>
      <w:r>
        <w:rPr>
          <w:rStyle w:val="FootnoteReference"/>
        </w:rPr>
        <w:footnoteRef/>
      </w:r>
      <w:r>
        <w:t xml:space="preserve"> </w:t>
      </w:r>
      <w:r>
        <w:tab/>
        <w:t>N.T. 58-59.</w:t>
      </w:r>
    </w:p>
    <w:p w:rsidR="00ED29BA" w:rsidRDefault="00ED29BA" w:rsidP="002F137B">
      <w:pPr>
        <w:pStyle w:val="FootnoteText"/>
        <w:spacing w:after="0"/>
        <w:ind w:firstLine="720"/>
      </w:pPr>
    </w:p>
  </w:footnote>
  <w:footnote w:id="14">
    <w:p w:rsidR="00A37AF8" w:rsidRDefault="00A37AF8" w:rsidP="002F137B">
      <w:pPr>
        <w:pStyle w:val="FootnoteText"/>
        <w:spacing w:after="0"/>
        <w:ind w:firstLine="720"/>
      </w:pPr>
      <w:r>
        <w:rPr>
          <w:rStyle w:val="FootnoteReference"/>
        </w:rPr>
        <w:footnoteRef/>
      </w:r>
      <w:r>
        <w:t xml:space="preserve">  </w:t>
      </w:r>
      <w:r>
        <w:tab/>
        <w:t xml:space="preserve">Following a review of the exhibits and testimony after the first hearing, I scheduled a further hearing in order to further develop the record on the subject of the calculation of the budget bill amount. </w:t>
      </w:r>
      <w:r w:rsidR="00713863">
        <w:t xml:space="preserve"> </w:t>
      </w:r>
      <w:r>
        <w:t>By order dated April 17, 2014, Duquesne Light was directed to present specific evidence on the subject of budget billing</w:t>
      </w:r>
      <w:r w:rsidR="00F06126">
        <w:t>.</w:t>
      </w:r>
    </w:p>
    <w:p w:rsidR="002F137B" w:rsidRDefault="002F137B" w:rsidP="002F137B">
      <w:pPr>
        <w:pStyle w:val="FootnoteText"/>
        <w:spacing w:after="0"/>
        <w:ind w:firstLine="720"/>
      </w:pPr>
    </w:p>
  </w:footnote>
  <w:footnote w:id="15">
    <w:p w:rsidR="00475AE0" w:rsidRDefault="00A464C9" w:rsidP="002F137B">
      <w:pPr>
        <w:pStyle w:val="FootnoteText"/>
        <w:spacing w:after="0"/>
        <w:ind w:firstLine="720"/>
      </w:pPr>
      <w:r>
        <w:rPr>
          <w:rStyle w:val="FootnoteReference"/>
        </w:rPr>
        <w:footnoteRef/>
      </w:r>
      <w:r>
        <w:t xml:space="preserve">  </w:t>
      </w:r>
      <w:r>
        <w:tab/>
        <w:t>Section 1501 provides:</w:t>
      </w:r>
    </w:p>
    <w:p w:rsidR="00475AE0" w:rsidRDefault="00475AE0" w:rsidP="002F137B">
      <w:pPr>
        <w:pStyle w:val="FootnoteText"/>
        <w:spacing w:after="0"/>
        <w:ind w:left="1440" w:right="1350"/>
      </w:pPr>
      <w:r w:rsidRPr="00475AE0">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A464C9" w:rsidRDefault="00475AE0" w:rsidP="002F137B">
      <w:pPr>
        <w:pStyle w:val="FootnoteText"/>
        <w:spacing w:after="0"/>
        <w:ind w:left="1440" w:right="1350"/>
      </w:pPr>
      <w:proofErr w:type="gramStart"/>
      <w:r>
        <w:t>66 Pa.C.S.</w:t>
      </w:r>
      <w:proofErr w:type="gramEnd"/>
      <w:r>
        <w:t xml:space="preserve"> § 1501.</w:t>
      </w:r>
    </w:p>
    <w:p w:rsidR="002F137B" w:rsidRDefault="002F137B" w:rsidP="002F137B">
      <w:pPr>
        <w:pStyle w:val="FootnoteText"/>
        <w:spacing w:after="0"/>
        <w:ind w:left="1440" w:right="1350"/>
      </w:pPr>
    </w:p>
  </w:footnote>
  <w:footnote w:id="16">
    <w:p w:rsidR="00117FE8" w:rsidRDefault="00117FE8" w:rsidP="002F137B">
      <w:pPr>
        <w:pStyle w:val="FootnoteText"/>
        <w:spacing w:after="0"/>
        <w:ind w:firstLine="720"/>
      </w:pPr>
      <w:r>
        <w:rPr>
          <w:rStyle w:val="FootnoteReference"/>
        </w:rPr>
        <w:footnoteRef/>
      </w:r>
      <w:r>
        <w:t xml:space="preserve">  </w:t>
      </w:r>
      <w:r>
        <w:tab/>
      </w:r>
      <w:r>
        <w:rPr>
          <w:i/>
        </w:rPr>
        <w:t>E.g., Maisch v. PECO Energy Company,</w:t>
      </w:r>
      <w:r>
        <w:t xml:space="preserve"> PUC Docket No. </w:t>
      </w:r>
      <w:proofErr w:type="gramStart"/>
      <w:r>
        <w:t>C-2009-2118649 (Initial Decision served February 25, 2011, adopted by Opinion and Order entered May 26, 2011).</w:t>
      </w:r>
      <w:proofErr w:type="gramEnd"/>
    </w:p>
    <w:p w:rsidR="002F137B" w:rsidRPr="00117FE8" w:rsidRDefault="002F137B" w:rsidP="002F137B">
      <w:pPr>
        <w:pStyle w:val="FootnoteText"/>
        <w:spacing w:after="0"/>
        <w:ind w:firstLine="720"/>
      </w:pPr>
    </w:p>
  </w:footnote>
  <w:footnote w:id="17">
    <w:p w:rsidR="000F2504" w:rsidRDefault="000F2504" w:rsidP="002F137B">
      <w:pPr>
        <w:pStyle w:val="FootnoteText"/>
        <w:spacing w:after="0"/>
        <w:ind w:firstLine="720"/>
      </w:pPr>
      <w:r>
        <w:rPr>
          <w:rStyle w:val="FootnoteReference"/>
        </w:rPr>
        <w:footnoteRef/>
      </w:r>
      <w:r>
        <w:t xml:space="preserve">  </w:t>
      </w:r>
      <w:r>
        <w:tab/>
      </w:r>
      <w:proofErr w:type="gramStart"/>
      <w:r>
        <w:t>Duquesne Light Ex. 5.</w:t>
      </w:r>
      <w:proofErr w:type="gramEnd"/>
    </w:p>
    <w:p w:rsidR="005D5FC5" w:rsidRDefault="005D5FC5" w:rsidP="002F137B">
      <w:pPr>
        <w:pStyle w:val="FootnoteText"/>
        <w:spacing w:after="0"/>
        <w:ind w:firstLine="720"/>
      </w:pPr>
    </w:p>
  </w:footnote>
  <w:footnote w:id="18">
    <w:p w:rsidR="00117FE8" w:rsidRDefault="00117FE8" w:rsidP="002F137B">
      <w:pPr>
        <w:pStyle w:val="FootnoteText"/>
        <w:spacing w:after="0"/>
        <w:ind w:firstLine="720"/>
      </w:pPr>
      <w:r>
        <w:rPr>
          <w:rStyle w:val="FootnoteReference"/>
        </w:rPr>
        <w:footnoteRef/>
      </w:r>
      <w:r>
        <w:t xml:space="preserve">  </w:t>
      </w:r>
      <w:r>
        <w:tab/>
        <w:t xml:space="preserve">Roxanne Morris testified that she had reviewed the customer contacts and found nothing inappropriate in the contacts.  However, no documentation supporting her assessment was presented for the record.  Therefore, no weight is given to this testimony.  </w:t>
      </w:r>
      <w:proofErr w:type="gramStart"/>
      <w:r>
        <w:t>N.T. 54.</w:t>
      </w:r>
      <w:proofErr w:type="gramEnd"/>
    </w:p>
    <w:p w:rsidR="002F137B" w:rsidRDefault="002F137B" w:rsidP="002F137B">
      <w:pPr>
        <w:pStyle w:val="FootnoteText"/>
        <w:spacing w:after="0"/>
        <w:ind w:firstLine="720"/>
      </w:pPr>
    </w:p>
  </w:footnote>
  <w:footnote w:id="19">
    <w:p w:rsidR="003B01E0" w:rsidRDefault="003B01E0" w:rsidP="002F137B">
      <w:pPr>
        <w:pStyle w:val="FootnoteText"/>
        <w:spacing w:after="0"/>
        <w:ind w:firstLine="720"/>
      </w:pPr>
      <w:r>
        <w:rPr>
          <w:rStyle w:val="FootnoteReference"/>
        </w:rPr>
        <w:footnoteRef/>
      </w:r>
      <w:r>
        <w:t xml:space="preserve">  </w:t>
      </w:r>
      <w:r>
        <w:tab/>
      </w:r>
      <w:proofErr w:type="gramStart"/>
      <w:r>
        <w:rPr>
          <w:i/>
        </w:rPr>
        <w:t>Brickner v. PPL Electric Utilities Corporation</w:t>
      </w:r>
      <w:r>
        <w:t>, PUC Docket No.</w:t>
      </w:r>
      <w:proofErr w:type="gramEnd"/>
      <w:r>
        <w:t xml:space="preserve"> </w:t>
      </w:r>
      <w:proofErr w:type="gramStart"/>
      <w:r>
        <w:t>C-2009-2105583 (Initial Decision issued December 22, 2009, opinion at p. 10, adopted by Opinion and Order entered May 21, 2010)</w:t>
      </w:r>
      <w:r w:rsidR="009E6E35">
        <w:t>.</w:t>
      </w:r>
      <w:proofErr w:type="gramEnd"/>
    </w:p>
    <w:p w:rsidR="009E6E35" w:rsidRPr="00CB0E9C" w:rsidRDefault="009E6E35" w:rsidP="002F137B">
      <w:pPr>
        <w:pStyle w:val="FootnoteText"/>
        <w:spacing w:after="0"/>
        <w:ind w:firstLine="720"/>
      </w:pPr>
    </w:p>
  </w:footnote>
  <w:footnote w:id="20">
    <w:p w:rsidR="00423445" w:rsidRDefault="00423445" w:rsidP="002F137B">
      <w:pPr>
        <w:pStyle w:val="FootnoteText"/>
        <w:spacing w:after="0"/>
        <w:ind w:firstLine="720"/>
      </w:pPr>
      <w:r>
        <w:rPr>
          <w:rStyle w:val="FootnoteReference"/>
        </w:rPr>
        <w:footnoteRef/>
      </w:r>
      <w:r>
        <w:t xml:space="preserve">  </w:t>
      </w:r>
      <w:r>
        <w:tab/>
      </w:r>
      <w:proofErr w:type="gramStart"/>
      <w:r>
        <w:t>N.T. 17.</w:t>
      </w:r>
      <w:proofErr w:type="gramEnd"/>
    </w:p>
    <w:p w:rsidR="002F137B" w:rsidRDefault="002F137B" w:rsidP="002F137B">
      <w:pPr>
        <w:pStyle w:val="FootnoteText"/>
        <w:spacing w:after="0"/>
        <w:ind w:firstLine="720"/>
      </w:pPr>
    </w:p>
  </w:footnote>
  <w:footnote w:id="21">
    <w:p w:rsidR="00BB45DF" w:rsidRDefault="00BB45DF" w:rsidP="002F137B">
      <w:pPr>
        <w:pStyle w:val="FootnoteText"/>
        <w:spacing w:after="0"/>
        <w:ind w:firstLine="720"/>
        <w:rPr>
          <w:snapToGrid w:val="0"/>
        </w:rPr>
      </w:pPr>
      <w:r>
        <w:rPr>
          <w:rStyle w:val="FootnoteReference"/>
        </w:rPr>
        <w:footnoteRef/>
      </w:r>
      <w:r>
        <w:t xml:space="preserve"> </w:t>
      </w:r>
      <w:r>
        <w:tab/>
      </w:r>
      <w:proofErr w:type="gramStart"/>
      <w:r>
        <w:rPr>
          <w:snapToGrid w:val="0"/>
        </w:rPr>
        <w:t>66 Pa.C.S.</w:t>
      </w:r>
      <w:proofErr w:type="gramEnd"/>
      <w:r>
        <w:rPr>
          <w:snapToGrid w:val="0"/>
        </w:rPr>
        <w:t xml:space="preserve"> § 3301.</w:t>
      </w:r>
    </w:p>
    <w:p w:rsidR="002F137B" w:rsidRDefault="002F137B" w:rsidP="002F137B">
      <w:pPr>
        <w:pStyle w:val="FootnoteText"/>
        <w:spacing w:after="0"/>
        <w:ind w:firstLine="720"/>
      </w:pPr>
    </w:p>
  </w:footnote>
  <w:footnote w:id="22">
    <w:p w:rsidR="00BB45DF" w:rsidRPr="003D7B7B" w:rsidRDefault="00BB45DF" w:rsidP="002F137B">
      <w:pPr>
        <w:pStyle w:val="FootnoteText"/>
        <w:spacing w:after="0"/>
        <w:ind w:firstLine="720"/>
        <w:rPr>
          <w:snapToGrid w:val="0"/>
        </w:rPr>
      </w:pPr>
      <w:r>
        <w:rPr>
          <w:rStyle w:val="FootnoteReference"/>
        </w:rPr>
        <w:footnoteRef/>
      </w:r>
      <w:r>
        <w:t xml:space="preserve">  </w:t>
      </w:r>
      <w:r>
        <w:tab/>
      </w:r>
      <w:r>
        <w:rPr>
          <w:i/>
          <w:snapToGrid w:val="0"/>
        </w:rPr>
        <w:t>See</w:t>
      </w:r>
      <w:r>
        <w:rPr>
          <w:snapToGrid w:val="0"/>
        </w:rPr>
        <w:t xml:space="preserve"> 52 Pa.Code § 69.1201; </w:t>
      </w:r>
      <w:r>
        <w:rPr>
          <w:i/>
          <w:snapToGrid w:val="0"/>
        </w:rPr>
        <w:t>see also, Rosi v. Bell Atlantic-Pa., Inc. and Sprint Communica</w:t>
      </w:r>
      <w:r>
        <w:rPr>
          <w:i/>
          <w:snapToGrid w:val="0"/>
        </w:rPr>
        <w:softHyphen/>
        <w:t>tions Company</w:t>
      </w:r>
      <w:r>
        <w:rPr>
          <w:snapToGrid w:val="0"/>
        </w:rPr>
        <w:t>, Docket No. C</w:t>
      </w:r>
      <w:r>
        <w:rPr>
          <w:snapToGrid w:val="0"/>
        </w:rPr>
        <w:noBreakHyphen/>
        <w:t xml:space="preserve">00992409 (Order entered February 10, 2000) </w:t>
      </w:r>
      <w:r w:rsidR="003D7B7B">
        <w:rPr>
          <w:snapToGrid w:val="0"/>
        </w:rPr>
        <w:t>(</w:t>
      </w:r>
      <w:proofErr w:type="spellStart"/>
      <w:r w:rsidR="003D7B7B">
        <w:rPr>
          <w:i/>
          <w:snapToGrid w:val="0"/>
        </w:rPr>
        <w:t>Rosi</w:t>
      </w:r>
      <w:proofErr w:type="spellEnd"/>
      <w:r w:rsidR="003D7B7B">
        <w:rPr>
          <w:snapToGrid w:val="0"/>
        </w:rPr>
        <w:t>).</w:t>
      </w:r>
    </w:p>
    <w:p w:rsidR="002F137B" w:rsidRDefault="002F137B" w:rsidP="002F137B">
      <w:pPr>
        <w:pStyle w:val="FootnoteText"/>
        <w:spacing w:after="0"/>
        <w:ind w:firstLine="720"/>
      </w:pPr>
    </w:p>
  </w:footnote>
  <w:footnote w:id="23">
    <w:p w:rsidR="00BB45DF" w:rsidRDefault="00BB45DF" w:rsidP="002F137B">
      <w:pPr>
        <w:pStyle w:val="FootnoteText"/>
        <w:spacing w:after="0"/>
        <w:ind w:firstLine="720"/>
      </w:pPr>
      <w:r>
        <w:rPr>
          <w:rStyle w:val="FootnoteReference"/>
        </w:rPr>
        <w:footnoteRef/>
      </w:r>
      <w:r>
        <w:t xml:space="preserve"> </w:t>
      </w:r>
      <w:r>
        <w:tab/>
        <w:t xml:space="preserve"> </w:t>
      </w:r>
      <w:proofErr w:type="gramStart"/>
      <w:r>
        <w:t>52 Pa.Code § 69.1201(a).</w:t>
      </w:r>
      <w:proofErr w:type="gramEnd"/>
      <w:r>
        <w:t xml:space="preserve">  </w:t>
      </w:r>
    </w:p>
  </w:footnote>
  <w:footnote w:id="24">
    <w:p w:rsidR="00BB45DF" w:rsidRDefault="00BB45DF" w:rsidP="00CD1881">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69.1201(c).</w:t>
      </w:r>
      <w:proofErr w:type="gramEnd"/>
    </w:p>
    <w:p w:rsidR="00CD1881" w:rsidRDefault="00CD1881" w:rsidP="00CD1881">
      <w:pPr>
        <w:pStyle w:val="FootnoteText"/>
        <w:spacing w:after="0"/>
        <w:ind w:firstLine="720"/>
      </w:pPr>
    </w:p>
  </w:footnote>
  <w:footnote w:id="25">
    <w:p w:rsidR="00952D4B" w:rsidRDefault="00952D4B" w:rsidP="002F137B">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69.1201(1)</w:t>
      </w:r>
      <w:r w:rsidR="003145E4">
        <w:t>.</w:t>
      </w:r>
      <w:proofErr w:type="gramEnd"/>
    </w:p>
    <w:p w:rsidR="002F137B" w:rsidRDefault="002F137B" w:rsidP="002F137B">
      <w:pPr>
        <w:pStyle w:val="FootnoteText"/>
        <w:spacing w:after="0"/>
        <w:ind w:firstLine="720"/>
      </w:pPr>
    </w:p>
  </w:footnote>
  <w:footnote w:id="26">
    <w:p w:rsidR="00952D4B" w:rsidRDefault="00952D4B" w:rsidP="002F137B">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69.1201(3).</w:t>
      </w:r>
      <w:proofErr w:type="gramEnd"/>
    </w:p>
    <w:p w:rsidR="002F137B" w:rsidRDefault="002F137B" w:rsidP="002F137B">
      <w:pPr>
        <w:pStyle w:val="FootnoteText"/>
        <w:spacing w:after="0"/>
        <w:ind w:firstLine="720"/>
      </w:pPr>
    </w:p>
  </w:footnote>
  <w:footnote w:id="27">
    <w:p w:rsidR="00952D4B" w:rsidRDefault="00952D4B" w:rsidP="002F137B">
      <w:pPr>
        <w:pStyle w:val="FootnoteText"/>
        <w:spacing w:after="0"/>
        <w:ind w:firstLine="720"/>
      </w:pPr>
      <w:r>
        <w:rPr>
          <w:rStyle w:val="FootnoteReference"/>
        </w:rPr>
        <w:footnoteRef/>
      </w:r>
      <w:r>
        <w:t xml:space="preserve">  </w:t>
      </w:r>
      <w:r>
        <w:tab/>
      </w:r>
      <w:proofErr w:type="gramStart"/>
      <w:r>
        <w:t>52Pa.Code § 69.1201(2).</w:t>
      </w:r>
      <w:proofErr w:type="gramEnd"/>
    </w:p>
    <w:p w:rsidR="002F137B" w:rsidRDefault="002F137B" w:rsidP="002F137B">
      <w:pPr>
        <w:pStyle w:val="FootnoteText"/>
        <w:spacing w:after="0"/>
        <w:ind w:firstLine="720"/>
      </w:pPr>
    </w:p>
  </w:footnote>
  <w:footnote w:id="28">
    <w:p w:rsidR="00E94979" w:rsidRDefault="00E94979" w:rsidP="002F137B">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69.1201(4).</w:t>
      </w:r>
      <w:proofErr w:type="gramEnd"/>
    </w:p>
    <w:p w:rsidR="002F137B" w:rsidRDefault="002F137B" w:rsidP="002F137B">
      <w:pPr>
        <w:pStyle w:val="FootnoteText"/>
        <w:spacing w:after="0"/>
        <w:ind w:firstLine="720"/>
      </w:pPr>
    </w:p>
  </w:footnote>
  <w:footnote w:id="29">
    <w:p w:rsidR="00E94979" w:rsidRDefault="00E94979" w:rsidP="002F137B">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69.1201(5), (6).</w:t>
      </w:r>
      <w:proofErr w:type="gramEnd"/>
    </w:p>
    <w:p w:rsidR="002F137B" w:rsidRDefault="002F137B" w:rsidP="002F137B">
      <w:pPr>
        <w:pStyle w:val="FootnoteText"/>
        <w:spacing w:after="0"/>
        <w:ind w:firstLine="720"/>
      </w:pPr>
    </w:p>
  </w:footnote>
  <w:footnote w:id="30">
    <w:p w:rsidR="00E94979" w:rsidRDefault="00E94979" w:rsidP="002F137B">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69.1201(7),</w:t>
      </w:r>
      <w:r w:rsidR="003145E4">
        <w:t xml:space="preserve"> </w:t>
      </w:r>
      <w:r>
        <w:t>(9).</w:t>
      </w:r>
      <w:proofErr w:type="gramEnd"/>
    </w:p>
    <w:p w:rsidR="002F137B" w:rsidRDefault="002F137B" w:rsidP="002F137B">
      <w:pPr>
        <w:pStyle w:val="FootnoteText"/>
        <w:spacing w:after="0"/>
        <w:ind w:firstLine="720"/>
      </w:pPr>
    </w:p>
  </w:footnote>
  <w:footnote w:id="31">
    <w:p w:rsidR="00E94979" w:rsidRDefault="00E94979" w:rsidP="002F137B">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69.1201(8).</w:t>
      </w:r>
      <w:proofErr w:type="gramEnd"/>
    </w:p>
    <w:p w:rsidR="00E2545A" w:rsidRDefault="00E2545A" w:rsidP="002F137B">
      <w:pPr>
        <w:pStyle w:val="FootnoteText"/>
        <w:spacing w:after="0"/>
        <w:ind w:firstLine="720"/>
      </w:pPr>
    </w:p>
  </w:footnote>
  <w:footnote w:id="32">
    <w:p w:rsidR="0008522B" w:rsidRDefault="0008522B" w:rsidP="00611965">
      <w:pPr>
        <w:pStyle w:val="FootnoteText"/>
        <w:spacing w:after="0"/>
        <w:ind w:firstLine="720"/>
      </w:pPr>
      <w:r>
        <w:rPr>
          <w:rStyle w:val="FootnoteReference"/>
        </w:rPr>
        <w:footnoteRef/>
      </w:r>
      <w:r>
        <w:t xml:space="preserve"> </w:t>
      </w:r>
      <w:r w:rsidR="00870630">
        <w:t xml:space="preserve"> </w:t>
      </w:r>
      <w:r w:rsidR="00870630">
        <w:tab/>
      </w:r>
      <w:proofErr w:type="gramStart"/>
      <w:r>
        <w:t xml:space="preserve">52 </w:t>
      </w:r>
      <w:proofErr w:type="spellStart"/>
      <w:r>
        <w:t>Pa.Code</w:t>
      </w:r>
      <w:proofErr w:type="spellEnd"/>
      <w:r>
        <w:t xml:space="preserve"> § 69.1201(1).</w:t>
      </w:r>
      <w:proofErr w:type="gramEnd"/>
    </w:p>
    <w:p w:rsidR="00611965" w:rsidRDefault="00611965" w:rsidP="00611965">
      <w:pPr>
        <w:pStyle w:val="FootnoteText"/>
        <w:spacing w:after="0"/>
        <w:ind w:firstLine="720"/>
      </w:pPr>
    </w:p>
  </w:footnote>
  <w:footnote w:id="33">
    <w:p w:rsidR="0008522B" w:rsidRDefault="0008522B" w:rsidP="00611965">
      <w:pPr>
        <w:pStyle w:val="FootnoteText"/>
        <w:spacing w:after="0"/>
        <w:ind w:firstLine="720"/>
      </w:pPr>
      <w:r>
        <w:rPr>
          <w:rStyle w:val="FootnoteReference"/>
        </w:rPr>
        <w:footnoteRef/>
      </w:r>
      <w:r>
        <w:t xml:space="preserve">  </w:t>
      </w:r>
      <w:r>
        <w:tab/>
      </w:r>
      <w:proofErr w:type="gramStart"/>
      <w:r>
        <w:t>52</w:t>
      </w:r>
      <w:r w:rsidR="0050436A">
        <w:t xml:space="preserve"> </w:t>
      </w:r>
      <w:proofErr w:type="spellStart"/>
      <w:r>
        <w:t>Pa.Code</w:t>
      </w:r>
      <w:proofErr w:type="spellEnd"/>
      <w:r>
        <w:t xml:space="preserve"> § 69.1201(2).</w:t>
      </w:r>
      <w:proofErr w:type="gramEnd"/>
    </w:p>
    <w:p w:rsidR="00611965" w:rsidRDefault="00611965" w:rsidP="00611965">
      <w:pPr>
        <w:pStyle w:val="FootnoteText"/>
        <w:spacing w:after="0"/>
        <w:ind w:firstLine="720"/>
      </w:pPr>
    </w:p>
  </w:footnote>
  <w:footnote w:id="34">
    <w:p w:rsidR="0008522B" w:rsidRDefault="0008522B" w:rsidP="00611965">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69.1201(4).</w:t>
      </w:r>
      <w:proofErr w:type="gramEnd"/>
    </w:p>
    <w:p w:rsidR="00611965" w:rsidRDefault="00611965" w:rsidP="00611965">
      <w:pPr>
        <w:pStyle w:val="FootnoteText"/>
        <w:spacing w:after="0"/>
        <w:ind w:firstLine="720"/>
      </w:pPr>
    </w:p>
  </w:footnote>
  <w:footnote w:id="35">
    <w:p w:rsidR="0008522B" w:rsidRDefault="0008522B" w:rsidP="00611965">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69.1201(6), (7).</w:t>
      </w:r>
      <w:proofErr w:type="gramEnd"/>
    </w:p>
    <w:p w:rsidR="00611965" w:rsidRDefault="00611965" w:rsidP="00611965">
      <w:pPr>
        <w:pStyle w:val="FootnoteText"/>
        <w:spacing w:after="0"/>
        <w:ind w:firstLine="720"/>
      </w:pPr>
    </w:p>
  </w:footnote>
  <w:footnote w:id="36">
    <w:p w:rsidR="0008522B" w:rsidRDefault="0008522B" w:rsidP="00611965">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69.1201(8).</w:t>
      </w:r>
      <w:proofErr w:type="gramEnd"/>
    </w:p>
    <w:p w:rsidR="00611965" w:rsidRDefault="00611965" w:rsidP="00611965">
      <w:pPr>
        <w:pStyle w:val="FootnoteText"/>
        <w:spacing w:after="0"/>
        <w:ind w:firstLine="720"/>
      </w:pPr>
    </w:p>
  </w:footnote>
  <w:footnote w:id="37">
    <w:p w:rsidR="00BE632D" w:rsidRPr="00BE632D" w:rsidRDefault="00BE632D" w:rsidP="00611965">
      <w:pPr>
        <w:pStyle w:val="FootnoteText"/>
        <w:spacing w:after="0"/>
        <w:ind w:firstLine="720"/>
      </w:pPr>
      <w:r>
        <w:rPr>
          <w:rStyle w:val="FootnoteReference"/>
        </w:rPr>
        <w:footnoteRef/>
      </w:r>
      <w:r>
        <w:t xml:space="preserve">  </w:t>
      </w:r>
      <w:r>
        <w:tab/>
      </w:r>
      <w:proofErr w:type="gramStart"/>
      <w:r>
        <w:t>52 Pa.Code § 69.1201(9).</w:t>
      </w:r>
      <w:proofErr w:type="gramEnd"/>
      <w:r>
        <w:t xml:space="preserve">  </w:t>
      </w:r>
      <w:proofErr w:type="gramStart"/>
      <w:r>
        <w:rPr>
          <w:i/>
        </w:rPr>
        <w:t>Maisch v. PECO Energy Company,</w:t>
      </w:r>
      <w:r>
        <w:t xml:space="preserve"> PUC Docket No.</w:t>
      </w:r>
      <w:proofErr w:type="gramEnd"/>
      <w:r>
        <w:t xml:space="preserve"> C-2009-2118649 (Opinion and Order entered May 26, 2011)</w:t>
      </w:r>
      <w:r w:rsidR="0050436A">
        <w:t xml:space="preserve"> </w:t>
      </w:r>
      <w:r>
        <w:t xml:space="preserve">($ 1,000 penalty); </w:t>
      </w:r>
      <w:proofErr w:type="spellStart"/>
      <w:r>
        <w:rPr>
          <w:i/>
        </w:rPr>
        <w:t>Brickner</w:t>
      </w:r>
      <w:proofErr w:type="spellEnd"/>
      <w:r>
        <w:rPr>
          <w:i/>
        </w:rPr>
        <w:t xml:space="preserve"> v. PPL Electric Utilities Corporation</w:t>
      </w:r>
      <w:r>
        <w:t>, PUC Docket No. C-2009-2105583 (Opinion and Order entered May 21, 2010)</w:t>
      </w:r>
      <w:r w:rsidR="0050436A">
        <w:t xml:space="preserve"> </w:t>
      </w:r>
      <w:r>
        <w:t>($1</w:t>
      </w:r>
      <w:r w:rsidR="00D164D3">
        <w:t>,000 penalty).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94630C"/>
    <w:lvl w:ilvl="0">
      <w:start w:val="1"/>
      <w:numFmt w:val="decimal"/>
      <w:lvlText w:val="%1."/>
      <w:lvlJc w:val="left"/>
      <w:pPr>
        <w:tabs>
          <w:tab w:val="num" w:pos="1800"/>
        </w:tabs>
        <w:ind w:left="1800" w:hanging="360"/>
      </w:pPr>
    </w:lvl>
  </w:abstractNum>
  <w:abstractNum w:abstractNumId="1">
    <w:nsid w:val="FFFFFF7D"/>
    <w:multiLevelType w:val="singleLevel"/>
    <w:tmpl w:val="699C0ACC"/>
    <w:lvl w:ilvl="0">
      <w:start w:val="1"/>
      <w:numFmt w:val="decimal"/>
      <w:lvlText w:val="%1."/>
      <w:lvlJc w:val="left"/>
      <w:pPr>
        <w:tabs>
          <w:tab w:val="num" w:pos="1440"/>
        </w:tabs>
        <w:ind w:left="1440" w:hanging="360"/>
      </w:pPr>
    </w:lvl>
  </w:abstractNum>
  <w:abstractNum w:abstractNumId="2">
    <w:nsid w:val="FFFFFF7E"/>
    <w:multiLevelType w:val="singleLevel"/>
    <w:tmpl w:val="3E1AEE5E"/>
    <w:lvl w:ilvl="0">
      <w:start w:val="1"/>
      <w:numFmt w:val="decimal"/>
      <w:lvlText w:val="%1."/>
      <w:lvlJc w:val="left"/>
      <w:pPr>
        <w:tabs>
          <w:tab w:val="num" w:pos="1080"/>
        </w:tabs>
        <w:ind w:left="1080" w:hanging="360"/>
      </w:pPr>
    </w:lvl>
  </w:abstractNum>
  <w:abstractNum w:abstractNumId="3">
    <w:nsid w:val="FFFFFF7F"/>
    <w:multiLevelType w:val="singleLevel"/>
    <w:tmpl w:val="316458F4"/>
    <w:lvl w:ilvl="0">
      <w:start w:val="1"/>
      <w:numFmt w:val="decimal"/>
      <w:lvlText w:val="%1."/>
      <w:lvlJc w:val="left"/>
      <w:pPr>
        <w:tabs>
          <w:tab w:val="num" w:pos="720"/>
        </w:tabs>
        <w:ind w:left="720" w:hanging="360"/>
      </w:pPr>
    </w:lvl>
  </w:abstractNum>
  <w:abstractNum w:abstractNumId="4">
    <w:nsid w:val="FFFFFF80"/>
    <w:multiLevelType w:val="singleLevel"/>
    <w:tmpl w:val="94EA39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84CA0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188C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52A6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40C1D0"/>
    <w:lvl w:ilvl="0">
      <w:start w:val="1"/>
      <w:numFmt w:val="decimal"/>
      <w:lvlText w:val="%1."/>
      <w:lvlJc w:val="left"/>
      <w:pPr>
        <w:tabs>
          <w:tab w:val="num" w:pos="360"/>
        </w:tabs>
        <w:ind w:left="360" w:hanging="360"/>
      </w:pPr>
    </w:lvl>
  </w:abstractNum>
  <w:abstractNum w:abstractNumId="9">
    <w:nsid w:val="FFFFFF89"/>
    <w:multiLevelType w:val="singleLevel"/>
    <w:tmpl w:val="791EFF7C"/>
    <w:lvl w:ilvl="0">
      <w:start w:val="1"/>
      <w:numFmt w:val="bullet"/>
      <w:lvlText w:val=""/>
      <w:lvlJc w:val="left"/>
      <w:pPr>
        <w:tabs>
          <w:tab w:val="num" w:pos="360"/>
        </w:tabs>
        <w:ind w:left="360" w:hanging="360"/>
      </w:pPr>
      <w:rPr>
        <w:rFonts w:ascii="Symbol" w:hAnsi="Symbol" w:hint="default"/>
      </w:rPr>
    </w:lvl>
  </w:abstractNum>
  <w:abstractNum w:abstractNumId="1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C240B2"/>
    <w:multiLevelType w:val="hybridMultilevel"/>
    <w:tmpl w:val="391AF374"/>
    <w:lvl w:ilvl="0" w:tplc="44EEC0EA">
      <w:start w:val="1"/>
      <w:numFmt w:val="decimal"/>
      <w:pStyle w:val="ListParagraph"/>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9841C0"/>
    <w:multiLevelType w:val="hybridMultilevel"/>
    <w:tmpl w:val="4482BCFC"/>
    <w:lvl w:ilvl="0" w:tplc="70B8DC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7"/>
  </w:num>
  <w:num w:numId="4">
    <w:abstractNumId w:val="20"/>
  </w:num>
  <w:num w:numId="5">
    <w:abstractNumId w:val="13"/>
  </w:num>
  <w:num w:numId="6">
    <w:abstractNumId w:val="12"/>
  </w:num>
  <w:num w:numId="7">
    <w:abstractNumId w:val="11"/>
  </w:num>
  <w:num w:numId="8">
    <w:abstractNumId w:val="19"/>
  </w:num>
  <w:num w:numId="9">
    <w:abstractNumId w:val="10"/>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AD"/>
    <w:rsid w:val="00004C37"/>
    <w:rsid w:val="0000662C"/>
    <w:rsid w:val="000110E9"/>
    <w:rsid w:val="00055A61"/>
    <w:rsid w:val="00056707"/>
    <w:rsid w:val="000631A1"/>
    <w:rsid w:val="00082017"/>
    <w:rsid w:val="0008522B"/>
    <w:rsid w:val="000A1BCF"/>
    <w:rsid w:val="000A5FB7"/>
    <w:rsid w:val="000B2BC4"/>
    <w:rsid w:val="000F0804"/>
    <w:rsid w:val="000F2504"/>
    <w:rsid w:val="000F4ED2"/>
    <w:rsid w:val="00115582"/>
    <w:rsid w:val="00117FE8"/>
    <w:rsid w:val="00137C5C"/>
    <w:rsid w:val="00147D02"/>
    <w:rsid w:val="00153322"/>
    <w:rsid w:val="0015786B"/>
    <w:rsid w:val="00170BC2"/>
    <w:rsid w:val="001773C6"/>
    <w:rsid w:val="00197858"/>
    <w:rsid w:val="00197CB4"/>
    <w:rsid w:val="001B1CBA"/>
    <w:rsid w:val="001B2C24"/>
    <w:rsid w:val="001B4D93"/>
    <w:rsid w:val="001B4E0A"/>
    <w:rsid w:val="001C0153"/>
    <w:rsid w:val="001D1E5F"/>
    <w:rsid w:val="001F3998"/>
    <w:rsid w:val="00213167"/>
    <w:rsid w:val="00214B42"/>
    <w:rsid w:val="00226849"/>
    <w:rsid w:val="00241EC3"/>
    <w:rsid w:val="00242D27"/>
    <w:rsid w:val="002512F9"/>
    <w:rsid w:val="0026262A"/>
    <w:rsid w:val="00281B0A"/>
    <w:rsid w:val="002E1812"/>
    <w:rsid w:val="002F137B"/>
    <w:rsid w:val="002F2D70"/>
    <w:rsid w:val="002F78A3"/>
    <w:rsid w:val="003145E4"/>
    <w:rsid w:val="00333D51"/>
    <w:rsid w:val="003612F8"/>
    <w:rsid w:val="00393C92"/>
    <w:rsid w:val="003B01E0"/>
    <w:rsid w:val="003B37CA"/>
    <w:rsid w:val="003C6354"/>
    <w:rsid w:val="003D500F"/>
    <w:rsid w:val="003D71A2"/>
    <w:rsid w:val="003D7B7B"/>
    <w:rsid w:val="00402EB3"/>
    <w:rsid w:val="00405003"/>
    <w:rsid w:val="00412640"/>
    <w:rsid w:val="004154E3"/>
    <w:rsid w:val="0041636C"/>
    <w:rsid w:val="00423445"/>
    <w:rsid w:val="004358BB"/>
    <w:rsid w:val="004543AA"/>
    <w:rsid w:val="00461B95"/>
    <w:rsid w:val="00463737"/>
    <w:rsid w:val="00465072"/>
    <w:rsid w:val="00465EE8"/>
    <w:rsid w:val="00475AE0"/>
    <w:rsid w:val="00483734"/>
    <w:rsid w:val="004B15C6"/>
    <w:rsid w:val="004B3FB4"/>
    <w:rsid w:val="004B7F2D"/>
    <w:rsid w:val="004D40B7"/>
    <w:rsid w:val="004D523C"/>
    <w:rsid w:val="004D5E1C"/>
    <w:rsid w:val="004E61E5"/>
    <w:rsid w:val="0050436A"/>
    <w:rsid w:val="00504ECF"/>
    <w:rsid w:val="00510F43"/>
    <w:rsid w:val="00523847"/>
    <w:rsid w:val="00524183"/>
    <w:rsid w:val="00550189"/>
    <w:rsid w:val="005523EB"/>
    <w:rsid w:val="005552A2"/>
    <w:rsid w:val="00565E57"/>
    <w:rsid w:val="005660B2"/>
    <w:rsid w:val="0057062B"/>
    <w:rsid w:val="00576BB0"/>
    <w:rsid w:val="005923AA"/>
    <w:rsid w:val="00592CB6"/>
    <w:rsid w:val="005A1975"/>
    <w:rsid w:val="005A2ABA"/>
    <w:rsid w:val="005C6D4E"/>
    <w:rsid w:val="005C793F"/>
    <w:rsid w:val="005D5FC5"/>
    <w:rsid w:val="00600EE6"/>
    <w:rsid w:val="00605D0B"/>
    <w:rsid w:val="0060704D"/>
    <w:rsid w:val="00610DD8"/>
    <w:rsid w:val="00611965"/>
    <w:rsid w:val="006134CA"/>
    <w:rsid w:val="0061775F"/>
    <w:rsid w:val="006272C3"/>
    <w:rsid w:val="00672F98"/>
    <w:rsid w:val="00674FFE"/>
    <w:rsid w:val="006966E4"/>
    <w:rsid w:val="006B2800"/>
    <w:rsid w:val="006B40E5"/>
    <w:rsid w:val="006D672D"/>
    <w:rsid w:val="006F0329"/>
    <w:rsid w:val="00705939"/>
    <w:rsid w:val="00712E58"/>
    <w:rsid w:val="00713863"/>
    <w:rsid w:val="00714DEF"/>
    <w:rsid w:val="007225B8"/>
    <w:rsid w:val="007269A7"/>
    <w:rsid w:val="007412DA"/>
    <w:rsid w:val="00741C71"/>
    <w:rsid w:val="00743837"/>
    <w:rsid w:val="00755667"/>
    <w:rsid w:val="0076382D"/>
    <w:rsid w:val="00770F8E"/>
    <w:rsid w:val="007849B3"/>
    <w:rsid w:val="00790B92"/>
    <w:rsid w:val="00792796"/>
    <w:rsid w:val="007B026B"/>
    <w:rsid w:val="007C0DBC"/>
    <w:rsid w:val="007D2CBB"/>
    <w:rsid w:val="007D3598"/>
    <w:rsid w:val="007D6134"/>
    <w:rsid w:val="007E6779"/>
    <w:rsid w:val="00803277"/>
    <w:rsid w:val="008046CE"/>
    <w:rsid w:val="008068CA"/>
    <w:rsid w:val="00835087"/>
    <w:rsid w:val="00836827"/>
    <w:rsid w:val="0084730B"/>
    <w:rsid w:val="008529D2"/>
    <w:rsid w:val="00853E6C"/>
    <w:rsid w:val="00863EB9"/>
    <w:rsid w:val="00870630"/>
    <w:rsid w:val="00870AD1"/>
    <w:rsid w:val="0088665C"/>
    <w:rsid w:val="008A5B87"/>
    <w:rsid w:val="008B0F7E"/>
    <w:rsid w:val="008B4BE3"/>
    <w:rsid w:val="008C0024"/>
    <w:rsid w:val="008C5A11"/>
    <w:rsid w:val="008C5BE5"/>
    <w:rsid w:val="008C7286"/>
    <w:rsid w:val="008E34A8"/>
    <w:rsid w:val="009004E0"/>
    <w:rsid w:val="009036AB"/>
    <w:rsid w:val="0092682B"/>
    <w:rsid w:val="00941D14"/>
    <w:rsid w:val="00952D4B"/>
    <w:rsid w:val="00974972"/>
    <w:rsid w:val="00997DD0"/>
    <w:rsid w:val="009B139F"/>
    <w:rsid w:val="009B6CC0"/>
    <w:rsid w:val="009D3681"/>
    <w:rsid w:val="009D6D67"/>
    <w:rsid w:val="009E6E35"/>
    <w:rsid w:val="00A1353D"/>
    <w:rsid w:val="00A22E54"/>
    <w:rsid w:val="00A26C5F"/>
    <w:rsid w:val="00A305DE"/>
    <w:rsid w:val="00A37AF8"/>
    <w:rsid w:val="00A41DC2"/>
    <w:rsid w:val="00A464C9"/>
    <w:rsid w:val="00A51A06"/>
    <w:rsid w:val="00A54A55"/>
    <w:rsid w:val="00A60A71"/>
    <w:rsid w:val="00A61F26"/>
    <w:rsid w:val="00A8325C"/>
    <w:rsid w:val="00AA03B3"/>
    <w:rsid w:val="00AA2EC5"/>
    <w:rsid w:val="00AB4C73"/>
    <w:rsid w:val="00AC6BAD"/>
    <w:rsid w:val="00AD0241"/>
    <w:rsid w:val="00AE5415"/>
    <w:rsid w:val="00AE5AA6"/>
    <w:rsid w:val="00AE6F47"/>
    <w:rsid w:val="00AF7842"/>
    <w:rsid w:val="00B1632E"/>
    <w:rsid w:val="00B346BF"/>
    <w:rsid w:val="00B41CF7"/>
    <w:rsid w:val="00B77663"/>
    <w:rsid w:val="00B85516"/>
    <w:rsid w:val="00BA47E7"/>
    <w:rsid w:val="00BB04F9"/>
    <w:rsid w:val="00BB45DF"/>
    <w:rsid w:val="00BB6A6B"/>
    <w:rsid w:val="00BC02A6"/>
    <w:rsid w:val="00BC1369"/>
    <w:rsid w:val="00BC1CFF"/>
    <w:rsid w:val="00BC6B21"/>
    <w:rsid w:val="00BD45B2"/>
    <w:rsid w:val="00BE1FAF"/>
    <w:rsid w:val="00BE5514"/>
    <w:rsid w:val="00BE632D"/>
    <w:rsid w:val="00BF3F42"/>
    <w:rsid w:val="00C013FE"/>
    <w:rsid w:val="00C01DCB"/>
    <w:rsid w:val="00C24305"/>
    <w:rsid w:val="00C25E16"/>
    <w:rsid w:val="00C82F38"/>
    <w:rsid w:val="00C83D90"/>
    <w:rsid w:val="00C92568"/>
    <w:rsid w:val="00CA605E"/>
    <w:rsid w:val="00CB0E9C"/>
    <w:rsid w:val="00CC35B4"/>
    <w:rsid w:val="00CC68CE"/>
    <w:rsid w:val="00CD1881"/>
    <w:rsid w:val="00CF756F"/>
    <w:rsid w:val="00D00079"/>
    <w:rsid w:val="00D164D3"/>
    <w:rsid w:val="00D33D0C"/>
    <w:rsid w:val="00D507D3"/>
    <w:rsid w:val="00D675E9"/>
    <w:rsid w:val="00D760A5"/>
    <w:rsid w:val="00D808B8"/>
    <w:rsid w:val="00D84257"/>
    <w:rsid w:val="00D91029"/>
    <w:rsid w:val="00D92088"/>
    <w:rsid w:val="00DA616D"/>
    <w:rsid w:val="00DA6D59"/>
    <w:rsid w:val="00DB4E50"/>
    <w:rsid w:val="00DB5DB5"/>
    <w:rsid w:val="00DB71B1"/>
    <w:rsid w:val="00DD5C37"/>
    <w:rsid w:val="00E073D5"/>
    <w:rsid w:val="00E11805"/>
    <w:rsid w:val="00E2545A"/>
    <w:rsid w:val="00E2622B"/>
    <w:rsid w:val="00E3553C"/>
    <w:rsid w:val="00E420A0"/>
    <w:rsid w:val="00E560A5"/>
    <w:rsid w:val="00E64572"/>
    <w:rsid w:val="00E74986"/>
    <w:rsid w:val="00E810D4"/>
    <w:rsid w:val="00E862EC"/>
    <w:rsid w:val="00E9071C"/>
    <w:rsid w:val="00E94979"/>
    <w:rsid w:val="00EA188C"/>
    <w:rsid w:val="00EA36AC"/>
    <w:rsid w:val="00EA3FCE"/>
    <w:rsid w:val="00EC1CBA"/>
    <w:rsid w:val="00ED29BA"/>
    <w:rsid w:val="00ED7B10"/>
    <w:rsid w:val="00ED7BBB"/>
    <w:rsid w:val="00EE49A8"/>
    <w:rsid w:val="00EF4879"/>
    <w:rsid w:val="00EF4A3B"/>
    <w:rsid w:val="00F0511A"/>
    <w:rsid w:val="00F06126"/>
    <w:rsid w:val="00F10833"/>
    <w:rsid w:val="00F1625F"/>
    <w:rsid w:val="00F16554"/>
    <w:rsid w:val="00F4464C"/>
    <w:rsid w:val="00F544E1"/>
    <w:rsid w:val="00F75226"/>
    <w:rsid w:val="00F8024C"/>
    <w:rsid w:val="00F86A72"/>
    <w:rsid w:val="00FA2004"/>
    <w:rsid w:val="00FA2917"/>
    <w:rsid w:val="00FA2E12"/>
    <w:rsid w:val="00FA59C8"/>
    <w:rsid w:val="00FA6FF8"/>
    <w:rsid w:val="00FC0E0C"/>
    <w:rsid w:val="00FD2DB5"/>
    <w:rsid w:val="00FE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C5A11"/>
    <w:pPr>
      <w:numPr>
        <w:numId w:val="10"/>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BD45B2"/>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BD45B2"/>
    <w:rPr>
      <w:rFonts w:ascii="Times New Roman" w:hAnsi="Times New Roman" w:cs="Times New Roman"/>
      <w:sz w:val="24"/>
      <w:szCs w:val="20"/>
    </w:rPr>
  </w:style>
  <w:style w:type="paragraph" w:styleId="Footer">
    <w:name w:val="footer"/>
    <w:basedOn w:val="Normal"/>
    <w:link w:val="FooterChar"/>
    <w:uiPriority w:val="99"/>
    <w:unhideWhenUsed/>
    <w:rsid w:val="00BD45B2"/>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BD45B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70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2B"/>
    <w:rPr>
      <w:rFonts w:ascii="Tahoma" w:hAnsi="Tahoma" w:cs="Tahoma"/>
      <w:sz w:val="16"/>
      <w:szCs w:val="16"/>
    </w:rPr>
  </w:style>
  <w:style w:type="character" w:styleId="FootnoteReference">
    <w:name w:val="footnote reference"/>
    <w:basedOn w:val="DefaultParagraphFont"/>
    <w:uiPriority w:val="99"/>
    <w:unhideWhenUsed/>
    <w:rsid w:val="00D92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8C5A11"/>
    <w:pPr>
      <w:numPr>
        <w:numId w:val="10"/>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BD45B2"/>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BD45B2"/>
    <w:rPr>
      <w:rFonts w:ascii="Times New Roman" w:hAnsi="Times New Roman" w:cs="Times New Roman"/>
      <w:sz w:val="24"/>
      <w:szCs w:val="20"/>
    </w:rPr>
  </w:style>
  <w:style w:type="paragraph" w:styleId="Footer">
    <w:name w:val="footer"/>
    <w:basedOn w:val="Normal"/>
    <w:link w:val="FooterChar"/>
    <w:uiPriority w:val="99"/>
    <w:unhideWhenUsed/>
    <w:rsid w:val="00BD45B2"/>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BD45B2"/>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70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62B"/>
    <w:rPr>
      <w:rFonts w:ascii="Tahoma" w:hAnsi="Tahoma" w:cs="Tahoma"/>
      <w:sz w:val="16"/>
      <w:szCs w:val="16"/>
    </w:rPr>
  </w:style>
  <w:style w:type="character" w:styleId="FootnoteReference">
    <w:name w:val="footnote reference"/>
    <w:basedOn w:val="DefaultParagraphFont"/>
    <w:uiPriority w:val="99"/>
    <w:unhideWhenUsed/>
    <w:rsid w:val="00D92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8458-D2B6-4880-B97D-5D36A5F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71</cp:revision>
  <cp:lastPrinted>2014-12-12T20:11:00Z</cp:lastPrinted>
  <dcterms:created xsi:type="dcterms:W3CDTF">2014-11-21T13:13:00Z</dcterms:created>
  <dcterms:modified xsi:type="dcterms:W3CDTF">2014-12-17T13:02:00Z</dcterms:modified>
</cp:coreProperties>
</file>